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2"/>
        </w:rPr>
      </w:pPr>
    </w:p>
    <w:p>
      <w:pPr>
        <w:pStyle w:val="BodyText"/>
        <w:ind w:left="3850"/>
        <w:rPr>
          <w:rFonts w:ascii="Times New Roman"/>
          <w:sz w:val="20"/>
        </w:rPr>
      </w:pPr>
      <w:r>
        <w:rPr>
          <w:rFonts w:ascii="Times New Roman"/>
          <w:sz w:val="20"/>
        </w:rPr>
        <w:drawing>
          <wp:inline distT="0" distB="0" distL="0" distR="0">
            <wp:extent cx="1225196" cy="11239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25196" cy="1123950"/>
                    </a:xfrm>
                    <a:prstGeom prst="rect">
                      <a:avLst/>
                    </a:prstGeom>
                  </pic:spPr>
                </pic:pic>
              </a:graphicData>
            </a:graphic>
          </wp:inline>
        </w:drawing>
      </w:r>
      <w:r>
        <w:rPr>
          <w:rFonts w:ascii="Times New Roman"/>
          <w:sz w:val="20"/>
        </w:rPr>
      </w:r>
    </w:p>
    <w:p>
      <w:pPr>
        <w:spacing w:before="146"/>
        <w:ind w:left="0" w:right="23" w:firstLine="0"/>
        <w:jc w:val="center"/>
        <w:rPr>
          <w:sz w:val="20"/>
        </w:rPr>
      </w:pPr>
      <w:r>
        <w:rPr>
          <w:color w:val="231F20"/>
          <w:sz w:val="20"/>
        </w:rPr>
        <w:t>GOVERNMENT OF SIERRA LEONE</w:t>
      </w:r>
    </w:p>
    <w:p>
      <w:pPr>
        <w:pStyle w:val="BodyText"/>
        <w:rPr>
          <w:sz w:val="22"/>
        </w:rPr>
      </w:pPr>
    </w:p>
    <w:p>
      <w:pPr>
        <w:pStyle w:val="BodyText"/>
        <w:spacing w:before="8"/>
        <w:rPr>
          <w:sz w:val="20"/>
        </w:rPr>
      </w:pPr>
    </w:p>
    <w:p>
      <w:pPr>
        <w:tabs>
          <w:tab w:pos="3330" w:val="left" w:leader="none"/>
        </w:tabs>
        <w:spacing w:before="0"/>
        <w:ind w:left="0" w:right="15" w:firstLine="0"/>
        <w:jc w:val="center"/>
        <w:rPr>
          <w:b/>
          <w:sz w:val="40"/>
        </w:rPr>
      </w:pPr>
      <w:r>
        <w:rPr>
          <w:b/>
          <w:color w:val="231F20"/>
          <w:sz w:val="40"/>
        </w:rPr>
        <w:t>GOVERNMENT</w:t>
        <w:tab/>
        <w:t>BUDGET</w:t>
      </w:r>
    </w:p>
    <w:p>
      <w:pPr>
        <w:pStyle w:val="BodyText"/>
        <w:spacing w:before="3"/>
        <w:rPr>
          <w:b/>
          <w:sz w:val="38"/>
        </w:rPr>
      </w:pPr>
    </w:p>
    <w:p>
      <w:pPr>
        <w:spacing w:before="0"/>
        <w:ind w:left="0" w:right="20" w:firstLine="0"/>
        <w:jc w:val="center"/>
        <w:rPr>
          <w:b/>
          <w:sz w:val="36"/>
        </w:rPr>
      </w:pPr>
      <w:r>
        <w:rPr>
          <w:b/>
          <w:color w:val="231F20"/>
          <w:sz w:val="36"/>
        </w:rPr>
        <w:t>and</w:t>
      </w:r>
    </w:p>
    <w:p>
      <w:pPr>
        <w:pStyle w:val="BodyText"/>
        <w:spacing w:before="7"/>
        <w:rPr>
          <w:b/>
          <w:sz w:val="37"/>
        </w:rPr>
      </w:pPr>
    </w:p>
    <w:p>
      <w:pPr>
        <w:spacing w:line="247" w:lineRule="auto" w:before="0"/>
        <w:ind w:left="1114" w:right="1137" w:firstLine="0"/>
        <w:jc w:val="center"/>
        <w:rPr>
          <w:b/>
          <w:sz w:val="36"/>
        </w:rPr>
      </w:pPr>
      <w:r>
        <w:rPr>
          <w:b/>
          <w:color w:val="231F20"/>
          <w:sz w:val="36"/>
        </w:rPr>
        <w:t>STATEMENT OF ECONOMIC AND FINANCIAL POLICIES</w:t>
      </w:r>
    </w:p>
    <w:p>
      <w:pPr>
        <w:pStyle w:val="BodyText"/>
        <w:spacing w:before="8"/>
        <w:rPr>
          <w:b/>
          <w:sz w:val="47"/>
        </w:rPr>
      </w:pPr>
    </w:p>
    <w:p>
      <w:pPr>
        <w:spacing w:before="0"/>
        <w:ind w:left="0" w:right="21" w:firstLine="0"/>
        <w:jc w:val="center"/>
        <w:rPr>
          <w:b/>
          <w:i/>
          <w:sz w:val="24"/>
        </w:rPr>
      </w:pPr>
      <w:r>
        <w:rPr>
          <w:b/>
          <w:i/>
          <w:color w:val="231F20"/>
          <w:sz w:val="24"/>
        </w:rPr>
        <w:t>For the Financial Year, 2020</w:t>
      </w:r>
    </w:p>
    <w:p>
      <w:pPr>
        <w:pStyle w:val="BodyText"/>
        <w:spacing w:before="8"/>
        <w:rPr>
          <w:b/>
          <w:i/>
          <w:sz w:val="33"/>
        </w:rPr>
      </w:pPr>
    </w:p>
    <w:p>
      <w:pPr>
        <w:spacing w:line="309" w:lineRule="auto" w:before="0"/>
        <w:ind w:left="1121" w:right="1137" w:firstLine="0"/>
        <w:jc w:val="center"/>
        <w:rPr>
          <w:b/>
          <w:i/>
          <w:sz w:val="22"/>
        </w:rPr>
      </w:pPr>
      <w:r>
        <w:rPr>
          <w:b/>
          <w:i/>
          <w:color w:val="231F20"/>
          <w:sz w:val="22"/>
        </w:rPr>
        <w:t>Theme:</w:t>
      </w:r>
      <w:r>
        <w:rPr>
          <w:b/>
          <w:i/>
          <w:color w:val="231F20"/>
          <w:spacing w:val="-26"/>
          <w:sz w:val="22"/>
        </w:rPr>
        <w:t> </w:t>
      </w:r>
      <w:r>
        <w:rPr>
          <w:b/>
          <w:i/>
          <w:color w:val="231F20"/>
          <w:sz w:val="22"/>
        </w:rPr>
        <w:t>“</w:t>
      </w:r>
      <w:r>
        <w:rPr>
          <w:b/>
          <w:i/>
          <w:color w:val="231F20"/>
          <w:sz w:val="23"/>
        </w:rPr>
        <w:t>Fiscal</w:t>
      </w:r>
      <w:r>
        <w:rPr>
          <w:b/>
          <w:i/>
          <w:color w:val="231F20"/>
          <w:spacing w:val="-27"/>
          <w:sz w:val="23"/>
        </w:rPr>
        <w:t> </w:t>
      </w:r>
      <w:r>
        <w:rPr>
          <w:b/>
          <w:i/>
          <w:color w:val="231F20"/>
          <w:sz w:val="23"/>
        </w:rPr>
        <w:t>Consolidation</w:t>
      </w:r>
      <w:r>
        <w:rPr>
          <w:b/>
          <w:i/>
          <w:color w:val="231F20"/>
          <w:spacing w:val="-26"/>
          <w:sz w:val="23"/>
        </w:rPr>
        <w:t> </w:t>
      </w:r>
      <w:r>
        <w:rPr>
          <w:b/>
          <w:i/>
          <w:color w:val="231F20"/>
          <w:sz w:val="23"/>
        </w:rPr>
        <w:t>for</w:t>
      </w:r>
      <w:r>
        <w:rPr>
          <w:b/>
          <w:i/>
          <w:color w:val="231F20"/>
          <w:spacing w:val="-27"/>
          <w:sz w:val="23"/>
        </w:rPr>
        <w:t> </w:t>
      </w:r>
      <w:r>
        <w:rPr>
          <w:b/>
          <w:i/>
          <w:color w:val="231F20"/>
          <w:sz w:val="23"/>
        </w:rPr>
        <w:t>Human</w:t>
      </w:r>
      <w:r>
        <w:rPr>
          <w:b/>
          <w:i/>
          <w:color w:val="231F20"/>
          <w:spacing w:val="-27"/>
          <w:sz w:val="23"/>
        </w:rPr>
        <w:t> </w:t>
      </w:r>
      <w:r>
        <w:rPr>
          <w:b/>
          <w:i/>
          <w:color w:val="231F20"/>
          <w:sz w:val="23"/>
        </w:rPr>
        <w:t>Capital</w:t>
      </w:r>
      <w:r>
        <w:rPr>
          <w:b/>
          <w:i/>
          <w:color w:val="231F20"/>
          <w:spacing w:val="-26"/>
          <w:sz w:val="23"/>
        </w:rPr>
        <w:t> </w:t>
      </w:r>
      <w:r>
        <w:rPr>
          <w:b/>
          <w:i/>
          <w:color w:val="231F20"/>
          <w:sz w:val="23"/>
        </w:rPr>
        <w:t>Development and Job</w:t>
      </w:r>
      <w:r>
        <w:rPr>
          <w:b/>
          <w:i/>
          <w:color w:val="231F20"/>
          <w:spacing w:val="-46"/>
          <w:sz w:val="23"/>
        </w:rPr>
        <w:t> </w:t>
      </w:r>
      <w:r>
        <w:rPr>
          <w:b/>
          <w:i/>
          <w:color w:val="231F20"/>
          <w:sz w:val="23"/>
        </w:rPr>
        <w:t>Creation</w:t>
      </w:r>
      <w:r>
        <w:rPr>
          <w:b/>
          <w:i/>
          <w:color w:val="231F20"/>
          <w:sz w:val="22"/>
        </w:rPr>
        <w:t>”</w:t>
      </w:r>
    </w:p>
    <w:p>
      <w:pPr>
        <w:pStyle w:val="BodyText"/>
        <w:rPr>
          <w:b/>
          <w:i/>
          <w:sz w:val="32"/>
        </w:rPr>
      </w:pPr>
    </w:p>
    <w:p>
      <w:pPr>
        <w:spacing w:before="0"/>
        <w:ind w:left="0" w:right="22" w:firstLine="0"/>
        <w:jc w:val="center"/>
        <w:rPr>
          <w:sz w:val="20"/>
        </w:rPr>
      </w:pPr>
      <w:r>
        <w:rPr>
          <w:color w:val="231F20"/>
          <w:sz w:val="20"/>
        </w:rPr>
        <w:t>DELIVERED BY</w:t>
      </w:r>
    </w:p>
    <w:p>
      <w:pPr>
        <w:pStyle w:val="BodyText"/>
        <w:rPr>
          <w:sz w:val="22"/>
        </w:rPr>
      </w:pPr>
    </w:p>
    <w:p>
      <w:pPr>
        <w:pStyle w:val="BodyText"/>
        <w:spacing w:before="6"/>
        <w:rPr>
          <w:sz w:val="26"/>
        </w:rPr>
      </w:pPr>
    </w:p>
    <w:p>
      <w:pPr>
        <w:spacing w:before="0"/>
        <w:ind w:left="0" w:right="17" w:firstLine="0"/>
        <w:jc w:val="center"/>
        <w:rPr>
          <w:b/>
          <w:sz w:val="36"/>
        </w:rPr>
      </w:pPr>
      <w:r>
        <w:rPr>
          <w:b/>
          <w:color w:val="231F20"/>
          <w:sz w:val="36"/>
        </w:rPr>
        <w:t>JACOB JUSU SAFFA</w:t>
      </w:r>
    </w:p>
    <w:p>
      <w:pPr>
        <w:spacing w:before="146"/>
        <w:ind w:left="0" w:right="19" w:firstLine="0"/>
        <w:jc w:val="center"/>
        <w:rPr>
          <w:i/>
          <w:sz w:val="22"/>
        </w:rPr>
      </w:pPr>
      <w:r>
        <w:rPr>
          <w:i/>
          <w:color w:val="231F20"/>
          <w:sz w:val="22"/>
        </w:rPr>
        <w:t>Minister of Finance</w:t>
      </w:r>
    </w:p>
    <w:p>
      <w:pPr>
        <w:pStyle w:val="BodyText"/>
        <w:rPr>
          <w:i/>
          <w:sz w:val="26"/>
        </w:rPr>
      </w:pPr>
    </w:p>
    <w:p>
      <w:pPr>
        <w:spacing w:before="180"/>
        <w:ind w:left="0" w:right="15" w:firstLine="0"/>
        <w:jc w:val="center"/>
        <w:rPr>
          <w:b/>
          <w:sz w:val="28"/>
        </w:rPr>
      </w:pPr>
      <w:r>
        <w:rPr>
          <w:b/>
          <w:color w:val="231F20"/>
          <w:sz w:val="28"/>
        </w:rPr>
        <w:t>in the Chamber of Parliament</w:t>
      </w:r>
    </w:p>
    <w:p>
      <w:pPr>
        <w:spacing w:before="113"/>
        <w:ind w:left="0" w:right="19" w:firstLine="0"/>
        <w:jc w:val="center"/>
        <w:rPr>
          <w:sz w:val="19"/>
        </w:rPr>
      </w:pPr>
      <w:r>
        <w:rPr>
          <w:color w:val="231F20"/>
          <w:sz w:val="28"/>
        </w:rPr>
        <w:t>T</w:t>
      </w:r>
      <w:r>
        <w:rPr>
          <w:color w:val="231F20"/>
          <w:sz w:val="19"/>
        </w:rPr>
        <w:t>OWER </w:t>
      </w:r>
      <w:r>
        <w:rPr>
          <w:color w:val="231F20"/>
          <w:sz w:val="28"/>
        </w:rPr>
        <w:t>H</w:t>
      </w:r>
      <w:r>
        <w:rPr>
          <w:color w:val="231F20"/>
          <w:sz w:val="19"/>
        </w:rPr>
        <w:t>ILL</w:t>
      </w:r>
      <w:r>
        <w:rPr>
          <w:color w:val="231F20"/>
          <w:sz w:val="28"/>
        </w:rPr>
        <w:t>, F</w:t>
      </w:r>
      <w:r>
        <w:rPr>
          <w:color w:val="231F20"/>
          <w:sz w:val="19"/>
        </w:rPr>
        <w:t>REETOWN</w:t>
      </w:r>
    </w:p>
    <w:p>
      <w:pPr>
        <w:pStyle w:val="BodyText"/>
        <w:spacing w:before="1"/>
        <w:rPr>
          <w:sz w:val="38"/>
        </w:rPr>
      </w:pPr>
    </w:p>
    <w:p>
      <w:pPr>
        <w:spacing w:before="0"/>
        <w:ind w:left="0" w:right="12" w:firstLine="0"/>
        <w:jc w:val="center"/>
        <w:rPr>
          <w:sz w:val="22"/>
        </w:rPr>
      </w:pPr>
      <w:r>
        <w:rPr>
          <w:color w:val="231F20"/>
          <w:spacing w:val="6"/>
          <w:sz w:val="22"/>
        </w:rPr>
        <w:t>ON</w:t>
      </w:r>
    </w:p>
    <w:p>
      <w:pPr>
        <w:pStyle w:val="BodyText"/>
        <w:rPr>
          <w:sz w:val="26"/>
        </w:rPr>
      </w:pPr>
    </w:p>
    <w:p>
      <w:pPr>
        <w:spacing w:line="374" w:lineRule="auto" w:before="217"/>
        <w:ind w:left="3030" w:right="3050" w:firstLine="0"/>
        <w:jc w:val="center"/>
        <w:rPr>
          <w:b/>
          <w:sz w:val="24"/>
        </w:rPr>
      </w:pPr>
      <w:r>
        <w:rPr>
          <w:b/>
          <w:color w:val="231F20"/>
          <w:sz w:val="24"/>
        </w:rPr>
        <w:t>Friday, 8th November, 2019 </w:t>
      </w:r>
      <w:r>
        <w:rPr>
          <w:b/>
          <w:color w:val="231F20"/>
          <w:spacing w:val="-10"/>
          <w:sz w:val="24"/>
        </w:rPr>
        <w:t>at</w:t>
      </w:r>
    </w:p>
    <w:p>
      <w:pPr>
        <w:spacing w:before="2"/>
        <w:ind w:left="0" w:right="18" w:firstLine="0"/>
        <w:jc w:val="center"/>
        <w:rPr>
          <w:b/>
          <w:sz w:val="24"/>
        </w:rPr>
      </w:pPr>
      <w:r>
        <w:rPr/>
        <w:pict>
          <v:shapetype id="_x0000_t202" o:spt="202" coordsize="21600,21600" path="m,l,21600r21600,l21600,xe">
            <v:stroke joinstyle="miter"/>
            <v:path gradientshapeok="t" o:connecttype="rect"/>
          </v:shapetype>
          <v:shape style="position:absolute;margin-left:290.779999pt;margin-top:38.296207pt;width:17.95pt;height:16.45pt;mso-position-horizontal-relative:page;mso-position-vertical-relative:paragraph;z-index:-1067248" type="#_x0000_t202" filled="false" stroked="false">
            <v:textbox inset="0,0,0,0">
              <w:txbxContent>
                <w:p>
                  <w:pPr>
                    <w:spacing w:before="0"/>
                    <w:ind w:left="0" w:right="0" w:firstLine="0"/>
                    <w:jc w:val="left"/>
                    <w:rPr>
                      <w:sz w:val="28"/>
                    </w:rPr>
                  </w:pPr>
                  <w:r>
                    <w:rPr>
                      <w:color w:val="231F20"/>
                      <w:sz w:val="28"/>
                    </w:rPr>
                    <w:t>45</w:t>
                  </w:r>
                </w:p>
              </w:txbxContent>
            </v:textbox>
            <w10:wrap type="none"/>
          </v:shape>
        </w:pict>
      </w:r>
      <w:r>
        <w:rPr>
          <w:b/>
          <w:color w:val="231F20"/>
          <w:sz w:val="24"/>
        </w:rPr>
        <w:t>10:00 a.m.</w:t>
      </w:r>
    </w:p>
    <w:p>
      <w:pPr>
        <w:pStyle w:val="BodyText"/>
        <w:rPr>
          <w:b/>
          <w:sz w:val="20"/>
        </w:rPr>
      </w:pPr>
    </w:p>
    <w:p>
      <w:pPr>
        <w:pStyle w:val="BodyText"/>
        <w:spacing w:before="2"/>
        <w:rPr>
          <w:b/>
          <w:sz w:val="29"/>
        </w:rPr>
      </w:pPr>
      <w:r>
        <w:rPr/>
        <w:pict>
          <v:rect style="position:absolute;margin-left:289.480011pt;margin-top:19.108887pt;width:21.74pt;height:13.24pt;mso-position-horizontal-relative:page;mso-position-vertical-relative:paragraph;z-index:-1024;mso-wrap-distance-left:0;mso-wrap-distance-right:0" filled="true" fillcolor="#ffffff" stroked="false">
            <v:fill type="solid"/>
            <w10:wrap type="topAndBottom"/>
          </v:rect>
        </w:pict>
      </w:r>
    </w:p>
    <w:p>
      <w:pPr>
        <w:spacing w:after="0"/>
        <w:rPr>
          <w:sz w:val="29"/>
        </w:rPr>
        <w:sectPr>
          <w:type w:val="continuous"/>
          <w:pgSz w:w="11900" w:h="16840"/>
          <w:pgMar w:top="1600" w:bottom="280" w:left="1140" w:right="11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rPr>
      </w:pPr>
    </w:p>
    <w:p>
      <w:pPr>
        <w:pStyle w:val="Heading2"/>
      </w:pPr>
      <w:r>
        <w:rPr>
          <w:color w:val="231F20"/>
        </w:rPr>
        <w:t>MR. SPEAKER, HONOURABLE MEMBERS</w:t>
      </w:r>
    </w:p>
    <w:p>
      <w:pPr>
        <w:pStyle w:val="BodyText"/>
        <w:spacing w:before="10"/>
        <w:rPr>
          <w:b/>
          <w:sz w:val="34"/>
        </w:rPr>
      </w:pPr>
    </w:p>
    <w:p>
      <w:pPr>
        <w:pStyle w:val="BodyText"/>
        <w:spacing w:line="288" w:lineRule="auto"/>
        <w:ind w:left="103" w:right="123" w:firstLine="849"/>
        <w:jc w:val="both"/>
      </w:pPr>
      <w:r>
        <w:rPr>
          <w:color w:val="231F20"/>
        </w:rPr>
        <w:t>I</w:t>
      </w:r>
      <w:r>
        <w:rPr>
          <w:color w:val="231F20"/>
          <w:spacing w:val="-11"/>
        </w:rPr>
        <w:t> </w:t>
      </w:r>
      <w:r>
        <w:rPr>
          <w:color w:val="231F20"/>
        </w:rPr>
        <w:t>rise</w:t>
      </w:r>
      <w:r>
        <w:rPr>
          <w:color w:val="231F20"/>
          <w:spacing w:val="-11"/>
        </w:rPr>
        <w:t> </w:t>
      </w:r>
      <w:r>
        <w:rPr>
          <w:color w:val="231F20"/>
        </w:rPr>
        <w:t>to</w:t>
      </w:r>
      <w:r>
        <w:rPr>
          <w:color w:val="231F20"/>
          <w:spacing w:val="-11"/>
        </w:rPr>
        <w:t> </w:t>
      </w:r>
      <w:r>
        <w:rPr>
          <w:color w:val="231F20"/>
        </w:rPr>
        <w:t>move</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Bill</w:t>
      </w:r>
      <w:r>
        <w:rPr>
          <w:color w:val="231F20"/>
          <w:spacing w:val="-11"/>
        </w:rPr>
        <w:t> </w:t>
      </w:r>
      <w:r>
        <w:rPr>
          <w:color w:val="231F20"/>
        </w:rPr>
        <w:t>entitled</w:t>
      </w:r>
      <w:r>
        <w:rPr>
          <w:color w:val="231F20"/>
          <w:spacing w:val="-11"/>
        </w:rPr>
        <w:t> </w:t>
      </w:r>
      <w:r>
        <w:rPr>
          <w:color w:val="231F20"/>
        </w:rPr>
        <w:t>“The</w:t>
      </w:r>
      <w:r>
        <w:rPr>
          <w:color w:val="231F20"/>
          <w:spacing w:val="-11"/>
        </w:rPr>
        <w:t> </w:t>
      </w:r>
      <w:r>
        <w:rPr>
          <w:color w:val="231F20"/>
        </w:rPr>
        <w:t>Appropriation</w:t>
      </w:r>
      <w:r>
        <w:rPr>
          <w:color w:val="231F20"/>
          <w:spacing w:val="-11"/>
        </w:rPr>
        <w:t> </w:t>
      </w:r>
      <w:r>
        <w:rPr>
          <w:color w:val="231F20"/>
        </w:rPr>
        <w:t>Act</w:t>
      </w:r>
      <w:r>
        <w:rPr>
          <w:color w:val="231F20"/>
          <w:spacing w:val="-11"/>
        </w:rPr>
        <w:t> </w:t>
      </w:r>
      <w:r>
        <w:rPr>
          <w:color w:val="231F20"/>
        </w:rPr>
        <w:t>2020”</w:t>
      </w:r>
      <w:r>
        <w:rPr>
          <w:color w:val="231F20"/>
          <w:spacing w:val="-11"/>
        </w:rPr>
        <w:t> </w:t>
      </w:r>
      <w:r>
        <w:rPr>
          <w:color w:val="231F20"/>
        </w:rPr>
        <w:t>being</w:t>
      </w:r>
      <w:r>
        <w:rPr>
          <w:color w:val="231F20"/>
          <w:spacing w:val="-11"/>
        </w:rPr>
        <w:t> </w:t>
      </w:r>
      <w:r>
        <w:rPr>
          <w:color w:val="231F20"/>
        </w:rPr>
        <w:t>an</w:t>
      </w:r>
      <w:r>
        <w:rPr>
          <w:color w:val="231F20"/>
          <w:spacing w:val="-11"/>
        </w:rPr>
        <w:t> </w:t>
      </w:r>
      <w:r>
        <w:rPr>
          <w:color w:val="231F20"/>
        </w:rPr>
        <w:t>Act to</w:t>
      </w:r>
      <w:r>
        <w:rPr>
          <w:color w:val="231F20"/>
          <w:spacing w:val="-36"/>
        </w:rPr>
        <w:t> </w:t>
      </w:r>
      <w:r>
        <w:rPr>
          <w:color w:val="231F20"/>
        </w:rPr>
        <w:t>authorise</w:t>
      </w:r>
      <w:r>
        <w:rPr>
          <w:color w:val="231F20"/>
          <w:spacing w:val="-36"/>
        </w:rPr>
        <w:t> </w:t>
      </w:r>
      <w:r>
        <w:rPr>
          <w:color w:val="231F20"/>
        </w:rPr>
        <w:t>expenditure</w:t>
      </w:r>
      <w:r>
        <w:rPr>
          <w:color w:val="231F20"/>
          <w:spacing w:val="-36"/>
        </w:rPr>
        <w:t> </w:t>
      </w:r>
      <w:r>
        <w:rPr>
          <w:color w:val="231F20"/>
        </w:rPr>
        <w:t>from</w:t>
      </w:r>
      <w:r>
        <w:rPr>
          <w:color w:val="231F20"/>
          <w:spacing w:val="-36"/>
        </w:rPr>
        <w:t> </w:t>
      </w:r>
      <w:r>
        <w:rPr>
          <w:color w:val="231F20"/>
        </w:rPr>
        <w:t>the</w:t>
      </w:r>
      <w:r>
        <w:rPr>
          <w:color w:val="231F20"/>
          <w:spacing w:val="-36"/>
        </w:rPr>
        <w:t> </w:t>
      </w:r>
      <w:r>
        <w:rPr>
          <w:color w:val="231F20"/>
        </w:rPr>
        <w:t>Consolidated</w:t>
      </w:r>
      <w:r>
        <w:rPr>
          <w:color w:val="231F20"/>
          <w:spacing w:val="-36"/>
        </w:rPr>
        <w:t> </w:t>
      </w:r>
      <w:r>
        <w:rPr>
          <w:color w:val="231F20"/>
        </w:rPr>
        <w:t>Revenue</w:t>
      </w:r>
      <w:r>
        <w:rPr>
          <w:color w:val="231F20"/>
          <w:spacing w:val="-36"/>
        </w:rPr>
        <w:t> </w:t>
      </w:r>
      <w:r>
        <w:rPr>
          <w:color w:val="231F20"/>
        </w:rPr>
        <w:t>Fund</w:t>
      </w:r>
      <w:r>
        <w:rPr>
          <w:color w:val="231F20"/>
          <w:spacing w:val="-36"/>
        </w:rPr>
        <w:t> </w:t>
      </w:r>
      <w:r>
        <w:rPr>
          <w:color w:val="231F20"/>
        </w:rPr>
        <w:t>for</w:t>
      </w:r>
      <w:r>
        <w:rPr>
          <w:color w:val="231F20"/>
          <w:spacing w:val="-36"/>
        </w:rPr>
        <w:t> </w:t>
      </w:r>
      <w:r>
        <w:rPr>
          <w:color w:val="231F20"/>
        </w:rPr>
        <w:t>the</w:t>
      </w:r>
      <w:r>
        <w:rPr>
          <w:color w:val="231F20"/>
          <w:spacing w:val="-36"/>
        </w:rPr>
        <w:t> </w:t>
      </w:r>
      <w:r>
        <w:rPr>
          <w:color w:val="231F20"/>
        </w:rPr>
        <w:t>services</w:t>
      </w:r>
      <w:r>
        <w:rPr>
          <w:color w:val="231F20"/>
          <w:spacing w:val="-36"/>
        </w:rPr>
        <w:t> </w:t>
      </w:r>
      <w:r>
        <w:rPr>
          <w:color w:val="231F20"/>
        </w:rPr>
        <w:t>of</w:t>
      </w:r>
      <w:r>
        <w:rPr>
          <w:color w:val="231F20"/>
          <w:spacing w:val="-36"/>
        </w:rPr>
        <w:t> </w:t>
      </w:r>
      <w:r>
        <w:rPr>
          <w:color w:val="231F20"/>
        </w:rPr>
        <w:t>Sierra Leone for 2020, be read the first</w:t>
      </w:r>
      <w:r>
        <w:rPr>
          <w:color w:val="231F20"/>
          <w:spacing w:val="42"/>
        </w:rPr>
        <w:t> </w:t>
      </w:r>
      <w:r>
        <w:rPr>
          <w:color w:val="231F20"/>
        </w:rPr>
        <w:t>time”.</w:t>
      </w:r>
    </w:p>
    <w:p>
      <w:pPr>
        <w:pStyle w:val="BodyText"/>
        <w:spacing w:before="9"/>
        <w:rPr>
          <w:sz w:val="26"/>
        </w:rPr>
      </w:pPr>
    </w:p>
    <w:p>
      <w:pPr>
        <w:pStyle w:val="Heading2"/>
        <w:numPr>
          <w:ilvl w:val="0"/>
          <w:numId w:val="1"/>
        </w:numPr>
        <w:tabs>
          <w:tab w:pos="952" w:val="left" w:leader="none"/>
          <w:tab w:pos="953" w:val="left" w:leader="none"/>
        </w:tabs>
        <w:spacing w:line="240" w:lineRule="auto" w:before="0" w:after="0"/>
        <w:ind w:left="952" w:right="0" w:hanging="446"/>
        <w:jc w:val="left"/>
      </w:pPr>
      <w:r>
        <w:rPr>
          <w:color w:val="231F20"/>
          <w:spacing w:val="-5"/>
        </w:rPr>
        <w:t>Introduction</w:t>
      </w:r>
    </w:p>
    <w:p>
      <w:pPr>
        <w:pStyle w:val="BodyText"/>
        <w:spacing w:line="285" w:lineRule="auto" w:before="49"/>
        <w:ind w:left="103" w:right="121" w:firstLine="849"/>
        <w:jc w:val="both"/>
      </w:pPr>
      <w:r>
        <w:rPr>
          <w:color w:val="231F20"/>
        </w:rPr>
        <w:t>Mr. Speaker, Honourable Members, last year when I presented the 2019 Budget,</w:t>
      </w:r>
      <w:r>
        <w:rPr>
          <w:color w:val="231F20"/>
          <w:spacing w:val="-37"/>
        </w:rPr>
        <w:t> </w:t>
      </w:r>
      <w:r>
        <w:rPr>
          <w:color w:val="231F20"/>
        </w:rPr>
        <w:t>we</w:t>
      </w:r>
      <w:r>
        <w:rPr>
          <w:color w:val="231F20"/>
          <w:spacing w:val="-37"/>
        </w:rPr>
        <w:t> </w:t>
      </w:r>
      <w:r>
        <w:rPr>
          <w:color w:val="231F20"/>
        </w:rPr>
        <w:t>made</w:t>
      </w:r>
      <w:r>
        <w:rPr>
          <w:color w:val="231F20"/>
          <w:spacing w:val="-37"/>
        </w:rPr>
        <w:t> </w:t>
      </w:r>
      <w:r>
        <w:rPr>
          <w:color w:val="231F20"/>
        </w:rPr>
        <w:t>two</w:t>
      </w:r>
      <w:r>
        <w:rPr>
          <w:color w:val="231F20"/>
          <w:spacing w:val="-37"/>
        </w:rPr>
        <w:t> </w:t>
      </w:r>
      <w:r>
        <w:rPr>
          <w:color w:val="231F20"/>
        </w:rPr>
        <w:t>hundred</w:t>
      </w:r>
      <w:r>
        <w:rPr>
          <w:color w:val="231F20"/>
          <w:spacing w:val="-37"/>
        </w:rPr>
        <w:t> </w:t>
      </w:r>
      <w:r>
        <w:rPr>
          <w:color w:val="231F20"/>
        </w:rPr>
        <w:t>and</w:t>
      </w:r>
      <w:r>
        <w:rPr>
          <w:color w:val="231F20"/>
          <w:spacing w:val="-37"/>
        </w:rPr>
        <w:t> </w:t>
      </w:r>
      <w:r>
        <w:rPr>
          <w:color w:val="231F20"/>
        </w:rPr>
        <w:t>sixteen</w:t>
      </w:r>
      <w:r>
        <w:rPr>
          <w:color w:val="231F20"/>
          <w:spacing w:val="-37"/>
        </w:rPr>
        <w:t> </w:t>
      </w:r>
      <w:r>
        <w:rPr>
          <w:color w:val="231F20"/>
        </w:rPr>
        <w:t>(216)</w:t>
      </w:r>
      <w:r>
        <w:rPr>
          <w:color w:val="231F20"/>
          <w:spacing w:val="-37"/>
        </w:rPr>
        <w:t> </w:t>
      </w:r>
      <w:r>
        <w:rPr>
          <w:color w:val="231F20"/>
        </w:rPr>
        <w:t>commitments</w:t>
      </w:r>
      <w:r>
        <w:rPr>
          <w:color w:val="231F20"/>
          <w:spacing w:val="-37"/>
        </w:rPr>
        <w:t> </w:t>
      </w:r>
      <w:r>
        <w:rPr>
          <w:color w:val="231F20"/>
        </w:rPr>
        <w:t>across</w:t>
      </w:r>
      <w:r>
        <w:rPr>
          <w:color w:val="231F20"/>
          <w:spacing w:val="-37"/>
        </w:rPr>
        <w:t> </w:t>
      </w:r>
      <w:r>
        <w:rPr>
          <w:color w:val="231F20"/>
        </w:rPr>
        <w:t>eleven</w:t>
      </w:r>
      <w:r>
        <w:rPr>
          <w:color w:val="231F20"/>
          <w:spacing w:val="-37"/>
        </w:rPr>
        <w:t> </w:t>
      </w:r>
      <w:r>
        <w:rPr>
          <w:color w:val="231F20"/>
        </w:rPr>
        <w:t>(11)</w:t>
      </w:r>
      <w:r>
        <w:rPr>
          <w:color w:val="231F20"/>
          <w:spacing w:val="-37"/>
        </w:rPr>
        <w:t> </w:t>
      </w:r>
      <w:r>
        <w:rPr>
          <w:color w:val="231F20"/>
        </w:rPr>
        <w:t>policy clusters.</w:t>
      </w:r>
      <w:r>
        <w:rPr>
          <w:color w:val="231F20"/>
          <w:spacing w:val="-9"/>
        </w:rPr>
        <w:t> </w:t>
      </w:r>
      <w:r>
        <w:rPr>
          <w:color w:val="231F20"/>
        </w:rPr>
        <w:t>As</w:t>
      </w:r>
      <w:r>
        <w:rPr>
          <w:color w:val="231F20"/>
          <w:spacing w:val="-9"/>
        </w:rPr>
        <w:t> </w:t>
      </w:r>
      <w:r>
        <w:rPr>
          <w:color w:val="231F20"/>
        </w:rPr>
        <w:t>at</w:t>
      </w:r>
      <w:r>
        <w:rPr>
          <w:color w:val="231F20"/>
          <w:spacing w:val="-9"/>
        </w:rPr>
        <w:t> </w:t>
      </w:r>
      <w:r>
        <w:rPr>
          <w:color w:val="231F20"/>
        </w:rPr>
        <w:t>the</w:t>
      </w:r>
      <w:r>
        <w:rPr>
          <w:color w:val="231F20"/>
          <w:spacing w:val="-9"/>
        </w:rPr>
        <w:t> </w:t>
      </w:r>
      <w:r>
        <w:rPr>
          <w:color w:val="231F20"/>
        </w:rPr>
        <w:t>end</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third</w:t>
      </w:r>
      <w:r>
        <w:rPr>
          <w:color w:val="231F20"/>
          <w:spacing w:val="-9"/>
        </w:rPr>
        <w:t> </w:t>
      </w:r>
      <w:r>
        <w:rPr>
          <w:color w:val="231F20"/>
        </w:rPr>
        <w:t>quarter</w:t>
      </w:r>
      <w:r>
        <w:rPr>
          <w:color w:val="231F20"/>
          <w:spacing w:val="-9"/>
        </w:rPr>
        <w:t> </w:t>
      </w:r>
      <w:r>
        <w:rPr>
          <w:color w:val="231F20"/>
        </w:rPr>
        <w:t>of</w:t>
      </w:r>
      <w:r>
        <w:rPr>
          <w:color w:val="231F20"/>
          <w:spacing w:val="-9"/>
        </w:rPr>
        <w:t> </w:t>
      </w:r>
      <w:r>
        <w:rPr>
          <w:color w:val="231F20"/>
        </w:rPr>
        <w:t>this</w:t>
      </w:r>
      <w:r>
        <w:rPr>
          <w:color w:val="231F20"/>
          <w:spacing w:val="-9"/>
        </w:rPr>
        <w:t> </w:t>
      </w:r>
      <w:r>
        <w:rPr>
          <w:color w:val="231F20"/>
        </w:rPr>
        <w:t>fiscal</w:t>
      </w:r>
      <w:r>
        <w:rPr>
          <w:color w:val="231F20"/>
          <w:spacing w:val="-9"/>
        </w:rPr>
        <w:t> </w:t>
      </w:r>
      <w:r>
        <w:rPr>
          <w:color w:val="231F20"/>
        </w:rPr>
        <w:t>year,</w:t>
      </w:r>
      <w:r>
        <w:rPr>
          <w:color w:val="231F20"/>
          <w:spacing w:val="55"/>
        </w:rPr>
        <w:t> </w:t>
      </w:r>
      <w:r>
        <w:rPr>
          <w:color w:val="231F20"/>
        </w:rPr>
        <w:t>eighty-six</w:t>
      </w:r>
      <w:r>
        <w:rPr>
          <w:color w:val="231F20"/>
          <w:spacing w:val="-9"/>
        </w:rPr>
        <w:t> </w:t>
      </w:r>
      <w:r>
        <w:rPr>
          <w:color w:val="231F20"/>
        </w:rPr>
        <w:t>(86)</w:t>
      </w:r>
      <w:r>
        <w:rPr>
          <w:color w:val="231F20"/>
          <w:spacing w:val="-9"/>
        </w:rPr>
        <w:t> </w:t>
      </w:r>
      <w:r>
        <w:rPr>
          <w:color w:val="231F20"/>
        </w:rPr>
        <w:t>per</w:t>
      </w:r>
      <w:r>
        <w:rPr>
          <w:color w:val="231F20"/>
          <w:spacing w:val="-9"/>
        </w:rPr>
        <w:t> </w:t>
      </w:r>
      <w:r>
        <w:rPr>
          <w:color w:val="231F20"/>
        </w:rPr>
        <w:t>cent of these commitments have either been completed or on track to be completed. The positive gains achieved will be sustained in ensuing years. We also promised that despite the challenges we inherited, we will restore macroeconomic stability, fiscal discipline and create the enabling environment for sustainable</w:t>
      </w:r>
      <w:r>
        <w:rPr>
          <w:color w:val="231F20"/>
          <w:spacing w:val="56"/>
        </w:rPr>
        <w:t> </w:t>
      </w:r>
      <w:r>
        <w:rPr>
          <w:color w:val="231F20"/>
        </w:rPr>
        <w:t>growth.</w:t>
      </w:r>
    </w:p>
    <w:p>
      <w:pPr>
        <w:pStyle w:val="BodyText"/>
        <w:spacing w:before="6"/>
        <w:rPr>
          <w:sz w:val="21"/>
        </w:rPr>
      </w:pPr>
    </w:p>
    <w:p>
      <w:pPr>
        <w:pStyle w:val="ListParagraph"/>
        <w:numPr>
          <w:ilvl w:val="0"/>
          <w:numId w:val="2"/>
        </w:numPr>
        <w:tabs>
          <w:tab w:pos="954" w:val="left" w:leader="none"/>
        </w:tabs>
        <w:spacing w:line="285" w:lineRule="auto" w:before="0" w:after="0"/>
        <w:ind w:left="103" w:right="120" w:firstLine="358"/>
        <w:jc w:val="both"/>
        <w:rPr>
          <w:sz w:val="23"/>
        </w:rPr>
      </w:pPr>
      <w:r>
        <w:rPr>
          <w:color w:val="231F20"/>
          <w:sz w:val="23"/>
        </w:rPr>
        <w:t>On</w:t>
      </w:r>
      <w:r>
        <w:rPr>
          <w:color w:val="231F20"/>
          <w:spacing w:val="-34"/>
          <w:sz w:val="23"/>
        </w:rPr>
        <w:t> </w:t>
      </w:r>
      <w:r>
        <w:rPr>
          <w:color w:val="231F20"/>
          <w:sz w:val="23"/>
        </w:rPr>
        <w:t>assumption</w:t>
      </w:r>
      <w:r>
        <w:rPr>
          <w:color w:val="231F20"/>
          <w:spacing w:val="-34"/>
          <w:sz w:val="23"/>
        </w:rPr>
        <w:t> </w:t>
      </w:r>
      <w:r>
        <w:rPr>
          <w:color w:val="231F20"/>
          <w:sz w:val="23"/>
        </w:rPr>
        <w:t>of</w:t>
      </w:r>
      <w:r>
        <w:rPr>
          <w:color w:val="231F20"/>
          <w:spacing w:val="-34"/>
          <w:sz w:val="23"/>
        </w:rPr>
        <w:t> </w:t>
      </w:r>
      <w:r>
        <w:rPr>
          <w:color w:val="231F20"/>
          <w:sz w:val="23"/>
        </w:rPr>
        <w:t>office</w:t>
      </w:r>
      <w:r>
        <w:rPr>
          <w:color w:val="231F20"/>
          <w:spacing w:val="-34"/>
          <w:sz w:val="23"/>
        </w:rPr>
        <w:t> </w:t>
      </w:r>
      <w:r>
        <w:rPr>
          <w:color w:val="231F20"/>
          <w:sz w:val="23"/>
        </w:rPr>
        <w:t>governance</w:t>
      </w:r>
      <w:r>
        <w:rPr>
          <w:color w:val="231F20"/>
          <w:spacing w:val="-34"/>
          <w:sz w:val="23"/>
        </w:rPr>
        <w:t> </w:t>
      </w:r>
      <w:r>
        <w:rPr>
          <w:color w:val="231F20"/>
          <w:sz w:val="23"/>
        </w:rPr>
        <w:t>in</w:t>
      </w:r>
      <w:r>
        <w:rPr>
          <w:color w:val="231F20"/>
          <w:spacing w:val="-34"/>
          <w:sz w:val="23"/>
        </w:rPr>
        <w:t> </w:t>
      </w:r>
      <w:r>
        <w:rPr>
          <w:color w:val="231F20"/>
          <w:sz w:val="23"/>
        </w:rPr>
        <w:t>2018,</w:t>
      </w:r>
      <w:r>
        <w:rPr>
          <w:color w:val="231F20"/>
          <w:spacing w:val="-34"/>
          <w:sz w:val="23"/>
        </w:rPr>
        <w:t> </w:t>
      </w:r>
      <w:r>
        <w:rPr>
          <w:color w:val="231F20"/>
          <w:sz w:val="23"/>
        </w:rPr>
        <w:t>recognising</w:t>
      </w:r>
      <w:r>
        <w:rPr>
          <w:color w:val="231F20"/>
          <w:spacing w:val="-34"/>
          <w:sz w:val="23"/>
        </w:rPr>
        <w:t> </w:t>
      </w:r>
      <w:r>
        <w:rPr>
          <w:color w:val="231F20"/>
          <w:sz w:val="23"/>
        </w:rPr>
        <w:t>that</w:t>
      </w:r>
      <w:r>
        <w:rPr>
          <w:color w:val="231F20"/>
          <w:spacing w:val="-34"/>
          <w:sz w:val="23"/>
        </w:rPr>
        <w:t> </w:t>
      </w:r>
      <w:r>
        <w:rPr>
          <w:color w:val="231F20"/>
          <w:sz w:val="23"/>
        </w:rPr>
        <w:t>a</w:t>
      </w:r>
      <w:r>
        <w:rPr>
          <w:color w:val="231F20"/>
          <w:spacing w:val="-34"/>
          <w:sz w:val="23"/>
        </w:rPr>
        <w:t> </w:t>
      </w:r>
      <w:r>
        <w:rPr>
          <w:color w:val="231F20"/>
          <w:sz w:val="23"/>
        </w:rPr>
        <w:t>stable</w:t>
      </w:r>
      <w:r>
        <w:rPr>
          <w:color w:val="231F20"/>
          <w:spacing w:val="-34"/>
          <w:sz w:val="23"/>
        </w:rPr>
        <w:t> </w:t>
      </w:r>
      <w:r>
        <w:rPr>
          <w:color w:val="231F20"/>
          <w:sz w:val="23"/>
        </w:rPr>
        <w:t>economy is</w:t>
      </w:r>
      <w:r>
        <w:rPr>
          <w:color w:val="231F20"/>
          <w:spacing w:val="-32"/>
          <w:sz w:val="23"/>
        </w:rPr>
        <w:t> </w:t>
      </w:r>
      <w:r>
        <w:rPr>
          <w:color w:val="231F20"/>
          <w:sz w:val="23"/>
        </w:rPr>
        <w:t>a</w:t>
      </w:r>
      <w:r>
        <w:rPr>
          <w:color w:val="231F20"/>
          <w:spacing w:val="-32"/>
          <w:sz w:val="23"/>
        </w:rPr>
        <w:t> </w:t>
      </w:r>
      <w:r>
        <w:rPr>
          <w:color w:val="231F20"/>
          <w:sz w:val="23"/>
        </w:rPr>
        <w:t>prerequisite</w:t>
      </w:r>
      <w:r>
        <w:rPr>
          <w:color w:val="231F20"/>
          <w:spacing w:val="-32"/>
          <w:sz w:val="23"/>
        </w:rPr>
        <w:t> </w:t>
      </w:r>
      <w:r>
        <w:rPr>
          <w:color w:val="231F20"/>
          <w:sz w:val="23"/>
        </w:rPr>
        <w:t>for</w:t>
      </w:r>
      <w:r>
        <w:rPr>
          <w:color w:val="231F20"/>
          <w:spacing w:val="-32"/>
          <w:sz w:val="23"/>
        </w:rPr>
        <w:t> </w:t>
      </w:r>
      <w:r>
        <w:rPr>
          <w:color w:val="231F20"/>
          <w:sz w:val="23"/>
        </w:rPr>
        <w:t>economic</w:t>
      </w:r>
      <w:r>
        <w:rPr>
          <w:color w:val="231F20"/>
          <w:spacing w:val="-32"/>
          <w:sz w:val="23"/>
        </w:rPr>
        <w:t> </w:t>
      </w:r>
      <w:r>
        <w:rPr>
          <w:color w:val="231F20"/>
          <w:sz w:val="23"/>
        </w:rPr>
        <w:t>growth,</w:t>
      </w:r>
      <w:r>
        <w:rPr>
          <w:color w:val="231F20"/>
          <w:spacing w:val="-32"/>
          <w:sz w:val="23"/>
        </w:rPr>
        <w:t> </w:t>
      </w:r>
      <w:r>
        <w:rPr>
          <w:color w:val="231F20"/>
          <w:sz w:val="23"/>
        </w:rPr>
        <w:t>we</w:t>
      </w:r>
      <w:r>
        <w:rPr>
          <w:color w:val="231F20"/>
          <w:spacing w:val="-32"/>
          <w:sz w:val="23"/>
        </w:rPr>
        <w:t> </w:t>
      </w:r>
      <w:r>
        <w:rPr>
          <w:color w:val="231F20"/>
          <w:sz w:val="23"/>
        </w:rPr>
        <w:t>immediately</w:t>
      </w:r>
      <w:r>
        <w:rPr>
          <w:color w:val="231F20"/>
          <w:spacing w:val="-32"/>
          <w:sz w:val="23"/>
        </w:rPr>
        <w:t> </w:t>
      </w:r>
      <w:r>
        <w:rPr>
          <w:color w:val="231F20"/>
          <w:sz w:val="23"/>
        </w:rPr>
        <w:t>took</w:t>
      </w:r>
      <w:r>
        <w:rPr>
          <w:color w:val="231F20"/>
          <w:spacing w:val="-32"/>
          <w:sz w:val="23"/>
        </w:rPr>
        <w:t> </w:t>
      </w:r>
      <w:r>
        <w:rPr>
          <w:color w:val="231F20"/>
          <w:sz w:val="23"/>
        </w:rPr>
        <w:t>steps</w:t>
      </w:r>
      <w:r>
        <w:rPr>
          <w:color w:val="231F20"/>
          <w:spacing w:val="-32"/>
          <w:sz w:val="23"/>
        </w:rPr>
        <w:t> </w:t>
      </w:r>
      <w:r>
        <w:rPr>
          <w:color w:val="231F20"/>
          <w:sz w:val="23"/>
        </w:rPr>
        <w:t>to</w:t>
      </w:r>
      <w:r>
        <w:rPr>
          <w:color w:val="231F20"/>
          <w:spacing w:val="-32"/>
          <w:sz w:val="23"/>
        </w:rPr>
        <w:t> </w:t>
      </w:r>
      <w:r>
        <w:rPr>
          <w:color w:val="231F20"/>
          <w:sz w:val="23"/>
        </w:rPr>
        <w:t>restore</w:t>
      </w:r>
      <w:r>
        <w:rPr>
          <w:color w:val="231F20"/>
          <w:spacing w:val="-32"/>
          <w:sz w:val="23"/>
        </w:rPr>
        <w:t> </w:t>
      </w:r>
      <w:r>
        <w:rPr>
          <w:color w:val="231F20"/>
          <w:sz w:val="23"/>
        </w:rPr>
        <w:t>the</w:t>
      </w:r>
      <w:r>
        <w:rPr>
          <w:color w:val="231F20"/>
          <w:spacing w:val="-32"/>
          <w:sz w:val="23"/>
        </w:rPr>
        <w:t> </w:t>
      </w:r>
      <w:r>
        <w:rPr>
          <w:color w:val="231F20"/>
          <w:sz w:val="23"/>
        </w:rPr>
        <w:t>derailed programme</w:t>
      </w:r>
      <w:r>
        <w:rPr>
          <w:color w:val="231F20"/>
          <w:spacing w:val="-8"/>
          <w:sz w:val="23"/>
        </w:rPr>
        <w:t> </w:t>
      </w:r>
      <w:r>
        <w:rPr>
          <w:color w:val="231F20"/>
          <w:sz w:val="23"/>
        </w:rPr>
        <w:t>with</w:t>
      </w:r>
      <w:r>
        <w:rPr>
          <w:color w:val="231F20"/>
          <w:spacing w:val="-7"/>
          <w:sz w:val="23"/>
        </w:rPr>
        <w:t> </w:t>
      </w:r>
      <w:r>
        <w:rPr>
          <w:color w:val="231F20"/>
          <w:sz w:val="23"/>
        </w:rPr>
        <w:t>the</w:t>
      </w:r>
      <w:r>
        <w:rPr>
          <w:color w:val="231F20"/>
          <w:spacing w:val="-7"/>
          <w:sz w:val="23"/>
        </w:rPr>
        <w:t> </w:t>
      </w:r>
      <w:r>
        <w:rPr>
          <w:color w:val="231F20"/>
          <w:sz w:val="23"/>
        </w:rPr>
        <w:t>International</w:t>
      </w:r>
      <w:r>
        <w:rPr>
          <w:color w:val="231F20"/>
          <w:spacing w:val="-8"/>
          <w:sz w:val="23"/>
        </w:rPr>
        <w:t> </w:t>
      </w:r>
      <w:r>
        <w:rPr>
          <w:color w:val="231F20"/>
          <w:sz w:val="23"/>
        </w:rPr>
        <w:t>Monetary</w:t>
      </w:r>
      <w:r>
        <w:rPr>
          <w:color w:val="231F20"/>
          <w:spacing w:val="-7"/>
          <w:sz w:val="23"/>
        </w:rPr>
        <w:t> </w:t>
      </w:r>
      <w:r>
        <w:rPr>
          <w:color w:val="231F20"/>
          <w:sz w:val="23"/>
        </w:rPr>
        <w:t>Fund</w:t>
      </w:r>
      <w:r>
        <w:rPr>
          <w:color w:val="231F20"/>
          <w:spacing w:val="-7"/>
          <w:sz w:val="23"/>
        </w:rPr>
        <w:t> </w:t>
      </w:r>
      <w:r>
        <w:rPr>
          <w:color w:val="231F20"/>
          <w:sz w:val="23"/>
        </w:rPr>
        <w:t>(IMF)</w:t>
      </w:r>
      <w:r>
        <w:rPr>
          <w:color w:val="231F20"/>
          <w:spacing w:val="-8"/>
          <w:sz w:val="23"/>
        </w:rPr>
        <w:t> </w:t>
      </w:r>
      <w:r>
        <w:rPr>
          <w:color w:val="231F20"/>
          <w:sz w:val="23"/>
        </w:rPr>
        <w:t>and</w:t>
      </w:r>
      <w:r>
        <w:rPr>
          <w:color w:val="231F20"/>
          <w:spacing w:val="-7"/>
          <w:sz w:val="23"/>
        </w:rPr>
        <w:t> </w:t>
      </w:r>
      <w:r>
        <w:rPr>
          <w:color w:val="231F20"/>
          <w:sz w:val="23"/>
        </w:rPr>
        <w:t>implemented</w:t>
      </w:r>
      <w:r>
        <w:rPr>
          <w:color w:val="231F20"/>
          <w:spacing w:val="-7"/>
          <w:sz w:val="23"/>
        </w:rPr>
        <w:t> </w:t>
      </w:r>
      <w:r>
        <w:rPr>
          <w:color w:val="231F20"/>
          <w:sz w:val="23"/>
        </w:rPr>
        <w:t>tough</w:t>
      </w:r>
      <w:r>
        <w:rPr>
          <w:color w:val="231F20"/>
          <w:spacing w:val="-7"/>
          <w:sz w:val="23"/>
        </w:rPr>
        <w:t> </w:t>
      </w:r>
      <w:r>
        <w:rPr>
          <w:color w:val="231F20"/>
          <w:sz w:val="23"/>
        </w:rPr>
        <w:t>but necessary policy</w:t>
      </w:r>
      <w:r>
        <w:rPr>
          <w:color w:val="231F20"/>
          <w:spacing w:val="32"/>
          <w:sz w:val="23"/>
        </w:rPr>
        <w:t> </w:t>
      </w:r>
      <w:r>
        <w:rPr>
          <w:color w:val="231F20"/>
          <w:sz w:val="23"/>
        </w:rPr>
        <w:t>measures.</w:t>
      </w:r>
    </w:p>
    <w:p>
      <w:pPr>
        <w:pStyle w:val="BodyText"/>
        <w:spacing w:before="8"/>
        <w:rPr>
          <w:sz w:val="26"/>
        </w:rPr>
      </w:pPr>
    </w:p>
    <w:p>
      <w:pPr>
        <w:pStyle w:val="ListParagraph"/>
        <w:numPr>
          <w:ilvl w:val="0"/>
          <w:numId w:val="2"/>
        </w:numPr>
        <w:tabs>
          <w:tab w:pos="954" w:val="left" w:leader="none"/>
        </w:tabs>
        <w:spacing w:line="285" w:lineRule="auto" w:before="0" w:after="0"/>
        <w:ind w:left="103" w:right="119" w:firstLine="358"/>
        <w:jc w:val="both"/>
        <w:rPr>
          <w:sz w:val="23"/>
        </w:rPr>
      </w:pPr>
      <w:r>
        <w:rPr>
          <w:color w:val="231F20"/>
          <w:sz w:val="23"/>
        </w:rPr>
        <w:t>Mr. Speaker, Honourable Members, as promised in my address in early November</w:t>
      </w:r>
      <w:r>
        <w:rPr>
          <w:color w:val="231F20"/>
          <w:spacing w:val="-6"/>
          <w:sz w:val="23"/>
        </w:rPr>
        <w:t> </w:t>
      </w:r>
      <w:r>
        <w:rPr>
          <w:color w:val="231F20"/>
          <w:sz w:val="23"/>
        </w:rPr>
        <w:t>2018,</w:t>
      </w:r>
      <w:r>
        <w:rPr>
          <w:color w:val="231F20"/>
          <w:spacing w:val="-6"/>
          <w:sz w:val="23"/>
        </w:rPr>
        <w:t> </w:t>
      </w:r>
      <w:r>
        <w:rPr>
          <w:color w:val="231F20"/>
          <w:sz w:val="23"/>
        </w:rPr>
        <w:t>I</w:t>
      </w:r>
      <w:r>
        <w:rPr>
          <w:color w:val="231F20"/>
          <w:spacing w:val="-6"/>
          <w:sz w:val="23"/>
        </w:rPr>
        <w:t> </w:t>
      </w:r>
      <w:r>
        <w:rPr>
          <w:color w:val="231F20"/>
          <w:sz w:val="23"/>
        </w:rPr>
        <w:t>am</w:t>
      </w:r>
      <w:r>
        <w:rPr>
          <w:color w:val="231F20"/>
          <w:spacing w:val="-6"/>
          <w:sz w:val="23"/>
        </w:rPr>
        <w:t> </w:t>
      </w:r>
      <w:r>
        <w:rPr>
          <w:color w:val="231F20"/>
          <w:sz w:val="23"/>
        </w:rPr>
        <w:t>delighted</w:t>
      </w:r>
      <w:r>
        <w:rPr>
          <w:color w:val="231F20"/>
          <w:spacing w:val="-6"/>
          <w:sz w:val="23"/>
        </w:rPr>
        <w:t> </w:t>
      </w:r>
      <w:r>
        <w:rPr>
          <w:color w:val="231F20"/>
          <w:sz w:val="23"/>
        </w:rPr>
        <w:t>to</w:t>
      </w:r>
      <w:r>
        <w:rPr>
          <w:color w:val="231F20"/>
          <w:spacing w:val="-6"/>
          <w:sz w:val="23"/>
        </w:rPr>
        <w:t> </w:t>
      </w:r>
      <w:r>
        <w:rPr>
          <w:color w:val="231F20"/>
          <w:sz w:val="23"/>
        </w:rPr>
        <w:t>inform</w:t>
      </w:r>
      <w:r>
        <w:rPr>
          <w:color w:val="231F20"/>
          <w:spacing w:val="-6"/>
          <w:sz w:val="23"/>
        </w:rPr>
        <w:t> </w:t>
      </w:r>
      <w:r>
        <w:rPr>
          <w:color w:val="231F20"/>
          <w:sz w:val="23"/>
        </w:rPr>
        <w:t>this</w:t>
      </w:r>
      <w:r>
        <w:rPr>
          <w:color w:val="231F20"/>
          <w:spacing w:val="-6"/>
          <w:sz w:val="23"/>
        </w:rPr>
        <w:t> </w:t>
      </w:r>
      <w:r>
        <w:rPr>
          <w:color w:val="231F20"/>
          <w:sz w:val="23"/>
        </w:rPr>
        <w:t>Noble</w:t>
      </w:r>
      <w:r>
        <w:rPr>
          <w:color w:val="231F20"/>
          <w:spacing w:val="-6"/>
          <w:sz w:val="23"/>
        </w:rPr>
        <w:t> </w:t>
      </w:r>
      <w:r>
        <w:rPr>
          <w:color w:val="231F20"/>
          <w:sz w:val="23"/>
        </w:rPr>
        <w:t>House</w:t>
      </w:r>
      <w:r>
        <w:rPr>
          <w:color w:val="231F20"/>
          <w:spacing w:val="-6"/>
          <w:sz w:val="23"/>
        </w:rPr>
        <w:t> </w:t>
      </w:r>
      <w:r>
        <w:rPr>
          <w:color w:val="231F20"/>
          <w:sz w:val="23"/>
        </w:rPr>
        <w:t>that</w:t>
      </w:r>
      <w:r>
        <w:rPr>
          <w:color w:val="231F20"/>
          <w:spacing w:val="-6"/>
          <w:sz w:val="23"/>
        </w:rPr>
        <w:t> </w:t>
      </w:r>
      <w:r>
        <w:rPr>
          <w:color w:val="231F20"/>
          <w:sz w:val="23"/>
        </w:rPr>
        <w:t>the</w:t>
      </w:r>
      <w:r>
        <w:rPr>
          <w:color w:val="231F20"/>
          <w:spacing w:val="-6"/>
          <w:sz w:val="23"/>
        </w:rPr>
        <w:t> </w:t>
      </w:r>
      <w:r>
        <w:rPr>
          <w:color w:val="231F20"/>
          <w:sz w:val="23"/>
        </w:rPr>
        <w:t>Executive</w:t>
      </w:r>
      <w:r>
        <w:rPr>
          <w:color w:val="231F20"/>
          <w:spacing w:val="-6"/>
          <w:sz w:val="23"/>
        </w:rPr>
        <w:t> </w:t>
      </w:r>
      <w:r>
        <w:rPr>
          <w:color w:val="231F20"/>
          <w:sz w:val="23"/>
        </w:rPr>
        <w:t>Board of</w:t>
      </w:r>
      <w:r>
        <w:rPr>
          <w:color w:val="231F20"/>
          <w:spacing w:val="-22"/>
          <w:sz w:val="23"/>
        </w:rPr>
        <w:t> </w:t>
      </w:r>
      <w:r>
        <w:rPr>
          <w:color w:val="231F20"/>
          <w:sz w:val="23"/>
        </w:rPr>
        <w:t>the</w:t>
      </w:r>
      <w:r>
        <w:rPr>
          <w:color w:val="231F20"/>
          <w:spacing w:val="-21"/>
          <w:sz w:val="23"/>
        </w:rPr>
        <w:t> </w:t>
      </w:r>
      <w:r>
        <w:rPr>
          <w:color w:val="231F20"/>
          <w:sz w:val="23"/>
        </w:rPr>
        <w:t>IMF</w:t>
      </w:r>
      <w:r>
        <w:rPr>
          <w:color w:val="231F20"/>
          <w:spacing w:val="-21"/>
          <w:sz w:val="23"/>
        </w:rPr>
        <w:t> </w:t>
      </w:r>
      <w:r>
        <w:rPr>
          <w:color w:val="231F20"/>
          <w:sz w:val="23"/>
        </w:rPr>
        <w:t>approved</w:t>
      </w:r>
      <w:r>
        <w:rPr>
          <w:color w:val="231F20"/>
          <w:spacing w:val="-22"/>
          <w:sz w:val="23"/>
        </w:rPr>
        <w:t> </w:t>
      </w:r>
      <w:r>
        <w:rPr>
          <w:color w:val="231F20"/>
          <w:sz w:val="23"/>
        </w:rPr>
        <w:t>a</w:t>
      </w:r>
      <w:r>
        <w:rPr>
          <w:color w:val="231F20"/>
          <w:spacing w:val="-22"/>
          <w:sz w:val="23"/>
        </w:rPr>
        <w:t> </w:t>
      </w:r>
      <w:r>
        <w:rPr>
          <w:color w:val="231F20"/>
          <w:sz w:val="23"/>
        </w:rPr>
        <w:t>new</w:t>
      </w:r>
      <w:r>
        <w:rPr>
          <w:color w:val="231F20"/>
          <w:spacing w:val="-22"/>
          <w:sz w:val="23"/>
        </w:rPr>
        <w:t> </w:t>
      </w:r>
      <w:r>
        <w:rPr>
          <w:color w:val="231F20"/>
          <w:sz w:val="23"/>
        </w:rPr>
        <w:t>Extended</w:t>
      </w:r>
      <w:r>
        <w:rPr>
          <w:color w:val="231F20"/>
          <w:spacing w:val="-22"/>
          <w:sz w:val="23"/>
        </w:rPr>
        <w:t> </w:t>
      </w:r>
      <w:r>
        <w:rPr>
          <w:color w:val="231F20"/>
          <w:sz w:val="23"/>
        </w:rPr>
        <w:t>Credit</w:t>
      </w:r>
      <w:r>
        <w:rPr>
          <w:color w:val="231F20"/>
          <w:spacing w:val="-21"/>
          <w:sz w:val="23"/>
        </w:rPr>
        <w:t> </w:t>
      </w:r>
      <w:r>
        <w:rPr>
          <w:color w:val="231F20"/>
          <w:sz w:val="23"/>
        </w:rPr>
        <w:t>Facility</w:t>
      </w:r>
      <w:r>
        <w:rPr>
          <w:color w:val="231F20"/>
          <w:spacing w:val="-22"/>
          <w:sz w:val="23"/>
        </w:rPr>
        <w:t> </w:t>
      </w:r>
      <w:r>
        <w:rPr>
          <w:color w:val="231F20"/>
          <w:sz w:val="23"/>
        </w:rPr>
        <w:t>(ECF)</w:t>
      </w:r>
      <w:r>
        <w:rPr>
          <w:color w:val="231F20"/>
          <w:spacing w:val="-21"/>
          <w:sz w:val="23"/>
        </w:rPr>
        <w:t> </w:t>
      </w:r>
      <w:r>
        <w:rPr>
          <w:color w:val="231F20"/>
          <w:sz w:val="23"/>
        </w:rPr>
        <w:t>Programme</w:t>
      </w:r>
      <w:r>
        <w:rPr>
          <w:color w:val="231F20"/>
          <w:spacing w:val="-22"/>
          <w:sz w:val="23"/>
        </w:rPr>
        <w:t> </w:t>
      </w:r>
      <w:r>
        <w:rPr>
          <w:color w:val="231F20"/>
          <w:sz w:val="23"/>
        </w:rPr>
        <w:t>for</w:t>
      </w:r>
      <w:r>
        <w:rPr>
          <w:color w:val="231F20"/>
          <w:spacing w:val="-21"/>
          <w:sz w:val="23"/>
        </w:rPr>
        <w:t> </w:t>
      </w:r>
      <w:r>
        <w:rPr>
          <w:color w:val="231F20"/>
          <w:sz w:val="23"/>
        </w:rPr>
        <w:t>Sierra</w:t>
      </w:r>
      <w:r>
        <w:rPr>
          <w:color w:val="231F20"/>
          <w:spacing w:val="-22"/>
          <w:sz w:val="23"/>
        </w:rPr>
        <w:t> </w:t>
      </w:r>
      <w:r>
        <w:rPr>
          <w:color w:val="231F20"/>
          <w:sz w:val="23"/>
        </w:rPr>
        <w:t>Leone in</w:t>
      </w:r>
      <w:r>
        <w:rPr>
          <w:color w:val="231F20"/>
          <w:spacing w:val="-26"/>
          <w:sz w:val="23"/>
        </w:rPr>
        <w:t> </w:t>
      </w:r>
      <w:r>
        <w:rPr>
          <w:color w:val="231F20"/>
          <w:sz w:val="23"/>
        </w:rPr>
        <w:t>late</w:t>
      </w:r>
      <w:r>
        <w:rPr>
          <w:color w:val="231F20"/>
          <w:spacing w:val="-26"/>
          <w:sz w:val="23"/>
        </w:rPr>
        <w:t> </w:t>
      </w:r>
      <w:r>
        <w:rPr>
          <w:color w:val="231F20"/>
          <w:sz w:val="23"/>
        </w:rPr>
        <w:t>November</w:t>
      </w:r>
      <w:r>
        <w:rPr>
          <w:color w:val="231F20"/>
          <w:spacing w:val="-26"/>
          <w:sz w:val="23"/>
        </w:rPr>
        <w:t> </w:t>
      </w:r>
      <w:r>
        <w:rPr>
          <w:color w:val="231F20"/>
          <w:sz w:val="23"/>
        </w:rPr>
        <w:t>2018.</w:t>
      </w:r>
      <w:r>
        <w:rPr>
          <w:color w:val="231F20"/>
          <w:spacing w:val="-26"/>
          <w:sz w:val="23"/>
        </w:rPr>
        <w:t> </w:t>
      </w:r>
      <w:r>
        <w:rPr>
          <w:color w:val="231F20"/>
          <w:sz w:val="23"/>
        </w:rPr>
        <w:t>The</w:t>
      </w:r>
      <w:r>
        <w:rPr>
          <w:color w:val="231F20"/>
          <w:spacing w:val="-26"/>
          <w:sz w:val="23"/>
        </w:rPr>
        <w:t> </w:t>
      </w:r>
      <w:r>
        <w:rPr>
          <w:color w:val="231F20"/>
          <w:sz w:val="23"/>
        </w:rPr>
        <w:t>implementation</w:t>
      </w:r>
      <w:r>
        <w:rPr>
          <w:color w:val="231F20"/>
          <w:spacing w:val="-26"/>
          <w:sz w:val="23"/>
        </w:rPr>
        <w:t> </w:t>
      </w:r>
      <w:r>
        <w:rPr>
          <w:color w:val="231F20"/>
          <w:sz w:val="23"/>
        </w:rPr>
        <w:t>of</w:t>
      </w:r>
      <w:r>
        <w:rPr>
          <w:color w:val="231F20"/>
          <w:spacing w:val="-26"/>
          <w:sz w:val="23"/>
        </w:rPr>
        <w:t> </w:t>
      </w:r>
      <w:r>
        <w:rPr>
          <w:color w:val="231F20"/>
          <w:sz w:val="23"/>
        </w:rPr>
        <w:t>the</w:t>
      </w:r>
      <w:r>
        <w:rPr>
          <w:color w:val="231F20"/>
          <w:spacing w:val="-26"/>
          <w:sz w:val="23"/>
        </w:rPr>
        <w:t> </w:t>
      </w:r>
      <w:r>
        <w:rPr>
          <w:color w:val="231F20"/>
          <w:sz w:val="23"/>
        </w:rPr>
        <w:t>Programme</w:t>
      </w:r>
      <w:r>
        <w:rPr>
          <w:color w:val="231F20"/>
          <w:spacing w:val="-26"/>
          <w:sz w:val="23"/>
        </w:rPr>
        <w:t> </w:t>
      </w:r>
      <w:r>
        <w:rPr>
          <w:color w:val="231F20"/>
          <w:sz w:val="23"/>
        </w:rPr>
        <w:t>is</w:t>
      </w:r>
      <w:r>
        <w:rPr>
          <w:color w:val="231F20"/>
          <w:spacing w:val="-26"/>
          <w:sz w:val="23"/>
        </w:rPr>
        <w:t> </w:t>
      </w:r>
      <w:r>
        <w:rPr>
          <w:color w:val="231F20"/>
          <w:sz w:val="23"/>
        </w:rPr>
        <w:t>progressing</w:t>
      </w:r>
      <w:r>
        <w:rPr>
          <w:color w:val="231F20"/>
          <w:spacing w:val="-26"/>
          <w:sz w:val="23"/>
        </w:rPr>
        <w:t> </w:t>
      </w:r>
      <w:r>
        <w:rPr>
          <w:color w:val="231F20"/>
          <w:sz w:val="23"/>
        </w:rPr>
        <w:t>well.</w:t>
      </w:r>
      <w:r>
        <w:rPr>
          <w:color w:val="231F20"/>
          <w:spacing w:val="-26"/>
          <w:sz w:val="23"/>
        </w:rPr>
        <w:t> </w:t>
      </w:r>
      <w:r>
        <w:rPr>
          <w:color w:val="231F20"/>
          <w:sz w:val="23"/>
        </w:rPr>
        <w:t>The first</w:t>
      </w:r>
      <w:r>
        <w:rPr>
          <w:color w:val="231F20"/>
          <w:spacing w:val="-47"/>
          <w:sz w:val="23"/>
        </w:rPr>
        <w:t> </w:t>
      </w:r>
      <w:r>
        <w:rPr>
          <w:color w:val="231F20"/>
          <w:sz w:val="23"/>
        </w:rPr>
        <w:t>review</w:t>
      </w:r>
      <w:r>
        <w:rPr>
          <w:color w:val="231F20"/>
          <w:spacing w:val="-47"/>
          <w:sz w:val="23"/>
        </w:rPr>
        <w:t> </w:t>
      </w:r>
      <w:r>
        <w:rPr>
          <w:color w:val="231F20"/>
          <w:sz w:val="23"/>
        </w:rPr>
        <w:t>of</w:t>
      </w:r>
      <w:r>
        <w:rPr>
          <w:color w:val="231F20"/>
          <w:spacing w:val="-47"/>
          <w:sz w:val="23"/>
        </w:rPr>
        <w:t> </w:t>
      </w:r>
      <w:r>
        <w:rPr>
          <w:color w:val="231F20"/>
          <w:sz w:val="23"/>
        </w:rPr>
        <w:t>performance</w:t>
      </w:r>
      <w:r>
        <w:rPr>
          <w:color w:val="231F20"/>
          <w:spacing w:val="-47"/>
          <w:sz w:val="23"/>
        </w:rPr>
        <w:t> </w:t>
      </w:r>
      <w:r>
        <w:rPr>
          <w:color w:val="231F20"/>
          <w:sz w:val="23"/>
        </w:rPr>
        <w:t>was</w:t>
      </w:r>
      <w:r>
        <w:rPr>
          <w:color w:val="231F20"/>
          <w:spacing w:val="-47"/>
          <w:sz w:val="23"/>
        </w:rPr>
        <w:t> </w:t>
      </w:r>
      <w:r>
        <w:rPr>
          <w:color w:val="231F20"/>
          <w:sz w:val="23"/>
        </w:rPr>
        <w:t>successful,</w:t>
      </w:r>
      <w:r>
        <w:rPr>
          <w:color w:val="231F20"/>
          <w:spacing w:val="-47"/>
          <w:sz w:val="23"/>
        </w:rPr>
        <w:t> </w:t>
      </w:r>
      <w:r>
        <w:rPr>
          <w:color w:val="231F20"/>
          <w:sz w:val="23"/>
        </w:rPr>
        <w:t>and</w:t>
      </w:r>
      <w:r>
        <w:rPr>
          <w:color w:val="231F20"/>
          <w:spacing w:val="-47"/>
          <w:sz w:val="23"/>
        </w:rPr>
        <w:t> </w:t>
      </w:r>
      <w:r>
        <w:rPr>
          <w:color w:val="231F20"/>
          <w:sz w:val="23"/>
        </w:rPr>
        <w:t>the</w:t>
      </w:r>
      <w:r>
        <w:rPr>
          <w:color w:val="231F20"/>
          <w:spacing w:val="-46"/>
          <w:sz w:val="23"/>
        </w:rPr>
        <w:t> </w:t>
      </w:r>
      <w:r>
        <w:rPr>
          <w:color w:val="231F20"/>
          <w:sz w:val="23"/>
        </w:rPr>
        <w:t>Executive</w:t>
      </w:r>
      <w:r>
        <w:rPr>
          <w:color w:val="231F20"/>
          <w:spacing w:val="-47"/>
          <w:sz w:val="23"/>
        </w:rPr>
        <w:t> </w:t>
      </w:r>
      <w:r>
        <w:rPr>
          <w:color w:val="231F20"/>
          <w:sz w:val="23"/>
        </w:rPr>
        <w:t>Board</w:t>
      </w:r>
      <w:r>
        <w:rPr>
          <w:color w:val="231F20"/>
          <w:spacing w:val="-47"/>
          <w:sz w:val="23"/>
        </w:rPr>
        <w:t> </w:t>
      </w:r>
      <w:r>
        <w:rPr>
          <w:color w:val="231F20"/>
          <w:sz w:val="23"/>
        </w:rPr>
        <w:t>of</w:t>
      </w:r>
      <w:r>
        <w:rPr>
          <w:color w:val="231F20"/>
          <w:spacing w:val="-47"/>
          <w:sz w:val="23"/>
        </w:rPr>
        <w:t> </w:t>
      </w:r>
      <w:r>
        <w:rPr>
          <w:color w:val="231F20"/>
          <w:sz w:val="23"/>
        </w:rPr>
        <w:t>the</w:t>
      </w:r>
      <w:r>
        <w:rPr>
          <w:color w:val="231F20"/>
          <w:spacing w:val="-46"/>
          <w:sz w:val="23"/>
        </w:rPr>
        <w:t> </w:t>
      </w:r>
      <w:r>
        <w:rPr>
          <w:color w:val="231F20"/>
          <w:sz w:val="23"/>
        </w:rPr>
        <w:t>IMF</w:t>
      </w:r>
      <w:r>
        <w:rPr>
          <w:color w:val="231F20"/>
          <w:spacing w:val="-46"/>
          <w:sz w:val="23"/>
        </w:rPr>
        <w:t> </w:t>
      </w:r>
      <w:r>
        <w:rPr>
          <w:color w:val="231F20"/>
          <w:sz w:val="23"/>
        </w:rPr>
        <w:t>approved the</w:t>
      </w:r>
      <w:r>
        <w:rPr>
          <w:color w:val="231F20"/>
          <w:spacing w:val="-19"/>
          <w:sz w:val="23"/>
        </w:rPr>
        <w:t> </w:t>
      </w:r>
      <w:r>
        <w:rPr>
          <w:color w:val="231F20"/>
          <w:sz w:val="23"/>
        </w:rPr>
        <w:t>disbursement</w:t>
      </w:r>
      <w:r>
        <w:rPr>
          <w:color w:val="231F20"/>
          <w:spacing w:val="-19"/>
          <w:sz w:val="23"/>
        </w:rPr>
        <w:t> </w:t>
      </w:r>
      <w:r>
        <w:rPr>
          <w:color w:val="231F20"/>
          <w:sz w:val="23"/>
        </w:rPr>
        <w:t>of</w:t>
      </w:r>
      <w:r>
        <w:rPr>
          <w:color w:val="231F20"/>
          <w:spacing w:val="-19"/>
          <w:sz w:val="23"/>
        </w:rPr>
        <w:t> </w:t>
      </w:r>
      <w:r>
        <w:rPr>
          <w:color w:val="231F20"/>
          <w:sz w:val="23"/>
        </w:rPr>
        <w:t>balance</w:t>
      </w:r>
      <w:r>
        <w:rPr>
          <w:color w:val="231F20"/>
          <w:spacing w:val="-19"/>
          <w:sz w:val="23"/>
        </w:rPr>
        <w:t> </w:t>
      </w:r>
      <w:r>
        <w:rPr>
          <w:color w:val="231F20"/>
          <w:sz w:val="23"/>
        </w:rPr>
        <w:t>of</w:t>
      </w:r>
      <w:r>
        <w:rPr>
          <w:color w:val="231F20"/>
          <w:spacing w:val="-19"/>
          <w:sz w:val="23"/>
        </w:rPr>
        <w:t> </w:t>
      </w:r>
      <w:r>
        <w:rPr>
          <w:color w:val="231F20"/>
          <w:sz w:val="23"/>
        </w:rPr>
        <w:t>payment</w:t>
      </w:r>
      <w:r>
        <w:rPr>
          <w:color w:val="231F20"/>
          <w:spacing w:val="-19"/>
          <w:sz w:val="23"/>
        </w:rPr>
        <w:t> </w:t>
      </w:r>
      <w:r>
        <w:rPr>
          <w:color w:val="231F20"/>
          <w:sz w:val="23"/>
        </w:rPr>
        <w:t>and</w:t>
      </w:r>
      <w:r>
        <w:rPr>
          <w:color w:val="231F20"/>
          <w:spacing w:val="-19"/>
          <w:sz w:val="23"/>
        </w:rPr>
        <w:t> </w:t>
      </w:r>
      <w:r>
        <w:rPr>
          <w:color w:val="231F20"/>
          <w:sz w:val="23"/>
        </w:rPr>
        <w:t>budget</w:t>
      </w:r>
      <w:r>
        <w:rPr>
          <w:color w:val="231F20"/>
          <w:spacing w:val="-19"/>
          <w:sz w:val="23"/>
        </w:rPr>
        <w:t> </w:t>
      </w:r>
      <w:r>
        <w:rPr>
          <w:color w:val="231F20"/>
          <w:sz w:val="23"/>
        </w:rPr>
        <w:t>support</w:t>
      </w:r>
      <w:r>
        <w:rPr>
          <w:color w:val="231F20"/>
          <w:spacing w:val="-19"/>
          <w:sz w:val="23"/>
        </w:rPr>
        <w:t> </w:t>
      </w:r>
      <w:r>
        <w:rPr>
          <w:color w:val="231F20"/>
          <w:sz w:val="23"/>
        </w:rPr>
        <w:t>in</w:t>
      </w:r>
      <w:r>
        <w:rPr>
          <w:color w:val="231F20"/>
          <w:spacing w:val="-19"/>
          <w:sz w:val="23"/>
        </w:rPr>
        <w:t> </w:t>
      </w:r>
      <w:r>
        <w:rPr>
          <w:color w:val="231F20"/>
          <w:sz w:val="23"/>
        </w:rPr>
        <w:t>June</w:t>
      </w:r>
      <w:r>
        <w:rPr>
          <w:color w:val="231F20"/>
          <w:spacing w:val="-19"/>
          <w:sz w:val="23"/>
        </w:rPr>
        <w:t> </w:t>
      </w:r>
      <w:r>
        <w:rPr>
          <w:color w:val="231F20"/>
          <w:sz w:val="23"/>
        </w:rPr>
        <w:t>2019.</w:t>
      </w:r>
      <w:r>
        <w:rPr>
          <w:color w:val="231F20"/>
          <w:spacing w:val="-19"/>
          <w:sz w:val="23"/>
        </w:rPr>
        <w:t> </w:t>
      </w:r>
      <w:r>
        <w:rPr>
          <w:color w:val="231F20"/>
          <w:sz w:val="23"/>
        </w:rPr>
        <w:t>Technical discussions between the IMF and Government on the second performance review under the programme are ongoing. Preliminary data indicates that we met all the </w:t>
      </w:r>
      <w:r>
        <w:rPr>
          <w:color w:val="231F20"/>
          <w:spacing w:val="2"/>
          <w:sz w:val="23"/>
        </w:rPr>
        <w:t>quantitative performance criteria </w:t>
      </w:r>
      <w:r>
        <w:rPr>
          <w:color w:val="231F20"/>
          <w:sz w:val="23"/>
        </w:rPr>
        <w:t>and </w:t>
      </w:r>
      <w:r>
        <w:rPr>
          <w:color w:val="231F20"/>
          <w:spacing w:val="2"/>
          <w:sz w:val="23"/>
        </w:rPr>
        <w:t>have made significant progress </w:t>
      </w:r>
      <w:r>
        <w:rPr>
          <w:color w:val="231F20"/>
          <w:sz w:val="23"/>
        </w:rPr>
        <w:t>in </w:t>
      </w:r>
      <w:r>
        <w:rPr>
          <w:color w:val="231F20"/>
          <w:spacing w:val="3"/>
          <w:sz w:val="23"/>
        </w:rPr>
        <w:t>the </w:t>
      </w:r>
      <w:r>
        <w:rPr>
          <w:color w:val="231F20"/>
          <w:sz w:val="23"/>
        </w:rPr>
        <w:t>implementation of structural</w:t>
      </w:r>
      <w:r>
        <w:rPr>
          <w:color w:val="231F20"/>
          <w:spacing w:val="-6"/>
          <w:sz w:val="23"/>
        </w:rPr>
        <w:t> </w:t>
      </w:r>
      <w:r>
        <w:rPr>
          <w:color w:val="231F20"/>
          <w:sz w:val="23"/>
        </w:rPr>
        <w:t>benchmarks.</w:t>
      </w:r>
    </w:p>
    <w:p>
      <w:pPr>
        <w:spacing w:after="0" w:line="285" w:lineRule="auto"/>
        <w:jc w:val="both"/>
        <w:rPr>
          <w:sz w:val="23"/>
        </w:rPr>
        <w:sectPr>
          <w:pgSz w:w="11900" w:h="16840"/>
          <w:pgMar w:top="1600" w:bottom="280" w:left="1140" w:right="1120"/>
        </w:sectPr>
      </w:pPr>
    </w:p>
    <w:p>
      <w:pPr>
        <w:pStyle w:val="ListParagraph"/>
        <w:numPr>
          <w:ilvl w:val="0"/>
          <w:numId w:val="2"/>
        </w:numPr>
        <w:tabs>
          <w:tab w:pos="954" w:val="left" w:leader="none"/>
        </w:tabs>
        <w:spacing w:line="302" w:lineRule="auto" w:before="77" w:after="0"/>
        <w:ind w:left="103" w:right="121" w:firstLine="358"/>
        <w:jc w:val="both"/>
        <w:rPr>
          <w:sz w:val="23"/>
        </w:rPr>
      </w:pPr>
      <w:r>
        <w:rPr>
          <w:color w:val="231F20"/>
          <w:sz w:val="23"/>
        </w:rPr>
        <w:t>The renewed relationship with the IMF has restored the confidence of other development</w:t>
      </w:r>
      <w:r>
        <w:rPr>
          <w:color w:val="231F20"/>
          <w:spacing w:val="-43"/>
          <w:sz w:val="23"/>
        </w:rPr>
        <w:t> </w:t>
      </w:r>
      <w:r>
        <w:rPr>
          <w:color w:val="231F20"/>
          <w:sz w:val="23"/>
        </w:rPr>
        <w:t>partners</w:t>
      </w:r>
      <w:r>
        <w:rPr>
          <w:color w:val="231F20"/>
          <w:spacing w:val="-42"/>
          <w:sz w:val="23"/>
        </w:rPr>
        <w:t> </w:t>
      </w:r>
      <w:r>
        <w:rPr>
          <w:color w:val="231F20"/>
          <w:sz w:val="23"/>
        </w:rPr>
        <w:t>and</w:t>
      </w:r>
      <w:r>
        <w:rPr>
          <w:color w:val="231F20"/>
          <w:spacing w:val="-42"/>
          <w:sz w:val="23"/>
        </w:rPr>
        <w:t> </w:t>
      </w:r>
      <w:r>
        <w:rPr>
          <w:color w:val="231F20"/>
          <w:sz w:val="23"/>
        </w:rPr>
        <w:t>has</w:t>
      </w:r>
      <w:r>
        <w:rPr>
          <w:color w:val="231F20"/>
          <w:spacing w:val="-43"/>
          <w:sz w:val="23"/>
        </w:rPr>
        <w:t> </w:t>
      </w:r>
      <w:r>
        <w:rPr>
          <w:color w:val="231F20"/>
          <w:sz w:val="23"/>
        </w:rPr>
        <w:t>subsequently</w:t>
      </w:r>
      <w:r>
        <w:rPr>
          <w:color w:val="231F20"/>
          <w:spacing w:val="-41"/>
          <w:sz w:val="23"/>
        </w:rPr>
        <w:t> </w:t>
      </w:r>
      <w:r>
        <w:rPr>
          <w:color w:val="231F20"/>
          <w:sz w:val="23"/>
        </w:rPr>
        <w:t>led</w:t>
      </w:r>
      <w:r>
        <w:rPr>
          <w:color w:val="231F20"/>
          <w:spacing w:val="-42"/>
          <w:sz w:val="23"/>
        </w:rPr>
        <w:t> </w:t>
      </w:r>
      <w:r>
        <w:rPr>
          <w:color w:val="231F20"/>
          <w:sz w:val="23"/>
        </w:rPr>
        <w:t>to</w:t>
      </w:r>
      <w:r>
        <w:rPr>
          <w:color w:val="231F20"/>
          <w:spacing w:val="-41"/>
          <w:sz w:val="23"/>
        </w:rPr>
        <w:t> </w:t>
      </w:r>
      <w:r>
        <w:rPr>
          <w:color w:val="231F20"/>
          <w:sz w:val="23"/>
        </w:rPr>
        <w:t>the</w:t>
      </w:r>
      <w:r>
        <w:rPr>
          <w:color w:val="231F20"/>
          <w:spacing w:val="-42"/>
          <w:sz w:val="23"/>
        </w:rPr>
        <w:t> </w:t>
      </w:r>
      <w:r>
        <w:rPr>
          <w:color w:val="231F20"/>
          <w:sz w:val="23"/>
        </w:rPr>
        <w:t>disbursement</w:t>
      </w:r>
      <w:r>
        <w:rPr>
          <w:color w:val="231F20"/>
          <w:spacing w:val="-42"/>
          <w:sz w:val="23"/>
        </w:rPr>
        <w:t> </w:t>
      </w:r>
      <w:r>
        <w:rPr>
          <w:color w:val="231F20"/>
          <w:sz w:val="23"/>
        </w:rPr>
        <w:t>of</w:t>
      </w:r>
      <w:r>
        <w:rPr>
          <w:color w:val="231F20"/>
          <w:spacing w:val="-42"/>
          <w:sz w:val="23"/>
        </w:rPr>
        <w:t> </w:t>
      </w:r>
      <w:r>
        <w:rPr>
          <w:color w:val="231F20"/>
          <w:sz w:val="23"/>
        </w:rPr>
        <w:t>budget</w:t>
      </w:r>
      <w:r>
        <w:rPr>
          <w:color w:val="231F20"/>
          <w:spacing w:val="-43"/>
          <w:sz w:val="23"/>
        </w:rPr>
        <w:t> </w:t>
      </w:r>
      <w:r>
        <w:rPr>
          <w:color w:val="231F20"/>
          <w:sz w:val="23"/>
        </w:rPr>
        <w:t>support that was withheld under the previous</w:t>
      </w:r>
      <w:r>
        <w:rPr>
          <w:color w:val="231F20"/>
          <w:spacing w:val="54"/>
          <w:sz w:val="23"/>
        </w:rPr>
        <w:t> </w:t>
      </w:r>
      <w:r>
        <w:rPr>
          <w:color w:val="231F20"/>
          <w:sz w:val="23"/>
        </w:rPr>
        <w:t>regime.</w:t>
      </w:r>
    </w:p>
    <w:p>
      <w:pPr>
        <w:pStyle w:val="BodyText"/>
        <w:rPr>
          <w:sz w:val="29"/>
        </w:rPr>
      </w:pPr>
    </w:p>
    <w:p>
      <w:pPr>
        <w:pStyle w:val="ListParagraph"/>
        <w:numPr>
          <w:ilvl w:val="0"/>
          <w:numId w:val="2"/>
        </w:numPr>
        <w:tabs>
          <w:tab w:pos="954" w:val="left" w:leader="none"/>
        </w:tabs>
        <w:spacing w:line="302" w:lineRule="auto" w:before="0" w:after="0"/>
        <w:ind w:left="103" w:right="118" w:firstLine="358"/>
        <w:jc w:val="both"/>
        <w:rPr>
          <w:sz w:val="23"/>
        </w:rPr>
      </w:pPr>
      <w:r>
        <w:rPr>
          <w:color w:val="231F20"/>
          <w:sz w:val="23"/>
        </w:rPr>
        <w:t>Building on the confidence reposed in the Bio Administration, we have also mobilised</w:t>
      </w:r>
      <w:r>
        <w:rPr>
          <w:color w:val="231F20"/>
          <w:spacing w:val="-24"/>
          <w:sz w:val="23"/>
        </w:rPr>
        <w:t> </w:t>
      </w:r>
      <w:r>
        <w:rPr>
          <w:color w:val="231F20"/>
          <w:sz w:val="23"/>
        </w:rPr>
        <w:t>about</w:t>
      </w:r>
      <w:r>
        <w:rPr>
          <w:color w:val="231F20"/>
          <w:spacing w:val="-24"/>
          <w:sz w:val="23"/>
        </w:rPr>
        <w:t> </w:t>
      </w:r>
      <w:r>
        <w:rPr>
          <w:color w:val="231F20"/>
          <w:sz w:val="23"/>
        </w:rPr>
        <w:t>US$413</w:t>
      </w:r>
      <w:r>
        <w:rPr>
          <w:color w:val="231F20"/>
          <w:spacing w:val="-24"/>
          <w:sz w:val="23"/>
        </w:rPr>
        <w:t> </w:t>
      </w:r>
      <w:r>
        <w:rPr>
          <w:color w:val="231F20"/>
          <w:sz w:val="23"/>
        </w:rPr>
        <w:t>million,</w:t>
      </w:r>
      <w:r>
        <w:rPr>
          <w:color w:val="231F20"/>
          <w:spacing w:val="-24"/>
          <w:sz w:val="23"/>
        </w:rPr>
        <w:t> </w:t>
      </w:r>
      <w:r>
        <w:rPr>
          <w:color w:val="231F20"/>
          <w:sz w:val="23"/>
        </w:rPr>
        <w:t>and</w:t>
      </w:r>
      <w:r>
        <w:rPr>
          <w:color w:val="231F20"/>
          <w:spacing w:val="-24"/>
          <w:sz w:val="23"/>
        </w:rPr>
        <w:t> </w:t>
      </w:r>
      <w:r>
        <w:rPr>
          <w:color w:val="231F20"/>
          <w:sz w:val="23"/>
        </w:rPr>
        <w:t>expect</w:t>
      </w:r>
      <w:r>
        <w:rPr>
          <w:color w:val="231F20"/>
          <w:spacing w:val="-24"/>
          <w:sz w:val="23"/>
        </w:rPr>
        <w:t> </w:t>
      </w:r>
      <w:r>
        <w:rPr>
          <w:color w:val="231F20"/>
          <w:sz w:val="23"/>
        </w:rPr>
        <w:t>to</w:t>
      </w:r>
      <w:r>
        <w:rPr>
          <w:color w:val="231F20"/>
          <w:spacing w:val="-24"/>
          <w:sz w:val="23"/>
        </w:rPr>
        <w:t> </w:t>
      </w:r>
      <w:r>
        <w:rPr>
          <w:color w:val="231F20"/>
          <w:sz w:val="23"/>
        </w:rPr>
        <w:t>mobilise</w:t>
      </w:r>
      <w:r>
        <w:rPr>
          <w:color w:val="231F20"/>
          <w:spacing w:val="-24"/>
          <w:sz w:val="23"/>
        </w:rPr>
        <w:t> </w:t>
      </w:r>
      <w:r>
        <w:rPr>
          <w:color w:val="231F20"/>
          <w:sz w:val="23"/>
        </w:rPr>
        <w:t>an</w:t>
      </w:r>
      <w:r>
        <w:rPr>
          <w:color w:val="231F20"/>
          <w:spacing w:val="-24"/>
          <w:sz w:val="23"/>
        </w:rPr>
        <w:t> </w:t>
      </w:r>
      <w:r>
        <w:rPr>
          <w:color w:val="231F20"/>
          <w:sz w:val="23"/>
        </w:rPr>
        <w:t>additional</w:t>
      </w:r>
      <w:r>
        <w:rPr>
          <w:color w:val="231F20"/>
          <w:spacing w:val="-24"/>
          <w:sz w:val="23"/>
        </w:rPr>
        <w:t> </w:t>
      </w:r>
      <w:r>
        <w:rPr>
          <w:color w:val="231F20"/>
          <w:sz w:val="23"/>
        </w:rPr>
        <w:t>US$200</w:t>
      </w:r>
      <w:r>
        <w:rPr>
          <w:color w:val="231F20"/>
          <w:spacing w:val="-24"/>
          <w:sz w:val="23"/>
        </w:rPr>
        <w:t> </w:t>
      </w:r>
      <w:r>
        <w:rPr>
          <w:color w:val="231F20"/>
          <w:sz w:val="23"/>
        </w:rPr>
        <w:t>million before</w:t>
      </w:r>
      <w:r>
        <w:rPr>
          <w:color w:val="231F20"/>
          <w:spacing w:val="-23"/>
          <w:sz w:val="23"/>
        </w:rPr>
        <w:t> </w:t>
      </w:r>
      <w:r>
        <w:rPr>
          <w:color w:val="231F20"/>
          <w:sz w:val="23"/>
        </w:rPr>
        <w:t>the</w:t>
      </w:r>
      <w:r>
        <w:rPr>
          <w:color w:val="231F20"/>
          <w:spacing w:val="-23"/>
          <w:sz w:val="23"/>
        </w:rPr>
        <w:t> </w:t>
      </w:r>
      <w:r>
        <w:rPr>
          <w:color w:val="231F20"/>
          <w:sz w:val="23"/>
        </w:rPr>
        <w:t>end</w:t>
      </w:r>
      <w:r>
        <w:rPr>
          <w:color w:val="231F20"/>
          <w:spacing w:val="-23"/>
          <w:sz w:val="23"/>
        </w:rPr>
        <w:t> </w:t>
      </w:r>
      <w:r>
        <w:rPr>
          <w:color w:val="231F20"/>
          <w:sz w:val="23"/>
        </w:rPr>
        <w:t>of</w:t>
      </w:r>
      <w:r>
        <w:rPr>
          <w:color w:val="231F20"/>
          <w:spacing w:val="-23"/>
          <w:sz w:val="23"/>
        </w:rPr>
        <w:t> </w:t>
      </w:r>
      <w:r>
        <w:rPr>
          <w:color w:val="231F20"/>
          <w:sz w:val="23"/>
        </w:rPr>
        <w:t>December</w:t>
      </w:r>
      <w:r>
        <w:rPr>
          <w:color w:val="231F20"/>
          <w:spacing w:val="-23"/>
          <w:sz w:val="23"/>
        </w:rPr>
        <w:t> </w:t>
      </w:r>
      <w:r>
        <w:rPr>
          <w:color w:val="231F20"/>
          <w:sz w:val="23"/>
        </w:rPr>
        <w:t>2019,</w:t>
      </w:r>
      <w:r>
        <w:rPr>
          <w:color w:val="231F20"/>
          <w:spacing w:val="-23"/>
          <w:sz w:val="23"/>
        </w:rPr>
        <w:t> </w:t>
      </w:r>
      <w:r>
        <w:rPr>
          <w:color w:val="231F20"/>
          <w:sz w:val="23"/>
        </w:rPr>
        <w:t>mainly</w:t>
      </w:r>
      <w:r>
        <w:rPr>
          <w:color w:val="231F20"/>
          <w:spacing w:val="-23"/>
          <w:sz w:val="23"/>
        </w:rPr>
        <w:t> </w:t>
      </w:r>
      <w:r>
        <w:rPr>
          <w:color w:val="231F20"/>
          <w:sz w:val="23"/>
        </w:rPr>
        <w:t>from</w:t>
      </w:r>
      <w:r>
        <w:rPr>
          <w:color w:val="231F20"/>
          <w:spacing w:val="-23"/>
          <w:sz w:val="23"/>
        </w:rPr>
        <w:t> </w:t>
      </w:r>
      <w:r>
        <w:rPr>
          <w:color w:val="231F20"/>
          <w:sz w:val="23"/>
        </w:rPr>
        <w:t>multilateral</w:t>
      </w:r>
      <w:r>
        <w:rPr>
          <w:color w:val="231F20"/>
          <w:spacing w:val="-23"/>
          <w:sz w:val="23"/>
        </w:rPr>
        <w:t> </w:t>
      </w:r>
      <w:r>
        <w:rPr>
          <w:color w:val="231F20"/>
          <w:sz w:val="23"/>
        </w:rPr>
        <w:t>financial</w:t>
      </w:r>
      <w:r>
        <w:rPr>
          <w:color w:val="231F20"/>
          <w:spacing w:val="-23"/>
          <w:sz w:val="23"/>
        </w:rPr>
        <w:t> </w:t>
      </w:r>
      <w:r>
        <w:rPr>
          <w:color w:val="231F20"/>
          <w:sz w:val="23"/>
        </w:rPr>
        <w:t>institutions.</w:t>
      </w:r>
      <w:r>
        <w:rPr>
          <w:color w:val="231F20"/>
          <w:spacing w:val="-23"/>
          <w:sz w:val="23"/>
        </w:rPr>
        <w:t> </w:t>
      </w:r>
      <w:r>
        <w:rPr>
          <w:color w:val="231F20"/>
          <w:sz w:val="23"/>
        </w:rPr>
        <w:t>This will</w:t>
      </w:r>
      <w:r>
        <w:rPr>
          <w:color w:val="231F20"/>
          <w:spacing w:val="-32"/>
          <w:sz w:val="23"/>
        </w:rPr>
        <w:t> </w:t>
      </w:r>
      <w:r>
        <w:rPr>
          <w:color w:val="231F20"/>
          <w:sz w:val="23"/>
        </w:rPr>
        <w:t>bring</w:t>
      </w:r>
      <w:r>
        <w:rPr>
          <w:color w:val="231F20"/>
          <w:spacing w:val="-32"/>
          <w:sz w:val="23"/>
        </w:rPr>
        <w:t> </w:t>
      </w:r>
      <w:r>
        <w:rPr>
          <w:color w:val="231F20"/>
          <w:sz w:val="23"/>
        </w:rPr>
        <w:t>the</w:t>
      </w:r>
      <w:r>
        <w:rPr>
          <w:color w:val="231F20"/>
          <w:spacing w:val="-32"/>
          <w:sz w:val="23"/>
        </w:rPr>
        <w:t> </w:t>
      </w:r>
      <w:r>
        <w:rPr>
          <w:color w:val="231F20"/>
          <w:sz w:val="23"/>
        </w:rPr>
        <w:t>total</w:t>
      </w:r>
      <w:r>
        <w:rPr>
          <w:color w:val="231F20"/>
          <w:spacing w:val="-32"/>
          <w:sz w:val="23"/>
        </w:rPr>
        <w:t> </w:t>
      </w:r>
      <w:r>
        <w:rPr>
          <w:color w:val="231F20"/>
          <w:sz w:val="23"/>
        </w:rPr>
        <w:t>external</w:t>
      </w:r>
      <w:r>
        <w:rPr>
          <w:color w:val="231F20"/>
          <w:spacing w:val="-32"/>
          <w:sz w:val="23"/>
        </w:rPr>
        <w:t> </w:t>
      </w:r>
      <w:r>
        <w:rPr>
          <w:color w:val="231F20"/>
          <w:sz w:val="23"/>
        </w:rPr>
        <w:t>resources</w:t>
      </w:r>
      <w:r>
        <w:rPr>
          <w:color w:val="231F20"/>
          <w:spacing w:val="-32"/>
          <w:sz w:val="23"/>
        </w:rPr>
        <w:t> </w:t>
      </w:r>
      <w:r>
        <w:rPr>
          <w:color w:val="231F20"/>
          <w:sz w:val="23"/>
        </w:rPr>
        <w:t>mobilised</w:t>
      </w:r>
      <w:r>
        <w:rPr>
          <w:color w:val="231F20"/>
          <w:spacing w:val="-32"/>
          <w:sz w:val="23"/>
        </w:rPr>
        <w:t> </w:t>
      </w:r>
      <w:r>
        <w:rPr>
          <w:color w:val="231F20"/>
          <w:sz w:val="23"/>
        </w:rPr>
        <w:t>for</w:t>
      </w:r>
      <w:r>
        <w:rPr>
          <w:color w:val="231F20"/>
          <w:spacing w:val="-32"/>
          <w:sz w:val="23"/>
        </w:rPr>
        <w:t> </w:t>
      </w:r>
      <w:r>
        <w:rPr>
          <w:color w:val="231F20"/>
          <w:sz w:val="23"/>
        </w:rPr>
        <w:t>various</w:t>
      </w:r>
      <w:r>
        <w:rPr>
          <w:color w:val="231F20"/>
          <w:spacing w:val="-32"/>
          <w:sz w:val="23"/>
        </w:rPr>
        <w:t> </w:t>
      </w:r>
      <w:r>
        <w:rPr>
          <w:color w:val="231F20"/>
          <w:sz w:val="23"/>
        </w:rPr>
        <w:t>projects</w:t>
      </w:r>
      <w:r>
        <w:rPr>
          <w:color w:val="231F20"/>
          <w:spacing w:val="-32"/>
          <w:sz w:val="23"/>
        </w:rPr>
        <w:t> </w:t>
      </w:r>
      <w:r>
        <w:rPr>
          <w:color w:val="231F20"/>
          <w:sz w:val="23"/>
        </w:rPr>
        <w:t>to</w:t>
      </w:r>
      <w:r>
        <w:rPr>
          <w:color w:val="231F20"/>
          <w:spacing w:val="-32"/>
          <w:sz w:val="23"/>
        </w:rPr>
        <w:t> </w:t>
      </w:r>
      <w:r>
        <w:rPr>
          <w:color w:val="231F20"/>
          <w:sz w:val="23"/>
        </w:rPr>
        <w:t>US$613</w:t>
      </w:r>
      <w:r>
        <w:rPr>
          <w:color w:val="231F20"/>
          <w:spacing w:val="-32"/>
          <w:sz w:val="23"/>
        </w:rPr>
        <w:t> </w:t>
      </w:r>
      <w:r>
        <w:rPr>
          <w:color w:val="231F20"/>
          <w:sz w:val="23"/>
        </w:rPr>
        <w:t>million, of which 40 percent are grants and 60 percent are concessional loans. Including resources</w:t>
      </w:r>
      <w:r>
        <w:rPr>
          <w:color w:val="231F20"/>
          <w:spacing w:val="-18"/>
          <w:sz w:val="23"/>
        </w:rPr>
        <w:t> </w:t>
      </w:r>
      <w:r>
        <w:rPr>
          <w:color w:val="231F20"/>
          <w:sz w:val="23"/>
        </w:rPr>
        <w:t>provided</w:t>
      </w:r>
      <w:r>
        <w:rPr>
          <w:color w:val="231F20"/>
          <w:spacing w:val="-18"/>
          <w:sz w:val="23"/>
        </w:rPr>
        <w:t> </w:t>
      </w:r>
      <w:r>
        <w:rPr>
          <w:color w:val="231F20"/>
          <w:sz w:val="23"/>
        </w:rPr>
        <w:t>by</w:t>
      </w:r>
      <w:r>
        <w:rPr>
          <w:color w:val="231F20"/>
          <w:spacing w:val="-18"/>
          <w:sz w:val="23"/>
        </w:rPr>
        <w:t> </w:t>
      </w:r>
      <w:r>
        <w:rPr>
          <w:color w:val="231F20"/>
          <w:sz w:val="23"/>
        </w:rPr>
        <w:t>the</w:t>
      </w:r>
      <w:r>
        <w:rPr>
          <w:color w:val="231F20"/>
          <w:spacing w:val="-18"/>
          <w:sz w:val="23"/>
        </w:rPr>
        <w:t> </w:t>
      </w:r>
      <w:r>
        <w:rPr>
          <w:color w:val="231F20"/>
          <w:sz w:val="23"/>
        </w:rPr>
        <w:t>European</w:t>
      </w:r>
      <w:r>
        <w:rPr>
          <w:color w:val="231F20"/>
          <w:spacing w:val="-18"/>
          <w:sz w:val="23"/>
        </w:rPr>
        <w:t> </w:t>
      </w:r>
      <w:r>
        <w:rPr>
          <w:color w:val="231F20"/>
          <w:sz w:val="23"/>
        </w:rPr>
        <w:t>Union</w:t>
      </w:r>
      <w:r>
        <w:rPr>
          <w:color w:val="231F20"/>
          <w:spacing w:val="-18"/>
          <w:sz w:val="23"/>
        </w:rPr>
        <w:t> </w:t>
      </w:r>
      <w:r>
        <w:rPr>
          <w:color w:val="231F20"/>
          <w:sz w:val="23"/>
        </w:rPr>
        <w:t>(EU),</w:t>
      </w:r>
      <w:r>
        <w:rPr>
          <w:color w:val="231F20"/>
          <w:spacing w:val="-18"/>
          <w:sz w:val="23"/>
        </w:rPr>
        <w:t> </w:t>
      </w:r>
      <w:r>
        <w:rPr>
          <w:color w:val="231F20"/>
          <w:sz w:val="23"/>
        </w:rPr>
        <w:t>United</w:t>
      </w:r>
      <w:r>
        <w:rPr>
          <w:color w:val="231F20"/>
          <w:spacing w:val="-18"/>
          <w:sz w:val="23"/>
        </w:rPr>
        <w:t> </w:t>
      </w:r>
      <w:r>
        <w:rPr>
          <w:color w:val="231F20"/>
          <w:sz w:val="23"/>
        </w:rPr>
        <w:t>Nations</w:t>
      </w:r>
      <w:r>
        <w:rPr>
          <w:color w:val="231F20"/>
          <w:spacing w:val="-18"/>
          <w:sz w:val="23"/>
        </w:rPr>
        <w:t> </w:t>
      </w:r>
      <w:r>
        <w:rPr>
          <w:color w:val="231F20"/>
          <w:sz w:val="23"/>
        </w:rPr>
        <w:t>Agencies,</w:t>
      </w:r>
      <w:r>
        <w:rPr>
          <w:color w:val="231F20"/>
          <w:spacing w:val="-18"/>
          <w:sz w:val="23"/>
        </w:rPr>
        <w:t> </w:t>
      </w:r>
      <w:r>
        <w:rPr>
          <w:color w:val="231F20"/>
          <w:sz w:val="23"/>
        </w:rPr>
        <w:t>the</w:t>
      </w:r>
      <w:r>
        <w:rPr>
          <w:color w:val="231F20"/>
          <w:spacing w:val="-18"/>
          <w:sz w:val="23"/>
        </w:rPr>
        <w:t> </w:t>
      </w:r>
      <w:r>
        <w:rPr>
          <w:color w:val="231F20"/>
          <w:sz w:val="23"/>
        </w:rPr>
        <w:t>United Kingdom’s Department for International Development (DFID) and other bilateral partners, total external resources mobilised so far amounts to almost US$1</w:t>
      </w:r>
      <w:r>
        <w:rPr>
          <w:color w:val="231F20"/>
          <w:spacing w:val="8"/>
          <w:sz w:val="23"/>
        </w:rPr>
        <w:t> </w:t>
      </w:r>
      <w:r>
        <w:rPr>
          <w:color w:val="231F20"/>
          <w:sz w:val="23"/>
        </w:rPr>
        <w:t>billion.</w:t>
      </w:r>
    </w:p>
    <w:p>
      <w:pPr>
        <w:pStyle w:val="BodyText"/>
        <w:spacing w:before="10"/>
        <w:rPr>
          <w:sz w:val="28"/>
        </w:rPr>
      </w:pPr>
    </w:p>
    <w:p>
      <w:pPr>
        <w:pStyle w:val="ListParagraph"/>
        <w:numPr>
          <w:ilvl w:val="0"/>
          <w:numId w:val="2"/>
        </w:numPr>
        <w:tabs>
          <w:tab w:pos="954" w:val="left" w:leader="none"/>
        </w:tabs>
        <w:spacing w:line="302" w:lineRule="auto" w:before="0" w:after="0"/>
        <w:ind w:left="103" w:right="120" w:firstLine="358"/>
        <w:jc w:val="both"/>
        <w:rPr>
          <w:sz w:val="23"/>
        </w:rPr>
      </w:pPr>
      <w:r>
        <w:rPr>
          <w:color w:val="231F20"/>
          <w:sz w:val="23"/>
        </w:rPr>
        <w:t>Mr. Speaker, Honourable Members, we have improved domestic revenue collection</w:t>
      </w:r>
      <w:r>
        <w:rPr>
          <w:color w:val="231F20"/>
          <w:spacing w:val="-21"/>
          <w:sz w:val="23"/>
        </w:rPr>
        <w:t> </w:t>
      </w:r>
      <w:r>
        <w:rPr>
          <w:color w:val="231F20"/>
          <w:sz w:val="23"/>
        </w:rPr>
        <w:t>to</w:t>
      </w:r>
      <w:r>
        <w:rPr>
          <w:color w:val="231F20"/>
          <w:spacing w:val="-21"/>
          <w:sz w:val="23"/>
        </w:rPr>
        <w:t> </w:t>
      </w:r>
      <w:r>
        <w:rPr>
          <w:color w:val="231F20"/>
          <w:sz w:val="23"/>
        </w:rPr>
        <w:t>13.7</w:t>
      </w:r>
      <w:r>
        <w:rPr>
          <w:color w:val="231F20"/>
          <w:spacing w:val="-21"/>
          <w:sz w:val="23"/>
        </w:rPr>
        <w:t> </w:t>
      </w:r>
      <w:r>
        <w:rPr>
          <w:color w:val="231F20"/>
          <w:sz w:val="23"/>
        </w:rPr>
        <w:t>percent</w:t>
      </w:r>
      <w:r>
        <w:rPr>
          <w:color w:val="231F20"/>
          <w:spacing w:val="-21"/>
          <w:sz w:val="23"/>
        </w:rPr>
        <w:t> </w:t>
      </w:r>
      <w:r>
        <w:rPr>
          <w:color w:val="231F20"/>
          <w:sz w:val="23"/>
        </w:rPr>
        <w:t>of</w:t>
      </w:r>
      <w:r>
        <w:rPr>
          <w:color w:val="231F20"/>
          <w:spacing w:val="-21"/>
          <w:sz w:val="23"/>
        </w:rPr>
        <w:t> </w:t>
      </w:r>
      <w:r>
        <w:rPr>
          <w:color w:val="231F20"/>
          <w:sz w:val="23"/>
        </w:rPr>
        <w:t>GDP</w:t>
      </w:r>
      <w:r>
        <w:rPr>
          <w:color w:val="231F20"/>
          <w:spacing w:val="-21"/>
          <w:sz w:val="23"/>
        </w:rPr>
        <w:t> </w:t>
      </w:r>
      <w:r>
        <w:rPr>
          <w:color w:val="231F20"/>
          <w:sz w:val="23"/>
        </w:rPr>
        <w:t>in</w:t>
      </w:r>
      <w:r>
        <w:rPr>
          <w:color w:val="231F20"/>
          <w:spacing w:val="-21"/>
          <w:sz w:val="23"/>
        </w:rPr>
        <w:t> </w:t>
      </w:r>
      <w:r>
        <w:rPr>
          <w:color w:val="231F20"/>
          <w:sz w:val="23"/>
        </w:rPr>
        <w:t>2018</w:t>
      </w:r>
      <w:r>
        <w:rPr>
          <w:color w:val="231F20"/>
          <w:spacing w:val="-21"/>
          <w:sz w:val="23"/>
        </w:rPr>
        <w:t> </w:t>
      </w:r>
      <w:r>
        <w:rPr>
          <w:color w:val="231F20"/>
          <w:sz w:val="23"/>
        </w:rPr>
        <w:t>after</w:t>
      </w:r>
      <w:r>
        <w:rPr>
          <w:color w:val="231F20"/>
          <w:spacing w:val="-21"/>
          <w:sz w:val="23"/>
        </w:rPr>
        <w:t> </w:t>
      </w:r>
      <w:r>
        <w:rPr>
          <w:color w:val="231F20"/>
          <w:sz w:val="23"/>
        </w:rPr>
        <w:t>stagnating</w:t>
      </w:r>
      <w:r>
        <w:rPr>
          <w:color w:val="231F20"/>
          <w:spacing w:val="-21"/>
          <w:sz w:val="23"/>
        </w:rPr>
        <w:t> </w:t>
      </w:r>
      <w:r>
        <w:rPr>
          <w:color w:val="231F20"/>
          <w:sz w:val="23"/>
        </w:rPr>
        <w:t>at</w:t>
      </w:r>
      <w:r>
        <w:rPr>
          <w:color w:val="231F20"/>
          <w:spacing w:val="-21"/>
          <w:sz w:val="23"/>
        </w:rPr>
        <w:t> </w:t>
      </w:r>
      <w:r>
        <w:rPr>
          <w:color w:val="231F20"/>
          <w:sz w:val="23"/>
        </w:rPr>
        <w:t>12.2</w:t>
      </w:r>
      <w:r>
        <w:rPr>
          <w:color w:val="231F20"/>
          <w:spacing w:val="-21"/>
          <w:sz w:val="23"/>
        </w:rPr>
        <w:t> </w:t>
      </w:r>
      <w:r>
        <w:rPr>
          <w:color w:val="231F20"/>
          <w:sz w:val="23"/>
        </w:rPr>
        <w:t>percent</w:t>
      </w:r>
      <w:r>
        <w:rPr>
          <w:color w:val="231F20"/>
          <w:spacing w:val="-21"/>
          <w:sz w:val="23"/>
        </w:rPr>
        <w:t> </w:t>
      </w:r>
      <w:r>
        <w:rPr>
          <w:color w:val="231F20"/>
          <w:sz w:val="23"/>
        </w:rPr>
        <w:t>in</w:t>
      </w:r>
      <w:r>
        <w:rPr>
          <w:color w:val="231F20"/>
          <w:spacing w:val="-21"/>
          <w:sz w:val="23"/>
        </w:rPr>
        <w:t> </w:t>
      </w:r>
      <w:r>
        <w:rPr>
          <w:color w:val="231F20"/>
          <w:sz w:val="23"/>
        </w:rPr>
        <w:t>2016</w:t>
      </w:r>
      <w:r>
        <w:rPr>
          <w:color w:val="231F20"/>
          <w:spacing w:val="-21"/>
          <w:sz w:val="23"/>
        </w:rPr>
        <w:t> </w:t>
      </w:r>
      <w:r>
        <w:rPr>
          <w:color w:val="231F20"/>
          <w:sz w:val="23"/>
        </w:rPr>
        <w:t>and 2017; creating the fiscal space to facilitate investments in our priority</w:t>
      </w:r>
      <w:r>
        <w:rPr>
          <w:color w:val="231F20"/>
          <w:spacing w:val="3"/>
          <w:sz w:val="23"/>
        </w:rPr>
        <w:t> </w:t>
      </w:r>
      <w:r>
        <w:rPr>
          <w:color w:val="231F20"/>
          <w:sz w:val="23"/>
        </w:rPr>
        <w:t>sectors.</w:t>
      </w:r>
    </w:p>
    <w:p>
      <w:pPr>
        <w:pStyle w:val="BodyText"/>
        <w:rPr>
          <w:sz w:val="29"/>
        </w:rPr>
      </w:pPr>
    </w:p>
    <w:p>
      <w:pPr>
        <w:pStyle w:val="ListParagraph"/>
        <w:numPr>
          <w:ilvl w:val="0"/>
          <w:numId w:val="2"/>
        </w:numPr>
        <w:tabs>
          <w:tab w:pos="954" w:val="left" w:leader="none"/>
        </w:tabs>
        <w:spacing w:line="302" w:lineRule="auto" w:before="0" w:after="0"/>
        <w:ind w:left="103" w:right="118" w:firstLine="358"/>
        <w:jc w:val="both"/>
        <w:rPr>
          <w:sz w:val="23"/>
        </w:rPr>
      </w:pPr>
      <w:r>
        <w:rPr>
          <w:color w:val="231F20"/>
          <w:sz w:val="23"/>
        </w:rPr>
        <w:t>To</w:t>
      </w:r>
      <w:r>
        <w:rPr>
          <w:color w:val="231F20"/>
          <w:spacing w:val="-32"/>
          <w:sz w:val="23"/>
        </w:rPr>
        <w:t> </w:t>
      </w:r>
      <w:r>
        <w:rPr>
          <w:color w:val="231F20"/>
          <w:sz w:val="23"/>
        </w:rPr>
        <w:t>consolidate</w:t>
      </w:r>
      <w:r>
        <w:rPr>
          <w:color w:val="231F20"/>
          <w:spacing w:val="-32"/>
          <w:sz w:val="23"/>
        </w:rPr>
        <w:t> </w:t>
      </w:r>
      <w:r>
        <w:rPr>
          <w:color w:val="231F20"/>
          <w:sz w:val="23"/>
        </w:rPr>
        <w:t>these</w:t>
      </w:r>
      <w:r>
        <w:rPr>
          <w:color w:val="231F20"/>
          <w:spacing w:val="-32"/>
          <w:sz w:val="23"/>
        </w:rPr>
        <w:t> </w:t>
      </w:r>
      <w:r>
        <w:rPr>
          <w:color w:val="231F20"/>
          <w:sz w:val="23"/>
        </w:rPr>
        <w:t>efforts,</w:t>
      </w:r>
      <w:r>
        <w:rPr>
          <w:color w:val="231F20"/>
          <w:spacing w:val="10"/>
          <w:sz w:val="23"/>
        </w:rPr>
        <w:t> </w:t>
      </w:r>
      <w:r>
        <w:rPr>
          <w:color w:val="231F20"/>
          <w:sz w:val="23"/>
        </w:rPr>
        <w:t>Government</w:t>
      </w:r>
      <w:r>
        <w:rPr>
          <w:color w:val="231F20"/>
          <w:spacing w:val="-32"/>
          <w:sz w:val="23"/>
        </w:rPr>
        <w:t> </w:t>
      </w:r>
      <w:r>
        <w:rPr>
          <w:color w:val="231F20"/>
          <w:sz w:val="23"/>
        </w:rPr>
        <w:t>launched</w:t>
      </w:r>
      <w:r>
        <w:rPr>
          <w:color w:val="231F20"/>
          <w:spacing w:val="-32"/>
          <w:sz w:val="23"/>
        </w:rPr>
        <w:t> </w:t>
      </w:r>
      <w:r>
        <w:rPr>
          <w:color w:val="231F20"/>
          <w:sz w:val="23"/>
        </w:rPr>
        <w:t>the</w:t>
      </w:r>
      <w:r>
        <w:rPr>
          <w:color w:val="231F20"/>
          <w:spacing w:val="-32"/>
          <w:sz w:val="23"/>
        </w:rPr>
        <w:t> </w:t>
      </w:r>
      <w:r>
        <w:rPr>
          <w:color w:val="231F20"/>
          <w:sz w:val="23"/>
        </w:rPr>
        <w:t>Medium</w:t>
      </w:r>
      <w:r>
        <w:rPr>
          <w:color w:val="231F20"/>
          <w:spacing w:val="-32"/>
          <w:sz w:val="23"/>
        </w:rPr>
        <w:t> </w:t>
      </w:r>
      <w:r>
        <w:rPr>
          <w:color w:val="231F20"/>
          <w:sz w:val="23"/>
        </w:rPr>
        <w:t>Term</w:t>
      </w:r>
      <w:r>
        <w:rPr>
          <w:color w:val="231F20"/>
          <w:spacing w:val="-32"/>
          <w:sz w:val="23"/>
        </w:rPr>
        <w:t> </w:t>
      </w:r>
      <w:r>
        <w:rPr>
          <w:color w:val="231F20"/>
          <w:sz w:val="23"/>
        </w:rPr>
        <w:t>National Development</w:t>
      </w:r>
      <w:r>
        <w:rPr>
          <w:color w:val="231F20"/>
          <w:spacing w:val="-12"/>
          <w:sz w:val="23"/>
        </w:rPr>
        <w:t> </w:t>
      </w:r>
      <w:r>
        <w:rPr>
          <w:color w:val="231F20"/>
          <w:sz w:val="23"/>
        </w:rPr>
        <w:t>Plan</w:t>
      </w:r>
      <w:r>
        <w:rPr>
          <w:color w:val="231F20"/>
          <w:spacing w:val="-13"/>
          <w:sz w:val="23"/>
        </w:rPr>
        <w:t> </w:t>
      </w:r>
      <w:r>
        <w:rPr>
          <w:color w:val="231F20"/>
          <w:sz w:val="23"/>
        </w:rPr>
        <w:t>(2019-2023)</w:t>
      </w:r>
      <w:r>
        <w:rPr>
          <w:color w:val="231F20"/>
          <w:spacing w:val="-12"/>
          <w:sz w:val="23"/>
        </w:rPr>
        <w:t> </w:t>
      </w:r>
      <w:r>
        <w:rPr>
          <w:color w:val="231F20"/>
          <w:sz w:val="23"/>
        </w:rPr>
        <w:t>in</w:t>
      </w:r>
      <w:r>
        <w:rPr>
          <w:color w:val="231F20"/>
          <w:spacing w:val="-12"/>
          <w:sz w:val="23"/>
        </w:rPr>
        <w:t> </w:t>
      </w:r>
      <w:r>
        <w:rPr>
          <w:color w:val="231F20"/>
          <w:sz w:val="23"/>
        </w:rPr>
        <w:t>February</w:t>
      </w:r>
      <w:r>
        <w:rPr>
          <w:color w:val="231F20"/>
          <w:spacing w:val="-13"/>
          <w:sz w:val="23"/>
        </w:rPr>
        <w:t> </w:t>
      </w:r>
      <w:r>
        <w:rPr>
          <w:color w:val="231F20"/>
          <w:sz w:val="23"/>
        </w:rPr>
        <w:t>this</w:t>
      </w:r>
      <w:r>
        <w:rPr>
          <w:color w:val="231F20"/>
          <w:spacing w:val="-12"/>
          <w:sz w:val="23"/>
        </w:rPr>
        <w:t> </w:t>
      </w:r>
      <w:r>
        <w:rPr>
          <w:color w:val="231F20"/>
          <w:sz w:val="23"/>
        </w:rPr>
        <w:t>year.</w:t>
      </w:r>
      <w:r>
        <w:rPr>
          <w:color w:val="231F20"/>
          <w:spacing w:val="-13"/>
          <w:sz w:val="23"/>
        </w:rPr>
        <w:t> </w:t>
      </w:r>
      <w:r>
        <w:rPr>
          <w:color w:val="231F20"/>
          <w:sz w:val="23"/>
        </w:rPr>
        <w:t>The</w:t>
      </w:r>
      <w:r>
        <w:rPr>
          <w:color w:val="231F20"/>
          <w:spacing w:val="-13"/>
          <w:sz w:val="23"/>
        </w:rPr>
        <w:t> </w:t>
      </w:r>
      <w:r>
        <w:rPr>
          <w:color w:val="231F20"/>
          <w:sz w:val="23"/>
        </w:rPr>
        <w:t>plan</w:t>
      </w:r>
      <w:r>
        <w:rPr>
          <w:color w:val="231F20"/>
          <w:spacing w:val="-13"/>
          <w:sz w:val="23"/>
        </w:rPr>
        <w:t> </w:t>
      </w:r>
      <w:r>
        <w:rPr>
          <w:color w:val="231F20"/>
          <w:sz w:val="23"/>
        </w:rPr>
        <w:t>reflects</w:t>
      </w:r>
      <w:r>
        <w:rPr>
          <w:color w:val="231F20"/>
          <w:spacing w:val="-13"/>
          <w:sz w:val="23"/>
        </w:rPr>
        <w:t> </w:t>
      </w:r>
      <w:r>
        <w:rPr>
          <w:color w:val="231F20"/>
          <w:sz w:val="23"/>
        </w:rPr>
        <w:t>the</w:t>
      </w:r>
      <w:r>
        <w:rPr>
          <w:color w:val="231F20"/>
          <w:spacing w:val="-12"/>
          <w:sz w:val="23"/>
        </w:rPr>
        <w:t> </w:t>
      </w:r>
      <w:r>
        <w:rPr>
          <w:color w:val="231F20"/>
          <w:sz w:val="23"/>
        </w:rPr>
        <w:t>views</w:t>
      </w:r>
      <w:r>
        <w:rPr>
          <w:color w:val="231F20"/>
          <w:spacing w:val="-13"/>
          <w:sz w:val="23"/>
        </w:rPr>
        <w:t> </w:t>
      </w:r>
      <w:r>
        <w:rPr>
          <w:color w:val="231F20"/>
          <w:sz w:val="23"/>
        </w:rPr>
        <w:t>and aspirations of Sierra Leoneans, lending further credence to the vision articulated in our ‘New Direction</w:t>
      </w:r>
      <w:r>
        <w:rPr>
          <w:color w:val="231F20"/>
          <w:spacing w:val="9"/>
          <w:sz w:val="23"/>
        </w:rPr>
        <w:t> </w:t>
      </w:r>
      <w:r>
        <w:rPr>
          <w:color w:val="231F20"/>
          <w:sz w:val="23"/>
        </w:rPr>
        <w:t>Manifesto’.</w:t>
      </w:r>
    </w:p>
    <w:p>
      <w:pPr>
        <w:pStyle w:val="BodyText"/>
        <w:spacing w:before="10"/>
        <w:rPr>
          <w:sz w:val="28"/>
        </w:rPr>
      </w:pPr>
    </w:p>
    <w:p>
      <w:pPr>
        <w:pStyle w:val="ListParagraph"/>
        <w:numPr>
          <w:ilvl w:val="0"/>
          <w:numId w:val="2"/>
        </w:numPr>
        <w:tabs>
          <w:tab w:pos="954" w:val="left" w:leader="none"/>
        </w:tabs>
        <w:spacing w:line="302" w:lineRule="auto" w:before="0" w:after="0"/>
        <w:ind w:left="103" w:right="117" w:firstLine="358"/>
        <w:jc w:val="both"/>
        <w:rPr>
          <w:sz w:val="23"/>
        </w:rPr>
      </w:pPr>
      <w:r>
        <w:rPr>
          <w:color w:val="231F20"/>
          <w:sz w:val="23"/>
        </w:rPr>
        <w:t>Human Capital Development, which lays the foundation towards achieving middle-income country status by 2039, is at the centre of this Plan. Accordingly,</w:t>
      </w:r>
      <w:r>
        <w:rPr>
          <w:color w:val="231F20"/>
          <w:spacing w:val="-40"/>
          <w:sz w:val="23"/>
        </w:rPr>
        <w:t> </w:t>
      </w:r>
      <w:r>
        <w:rPr>
          <w:color w:val="231F20"/>
          <w:sz w:val="23"/>
        </w:rPr>
        <w:t>we are</w:t>
      </w:r>
      <w:r>
        <w:rPr>
          <w:color w:val="231F20"/>
          <w:spacing w:val="-47"/>
          <w:sz w:val="23"/>
        </w:rPr>
        <w:t> </w:t>
      </w:r>
      <w:r>
        <w:rPr>
          <w:color w:val="231F20"/>
          <w:sz w:val="23"/>
        </w:rPr>
        <w:t>successfully</w:t>
      </w:r>
      <w:r>
        <w:rPr>
          <w:color w:val="231F20"/>
          <w:spacing w:val="-46"/>
          <w:sz w:val="23"/>
        </w:rPr>
        <w:t> </w:t>
      </w:r>
      <w:r>
        <w:rPr>
          <w:color w:val="231F20"/>
          <w:sz w:val="23"/>
        </w:rPr>
        <w:t>implementing</w:t>
      </w:r>
      <w:r>
        <w:rPr>
          <w:color w:val="231F20"/>
          <w:spacing w:val="-47"/>
          <w:sz w:val="23"/>
        </w:rPr>
        <w:t> </w:t>
      </w:r>
      <w:r>
        <w:rPr>
          <w:color w:val="231F20"/>
          <w:sz w:val="23"/>
        </w:rPr>
        <w:t>the</w:t>
      </w:r>
      <w:r>
        <w:rPr>
          <w:color w:val="231F20"/>
          <w:spacing w:val="-46"/>
          <w:sz w:val="23"/>
        </w:rPr>
        <w:t> </w:t>
      </w:r>
      <w:r>
        <w:rPr>
          <w:color w:val="231F20"/>
          <w:sz w:val="23"/>
        </w:rPr>
        <w:t>Free</w:t>
      </w:r>
      <w:r>
        <w:rPr>
          <w:color w:val="231F20"/>
          <w:spacing w:val="-47"/>
          <w:sz w:val="23"/>
        </w:rPr>
        <w:t> </w:t>
      </w:r>
      <w:r>
        <w:rPr>
          <w:color w:val="231F20"/>
          <w:sz w:val="23"/>
        </w:rPr>
        <w:t>Quality</w:t>
      </w:r>
      <w:r>
        <w:rPr>
          <w:color w:val="231F20"/>
          <w:spacing w:val="-46"/>
          <w:sz w:val="23"/>
        </w:rPr>
        <w:t> </w:t>
      </w:r>
      <w:r>
        <w:rPr>
          <w:color w:val="231F20"/>
          <w:sz w:val="23"/>
        </w:rPr>
        <w:t>School</w:t>
      </w:r>
      <w:r>
        <w:rPr>
          <w:color w:val="231F20"/>
          <w:spacing w:val="-47"/>
          <w:sz w:val="23"/>
        </w:rPr>
        <w:t> </w:t>
      </w:r>
      <w:r>
        <w:rPr>
          <w:color w:val="231F20"/>
          <w:sz w:val="23"/>
        </w:rPr>
        <w:t>Education</w:t>
      </w:r>
      <w:r>
        <w:rPr>
          <w:color w:val="231F20"/>
          <w:spacing w:val="-46"/>
          <w:sz w:val="23"/>
        </w:rPr>
        <w:t> </w:t>
      </w:r>
      <w:r>
        <w:rPr>
          <w:color w:val="231F20"/>
          <w:sz w:val="23"/>
        </w:rPr>
        <w:t>Programme</w:t>
      </w:r>
      <w:r>
        <w:rPr>
          <w:color w:val="231F20"/>
          <w:spacing w:val="-47"/>
          <w:sz w:val="23"/>
        </w:rPr>
        <w:t> </w:t>
      </w:r>
      <w:r>
        <w:rPr>
          <w:color w:val="231F20"/>
          <w:sz w:val="23"/>
        </w:rPr>
        <w:t>launched in</w:t>
      </w:r>
      <w:r>
        <w:rPr>
          <w:color w:val="231F20"/>
          <w:spacing w:val="-17"/>
          <w:sz w:val="23"/>
        </w:rPr>
        <w:t> </w:t>
      </w:r>
      <w:r>
        <w:rPr>
          <w:color w:val="231F20"/>
          <w:sz w:val="23"/>
        </w:rPr>
        <w:t>2018.</w:t>
      </w:r>
      <w:r>
        <w:rPr>
          <w:color w:val="231F20"/>
          <w:spacing w:val="-17"/>
          <w:sz w:val="23"/>
        </w:rPr>
        <w:t> </w:t>
      </w:r>
      <w:r>
        <w:rPr>
          <w:color w:val="231F20"/>
          <w:sz w:val="23"/>
        </w:rPr>
        <w:t>We</w:t>
      </w:r>
      <w:r>
        <w:rPr>
          <w:color w:val="231F20"/>
          <w:spacing w:val="-17"/>
          <w:sz w:val="23"/>
        </w:rPr>
        <w:t> </w:t>
      </w:r>
      <w:r>
        <w:rPr>
          <w:color w:val="231F20"/>
          <w:sz w:val="23"/>
        </w:rPr>
        <w:t>are</w:t>
      </w:r>
      <w:r>
        <w:rPr>
          <w:color w:val="231F20"/>
          <w:spacing w:val="-17"/>
          <w:sz w:val="23"/>
        </w:rPr>
        <w:t> </w:t>
      </w:r>
      <w:r>
        <w:rPr>
          <w:color w:val="231F20"/>
          <w:sz w:val="23"/>
        </w:rPr>
        <w:t>investing</w:t>
      </w:r>
      <w:r>
        <w:rPr>
          <w:color w:val="231F20"/>
          <w:spacing w:val="-17"/>
          <w:sz w:val="23"/>
        </w:rPr>
        <w:t> </w:t>
      </w:r>
      <w:r>
        <w:rPr>
          <w:color w:val="231F20"/>
          <w:sz w:val="23"/>
        </w:rPr>
        <w:t>in</w:t>
      </w:r>
      <w:r>
        <w:rPr>
          <w:color w:val="231F20"/>
          <w:spacing w:val="-17"/>
          <w:sz w:val="23"/>
        </w:rPr>
        <w:t> </w:t>
      </w:r>
      <w:r>
        <w:rPr>
          <w:color w:val="231F20"/>
          <w:sz w:val="23"/>
        </w:rPr>
        <w:t>our</w:t>
      </w:r>
      <w:r>
        <w:rPr>
          <w:color w:val="231F20"/>
          <w:spacing w:val="-17"/>
          <w:sz w:val="23"/>
        </w:rPr>
        <w:t> </w:t>
      </w:r>
      <w:r>
        <w:rPr>
          <w:color w:val="231F20"/>
          <w:sz w:val="23"/>
        </w:rPr>
        <w:t>children</w:t>
      </w:r>
      <w:r>
        <w:rPr>
          <w:color w:val="231F20"/>
          <w:spacing w:val="-17"/>
          <w:sz w:val="23"/>
        </w:rPr>
        <w:t> </w:t>
      </w:r>
      <w:r>
        <w:rPr>
          <w:color w:val="231F20"/>
          <w:sz w:val="23"/>
        </w:rPr>
        <w:t>-</w:t>
      </w:r>
      <w:r>
        <w:rPr>
          <w:color w:val="231F20"/>
          <w:spacing w:val="-17"/>
          <w:sz w:val="23"/>
        </w:rPr>
        <w:t> </w:t>
      </w:r>
      <w:r>
        <w:rPr>
          <w:color w:val="231F20"/>
          <w:sz w:val="23"/>
        </w:rPr>
        <w:t>OUR</w:t>
      </w:r>
      <w:r>
        <w:rPr>
          <w:color w:val="231F20"/>
          <w:spacing w:val="-17"/>
          <w:sz w:val="23"/>
        </w:rPr>
        <w:t> </w:t>
      </w:r>
      <w:r>
        <w:rPr>
          <w:color w:val="231F20"/>
          <w:sz w:val="23"/>
        </w:rPr>
        <w:t>FUTURE,</w:t>
      </w:r>
      <w:r>
        <w:rPr>
          <w:color w:val="231F20"/>
          <w:spacing w:val="-17"/>
          <w:sz w:val="23"/>
        </w:rPr>
        <w:t> </w:t>
      </w:r>
      <w:r>
        <w:rPr>
          <w:color w:val="231F20"/>
          <w:sz w:val="23"/>
        </w:rPr>
        <w:t>by</w:t>
      </w:r>
      <w:r>
        <w:rPr>
          <w:color w:val="231F20"/>
          <w:spacing w:val="-17"/>
          <w:sz w:val="23"/>
        </w:rPr>
        <w:t> </w:t>
      </w:r>
      <w:r>
        <w:rPr>
          <w:color w:val="231F20"/>
          <w:sz w:val="23"/>
        </w:rPr>
        <w:t>substantially</w:t>
      </w:r>
      <w:r>
        <w:rPr>
          <w:color w:val="231F20"/>
          <w:spacing w:val="-17"/>
          <w:sz w:val="23"/>
        </w:rPr>
        <w:t> </w:t>
      </w:r>
      <w:r>
        <w:rPr>
          <w:color w:val="231F20"/>
          <w:sz w:val="23"/>
        </w:rPr>
        <w:t>increasing spending on the education sector. During the 2018/2019 academic year, we:</w:t>
      </w:r>
    </w:p>
    <w:p>
      <w:pPr>
        <w:pStyle w:val="BodyText"/>
        <w:spacing w:before="10"/>
        <w:rPr>
          <w:sz w:val="28"/>
        </w:rPr>
      </w:pPr>
    </w:p>
    <w:p>
      <w:pPr>
        <w:pStyle w:val="ListParagraph"/>
        <w:numPr>
          <w:ilvl w:val="1"/>
          <w:numId w:val="2"/>
        </w:numPr>
        <w:tabs>
          <w:tab w:pos="1521" w:val="left" w:leader="none"/>
          <w:tab w:pos="1523" w:val="left" w:leader="none"/>
        </w:tabs>
        <w:spacing w:line="240" w:lineRule="auto" w:before="0" w:after="0"/>
        <w:ind w:left="1522" w:right="0" w:hanging="435"/>
        <w:jc w:val="left"/>
        <w:rPr>
          <w:sz w:val="23"/>
        </w:rPr>
      </w:pPr>
      <w:r>
        <w:rPr>
          <w:color w:val="231F20"/>
          <w:sz w:val="23"/>
        </w:rPr>
        <w:t>Paid</w:t>
      </w:r>
      <w:r>
        <w:rPr>
          <w:color w:val="231F20"/>
          <w:spacing w:val="-13"/>
          <w:sz w:val="23"/>
        </w:rPr>
        <w:t> </w:t>
      </w:r>
      <w:r>
        <w:rPr>
          <w:color w:val="231F20"/>
          <w:sz w:val="23"/>
        </w:rPr>
        <w:t>examination</w:t>
      </w:r>
      <w:r>
        <w:rPr>
          <w:color w:val="231F20"/>
          <w:spacing w:val="-13"/>
          <w:sz w:val="23"/>
        </w:rPr>
        <w:t> </w:t>
      </w:r>
      <w:r>
        <w:rPr>
          <w:color w:val="231F20"/>
          <w:sz w:val="23"/>
        </w:rPr>
        <w:t>fees</w:t>
      </w:r>
      <w:r>
        <w:rPr>
          <w:color w:val="231F20"/>
          <w:spacing w:val="-13"/>
          <w:sz w:val="23"/>
        </w:rPr>
        <w:t> </w:t>
      </w:r>
      <w:r>
        <w:rPr>
          <w:color w:val="231F20"/>
          <w:sz w:val="23"/>
        </w:rPr>
        <w:t>for</w:t>
      </w:r>
      <w:r>
        <w:rPr>
          <w:color w:val="231F20"/>
          <w:spacing w:val="-13"/>
          <w:sz w:val="23"/>
        </w:rPr>
        <w:t> </w:t>
      </w:r>
      <w:r>
        <w:rPr>
          <w:color w:val="231F20"/>
          <w:sz w:val="23"/>
        </w:rPr>
        <w:t>NPSE,</w:t>
      </w:r>
      <w:r>
        <w:rPr>
          <w:color w:val="231F20"/>
          <w:spacing w:val="-13"/>
          <w:sz w:val="23"/>
        </w:rPr>
        <w:t> </w:t>
      </w:r>
      <w:r>
        <w:rPr>
          <w:color w:val="231F20"/>
          <w:sz w:val="23"/>
        </w:rPr>
        <w:t>BECE</w:t>
      </w:r>
      <w:r>
        <w:rPr>
          <w:color w:val="231F20"/>
          <w:spacing w:val="-13"/>
          <w:sz w:val="23"/>
        </w:rPr>
        <w:t> </w:t>
      </w:r>
      <w:r>
        <w:rPr>
          <w:color w:val="231F20"/>
          <w:sz w:val="23"/>
        </w:rPr>
        <w:t>and</w:t>
      </w:r>
      <w:r>
        <w:rPr>
          <w:color w:val="231F20"/>
          <w:spacing w:val="-13"/>
          <w:sz w:val="23"/>
        </w:rPr>
        <w:t> </w:t>
      </w:r>
      <w:r>
        <w:rPr>
          <w:color w:val="231F20"/>
          <w:sz w:val="23"/>
        </w:rPr>
        <w:t>WASSCE;</w:t>
      </w:r>
    </w:p>
    <w:p>
      <w:pPr>
        <w:pStyle w:val="BodyText"/>
        <w:spacing w:before="10"/>
        <w:rPr>
          <w:sz w:val="34"/>
        </w:rPr>
      </w:pPr>
    </w:p>
    <w:p>
      <w:pPr>
        <w:pStyle w:val="ListParagraph"/>
        <w:numPr>
          <w:ilvl w:val="1"/>
          <w:numId w:val="2"/>
        </w:numPr>
        <w:tabs>
          <w:tab w:pos="1522" w:val="left" w:leader="none"/>
          <w:tab w:pos="1523" w:val="left" w:leader="none"/>
        </w:tabs>
        <w:spacing w:line="240" w:lineRule="auto" w:before="0" w:after="0"/>
        <w:ind w:left="1522" w:right="0" w:hanging="509"/>
        <w:jc w:val="left"/>
        <w:rPr>
          <w:sz w:val="23"/>
        </w:rPr>
      </w:pPr>
      <w:r>
        <w:rPr>
          <w:color w:val="231F20"/>
          <w:sz w:val="23"/>
        </w:rPr>
        <w:t>Provided textbooks, teaching and learning materials to</w:t>
      </w:r>
      <w:r>
        <w:rPr>
          <w:color w:val="231F20"/>
          <w:spacing w:val="-7"/>
          <w:sz w:val="23"/>
        </w:rPr>
        <w:t> </w:t>
      </w:r>
      <w:r>
        <w:rPr>
          <w:color w:val="231F20"/>
          <w:sz w:val="23"/>
        </w:rPr>
        <w:t>schools;</w:t>
      </w:r>
    </w:p>
    <w:p>
      <w:pPr>
        <w:pStyle w:val="BodyText"/>
        <w:spacing w:before="1"/>
        <w:rPr>
          <w:sz w:val="35"/>
        </w:rPr>
      </w:pPr>
    </w:p>
    <w:p>
      <w:pPr>
        <w:pStyle w:val="ListParagraph"/>
        <w:numPr>
          <w:ilvl w:val="1"/>
          <w:numId w:val="2"/>
        </w:numPr>
        <w:tabs>
          <w:tab w:pos="1521" w:val="left" w:leader="none"/>
          <w:tab w:pos="1522" w:val="left" w:leader="none"/>
        </w:tabs>
        <w:spacing w:line="300" w:lineRule="auto" w:before="0" w:after="0"/>
        <w:ind w:left="1522" w:right="118" w:hanging="584"/>
        <w:jc w:val="left"/>
        <w:rPr>
          <w:sz w:val="23"/>
        </w:rPr>
      </w:pPr>
      <w:r>
        <w:rPr>
          <w:color w:val="231F20"/>
          <w:sz w:val="23"/>
        </w:rPr>
        <w:t>Paid</w:t>
      </w:r>
      <w:r>
        <w:rPr>
          <w:color w:val="231F20"/>
          <w:spacing w:val="-18"/>
          <w:sz w:val="23"/>
        </w:rPr>
        <w:t> </w:t>
      </w:r>
      <w:r>
        <w:rPr>
          <w:color w:val="231F20"/>
          <w:sz w:val="23"/>
        </w:rPr>
        <w:t>tuition</w:t>
      </w:r>
      <w:r>
        <w:rPr>
          <w:color w:val="231F20"/>
          <w:spacing w:val="-18"/>
          <w:sz w:val="23"/>
        </w:rPr>
        <w:t> </w:t>
      </w:r>
      <w:r>
        <w:rPr>
          <w:color w:val="231F20"/>
          <w:sz w:val="23"/>
        </w:rPr>
        <w:t>fees</w:t>
      </w:r>
      <w:r>
        <w:rPr>
          <w:color w:val="231F20"/>
          <w:spacing w:val="-18"/>
          <w:sz w:val="23"/>
        </w:rPr>
        <w:t> </w:t>
      </w:r>
      <w:r>
        <w:rPr>
          <w:color w:val="231F20"/>
          <w:sz w:val="23"/>
        </w:rPr>
        <w:t>for</w:t>
      </w:r>
      <w:r>
        <w:rPr>
          <w:color w:val="231F20"/>
          <w:spacing w:val="-18"/>
          <w:sz w:val="23"/>
        </w:rPr>
        <w:t> </w:t>
      </w:r>
      <w:r>
        <w:rPr>
          <w:color w:val="231F20"/>
          <w:sz w:val="23"/>
        </w:rPr>
        <w:t>all</w:t>
      </w:r>
      <w:r>
        <w:rPr>
          <w:color w:val="231F20"/>
          <w:spacing w:val="-18"/>
          <w:sz w:val="23"/>
        </w:rPr>
        <w:t> </w:t>
      </w:r>
      <w:r>
        <w:rPr>
          <w:color w:val="231F20"/>
          <w:sz w:val="23"/>
        </w:rPr>
        <w:t>children</w:t>
      </w:r>
      <w:r>
        <w:rPr>
          <w:color w:val="231F20"/>
          <w:spacing w:val="-18"/>
          <w:sz w:val="23"/>
        </w:rPr>
        <w:t> </w:t>
      </w:r>
      <w:r>
        <w:rPr>
          <w:color w:val="231F20"/>
          <w:sz w:val="23"/>
        </w:rPr>
        <w:t>in</w:t>
      </w:r>
      <w:r>
        <w:rPr>
          <w:color w:val="231F20"/>
          <w:spacing w:val="-18"/>
          <w:sz w:val="23"/>
        </w:rPr>
        <w:t> </w:t>
      </w:r>
      <w:r>
        <w:rPr>
          <w:color w:val="231F20"/>
          <w:sz w:val="23"/>
        </w:rPr>
        <w:t>Government-owned</w:t>
      </w:r>
      <w:r>
        <w:rPr>
          <w:color w:val="231F20"/>
          <w:spacing w:val="-18"/>
          <w:sz w:val="23"/>
        </w:rPr>
        <w:t> </w:t>
      </w:r>
      <w:r>
        <w:rPr>
          <w:color w:val="231F20"/>
          <w:sz w:val="23"/>
        </w:rPr>
        <w:t>and</w:t>
      </w:r>
      <w:r>
        <w:rPr>
          <w:color w:val="231F20"/>
          <w:spacing w:val="-18"/>
          <w:sz w:val="23"/>
        </w:rPr>
        <w:t> </w:t>
      </w:r>
      <w:r>
        <w:rPr>
          <w:color w:val="231F20"/>
          <w:sz w:val="23"/>
        </w:rPr>
        <w:t>Government- assisted</w:t>
      </w:r>
      <w:r>
        <w:rPr>
          <w:color w:val="231F20"/>
          <w:spacing w:val="6"/>
          <w:sz w:val="23"/>
        </w:rPr>
        <w:t> </w:t>
      </w:r>
      <w:r>
        <w:rPr>
          <w:color w:val="231F20"/>
          <w:sz w:val="23"/>
        </w:rPr>
        <w:t>schools;</w:t>
      </w:r>
    </w:p>
    <w:p>
      <w:pPr>
        <w:pStyle w:val="BodyText"/>
        <w:spacing w:before="5"/>
        <w:rPr>
          <w:sz w:val="29"/>
        </w:rPr>
      </w:pPr>
    </w:p>
    <w:p>
      <w:pPr>
        <w:pStyle w:val="ListParagraph"/>
        <w:numPr>
          <w:ilvl w:val="1"/>
          <w:numId w:val="2"/>
        </w:numPr>
        <w:tabs>
          <w:tab w:pos="1521" w:val="left" w:leader="none"/>
          <w:tab w:pos="1523" w:val="left" w:leader="none"/>
        </w:tabs>
        <w:spacing w:line="240" w:lineRule="auto" w:before="0" w:after="0"/>
        <w:ind w:left="1522" w:right="0" w:hanging="540"/>
        <w:jc w:val="left"/>
        <w:rPr>
          <w:sz w:val="23"/>
        </w:rPr>
      </w:pPr>
      <w:r>
        <w:rPr>
          <w:color w:val="231F20"/>
          <w:sz w:val="23"/>
        </w:rPr>
        <w:t>Commenced the School Feeding Programme in selected</w:t>
      </w:r>
      <w:r>
        <w:rPr>
          <w:color w:val="231F20"/>
          <w:spacing w:val="10"/>
          <w:sz w:val="23"/>
        </w:rPr>
        <w:t> </w:t>
      </w:r>
      <w:r>
        <w:rPr>
          <w:color w:val="231F20"/>
          <w:sz w:val="23"/>
        </w:rPr>
        <w:t>districts;</w:t>
      </w:r>
    </w:p>
    <w:p>
      <w:pPr>
        <w:pStyle w:val="BodyText"/>
        <w:spacing w:before="10"/>
        <w:rPr>
          <w:sz w:val="34"/>
        </w:rPr>
      </w:pPr>
    </w:p>
    <w:p>
      <w:pPr>
        <w:pStyle w:val="ListParagraph"/>
        <w:numPr>
          <w:ilvl w:val="1"/>
          <w:numId w:val="2"/>
        </w:numPr>
        <w:tabs>
          <w:tab w:pos="1521" w:val="left" w:leader="none"/>
          <w:tab w:pos="1523" w:val="left" w:leader="none"/>
        </w:tabs>
        <w:spacing w:line="240" w:lineRule="auto" w:before="0" w:after="0"/>
        <w:ind w:left="1522" w:right="0" w:hanging="464"/>
        <w:jc w:val="left"/>
        <w:rPr>
          <w:sz w:val="23"/>
        </w:rPr>
      </w:pPr>
      <w:r>
        <w:rPr>
          <w:color w:val="231F20"/>
          <w:sz w:val="23"/>
        </w:rPr>
        <w:t>Provided school</w:t>
      </w:r>
      <w:r>
        <w:rPr>
          <w:color w:val="231F20"/>
          <w:spacing w:val="-48"/>
          <w:sz w:val="23"/>
        </w:rPr>
        <w:t> </w:t>
      </w:r>
      <w:r>
        <w:rPr>
          <w:color w:val="231F20"/>
          <w:sz w:val="23"/>
        </w:rPr>
        <w:t>buses;</w:t>
      </w:r>
    </w:p>
    <w:p>
      <w:pPr>
        <w:pStyle w:val="BodyText"/>
        <w:spacing w:before="10"/>
        <w:rPr>
          <w:sz w:val="34"/>
        </w:rPr>
      </w:pPr>
    </w:p>
    <w:p>
      <w:pPr>
        <w:pStyle w:val="ListParagraph"/>
        <w:numPr>
          <w:ilvl w:val="1"/>
          <w:numId w:val="2"/>
        </w:numPr>
        <w:tabs>
          <w:tab w:pos="1521" w:val="left" w:leader="none"/>
          <w:tab w:pos="1523" w:val="left" w:leader="none"/>
        </w:tabs>
        <w:spacing w:line="302" w:lineRule="auto" w:before="0" w:after="0"/>
        <w:ind w:left="1522" w:right="118" w:hanging="540"/>
        <w:jc w:val="left"/>
        <w:rPr>
          <w:sz w:val="23"/>
        </w:rPr>
      </w:pPr>
      <w:r>
        <w:rPr>
          <w:color w:val="231F20"/>
          <w:sz w:val="23"/>
        </w:rPr>
        <w:t>Operationalised the Teaching Service Commission (TSC) for teacher management and teacher</w:t>
      </w:r>
      <w:r>
        <w:rPr>
          <w:color w:val="231F20"/>
          <w:spacing w:val="39"/>
          <w:sz w:val="23"/>
        </w:rPr>
        <w:t> </w:t>
      </w:r>
      <w:r>
        <w:rPr>
          <w:color w:val="231F20"/>
          <w:sz w:val="23"/>
        </w:rPr>
        <w:t>development;</w:t>
      </w:r>
    </w:p>
    <w:p>
      <w:pPr>
        <w:pStyle w:val="BodyText"/>
        <w:rPr>
          <w:sz w:val="20"/>
        </w:rPr>
      </w:pPr>
    </w:p>
    <w:p>
      <w:pPr>
        <w:pStyle w:val="BodyText"/>
        <w:rPr>
          <w:sz w:val="20"/>
        </w:rPr>
      </w:pPr>
    </w:p>
    <w:p>
      <w:pPr>
        <w:pStyle w:val="Heading1"/>
        <w:spacing w:before="253"/>
        <w:ind w:left="57" w:right="0"/>
      </w:pPr>
      <w:r>
        <w:rPr>
          <w:color w:val="231F20"/>
        </w:rPr>
        <w:t>2</w:t>
      </w:r>
    </w:p>
    <w:p>
      <w:pPr>
        <w:spacing w:after="0"/>
        <w:sectPr>
          <w:pgSz w:w="11900" w:h="16840"/>
          <w:pgMar w:top="1180" w:bottom="280" w:left="1140" w:right="1120"/>
        </w:sectPr>
      </w:pPr>
    </w:p>
    <w:p>
      <w:pPr>
        <w:pStyle w:val="ListParagraph"/>
        <w:numPr>
          <w:ilvl w:val="1"/>
          <w:numId w:val="2"/>
        </w:numPr>
        <w:tabs>
          <w:tab w:pos="1525" w:val="left" w:leader="none"/>
        </w:tabs>
        <w:spacing w:line="302" w:lineRule="auto" w:before="77" w:after="0"/>
        <w:ind w:left="1522" w:right="121" w:hanging="615"/>
        <w:jc w:val="both"/>
        <w:rPr>
          <w:sz w:val="23"/>
        </w:rPr>
      </w:pPr>
      <w:r>
        <w:rPr>
          <w:color w:val="231F20"/>
          <w:sz w:val="23"/>
        </w:rPr>
        <w:t>Revamped the defunct Technical, Vocational and Educational Training (TVET)</w:t>
      </w:r>
      <w:r>
        <w:rPr>
          <w:color w:val="231F20"/>
          <w:spacing w:val="-38"/>
          <w:sz w:val="23"/>
        </w:rPr>
        <w:t> </w:t>
      </w:r>
      <w:r>
        <w:rPr>
          <w:color w:val="231F20"/>
          <w:sz w:val="23"/>
        </w:rPr>
        <w:t>Unit</w:t>
      </w:r>
      <w:r>
        <w:rPr>
          <w:color w:val="231F20"/>
          <w:spacing w:val="-38"/>
          <w:sz w:val="23"/>
        </w:rPr>
        <w:t> </w:t>
      </w:r>
      <w:r>
        <w:rPr>
          <w:color w:val="231F20"/>
          <w:sz w:val="23"/>
        </w:rPr>
        <w:t>in</w:t>
      </w:r>
      <w:r>
        <w:rPr>
          <w:color w:val="231F20"/>
          <w:spacing w:val="-38"/>
          <w:sz w:val="23"/>
        </w:rPr>
        <w:t> </w:t>
      </w:r>
      <w:r>
        <w:rPr>
          <w:color w:val="231F20"/>
          <w:sz w:val="23"/>
        </w:rPr>
        <w:t>the</w:t>
      </w:r>
      <w:r>
        <w:rPr>
          <w:color w:val="231F20"/>
          <w:spacing w:val="-37"/>
          <w:sz w:val="23"/>
        </w:rPr>
        <w:t> </w:t>
      </w:r>
      <w:r>
        <w:rPr>
          <w:color w:val="231F20"/>
          <w:sz w:val="23"/>
        </w:rPr>
        <w:t>then</w:t>
      </w:r>
      <w:r>
        <w:rPr>
          <w:color w:val="231F20"/>
          <w:spacing w:val="-38"/>
          <w:sz w:val="23"/>
        </w:rPr>
        <w:t> </w:t>
      </w:r>
      <w:r>
        <w:rPr>
          <w:color w:val="231F20"/>
          <w:sz w:val="23"/>
        </w:rPr>
        <w:t>Ministry</w:t>
      </w:r>
      <w:r>
        <w:rPr>
          <w:color w:val="231F20"/>
          <w:spacing w:val="-38"/>
          <w:sz w:val="23"/>
        </w:rPr>
        <w:t> </w:t>
      </w:r>
      <w:r>
        <w:rPr>
          <w:color w:val="231F20"/>
          <w:sz w:val="23"/>
        </w:rPr>
        <w:t>of</w:t>
      </w:r>
      <w:r>
        <w:rPr>
          <w:color w:val="231F20"/>
          <w:spacing w:val="-37"/>
          <w:sz w:val="23"/>
        </w:rPr>
        <w:t> </w:t>
      </w:r>
      <w:r>
        <w:rPr>
          <w:color w:val="231F20"/>
          <w:sz w:val="23"/>
        </w:rPr>
        <w:t>Education</w:t>
      </w:r>
      <w:r>
        <w:rPr>
          <w:color w:val="231F20"/>
          <w:spacing w:val="-38"/>
          <w:sz w:val="23"/>
        </w:rPr>
        <w:t> </w:t>
      </w:r>
      <w:r>
        <w:rPr>
          <w:color w:val="231F20"/>
          <w:sz w:val="23"/>
        </w:rPr>
        <w:t>Science</w:t>
      </w:r>
      <w:r>
        <w:rPr>
          <w:color w:val="231F20"/>
          <w:spacing w:val="-38"/>
          <w:sz w:val="23"/>
        </w:rPr>
        <w:t> </w:t>
      </w:r>
      <w:r>
        <w:rPr>
          <w:color w:val="231F20"/>
          <w:sz w:val="23"/>
        </w:rPr>
        <w:t>and</w:t>
      </w:r>
      <w:r>
        <w:rPr>
          <w:color w:val="231F20"/>
          <w:spacing w:val="-37"/>
          <w:sz w:val="23"/>
        </w:rPr>
        <w:t> </w:t>
      </w:r>
      <w:r>
        <w:rPr>
          <w:color w:val="231F20"/>
          <w:sz w:val="23"/>
        </w:rPr>
        <w:t>Technology</w:t>
      </w:r>
      <w:r>
        <w:rPr>
          <w:color w:val="231F20"/>
          <w:spacing w:val="-38"/>
          <w:sz w:val="23"/>
        </w:rPr>
        <w:t> </w:t>
      </w:r>
      <w:r>
        <w:rPr>
          <w:color w:val="231F20"/>
          <w:sz w:val="23"/>
        </w:rPr>
        <w:t>and upgraded to a Directorate of TVET in the newly-created Ministry of Technical and Higher Education;</w:t>
      </w:r>
      <w:r>
        <w:rPr>
          <w:color w:val="231F20"/>
          <w:spacing w:val="-9"/>
          <w:sz w:val="23"/>
        </w:rPr>
        <w:t> </w:t>
      </w:r>
      <w:r>
        <w:rPr>
          <w:color w:val="231F20"/>
          <w:sz w:val="23"/>
        </w:rPr>
        <w:t>and</w:t>
      </w:r>
    </w:p>
    <w:p>
      <w:pPr>
        <w:pStyle w:val="ListParagraph"/>
        <w:numPr>
          <w:ilvl w:val="1"/>
          <w:numId w:val="2"/>
        </w:numPr>
        <w:tabs>
          <w:tab w:pos="1519" w:val="left" w:leader="none"/>
        </w:tabs>
        <w:spacing w:line="302" w:lineRule="auto" w:before="209" w:after="0"/>
        <w:ind w:left="1522" w:right="118" w:hanging="689"/>
        <w:jc w:val="both"/>
        <w:rPr>
          <w:sz w:val="23"/>
        </w:rPr>
      </w:pPr>
      <w:r>
        <w:rPr>
          <w:color w:val="231F20"/>
          <w:sz w:val="23"/>
        </w:rPr>
        <w:t>Launched the Education Challenge of the Human Capital Development </w:t>
      </w:r>
      <w:r>
        <w:rPr>
          <w:color w:val="231F20"/>
          <w:spacing w:val="-4"/>
          <w:sz w:val="23"/>
        </w:rPr>
        <w:t>Incubator.</w:t>
      </w:r>
    </w:p>
    <w:p>
      <w:pPr>
        <w:pStyle w:val="BodyText"/>
        <w:spacing w:before="11"/>
        <w:rPr>
          <w:sz w:val="28"/>
        </w:rPr>
      </w:pPr>
    </w:p>
    <w:p>
      <w:pPr>
        <w:pStyle w:val="ListParagraph"/>
        <w:numPr>
          <w:ilvl w:val="0"/>
          <w:numId w:val="2"/>
        </w:numPr>
        <w:tabs>
          <w:tab w:pos="954" w:val="left" w:leader="none"/>
        </w:tabs>
        <w:spacing w:line="302" w:lineRule="auto" w:before="0" w:after="0"/>
        <w:ind w:left="103" w:right="120" w:firstLine="358"/>
        <w:jc w:val="both"/>
        <w:rPr>
          <w:sz w:val="23"/>
        </w:rPr>
      </w:pPr>
      <w:r>
        <w:rPr>
          <w:color w:val="231F20"/>
          <w:sz w:val="23"/>
        </w:rPr>
        <w:t>In the health sector, we continue to fund the Free Health Care Initiative and provide</w:t>
      </w:r>
      <w:r>
        <w:rPr>
          <w:color w:val="231F20"/>
          <w:spacing w:val="-26"/>
          <w:sz w:val="23"/>
        </w:rPr>
        <w:t> </w:t>
      </w:r>
      <w:r>
        <w:rPr>
          <w:color w:val="231F20"/>
          <w:sz w:val="23"/>
        </w:rPr>
        <w:t>resources</w:t>
      </w:r>
      <w:r>
        <w:rPr>
          <w:color w:val="231F20"/>
          <w:spacing w:val="-26"/>
          <w:sz w:val="23"/>
        </w:rPr>
        <w:t> </w:t>
      </w:r>
      <w:r>
        <w:rPr>
          <w:color w:val="231F20"/>
          <w:sz w:val="23"/>
        </w:rPr>
        <w:t>for</w:t>
      </w:r>
      <w:r>
        <w:rPr>
          <w:color w:val="231F20"/>
          <w:spacing w:val="-26"/>
          <w:sz w:val="23"/>
        </w:rPr>
        <w:t> </w:t>
      </w:r>
      <w:r>
        <w:rPr>
          <w:color w:val="231F20"/>
          <w:sz w:val="23"/>
        </w:rPr>
        <w:t>both</w:t>
      </w:r>
      <w:r>
        <w:rPr>
          <w:color w:val="231F20"/>
          <w:spacing w:val="-26"/>
          <w:sz w:val="23"/>
        </w:rPr>
        <w:t> </w:t>
      </w:r>
      <w:r>
        <w:rPr>
          <w:color w:val="231F20"/>
          <w:sz w:val="23"/>
        </w:rPr>
        <w:t>primary</w:t>
      </w:r>
      <w:r>
        <w:rPr>
          <w:color w:val="231F20"/>
          <w:spacing w:val="-26"/>
          <w:sz w:val="23"/>
        </w:rPr>
        <w:t> </w:t>
      </w:r>
      <w:r>
        <w:rPr>
          <w:color w:val="231F20"/>
          <w:sz w:val="23"/>
        </w:rPr>
        <w:t>and</w:t>
      </w:r>
      <w:r>
        <w:rPr>
          <w:color w:val="231F20"/>
          <w:spacing w:val="-26"/>
          <w:sz w:val="23"/>
        </w:rPr>
        <w:t> </w:t>
      </w:r>
      <w:r>
        <w:rPr>
          <w:color w:val="231F20"/>
          <w:sz w:val="23"/>
        </w:rPr>
        <w:t>secondary</w:t>
      </w:r>
      <w:r>
        <w:rPr>
          <w:color w:val="231F20"/>
          <w:spacing w:val="-26"/>
          <w:sz w:val="23"/>
        </w:rPr>
        <w:t> </w:t>
      </w:r>
      <w:r>
        <w:rPr>
          <w:color w:val="231F20"/>
          <w:sz w:val="23"/>
        </w:rPr>
        <w:t>health</w:t>
      </w:r>
      <w:r>
        <w:rPr>
          <w:color w:val="231F20"/>
          <w:spacing w:val="-26"/>
          <w:sz w:val="23"/>
        </w:rPr>
        <w:t> </w:t>
      </w:r>
      <w:r>
        <w:rPr>
          <w:color w:val="231F20"/>
          <w:sz w:val="23"/>
        </w:rPr>
        <w:t>care</w:t>
      </w:r>
      <w:r>
        <w:rPr>
          <w:color w:val="231F20"/>
          <w:spacing w:val="-26"/>
          <w:sz w:val="23"/>
        </w:rPr>
        <w:t> </w:t>
      </w:r>
      <w:r>
        <w:rPr>
          <w:color w:val="231F20"/>
          <w:sz w:val="23"/>
        </w:rPr>
        <w:t>services</w:t>
      </w:r>
      <w:r>
        <w:rPr>
          <w:color w:val="231F20"/>
          <w:spacing w:val="-26"/>
          <w:sz w:val="23"/>
        </w:rPr>
        <w:t> </w:t>
      </w:r>
      <w:r>
        <w:rPr>
          <w:color w:val="231F20"/>
          <w:sz w:val="23"/>
        </w:rPr>
        <w:t>at</w:t>
      </w:r>
      <w:r>
        <w:rPr>
          <w:color w:val="231F20"/>
          <w:spacing w:val="-26"/>
          <w:sz w:val="23"/>
        </w:rPr>
        <w:t> </w:t>
      </w:r>
      <w:r>
        <w:rPr>
          <w:color w:val="231F20"/>
          <w:sz w:val="23"/>
        </w:rPr>
        <w:t>national</w:t>
      </w:r>
      <w:r>
        <w:rPr>
          <w:color w:val="231F20"/>
          <w:spacing w:val="-26"/>
          <w:sz w:val="23"/>
        </w:rPr>
        <w:t> </w:t>
      </w:r>
      <w:r>
        <w:rPr>
          <w:color w:val="231F20"/>
          <w:sz w:val="23"/>
        </w:rPr>
        <w:t>and sub-national</w:t>
      </w:r>
      <w:r>
        <w:rPr>
          <w:color w:val="231F20"/>
          <w:spacing w:val="-26"/>
          <w:sz w:val="23"/>
        </w:rPr>
        <w:t> </w:t>
      </w:r>
      <w:r>
        <w:rPr>
          <w:color w:val="231F20"/>
          <w:sz w:val="23"/>
        </w:rPr>
        <w:t>levels.</w:t>
      </w:r>
      <w:r>
        <w:rPr>
          <w:color w:val="231F20"/>
          <w:spacing w:val="-26"/>
          <w:sz w:val="23"/>
        </w:rPr>
        <w:t> </w:t>
      </w:r>
      <w:r>
        <w:rPr>
          <w:color w:val="231F20"/>
          <w:sz w:val="23"/>
        </w:rPr>
        <w:t>We</w:t>
      </w:r>
      <w:r>
        <w:rPr>
          <w:color w:val="231F20"/>
          <w:spacing w:val="-26"/>
          <w:sz w:val="23"/>
        </w:rPr>
        <w:t> </w:t>
      </w:r>
      <w:r>
        <w:rPr>
          <w:color w:val="231F20"/>
          <w:sz w:val="23"/>
        </w:rPr>
        <w:t>are</w:t>
      </w:r>
      <w:r>
        <w:rPr>
          <w:color w:val="231F20"/>
          <w:spacing w:val="-26"/>
          <w:sz w:val="23"/>
        </w:rPr>
        <w:t> </w:t>
      </w:r>
      <w:r>
        <w:rPr>
          <w:color w:val="231F20"/>
          <w:sz w:val="23"/>
        </w:rPr>
        <w:t>prioritising</w:t>
      </w:r>
      <w:r>
        <w:rPr>
          <w:color w:val="231F20"/>
          <w:spacing w:val="-26"/>
          <w:sz w:val="23"/>
        </w:rPr>
        <w:t> </w:t>
      </w:r>
      <w:r>
        <w:rPr>
          <w:color w:val="231F20"/>
          <w:sz w:val="23"/>
        </w:rPr>
        <w:t>resource</w:t>
      </w:r>
      <w:r>
        <w:rPr>
          <w:color w:val="231F20"/>
          <w:spacing w:val="-26"/>
          <w:sz w:val="23"/>
        </w:rPr>
        <w:t> </w:t>
      </w:r>
      <w:r>
        <w:rPr>
          <w:color w:val="231F20"/>
          <w:sz w:val="23"/>
        </w:rPr>
        <w:t>allocation</w:t>
      </w:r>
      <w:r>
        <w:rPr>
          <w:color w:val="231F20"/>
          <w:spacing w:val="-26"/>
          <w:sz w:val="23"/>
        </w:rPr>
        <w:t> </w:t>
      </w:r>
      <w:r>
        <w:rPr>
          <w:color w:val="231F20"/>
          <w:sz w:val="23"/>
        </w:rPr>
        <w:t>to</w:t>
      </w:r>
      <w:r>
        <w:rPr>
          <w:color w:val="231F20"/>
          <w:spacing w:val="-26"/>
          <w:sz w:val="23"/>
        </w:rPr>
        <w:t> </w:t>
      </w:r>
      <w:r>
        <w:rPr>
          <w:color w:val="231F20"/>
          <w:sz w:val="23"/>
        </w:rPr>
        <w:t>health</w:t>
      </w:r>
      <w:r>
        <w:rPr>
          <w:color w:val="231F20"/>
          <w:spacing w:val="-26"/>
          <w:sz w:val="23"/>
        </w:rPr>
        <w:t> </w:t>
      </w:r>
      <w:r>
        <w:rPr>
          <w:color w:val="231F20"/>
          <w:sz w:val="23"/>
        </w:rPr>
        <w:t>services</w:t>
      </w:r>
      <w:r>
        <w:rPr>
          <w:color w:val="231F20"/>
          <w:spacing w:val="-26"/>
          <w:sz w:val="23"/>
        </w:rPr>
        <w:t> </w:t>
      </w:r>
      <w:r>
        <w:rPr>
          <w:color w:val="231F20"/>
          <w:sz w:val="23"/>
        </w:rPr>
        <w:t>targeting our</w:t>
      </w:r>
      <w:r>
        <w:rPr>
          <w:color w:val="231F20"/>
          <w:spacing w:val="-25"/>
          <w:sz w:val="23"/>
        </w:rPr>
        <w:t> </w:t>
      </w:r>
      <w:r>
        <w:rPr>
          <w:color w:val="231F20"/>
          <w:sz w:val="23"/>
        </w:rPr>
        <w:t>children,</w:t>
      </w:r>
      <w:r>
        <w:rPr>
          <w:color w:val="231F20"/>
          <w:spacing w:val="-25"/>
          <w:sz w:val="23"/>
        </w:rPr>
        <w:t> </w:t>
      </w:r>
      <w:r>
        <w:rPr>
          <w:color w:val="231F20"/>
          <w:sz w:val="23"/>
        </w:rPr>
        <w:t>adolescents</w:t>
      </w:r>
      <w:r>
        <w:rPr>
          <w:color w:val="231F20"/>
          <w:spacing w:val="-25"/>
          <w:sz w:val="23"/>
        </w:rPr>
        <w:t> </w:t>
      </w:r>
      <w:r>
        <w:rPr>
          <w:color w:val="231F20"/>
          <w:sz w:val="23"/>
        </w:rPr>
        <w:t>and</w:t>
      </w:r>
      <w:r>
        <w:rPr>
          <w:color w:val="231F20"/>
          <w:spacing w:val="-25"/>
          <w:sz w:val="23"/>
        </w:rPr>
        <w:t> </w:t>
      </w:r>
      <w:r>
        <w:rPr>
          <w:color w:val="231F20"/>
          <w:sz w:val="23"/>
        </w:rPr>
        <w:t>women.</w:t>
      </w:r>
      <w:r>
        <w:rPr>
          <w:color w:val="231F20"/>
          <w:spacing w:val="24"/>
          <w:sz w:val="23"/>
        </w:rPr>
        <w:t> </w:t>
      </w:r>
      <w:r>
        <w:rPr>
          <w:color w:val="231F20"/>
          <w:sz w:val="23"/>
        </w:rPr>
        <w:t>Funds</w:t>
      </w:r>
      <w:r>
        <w:rPr>
          <w:color w:val="231F20"/>
          <w:spacing w:val="-25"/>
          <w:sz w:val="23"/>
        </w:rPr>
        <w:t> </w:t>
      </w:r>
      <w:r>
        <w:rPr>
          <w:color w:val="231F20"/>
          <w:sz w:val="23"/>
        </w:rPr>
        <w:t>recovered</w:t>
      </w:r>
      <w:r>
        <w:rPr>
          <w:color w:val="231F20"/>
          <w:spacing w:val="-25"/>
          <w:sz w:val="23"/>
        </w:rPr>
        <w:t> </w:t>
      </w:r>
      <w:r>
        <w:rPr>
          <w:color w:val="231F20"/>
          <w:sz w:val="23"/>
        </w:rPr>
        <w:t>from</w:t>
      </w:r>
      <w:r>
        <w:rPr>
          <w:color w:val="231F20"/>
          <w:spacing w:val="-25"/>
          <w:sz w:val="23"/>
        </w:rPr>
        <w:t> </w:t>
      </w:r>
      <w:r>
        <w:rPr>
          <w:color w:val="231F20"/>
          <w:sz w:val="23"/>
        </w:rPr>
        <w:t>corrupt</w:t>
      </w:r>
      <w:r>
        <w:rPr>
          <w:color w:val="231F20"/>
          <w:spacing w:val="-25"/>
          <w:sz w:val="23"/>
        </w:rPr>
        <w:t> </w:t>
      </w:r>
      <w:r>
        <w:rPr>
          <w:color w:val="231F20"/>
          <w:sz w:val="23"/>
        </w:rPr>
        <w:t>persons,</w:t>
      </w:r>
      <w:r>
        <w:rPr>
          <w:color w:val="231F20"/>
          <w:spacing w:val="-25"/>
          <w:sz w:val="23"/>
        </w:rPr>
        <w:t> </w:t>
      </w:r>
      <w:r>
        <w:rPr>
          <w:color w:val="231F20"/>
          <w:sz w:val="23"/>
        </w:rPr>
        <w:t>as</w:t>
      </w:r>
      <w:r>
        <w:rPr>
          <w:color w:val="231F20"/>
          <w:spacing w:val="-25"/>
          <w:sz w:val="23"/>
        </w:rPr>
        <w:t> </w:t>
      </w:r>
      <w:r>
        <w:rPr>
          <w:color w:val="231F20"/>
          <w:sz w:val="23"/>
        </w:rPr>
        <w:t>part of</w:t>
      </w:r>
      <w:r>
        <w:rPr>
          <w:color w:val="231F20"/>
          <w:spacing w:val="-29"/>
          <w:sz w:val="23"/>
        </w:rPr>
        <w:t> </w:t>
      </w:r>
      <w:r>
        <w:rPr>
          <w:color w:val="231F20"/>
          <w:sz w:val="23"/>
        </w:rPr>
        <w:t>our</w:t>
      </w:r>
      <w:r>
        <w:rPr>
          <w:color w:val="231F20"/>
          <w:spacing w:val="-29"/>
          <w:sz w:val="23"/>
        </w:rPr>
        <w:t> </w:t>
      </w:r>
      <w:r>
        <w:rPr>
          <w:color w:val="231F20"/>
          <w:sz w:val="23"/>
        </w:rPr>
        <w:t>anti-corruption</w:t>
      </w:r>
      <w:r>
        <w:rPr>
          <w:color w:val="231F20"/>
          <w:spacing w:val="-29"/>
          <w:sz w:val="23"/>
        </w:rPr>
        <w:t> </w:t>
      </w:r>
      <w:r>
        <w:rPr>
          <w:color w:val="231F20"/>
          <w:sz w:val="23"/>
        </w:rPr>
        <w:t>drive,</w:t>
      </w:r>
      <w:r>
        <w:rPr>
          <w:color w:val="231F20"/>
          <w:spacing w:val="-29"/>
          <w:sz w:val="23"/>
        </w:rPr>
        <w:t> </w:t>
      </w:r>
      <w:r>
        <w:rPr>
          <w:color w:val="231F20"/>
          <w:sz w:val="23"/>
        </w:rPr>
        <w:t>are</w:t>
      </w:r>
      <w:r>
        <w:rPr>
          <w:color w:val="231F20"/>
          <w:spacing w:val="-29"/>
          <w:sz w:val="23"/>
        </w:rPr>
        <w:t> </w:t>
      </w:r>
      <w:r>
        <w:rPr>
          <w:color w:val="231F20"/>
          <w:sz w:val="23"/>
        </w:rPr>
        <w:t>also</w:t>
      </w:r>
      <w:r>
        <w:rPr>
          <w:color w:val="231F20"/>
          <w:spacing w:val="-29"/>
          <w:sz w:val="23"/>
        </w:rPr>
        <w:t> </w:t>
      </w:r>
      <w:r>
        <w:rPr>
          <w:color w:val="231F20"/>
          <w:sz w:val="23"/>
        </w:rPr>
        <w:t>being</w:t>
      </w:r>
      <w:r>
        <w:rPr>
          <w:color w:val="231F20"/>
          <w:spacing w:val="-29"/>
          <w:sz w:val="23"/>
        </w:rPr>
        <w:t> </w:t>
      </w:r>
      <w:r>
        <w:rPr>
          <w:color w:val="231F20"/>
          <w:sz w:val="23"/>
        </w:rPr>
        <w:t>ring-fenced</w:t>
      </w:r>
      <w:r>
        <w:rPr>
          <w:color w:val="231F20"/>
          <w:spacing w:val="-29"/>
          <w:sz w:val="23"/>
        </w:rPr>
        <w:t> </w:t>
      </w:r>
      <w:r>
        <w:rPr>
          <w:color w:val="231F20"/>
          <w:sz w:val="23"/>
        </w:rPr>
        <w:t>for</w:t>
      </w:r>
      <w:r>
        <w:rPr>
          <w:color w:val="231F20"/>
          <w:spacing w:val="-29"/>
          <w:sz w:val="23"/>
        </w:rPr>
        <w:t> </w:t>
      </w:r>
      <w:r>
        <w:rPr>
          <w:color w:val="231F20"/>
          <w:sz w:val="23"/>
        </w:rPr>
        <w:t>the</w:t>
      </w:r>
      <w:r>
        <w:rPr>
          <w:color w:val="231F20"/>
          <w:spacing w:val="-29"/>
          <w:sz w:val="23"/>
        </w:rPr>
        <w:t> </w:t>
      </w:r>
      <w:r>
        <w:rPr>
          <w:color w:val="231F20"/>
          <w:sz w:val="23"/>
        </w:rPr>
        <w:t>construction</w:t>
      </w:r>
      <w:r>
        <w:rPr>
          <w:color w:val="231F20"/>
          <w:spacing w:val="-29"/>
          <w:sz w:val="23"/>
        </w:rPr>
        <w:t> </w:t>
      </w:r>
      <w:r>
        <w:rPr>
          <w:color w:val="231F20"/>
          <w:sz w:val="23"/>
        </w:rPr>
        <w:t>of</w:t>
      </w:r>
      <w:r>
        <w:rPr>
          <w:color w:val="231F20"/>
          <w:spacing w:val="-29"/>
          <w:sz w:val="23"/>
        </w:rPr>
        <w:t> </w:t>
      </w:r>
      <w:r>
        <w:rPr>
          <w:color w:val="231F20"/>
          <w:sz w:val="23"/>
        </w:rPr>
        <w:t>an</w:t>
      </w:r>
      <w:r>
        <w:rPr>
          <w:color w:val="231F20"/>
          <w:spacing w:val="-29"/>
          <w:sz w:val="23"/>
        </w:rPr>
        <w:t> </w:t>
      </w:r>
      <w:r>
        <w:rPr>
          <w:color w:val="231F20"/>
          <w:sz w:val="23"/>
        </w:rPr>
        <w:t>ultra- modern diagnostic health centre. Government also supports the monthly national cleaning exercise to improve sanitation and public hygiene</w:t>
      </w:r>
      <w:r>
        <w:rPr>
          <w:color w:val="231F20"/>
          <w:spacing w:val="40"/>
          <w:sz w:val="23"/>
        </w:rPr>
        <w:t> </w:t>
      </w:r>
      <w:r>
        <w:rPr>
          <w:color w:val="231F20"/>
          <w:sz w:val="23"/>
        </w:rPr>
        <w:t>nationwide.</w:t>
      </w:r>
    </w:p>
    <w:p>
      <w:pPr>
        <w:pStyle w:val="BodyText"/>
        <w:rPr>
          <w:sz w:val="29"/>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In our quest to leave no one behind, we are providing cash transfers to over 250,000</w:t>
      </w:r>
      <w:r>
        <w:rPr>
          <w:color w:val="231F20"/>
          <w:spacing w:val="-31"/>
          <w:sz w:val="23"/>
        </w:rPr>
        <w:t> </w:t>
      </w:r>
      <w:r>
        <w:rPr>
          <w:color w:val="231F20"/>
          <w:sz w:val="23"/>
        </w:rPr>
        <w:t>of</w:t>
      </w:r>
      <w:r>
        <w:rPr>
          <w:color w:val="231F20"/>
          <w:spacing w:val="-31"/>
          <w:sz w:val="23"/>
        </w:rPr>
        <w:t> </w:t>
      </w:r>
      <w:r>
        <w:rPr>
          <w:color w:val="231F20"/>
          <w:sz w:val="23"/>
        </w:rPr>
        <w:t>the</w:t>
      </w:r>
      <w:r>
        <w:rPr>
          <w:color w:val="231F20"/>
          <w:spacing w:val="-31"/>
          <w:sz w:val="23"/>
        </w:rPr>
        <w:t> </w:t>
      </w:r>
      <w:r>
        <w:rPr>
          <w:color w:val="231F20"/>
          <w:sz w:val="23"/>
        </w:rPr>
        <w:t>poorest</w:t>
      </w:r>
      <w:r>
        <w:rPr>
          <w:color w:val="231F20"/>
          <w:spacing w:val="-31"/>
          <w:sz w:val="23"/>
        </w:rPr>
        <w:t> </w:t>
      </w:r>
      <w:r>
        <w:rPr>
          <w:color w:val="231F20"/>
          <w:sz w:val="23"/>
        </w:rPr>
        <w:t>and</w:t>
      </w:r>
      <w:r>
        <w:rPr>
          <w:color w:val="231F20"/>
          <w:spacing w:val="-31"/>
          <w:sz w:val="23"/>
        </w:rPr>
        <w:t> </w:t>
      </w:r>
      <w:r>
        <w:rPr>
          <w:color w:val="231F20"/>
          <w:sz w:val="23"/>
        </w:rPr>
        <w:t>most</w:t>
      </w:r>
      <w:r>
        <w:rPr>
          <w:color w:val="231F20"/>
          <w:spacing w:val="-31"/>
          <w:sz w:val="23"/>
        </w:rPr>
        <w:t> </w:t>
      </w:r>
      <w:r>
        <w:rPr>
          <w:color w:val="231F20"/>
          <w:sz w:val="23"/>
        </w:rPr>
        <w:t>vulnerable</w:t>
      </w:r>
      <w:r>
        <w:rPr>
          <w:color w:val="231F20"/>
          <w:spacing w:val="-31"/>
          <w:sz w:val="23"/>
        </w:rPr>
        <w:t> </w:t>
      </w:r>
      <w:r>
        <w:rPr>
          <w:color w:val="231F20"/>
          <w:sz w:val="23"/>
        </w:rPr>
        <w:t>in</w:t>
      </w:r>
      <w:r>
        <w:rPr>
          <w:color w:val="231F20"/>
          <w:spacing w:val="-31"/>
          <w:sz w:val="23"/>
        </w:rPr>
        <w:t> </w:t>
      </w:r>
      <w:r>
        <w:rPr>
          <w:color w:val="231F20"/>
          <w:sz w:val="23"/>
        </w:rPr>
        <w:t>our</w:t>
      </w:r>
      <w:r>
        <w:rPr>
          <w:color w:val="231F20"/>
          <w:spacing w:val="-31"/>
          <w:sz w:val="23"/>
        </w:rPr>
        <w:t> </w:t>
      </w:r>
      <w:r>
        <w:rPr>
          <w:color w:val="231F20"/>
          <w:sz w:val="23"/>
        </w:rPr>
        <w:t>society.</w:t>
      </w:r>
      <w:r>
        <w:rPr>
          <w:color w:val="231F20"/>
          <w:spacing w:val="-31"/>
          <w:sz w:val="23"/>
        </w:rPr>
        <w:t> </w:t>
      </w:r>
      <w:r>
        <w:rPr>
          <w:color w:val="231F20"/>
          <w:sz w:val="23"/>
        </w:rPr>
        <w:t>This</w:t>
      </w:r>
      <w:r>
        <w:rPr>
          <w:color w:val="231F20"/>
          <w:spacing w:val="-31"/>
          <w:sz w:val="23"/>
        </w:rPr>
        <w:t> </w:t>
      </w:r>
      <w:r>
        <w:rPr>
          <w:color w:val="231F20"/>
          <w:sz w:val="23"/>
        </w:rPr>
        <w:t>is</w:t>
      </w:r>
      <w:r>
        <w:rPr>
          <w:color w:val="231F20"/>
          <w:spacing w:val="-31"/>
          <w:sz w:val="23"/>
        </w:rPr>
        <w:t> </w:t>
      </w:r>
      <w:r>
        <w:rPr>
          <w:color w:val="231F20"/>
          <w:sz w:val="23"/>
        </w:rPr>
        <w:t>being</w:t>
      </w:r>
      <w:r>
        <w:rPr>
          <w:color w:val="231F20"/>
          <w:spacing w:val="-31"/>
          <w:sz w:val="23"/>
        </w:rPr>
        <w:t> </w:t>
      </w:r>
      <w:r>
        <w:rPr>
          <w:color w:val="231F20"/>
          <w:sz w:val="23"/>
        </w:rPr>
        <w:t>complemented by</w:t>
      </w:r>
      <w:r>
        <w:rPr>
          <w:color w:val="231F20"/>
          <w:spacing w:val="-16"/>
          <w:sz w:val="23"/>
        </w:rPr>
        <w:t> </w:t>
      </w:r>
      <w:r>
        <w:rPr>
          <w:color w:val="231F20"/>
          <w:sz w:val="23"/>
        </w:rPr>
        <w:t>various</w:t>
      </w:r>
      <w:r>
        <w:rPr>
          <w:color w:val="231F20"/>
          <w:spacing w:val="-16"/>
          <w:sz w:val="23"/>
        </w:rPr>
        <w:t> </w:t>
      </w:r>
      <w:r>
        <w:rPr>
          <w:color w:val="231F20"/>
          <w:sz w:val="23"/>
        </w:rPr>
        <w:t>ongoing</w:t>
      </w:r>
      <w:r>
        <w:rPr>
          <w:color w:val="231F20"/>
          <w:spacing w:val="-16"/>
          <w:sz w:val="23"/>
        </w:rPr>
        <w:t> </w:t>
      </w:r>
      <w:r>
        <w:rPr>
          <w:color w:val="231F20"/>
          <w:sz w:val="23"/>
        </w:rPr>
        <w:t>youth</w:t>
      </w:r>
      <w:r>
        <w:rPr>
          <w:color w:val="231F20"/>
          <w:spacing w:val="-16"/>
          <w:sz w:val="23"/>
        </w:rPr>
        <w:t> </w:t>
      </w:r>
      <w:r>
        <w:rPr>
          <w:color w:val="231F20"/>
          <w:sz w:val="23"/>
        </w:rPr>
        <w:t>development</w:t>
      </w:r>
      <w:r>
        <w:rPr>
          <w:color w:val="231F20"/>
          <w:spacing w:val="-16"/>
          <w:sz w:val="23"/>
        </w:rPr>
        <w:t> </w:t>
      </w:r>
      <w:r>
        <w:rPr>
          <w:color w:val="231F20"/>
          <w:sz w:val="23"/>
        </w:rPr>
        <w:t>and</w:t>
      </w:r>
      <w:r>
        <w:rPr>
          <w:color w:val="231F20"/>
          <w:spacing w:val="-16"/>
          <w:sz w:val="23"/>
        </w:rPr>
        <w:t> </w:t>
      </w:r>
      <w:r>
        <w:rPr>
          <w:color w:val="231F20"/>
          <w:sz w:val="23"/>
        </w:rPr>
        <w:t>empowerment</w:t>
      </w:r>
      <w:r>
        <w:rPr>
          <w:color w:val="231F20"/>
          <w:spacing w:val="-16"/>
          <w:sz w:val="23"/>
        </w:rPr>
        <w:t> </w:t>
      </w:r>
      <w:r>
        <w:rPr>
          <w:color w:val="231F20"/>
          <w:sz w:val="23"/>
        </w:rPr>
        <w:t>programmes.</w:t>
      </w:r>
    </w:p>
    <w:p>
      <w:pPr>
        <w:pStyle w:val="BodyText"/>
        <w:spacing w:before="6"/>
        <w:rPr>
          <w:sz w:val="25"/>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We also supported the Sierra Leone Premier League, which had been abandoned, as well as other sports and recreative programmes to give our youth opportunities to exhibit their talents and improve their livelihoods.</w:t>
      </w:r>
    </w:p>
    <w:p>
      <w:pPr>
        <w:pStyle w:val="BodyText"/>
        <w:spacing w:before="6"/>
        <w:rPr>
          <w:sz w:val="25"/>
        </w:rPr>
      </w:pPr>
    </w:p>
    <w:p>
      <w:pPr>
        <w:pStyle w:val="ListParagraph"/>
        <w:numPr>
          <w:ilvl w:val="0"/>
          <w:numId w:val="2"/>
        </w:numPr>
        <w:tabs>
          <w:tab w:pos="954" w:val="left" w:leader="none"/>
        </w:tabs>
        <w:spacing w:line="302" w:lineRule="auto" w:before="0" w:after="0"/>
        <w:ind w:left="103" w:right="118" w:firstLine="223"/>
        <w:jc w:val="both"/>
        <w:rPr>
          <w:sz w:val="23"/>
        </w:rPr>
      </w:pPr>
      <w:r>
        <w:rPr>
          <w:color w:val="231F20"/>
          <w:sz w:val="23"/>
        </w:rPr>
        <w:t>Mr.</w:t>
      </w:r>
      <w:r>
        <w:rPr>
          <w:color w:val="231F20"/>
          <w:spacing w:val="-12"/>
          <w:sz w:val="23"/>
        </w:rPr>
        <w:t> </w:t>
      </w:r>
      <w:r>
        <w:rPr>
          <w:color w:val="231F20"/>
          <w:sz w:val="23"/>
        </w:rPr>
        <w:t>Speaker,</w:t>
      </w:r>
      <w:r>
        <w:rPr>
          <w:color w:val="231F20"/>
          <w:spacing w:val="-12"/>
          <w:sz w:val="23"/>
        </w:rPr>
        <w:t> </w:t>
      </w:r>
      <w:r>
        <w:rPr>
          <w:color w:val="231F20"/>
          <w:sz w:val="23"/>
        </w:rPr>
        <w:t>Honourable</w:t>
      </w:r>
      <w:r>
        <w:rPr>
          <w:color w:val="231F20"/>
          <w:spacing w:val="-11"/>
          <w:sz w:val="23"/>
        </w:rPr>
        <w:t> </w:t>
      </w:r>
      <w:r>
        <w:rPr>
          <w:color w:val="231F20"/>
          <w:sz w:val="23"/>
        </w:rPr>
        <w:t>Members,</w:t>
      </w:r>
      <w:r>
        <w:rPr>
          <w:color w:val="231F20"/>
          <w:spacing w:val="-12"/>
          <w:sz w:val="23"/>
        </w:rPr>
        <w:t> </w:t>
      </w:r>
      <w:r>
        <w:rPr>
          <w:color w:val="231F20"/>
          <w:sz w:val="23"/>
        </w:rPr>
        <w:t>Government</w:t>
      </w:r>
      <w:r>
        <w:rPr>
          <w:color w:val="231F20"/>
          <w:spacing w:val="-11"/>
          <w:sz w:val="23"/>
        </w:rPr>
        <w:t> </w:t>
      </w:r>
      <w:r>
        <w:rPr>
          <w:color w:val="231F20"/>
          <w:sz w:val="23"/>
        </w:rPr>
        <w:t>is</w:t>
      </w:r>
      <w:r>
        <w:rPr>
          <w:color w:val="231F20"/>
          <w:spacing w:val="-11"/>
          <w:sz w:val="23"/>
        </w:rPr>
        <w:t> </w:t>
      </w:r>
      <w:r>
        <w:rPr>
          <w:color w:val="231F20"/>
          <w:sz w:val="23"/>
        </w:rPr>
        <w:t>gradually</w:t>
      </w:r>
      <w:r>
        <w:rPr>
          <w:color w:val="231F20"/>
          <w:spacing w:val="-12"/>
          <w:sz w:val="23"/>
        </w:rPr>
        <w:t> </w:t>
      </w:r>
      <w:r>
        <w:rPr>
          <w:color w:val="231F20"/>
          <w:sz w:val="23"/>
        </w:rPr>
        <w:t>diversifying</w:t>
      </w:r>
      <w:r>
        <w:rPr>
          <w:color w:val="231F20"/>
          <w:spacing w:val="-12"/>
          <w:sz w:val="23"/>
        </w:rPr>
        <w:t> </w:t>
      </w:r>
      <w:r>
        <w:rPr>
          <w:color w:val="231F20"/>
          <w:sz w:val="23"/>
        </w:rPr>
        <w:t>the economy. We have adopted the National Agricultural Transformation Programme, which</w:t>
      </w:r>
      <w:r>
        <w:rPr>
          <w:color w:val="231F20"/>
          <w:spacing w:val="-28"/>
          <w:sz w:val="23"/>
        </w:rPr>
        <w:t> </w:t>
      </w:r>
      <w:r>
        <w:rPr>
          <w:color w:val="231F20"/>
          <w:sz w:val="23"/>
        </w:rPr>
        <w:t>is</w:t>
      </w:r>
      <w:r>
        <w:rPr>
          <w:color w:val="231F20"/>
          <w:spacing w:val="-28"/>
          <w:sz w:val="23"/>
        </w:rPr>
        <w:t> </w:t>
      </w:r>
      <w:r>
        <w:rPr>
          <w:color w:val="231F20"/>
          <w:sz w:val="23"/>
        </w:rPr>
        <w:t>comprehensive</w:t>
      </w:r>
      <w:r>
        <w:rPr>
          <w:color w:val="231F20"/>
          <w:spacing w:val="-28"/>
          <w:sz w:val="23"/>
        </w:rPr>
        <w:t> </w:t>
      </w:r>
      <w:r>
        <w:rPr>
          <w:color w:val="231F20"/>
          <w:sz w:val="23"/>
        </w:rPr>
        <w:t>and</w:t>
      </w:r>
      <w:r>
        <w:rPr>
          <w:color w:val="231F20"/>
          <w:spacing w:val="-28"/>
          <w:sz w:val="23"/>
        </w:rPr>
        <w:t> </w:t>
      </w:r>
      <w:r>
        <w:rPr>
          <w:color w:val="231F20"/>
          <w:sz w:val="23"/>
        </w:rPr>
        <w:t>focused</w:t>
      </w:r>
      <w:r>
        <w:rPr>
          <w:color w:val="231F20"/>
          <w:spacing w:val="-28"/>
          <w:sz w:val="23"/>
        </w:rPr>
        <w:t> </w:t>
      </w:r>
      <w:r>
        <w:rPr>
          <w:color w:val="231F20"/>
          <w:sz w:val="23"/>
        </w:rPr>
        <w:t>on</w:t>
      </w:r>
      <w:r>
        <w:rPr>
          <w:color w:val="231F20"/>
          <w:spacing w:val="-28"/>
          <w:sz w:val="23"/>
        </w:rPr>
        <w:t> </w:t>
      </w:r>
      <w:r>
        <w:rPr>
          <w:color w:val="231F20"/>
          <w:sz w:val="23"/>
        </w:rPr>
        <w:t>achieving</w:t>
      </w:r>
      <w:r>
        <w:rPr>
          <w:color w:val="231F20"/>
          <w:spacing w:val="-28"/>
          <w:sz w:val="23"/>
        </w:rPr>
        <w:t> </w:t>
      </w:r>
      <w:r>
        <w:rPr>
          <w:color w:val="231F20"/>
          <w:sz w:val="23"/>
        </w:rPr>
        <w:t>rice</w:t>
      </w:r>
      <w:r>
        <w:rPr>
          <w:color w:val="231F20"/>
          <w:spacing w:val="-28"/>
          <w:sz w:val="23"/>
        </w:rPr>
        <w:t> </w:t>
      </w:r>
      <w:r>
        <w:rPr>
          <w:color w:val="231F20"/>
          <w:sz w:val="23"/>
        </w:rPr>
        <w:t>self-sufficiency.</w:t>
      </w:r>
      <w:r>
        <w:rPr>
          <w:color w:val="231F20"/>
          <w:spacing w:val="-28"/>
          <w:sz w:val="23"/>
        </w:rPr>
        <w:t> </w:t>
      </w:r>
      <w:r>
        <w:rPr>
          <w:color w:val="231F20"/>
          <w:sz w:val="23"/>
        </w:rPr>
        <w:t>To</w:t>
      </w:r>
      <w:r>
        <w:rPr>
          <w:color w:val="231F20"/>
          <w:spacing w:val="-28"/>
          <w:sz w:val="23"/>
        </w:rPr>
        <w:t> </w:t>
      </w:r>
      <w:r>
        <w:rPr>
          <w:color w:val="231F20"/>
          <w:sz w:val="23"/>
        </w:rPr>
        <w:t>support</w:t>
      </w:r>
      <w:r>
        <w:rPr>
          <w:color w:val="231F20"/>
          <w:spacing w:val="-28"/>
          <w:sz w:val="23"/>
        </w:rPr>
        <w:t> </w:t>
      </w:r>
      <w:r>
        <w:rPr>
          <w:color w:val="231F20"/>
          <w:sz w:val="23"/>
        </w:rPr>
        <w:t>this programme, we have established the Seed Certification Agency and the Fertilizer Regulatory Agency to increase the role of the private sector in the provision of agricultural inputs. In addition, Cabinet recently approved the Cocoa, Coffee and Cashew Policy to stimulate production, reaffirm the importance of these traditional exports and improve the livelihood of our people in the rural</w:t>
      </w:r>
      <w:r>
        <w:rPr>
          <w:color w:val="231F20"/>
          <w:spacing w:val="-22"/>
          <w:sz w:val="23"/>
        </w:rPr>
        <w:t> </w:t>
      </w:r>
      <w:r>
        <w:rPr>
          <w:color w:val="231F20"/>
          <w:sz w:val="23"/>
        </w:rPr>
        <w:t>areas.</w:t>
      </w:r>
    </w:p>
    <w:p>
      <w:pPr>
        <w:pStyle w:val="BodyText"/>
        <w:rPr>
          <w:sz w:val="27"/>
        </w:rPr>
      </w:pPr>
    </w:p>
    <w:p>
      <w:pPr>
        <w:pStyle w:val="ListParagraph"/>
        <w:numPr>
          <w:ilvl w:val="0"/>
          <w:numId w:val="2"/>
        </w:numPr>
        <w:tabs>
          <w:tab w:pos="954" w:val="left" w:leader="none"/>
        </w:tabs>
        <w:spacing w:line="268" w:lineRule="auto" w:before="0" w:after="0"/>
        <w:ind w:left="103" w:right="120" w:firstLine="223"/>
        <w:jc w:val="both"/>
        <w:rPr>
          <w:sz w:val="23"/>
        </w:rPr>
      </w:pPr>
      <w:r>
        <w:rPr>
          <w:color w:val="231F20"/>
          <w:sz w:val="23"/>
        </w:rPr>
        <w:t>In</w:t>
      </w:r>
      <w:r>
        <w:rPr>
          <w:color w:val="231F20"/>
          <w:spacing w:val="-21"/>
          <w:sz w:val="23"/>
        </w:rPr>
        <w:t> </w:t>
      </w:r>
      <w:r>
        <w:rPr>
          <w:color w:val="231F20"/>
          <w:sz w:val="23"/>
        </w:rPr>
        <w:t>the</w:t>
      </w:r>
      <w:r>
        <w:rPr>
          <w:color w:val="231F20"/>
          <w:spacing w:val="-21"/>
          <w:sz w:val="23"/>
        </w:rPr>
        <w:t> </w:t>
      </w:r>
      <w:r>
        <w:rPr>
          <w:color w:val="231F20"/>
          <w:sz w:val="23"/>
        </w:rPr>
        <w:t>fisheries</w:t>
      </w:r>
      <w:r>
        <w:rPr>
          <w:color w:val="231F20"/>
          <w:spacing w:val="-21"/>
          <w:sz w:val="23"/>
        </w:rPr>
        <w:t> </w:t>
      </w:r>
      <w:r>
        <w:rPr>
          <w:color w:val="231F20"/>
          <w:sz w:val="23"/>
        </w:rPr>
        <w:t>sector,</w:t>
      </w:r>
      <w:r>
        <w:rPr>
          <w:color w:val="231F20"/>
          <w:spacing w:val="-22"/>
          <w:sz w:val="23"/>
        </w:rPr>
        <w:t> </w:t>
      </w:r>
      <w:r>
        <w:rPr>
          <w:color w:val="231F20"/>
          <w:sz w:val="23"/>
        </w:rPr>
        <w:t>we</w:t>
      </w:r>
      <w:r>
        <w:rPr>
          <w:color w:val="231F20"/>
          <w:spacing w:val="-21"/>
          <w:sz w:val="23"/>
        </w:rPr>
        <w:t> </w:t>
      </w:r>
      <w:r>
        <w:rPr>
          <w:color w:val="231F20"/>
          <w:sz w:val="23"/>
        </w:rPr>
        <w:t>are</w:t>
      </w:r>
      <w:r>
        <w:rPr>
          <w:color w:val="231F20"/>
          <w:spacing w:val="-22"/>
          <w:sz w:val="23"/>
        </w:rPr>
        <w:t> </w:t>
      </w:r>
      <w:r>
        <w:rPr>
          <w:color w:val="231F20"/>
          <w:sz w:val="23"/>
        </w:rPr>
        <w:t>implementing</w:t>
      </w:r>
      <w:r>
        <w:rPr>
          <w:color w:val="231F20"/>
          <w:spacing w:val="-21"/>
          <w:sz w:val="23"/>
        </w:rPr>
        <w:t> </w:t>
      </w:r>
      <w:r>
        <w:rPr>
          <w:color w:val="231F20"/>
          <w:sz w:val="23"/>
        </w:rPr>
        <w:t>reforms</w:t>
      </w:r>
      <w:r>
        <w:rPr>
          <w:color w:val="231F20"/>
          <w:spacing w:val="-21"/>
          <w:sz w:val="23"/>
        </w:rPr>
        <w:t> </w:t>
      </w:r>
      <w:r>
        <w:rPr>
          <w:color w:val="231F20"/>
          <w:sz w:val="23"/>
        </w:rPr>
        <w:t>to</w:t>
      </w:r>
      <w:r>
        <w:rPr>
          <w:color w:val="231F20"/>
          <w:spacing w:val="-21"/>
          <w:sz w:val="23"/>
        </w:rPr>
        <w:t> </w:t>
      </w:r>
      <w:r>
        <w:rPr>
          <w:color w:val="231F20"/>
          <w:sz w:val="23"/>
        </w:rPr>
        <w:t>ensure</w:t>
      </w:r>
      <w:r>
        <w:rPr>
          <w:color w:val="231F20"/>
          <w:spacing w:val="-22"/>
          <w:sz w:val="23"/>
        </w:rPr>
        <w:t> </w:t>
      </w:r>
      <w:r>
        <w:rPr>
          <w:color w:val="231F20"/>
          <w:sz w:val="23"/>
        </w:rPr>
        <w:t>the</w:t>
      </w:r>
      <w:r>
        <w:rPr>
          <w:color w:val="231F20"/>
          <w:spacing w:val="-21"/>
          <w:sz w:val="23"/>
        </w:rPr>
        <w:t> </w:t>
      </w:r>
      <w:r>
        <w:rPr>
          <w:color w:val="231F20"/>
          <w:sz w:val="23"/>
        </w:rPr>
        <w:t>sustainable management</w:t>
      </w:r>
      <w:r>
        <w:rPr>
          <w:color w:val="231F20"/>
          <w:spacing w:val="-17"/>
          <w:sz w:val="23"/>
        </w:rPr>
        <w:t> </w:t>
      </w:r>
      <w:r>
        <w:rPr>
          <w:color w:val="231F20"/>
          <w:sz w:val="23"/>
        </w:rPr>
        <w:t>of</w:t>
      </w:r>
      <w:r>
        <w:rPr>
          <w:color w:val="231F20"/>
          <w:spacing w:val="-17"/>
          <w:sz w:val="23"/>
        </w:rPr>
        <w:t> </w:t>
      </w:r>
      <w:r>
        <w:rPr>
          <w:color w:val="231F20"/>
          <w:sz w:val="23"/>
        </w:rPr>
        <w:t>our</w:t>
      </w:r>
      <w:r>
        <w:rPr>
          <w:color w:val="231F20"/>
          <w:spacing w:val="-17"/>
          <w:sz w:val="23"/>
        </w:rPr>
        <w:t> </w:t>
      </w:r>
      <w:r>
        <w:rPr>
          <w:color w:val="231F20"/>
          <w:sz w:val="23"/>
        </w:rPr>
        <w:t>marine</w:t>
      </w:r>
      <w:r>
        <w:rPr>
          <w:color w:val="231F20"/>
          <w:spacing w:val="-17"/>
          <w:sz w:val="23"/>
        </w:rPr>
        <w:t> </w:t>
      </w:r>
      <w:r>
        <w:rPr>
          <w:color w:val="231F20"/>
          <w:sz w:val="23"/>
        </w:rPr>
        <w:t>resources</w:t>
      </w:r>
      <w:r>
        <w:rPr>
          <w:color w:val="231F20"/>
          <w:spacing w:val="-17"/>
          <w:sz w:val="23"/>
        </w:rPr>
        <w:t> </w:t>
      </w:r>
      <w:r>
        <w:rPr>
          <w:color w:val="231F20"/>
          <w:sz w:val="23"/>
        </w:rPr>
        <w:t>to</w:t>
      </w:r>
      <w:r>
        <w:rPr>
          <w:color w:val="231F20"/>
          <w:spacing w:val="-17"/>
          <w:sz w:val="23"/>
        </w:rPr>
        <w:t> </w:t>
      </w:r>
      <w:r>
        <w:rPr>
          <w:color w:val="231F20"/>
          <w:sz w:val="23"/>
        </w:rPr>
        <w:t>improve</w:t>
      </w:r>
      <w:r>
        <w:rPr>
          <w:color w:val="231F20"/>
          <w:spacing w:val="-17"/>
          <w:sz w:val="23"/>
        </w:rPr>
        <w:t> </w:t>
      </w:r>
      <w:r>
        <w:rPr>
          <w:color w:val="231F20"/>
          <w:sz w:val="23"/>
        </w:rPr>
        <w:t>the</w:t>
      </w:r>
      <w:r>
        <w:rPr>
          <w:color w:val="231F20"/>
          <w:spacing w:val="-17"/>
          <w:sz w:val="23"/>
        </w:rPr>
        <w:t> </w:t>
      </w:r>
      <w:r>
        <w:rPr>
          <w:color w:val="231F20"/>
          <w:sz w:val="23"/>
        </w:rPr>
        <w:t>domestic</w:t>
      </w:r>
      <w:r>
        <w:rPr>
          <w:color w:val="231F20"/>
          <w:spacing w:val="-17"/>
          <w:sz w:val="23"/>
        </w:rPr>
        <w:t> </w:t>
      </w:r>
      <w:r>
        <w:rPr>
          <w:color w:val="231F20"/>
          <w:sz w:val="23"/>
        </w:rPr>
        <w:t>share</w:t>
      </w:r>
      <w:r>
        <w:rPr>
          <w:color w:val="231F20"/>
          <w:spacing w:val="-17"/>
          <w:sz w:val="23"/>
        </w:rPr>
        <w:t> </w:t>
      </w:r>
      <w:r>
        <w:rPr>
          <w:color w:val="231F20"/>
          <w:sz w:val="23"/>
        </w:rPr>
        <w:t>in</w:t>
      </w:r>
      <w:r>
        <w:rPr>
          <w:color w:val="231F20"/>
          <w:spacing w:val="-17"/>
          <w:sz w:val="23"/>
        </w:rPr>
        <w:t> </w:t>
      </w:r>
      <w:r>
        <w:rPr>
          <w:color w:val="231F20"/>
          <w:sz w:val="23"/>
        </w:rPr>
        <w:t>marine</w:t>
      </w:r>
      <w:r>
        <w:rPr>
          <w:color w:val="231F20"/>
          <w:spacing w:val="-17"/>
          <w:sz w:val="23"/>
        </w:rPr>
        <w:t> </w:t>
      </w:r>
      <w:r>
        <w:rPr>
          <w:color w:val="231F20"/>
          <w:sz w:val="23"/>
        </w:rPr>
        <w:t>catch, while creating jobs for our people. We are making progress in controlling illegal, unreported and unregulated fishing activities and steps are being taken to address bottlenecks affecting the export of our fisheries</w:t>
      </w:r>
      <w:r>
        <w:rPr>
          <w:color w:val="231F20"/>
          <w:spacing w:val="14"/>
          <w:sz w:val="23"/>
        </w:rPr>
        <w:t> </w:t>
      </w:r>
      <w:r>
        <w:rPr>
          <w:color w:val="231F20"/>
          <w:sz w:val="23"/>
        </w:rPr>
        <w:t>products.</w:t>
      </w:r>
    </w:p>
    <w:p>
      <w:pPr>
        <w:pStyle w:val="BodyText"/>
        <w:spacing w:before="9"/>
        <w:rPr>
          <w:sz w:val="25"/>
        </w:rPr>
      </w:pPr>
    </w:p>
    <w:p>
      <w:pPr>
        <w:pStyle w:val="ListParagraph"/>
        <w:numPr>
          <w:ilvl w:val="0"/>
          <w:numId w:val="2"/>
        </w:numPr>
        <w:tabs>
          <w:tab w:pos="954" w:val="left" w:leader="none"/>
        </w:tabs>
        <w:spacing w:line="273" w:lineRule="auto" w:before="0" w:after="0"/>
        <w:ind w:left="103" w:right="120" w:firstLine="223"/>
        <w:jc w:val="both"/>
        <w:rPr>
          <w:sz w:val="23"/>
        </w:rPr>
      </w:pPr>
      <w:r>
        <w:rPr>
          <w:color w:val="231F20"/>
          <w:sz w:val="23"/>
        </w:rPr>
        <w:t>Mr. Speaker, Honourable Members, Government is being deliberate with</w:t>
      </w:r>
      <w:r>
        <w:rPr>
          <w:color w:val="231F20"/>
          <w:spacing w:val="-27"/>
          <w:sz w:val="23"/>
        </w:rPr>
        <w:t> </w:t>
      </w:r>
      <w:r>
        <w:rPr>
          <w:color w:val="231F20"/>
          <w:sz w:val="23"/>
        </w:rPr>
        <w:t>the scope and speed at which measures aimed at unleashing the full potential of our tourism</w:t>
      </w:r>
      <w:r>
        <w:rPr>
          <w:color w:val="231F20"/>
          <w:spacing w:val="-27"/>
          <w:sz w:val="23"/>
        </w:rPr>
        <w:t> </w:t>
      </w:r>
      <w:r>
        <w:rPr>
          <w:color w:val="231F20"/>
          <w:sz w:val="23"/>
        </w:rPr>
        <w:t>sector</w:t>
      </w:r>
      <w:r>
        <w:rPr>
          <w:color w:val="231F20"/>
          <w:spacing w:val="-27"/>
          <w:sz w:val="23"/>
        </w:rPr>
        <w:t> </w:t>
      </w:r>
      <w:r>
        <w:rPr>
          <w:color w:val="231F20"/>
          <w:sz w:val="23"/>
        </w:rPr>
        <w:t>are</w:t>
      </w:r>
      <w:r>
        <w:rPr>
          <w:color w:val="231F20"/>
          <w:spacing w:val="-27"/>
          <w:sz w:val="23"/>
        </w:rPr>
        <w:t> </w:t>
      </w:r>
      <w:r>
        <w:rPr>
          <w:color w:val="231F20"/>
          <w:sz w:val="23"/>
        </w:rPr>
        <w:t>being</w:t>
      </w:r>
      <w:r>
        <w:rPr>
          <w:color w:val="231F20"/>
          <w:spacing w:val="-27"/>
          <w:sz w:val="23"/>
        </w:rPr>
        <w:t> </w:t>
      </w:r>
      <w:r>
        <w:rPr>
          <w:color w:val="231F20"/>
          <w:sz w:val="23"/>
        </w:rPr>
        <w:t>implemented.</w:t>
      </w:r>
      <w:r>
        <w:rPr>
          <w:color w:val="231F20"/>
          <w:spacing w:val="-27"/>
          <w:sz w:val="23"/>
        </w:rPr>
        <w:t> </w:t>
      </w:r>
      <w:r>
        <w:rPr>
          <w:color w:val="231F20"/>
          <w:sz w:val="23"/>
        </w:rPr>
        <w:t>We</w:t>
      </w:r>
      <w:r>
        <w:rPr>
          <w:color w:val="231F20"/>
          <w:spacing w:val="-27"/>
          <w:sz w:val="23"/>
        </w:rPr>
        <w:t> </w:t>
      </w:r>
      <w:r>
        <w:rPr>
          <w:color w:val="231F20"/>
          <w:sz w:val="23"/>
        </w:rPr>
        <w:t>have</w:t>
      </w:r>
      <w:r>
        <w:rPr>
          <w:color w:val="231F20"/>
          <w:spacing w:val="-27"/>
          <w:sz w:val="23"/>
        </w:rPr>
        <w:t> </w:t>
      </w:r>
      <w:r>
        <w:rPr>
          <w:color w:val="231F20"/>
          <w:sz w:val="23"/>
        </w:rPr>
        <w:t>embarked</w:t>
      </w:r>
      <w:r>
        <w:rPr>
          <w:color w:val="231F20"/>
          <w:spacing w:val="-27"/>
          <w:sz w:val="23"/>
        </w:rPr>
        <w:t> </w:t>
      </w:r>
      <w:r>
        <w:rPr>
          <w:color w:val="231F20"/>
          <w:sz w:val="23"/>
        </w:rPr>
        <w:t>on</w:t>
      </w:r>
      <w:r>
        <w:rPr>
          <w:color w:val="231F20"/>
          <w:spacing w:val="-27"/>
          <w:sz w:val="23"/>
        </w:rPr>
        <w:t> </w:t>
      </w:r>
      <w:r>
        <w:rPr>
          <w:color w:val="231F20"/>
          <w:sz w:val="23"/>
        </w:rPr>
        <w:t>an</w:t>
      </w:r>
      <w:r>
        <w:rPr>
          <w:color w:val="231F20"/>
          <w:spacing w:val="-27"/>
          <w:sz w:val="23"/>
        </w:rPr>
        <w:t> </w:t>
      </w:r>
      <w:r>
        <w:rPr>
          <w:color w:val="231F20"/>
          <w:sz w:val="23"/>
        </w:rPr>
        <w:t>aggressive</w:t>
      </w:r>
      <w:r>
        <w:rPr>
          <w:color w:val="231F20"/>
          <w:spacing w:val="-27"/>
          <w:sz w:val="23"/>
        </w:rPr>
        <w:t> </w:t>
      </w:r>
      <w:r>
        <w:rPr>
          <w:color w:val="231F20"/>
          <w:sz w:val="23"/>
        </w:rPr>
        <w:t>marketing campaign</w:t>
      </w:r>
      <w:r>
        <w:rPr>
          <w:color w:val="231F20"/>
          <w:spacing w:val="-22"/>
          <w:sz w:val="23"/>
        </w:rPr>
        <w:t> </w:t>
      </w:r>
      <w:r>
        <w:rPr>
          <w:color w:val="231F20"/>
          <w:sz w:val="23"/>
        </w:rPr>
        <w:t>to</w:t>
      </w:r>
      <w:r>
        <w:rPr>
          <w:color w:val="231F20"/>
          <w:spacing w:val="-22"/>
          <w:sz w:val="23"/>
        </w:rPr>
        <w:t> </w:t>
      </w:r>
      <w:r>
        <w:rPr>
          <w:color w:val="231F20"/>
          <w:sz w:val="23"/>
        </w:rPr>
        <w:t>rebrand</w:t>
      </w:r>
      <w:r>
        <w:rPr>
          <w:color w:val="231F20"/>
          <w:spacing w:val="-22"/>
          <w:sz w:val="23"/>
        </w:rPr>
        <w:t> </w:t>
      </w:r>
      <w:r>
        <w:rPr>
          <w:color w:val="231F20"/>
          <w:sz w:val="23"/>
        </w:rPr>
        <w:t>our</w:t>
      </w:r>
      <w:r>
        <w:rPr>
          <w:color w:val="231F20"/>
          <w:spacing w:val="-22"/>
          <w:sz w:val="23"/>
        </w:rPr>
        <w:t> </w:t>
      </w:r>
      <w:r>
        <w:rPr>
          <w:color w:val="231F20"/>
          <w:sz w:val="23"/>
        </w:rPr>
        <w:t>country’s</w:t>
      </w:r>
      <w:r>
        <w:rPr>
          <w:color w:val="231F20"/>
          <w:spacing w:val="-22"/>
          <w:sz w:val="23"/>
        </w:rPr>
        <w:t> </w:t>
      </w:r>
      <w:r>
        <w:rPr>
          <w:color w:val="231F20"/>
          <w:sz w:val="23"/>
        </w:rPr>
        <w:t>image</w:t>
      </w:r>
      <w:r>
        <w:rPr>
          <w:color w:val="231F20"/>
          <w:spacing w:val="-21"/>
          <w:sz w:val="23"/>
        </w:rPr>
        <w:t> </w:t>
      </w:r>
      <w:r>
        <w:rPr>
          <w:color w:val="231F20"/>
          <w:sz w:val="23"/>
        </w:rPr>
        <w:t>and</w:t>
      </w:r>
      <w:r>
        <w:rPr>
          <w:color w:val="231F20"/>
          <w:spacing w:val="-22"/>
          <w:sz w:val="23"/>
        </w:rPr>
        <w:t> </w:t>
      </w:r>
      <w:r>
        <w:rPr>
          <w:color w:val="231F20"/>
          <w:sz w:val="23"/>
        </w:rPr>
        <w:t>boost</w:t>
      </w:r>
      <w:r>
        <w:rPr>
          <w:color w:val="231F20"/>
          <w:spacing w:val="-22"/>
          <w:sz w:val="23"/>
        </w:rPr>
        <w:t> </w:t>
      </w:r>
      <w:r>
        <w:rPr>
          <w:color w:val="231F20"/>
          <w:sz w:val="23"/>
        </w:rPr>
        <w:t>tourism</w:t>
      </w:r>
      <w:r>
        <w:rPr>
          <w:color w:val="231F20"/>
          <w:spacing w:val="-22"/>
          <w:sz w:val="23"/>
        </w:rPr>
        <w:t> </w:t>
      </w:r>
      <w:r>
        <w:rPr>
          <w:color w:val="231F20"/>
          <w:sz w:val="23"/>
        </w:rPr>
        <w:t>to</w:t>
      </w:r>
      <w:r>
        <w:rPr>
          <w:color w:val="231F20"/>
          <w:spacing w:val="-22"/>
          <w:sz w:val="23"/>
        </w:rPr>
        <w:t> </w:t>
      </w:r>
      <w:r>
        <w:rPr>
          <w:color w:val="231F20"/>
          <w:sz w:val="23"/>
        </w:rPr>
        <w:t>grow</w:t>
      </w:r>
      <w:r>
        <w:rPr>
          <w:color w:val="231F20"/>
          <w:spacing w:val="-22"/>
          <w:sz w:val="23"/>
        </w:rPr>
        <w:t> </w:t>
      </w:r>
      <w:r>
        <w:rPr>
          <w:color w:val="231F20"/>
          <w:sz w:val="23"/>
        </w:rPr>
        <w:t>the</w:t>
      </w:r>
      <w:r>
        <w:rPr>
          <w:color w:val="231F20"/>
          <w:spacing w:val="-22"/>
          <w:sz w:val="23"/>
        </w:rPr>
        <w:t> </w:t>
      </w:r>
      <w:r>
        <w:rPr>
          <w:color w:val="231F20"/>
          <w:sz w:val="23"/>
        </w:rPr>
        <w:t>economy</w:t>
      </w:r>
      <w:r>
        <w:rPr>
          <w:color w:val="231F20"/>
          <w:spacing w:val="-22"/>
          <w:sz w:val="23"/>
        </w:rPr>
        <w:t> </w:t>
      </w:r>
      <w:r>
        <w:rPr>
          <w:color w:val="231F20"/>
          <w:sz w:val="23"/>
        </w:rPr>
        <w:t>and create</w:t>
      </w:r>
      <w:r>
        <w:rPr>
          <w:color w:val="231F20"/>
          <w:spacing w:val="15"/>
          <w:sz w:val="23"/>
        </w:rPr>
        <w:t> </w:t>
      </w:r>
      <w:r>
        <w:rPr>
          <w:color w:val="231F20"/>
          <w:sz w:val="23"/>
        </w:rPr>
        <w:t>jobs.</w:t>
      </w:r>
    </w:p>
    <w:p>
      <w:pPr>
        <w:pStyle w:val="BodyText"/>
        <w:spacing w:before="9"/>
        <w:rPr>
          <w:sz w:val="18"/>
        </w:rPr>
      </w:pPr>
    </w:p>
    <w:p>
      <w:pPr>
        <w:pStyle w:val="Heading1"/>
        <w:ind w:left="57" w:right="0"/>
      </w:pPr>
      <w:r>
        <w:rPr>
          <w:color w:val="231F20"/>
        </w:rPr>
        <w:t>3</w:t>
      </w:r>
    </w:p>
    <w:p>
      <w:pPr>
        <w:spacing w:after="0"/>
        <w:sectPr>
          <w:pgSz w:w="11900" w:h="16840"/>
          <w:pgMar w:top="1180" w:bottom="280" w:left="1140" w:right="1120"/>
        </w:sectPr>
      </w:pPr>
    </w:p>
    <w:p>
      <w:pPr>
        <w:pStyle w:val="ListParagraph"/>
        <w:numPr>
          <w:ilvl w:val="0"/>
          <w:numId w:val="2"/>
        </w:numPr>
        <w:tabs>
          <w:tab w:pos="953" w:val="left" w:leader="none"/>
          <w:tab w:pos="954" w:val="left" w:leader="none"/>
        </w:tabs>
        <w:spacing w:line="302" w:lineRule="auto" w:before="77" w:after="0"/>
        <w:ind w:left="103" w:right="118" w:firstLine="223"/>
        <w:jc w:val="left"/>
        <w:rPr>
          <w:sz w:val="23"/>
        </w:rPr>
      </w:pPr>
      <w:r>
        <w:rPr>
          <w:color w:val="231F20"/>
          <w:sz w:val="23"/>
        </w:rPr>
        <w:t>Mr. Speaker, Honourable Members, interventions in the sectors leading our economic diversification agenda are being facilitated by increased investments in energy, infrastructure and reforms to improve the business environment. Electricity supply has increased and is being extended to previously under-served areas</w:t>
      </w:r>
      <w:r>
        <w:rPr>
          <w:color w:val="231F20"/>
          <w:spacing w:val="-24"/>
          <w:sz w:val="23"/>
        </w:rPr>
        <w:t> </w:t>
      </w:r>
      <w:r>
        <w:rPr>
          <w:color w:val="231F20"/>
          <w:sz w:val="23"/>
        </w:rPr>
        <w:t>including</w:t>
      </w:r>
      <w:r>
        <w:rPr>
          <w:color w:val="231F20"/>
          <w:spacing w:val="-24"/>
          <w:sz w:val="23"/>
        </w:rPr>
        <w:t> </w:t>
      </w:r>
      <w:r>
        <w:rPr>
          <w:color w:val="231F20"/>
          <w:sz w:val="23"/>
        </w:rPr>
        <w:t>the</w:t>
      </w:r>
      <w:r>
        <w:rPr>
          <w:color w:val="231F20"/>
          <w:spacing w:val="-24"/>
          <w:sz w:val="23"/>
        </w:rPr>
        <w:t> </w:t>
      </w:r>
      <w:r>
        <w:rPr>
          <w:color w:val="231F20"/>
          <w:sz w:val="23"/>
        </w:rPr>
        <w:t>Lumley</w:t>
      </w:r>
      <w:r>
        <w:rPr>
          <w:color w:val="231F20"/>
          <w:spacing w:val="-24"/>
          <w:sz w:val="23"/>
        </w:rPr>
        <w:t> </w:t>
      </w:r>
      <w:r>
        <w:rPr>
          <w:color w:val="231F20"/>
          <w:sz w:val="23"/>
        </w:rPr>
        <w:t>Beach.</w:t>
      </w:r>
      <w:r>
        <w:rPr>
          <w:color w:val="231F20"/>
          <w:spacing w:val="-24"/>
          <w:sz w:val="23"/>
        </w:rPr>
        <w:t> </w:t>
      </w:r>
      <w:r>
        <w:rPr>
          <w:color w:val="231F20"/>
          <w:sz w:val="23"/>
        </w:rPr>
        <w:t>The</w:t>
      </w:r>
      <w:r>
        <w:rPr>
          <w:color w:val="231F20"/>
          <w:spacing w:val="-24"/>
          <w:sz w:val="23"/>
        </w:rPr>
        <w:t> </w:t>
      </w:r>
      <w:r>
        <w:rPr>
          <w:color w:val="231F20"/>
          <w:sz w:val="23"/>
        </w:rPr>
        <w:t>rehabilitation</w:t>
      </w:r>
      <w:r>
        <w:rPr>
          <w:color w:val="231F20"/>
          <w:spacing w:val="-24"/>
          <w:sz w:val="23"/>
        </w:rPr>
        <w:t> </w:t>
      </w:r>
      <w:r>
        <w:rPr>
          <w:color w:val="231F20"/>
          <w:sz w:val="23"/>
        </w:rPr>
        <w:t>of</w:t>
      </w:r>
      <w:r>
        <w:rPr>
          <w:color w:val="231F20"/>
          <w:spacing w:val="-24"/>
          <w:sz w:val="23"/>
        </w:rPr>
        <w:t> </w:t>
      </w:r>
      <w:r>
        <w:rPr>
          <w:color w:val="231F20"/>
          <w:sz w:val="23"/>
        </w:rPr>
        <w:t>key</w:t>
      </w:r>
      <w:r>
        <w:rPr>
          <w:color w:val="231F20"/>
          <w:spacing w:val="-24"/>
          <w:sz w:val="23"/>
        </w:rPr>
        <w:t> </w:t>
      </w:r>
      <w:r>
        <w:rPr>
          <w:color w:val="231F20"/>
          <w:sz w:val="23"/>
        </w:rPr>
        <w:t>trunk</w:t>
      </w:r>
      <w:r>
        <w:rPr>
          <w:color w:val="231F20"/>
          <w:spacing w:val="-24"/>
          <w:sz w:val="23"/>
        </w:rPr>
        <w:t> </w:t>
      </w:r>
      <w:r>
        <w:rPr>
          <w:color w:val="231F20"/>
          <w:sz w:val="23"/>
        </w:rPr>
        <w:t>roads</w:t>
      </w:r>
      <w:r>
        <w:rPr>
          <w:color w:val="231F20"/>
          <w:spacing w:val="-24"/>
          <w:sz w:val="23"/>
        </w:rPr>
        <w:t> </w:t>
      </w:r>
      <w:r>
        <w:rPr>
          <w:color w:val="231F20"/>
          <w:sz w:val="23"/>
        </w:rPr>
        <w:t>including</w:t>
      </w:r>
      <w:r>
        <w:rPr>
          <w:color w:val="231F20"/>
          <w:spacing w:val="-24"/>
          <w:sz w:val="23"/>
        </w:rPr>
        <w:t> </w:t>
      </w:r>
      <w:r>
        <w:rPr>
          <w:color w:val="231F20"/>
          <w:sz w:val="23"/>
        </w:rPr>
        <w:t>the Pendembu-Kailahun, Bo-Bandajuma, Hillside Bypass Road Phase II, Limkokwing- Regent Road, Hill Cot Road, and Lumley-Tokeh Road, are all in progress.</w:t>
      </w:r>
    </w:p>
    <w:p>
      <w:pPr>
        <w:pStyle w:val="BodyText"/>
        <w:rPr>
          <w:sz w:val="29"/>
        </w:rPr>
      </w:pPr>
    </w:p>
    <w:p>
      <w:pPr>
        <w:pStyle w:val="ListParagraph"/>
        <w:numPr>
          <w:ilvl w:val="0"/>
          <w:numId w:val="2"/>
        </w:numPr>
        <w:tabs>
          <w:tab w:pos="954" w:val="left" w:leader="none"/>
        </w:tabs>
        <w:spacing w:line="302" w:lineRule="auto" w:before="0" w:after="0"/>
        <w:ind w:left="103" w:right="118" w:firstLine="223"/>
        <w:jc w:val="both"/>
        <w:rPr>
          <w:sz w:val="23"/>
        </w:rPr>
      </w:pPr>
      <w:r>
        <w:rPr>
          <w:color w:val="231F20"/>
          <w:sz w:val="23"/>
        </w:rPr>
        <w:t>Mr.</w:t>
      </w:r>
      <w:r>
        <w:rPr>
          <w:color w:val="231F20"/>
          <w:spacing w:val="-44"/>
          <w:sz w:val="23"/>
        </w:rPr>
        <w:t> </w:t>
      </w:r>
      <w:r>
        <w:rPr>
          <w:color w:val="231F20"/>
          <w:sz w:val="23"/>
        </w:rPr>
        <w:t>Speaker,</w:t>
      </w:r>
      <w:r>
        <w:rPr>
          <w:color w:val="231F20"/>
          <w:spacing w:val="-44"/>
          <w:sz w:val="23"/>
        </w:rPr>
        <w:t> </w:t>
      </w:r>
      <w:r>
        <w:rPr>
          <w:color w:val="231F20"/>
          <w:sz w:val="23"/>
        </w:rPr>
        <w:t>Honourable</w:t>
      </w:r>
      <w:r>
        <w:rPr>
          <w:color w:val="231F20"/>
          <w:spacing w:val="-43"/>
          <w:sz w:val="23"/>
        </w:rPr>
        <w:t> </w:t>
      </w:r>
      <w:r>
        <w:rPr>
          <w:color w:val="231F20"/>
          <w:sz w:val="23"/>
        </w:rPr>
        <w:t>Members,</w:t>
      </w:r>
      <w:r>
        <w:rPr>
          <w:color w:val="231F20"/>
          <w:spacing w:val="-44"/>
          <w:sz w:val="23"/>
        </w:rPr>
        <w:t> </w:t>
      </w:r>
      <w:r>
        <w:rPr>
          <w:color w:val="231F20"/>
          <w:sz w:val="23"/>
        </w:rPr>
        <w:t>building</w:t>
      </w:r>
      <w:r>
        <w:rPr>
          <w:color w:val="231F20"/>
          <w:spacing w:val="-43"/>
          <w:sz w:val="23"/>
        </w:rPr>
        <w:t> </w:t>
      </w:r>
      <w:r>
        <w:rPr>
          <w:color w:val="231F20"/>
          <w:sz w:val="23"/>
        </w:rPr>
        <w:t>on</w:t>
      </w:r>
      <w:r>
        <w:rPr>
          <w:color w:val="231F20"/>
          <w:spacing w:val="-44"/>
          <w:sz w:val="23"/>
        </w:rPr>
        <w:t> </w:t>
      </w:r>
      <w:r>
        <w:rPr>
          <w:color w:val="231F20"/>
          <w:sz w:val="23"/>
        </w:rPr>
        <w:t>these</w:t>
      </w:r>
      <w:r>
        <w:rPr>
          <w:color w:val="231F20"/>
          <w:spacing w:val="-43"/>
          <w:sz w:val="23"/>
        </w:rPr>
        <w:t> </w:t>
      </w:r>
      <w:r>
        <w:rPr>
          <w:color w:val="231F20"/>
          <w:sz w:val="23"/>
        </w:rPr>
        <w:t>reforms,</w:t>
      </w:r>
      <w:r>
        <w:rPr>
          <w:color w:val="231F20"/>
          <w:spacing w:val="-44"/>
          <w:sz w:val="23"/>
        </w:rPr>
        <w:t> </w:t>
      </w:r>
      <w:r>
        <w:rPr>
          <w:color w:val="231F20"/>
          <w:sz w:val="23"/>
        </w:rPr>
        <w:t>the</w:t>
      </w:r>
      <w:r>
        <w:rPr>
          <w:color w:val="231F20"/>
          <w:spacing w:val="-43"/>
          <w:sz w:val="23"/>
        </w:rPr>
        <w:t> </w:t>
      </w:r>
      <w:r>
        <w:rPr>
          <w:color w:val="231F20"/>
          <w:sz w:val="23"/>
        </w:rPr>
        <w:t>Government has also intensified the fight against corruption to restore confidence in the public sector.</w:t>
      </w:r>
      <w:r>
        <w:rPr>
          <w:color w:val="231F20"/>
          <w:spacing w:val="-43"/>
          <w:sz w:val="23"/>
        </w:rPr>
        <w:t> </w:t>
      </w:r>
      <w:r>
        <w:rPr>
          <w:color w:val="231F20"/>
          <w:sz w:val="23"/>
        </w:rPr>
        <w:t>I</w:t>
      </w:r>
      <w:r>
        <w:rPr>
          <w:color w:val="231F20"/>
          <w:spacing w:val="-43"/>
          <w:sz w:val="23"/>
        </w:rPr>
        <w:t> </w:t>
      </w:r>
      <w:r>
        <w:rPr>
          <w:color w:val="231F20"/>
          <w:sz w:val="23"/>
        </w:rPr>
        <w:t>want</w:t>
      </w:r>
      <w:r>
        <w:rPr>
          <w:color w:val="231F20"/>
          <w:spacing w:val="-43"/>
          <w:sz w:val="23"/>
        </w:rPr>
        <w:t> </w:t>
      </w:r>
      <w:r>
        <w:rPr>
          <w:color w:val="231F20"/>
          <w:sz w:val="23"/>
        </w:rPr>
        <w:t>to</w:t>
      </w:r>
      <w:r>
        <w:rPr>
          <w:color w:val="231F20"/>
          <w:spacing w:val="-43"/>
          <w:sz w:val="23"/>
        </w:rPr>
        <w:t> </w:t>
      </w:r>
      <w:r>
        <w:rPr>
          <w:color w:val="231F20"/>
          <w:sz w:val="23"/>
        </w:rPr>
        <w:t>thank</w:t>
      </w:r>
      <w:r>
        <w:rPr>
          <w:color w:val="231F20"/>
          <w:spacing w:val="-43"/>
          <w:sz w:val="23"/>
        </w:rPr>
        <w:t> </w:t>
      </w:r>
      <w:r>
        <w:rPr>
          <w:color w:val="231F20"/>
          <w:sz w:val="23"/>
        </w:rPr>
        <w:t>this</w:t>
      </w:r>
      <w:r>
        <w:rPr>
          <w:color w:val="231F20"/>
          <w:spacing w:val="-43"/>
          <w:sz w:val="23"/>
        </w:rPr>
        <w:t> </w:t>
      </w:r>
      <w:r>
        <w:rPr>
          <w:color w:val="231F20"/>
          <w:sz w:val="23"/>
        </w:rPr>
        <w:t>Honourable</w:t>
      </w:r>
      <w:r>
        <w:rPr>
          <w:color w:val="231F20"/>
          <w:spacing w:val="-43"/>
          <w:sz w:val="23"/>
        </w:rPr>
        <w:t> </w:t>
      </w:r>
      <w:r>
        <w:rPr>
          <w:color w:val="231F20"/>
          <w:sz w:val="23"/>
        </w:rPr>
        <w:t>House</w:t>
      </w:r>
      <w:r>
        <w:rPr>
          <w:color w:val="231F20"/>
          <w:spacing w:val="-43"/>
          <w:sz w:val="23"/>
        </w:rPr>
        <w:t> </w:t>
      </w:r>
      <w:r>
        <w:rPr>
          <w:color w:val="231F20"/>
          <w:sz w:val="23"/>
        </w:rPr>
        <w:t>for</w:t>
      </w:r>
      <w:r>
        <w:rPr>
          <w:color w:val="231F20"/>
          <w:spacing w:val="-42"/>
          <w:sz w:val="23"/>
        </w:rPr>
        <w:t> </w:t>
      </w:r>
      <w:r>
        <w:rPr>
          <w:color w:val="231F20"/>
          <w:sz w:val="23"/>
        </w:rPr>
        <w:t>approving</w:t>
      </w:r>
      <w:r>
        <w:rPr>
          <w:color w:val="231F20"/>
          <w:spacing w:val="-43"/>
          <w:sz w:val="23"/>
        </w:rPr>
        <w:t> </w:t>
      </w:r>
      <w:r>
        <w:rPr>
          <w:color w:val="231F20"/>
          <w:sz w:val="23"/>
        </w:rPr>
        <w:t>the</w:t>
      </w:r>
      <w:r>
        <w:rPr>
          <w:color w:val="231F20"/>
          <w:spacing w:val="-43"/>
          <w:sz w:val="23"/>
        </w:rPr>
        <w:t> </w:t>
      </w:r>
      <w:r>
        <w:rPr>
          <w:color w:val="231F20"/>
          <w:sz w:val="23"/>
        </w:rPr>
        <w:t>amendment</w:t>
      </w:r>
      <w:r>
        <w:rPr>
          <w:color w:val="231F20"/>
          <w:spacing w:val="-43"/>
          <w:sz w:val="23"/>
        </w:rPr>
        <w:t> </w:t>
      </w:r>
      <w:r>
        <w:rPr>
          <w:color w:val="231F20"/>
          <w:sz w:val="23"/>
        </w:rPr>
        <w:t>to</w:t>
      </w:r>
      <w:r>
        <w:rPr>
          <w:color w:val="231F20"/>
          <w:spacing w:val="-43"/>
          <w:sz w:val="23"/>
        </w:rPr>
        <w:t> </w:t>
      </w:r>
      <w:r>
        <w:rPr>
          <w:color w:val="231F20"/>
          <w:sz w:val="23"/>
        </w:rPr>
        <w:t>the</w:t>
      </w:r>
      <w:r>
        <w:rPr>
          <w:color w:val="231F20"/>
          <w:spacing w:val="-43"/>
          <w:sz w:val="23"/>
        </w:rPr>
        <w:t> </w:t>
      </w:r>
      <w:r>
        <w:rPr>
          <w:color w:val="231F20"/>
          <w:sz w:val="23"/>
        </w:rPr>
        <w:t>Anti- Corruption Act 2008, which provides a robust legal framework for the eradication</w:t>
      </w:r>
      <w:r>
        <w:rPr>
          <w:color w:val="231F20"/>
          <w:spacing w:val="-47"/>
          <w:sz w:val="23"/>
        </w:rPr>
        <w:t> </w:t>
      </w:r>
      <w:r>
        <w:rPr>
          <w:color w:val="231F20"/>
          <w:sz w:val="23"/>
        </w:rPr>
        <w:t>of </w:t>
      </w:r>
      <w:r>
        <w:rPr>
          <w:color w:val="231F20"/>
          <w:spacing w:val="-4"/>
          <w:sz w:val="23"/>
        </w:rPr>
        <w:t>corruption</w:t>
      </w:r>
      <w:r>
        <w:rPr>
          <w:color w:val="231F20"/>
          <w:spacing w:val="-42"/>
          <w:sz w:val="23"/>
        </w:rPr>
        <w:t> </w:t>
      </w:r>
      <w:r>
        <w:rPr>
          <w:color w:val="231F20"/>
          <w:spacing w:val="-3"/>
          <w:sz w:val="23"/>
        </w:rPr>
        <w:t>and</w:t>
      </w:r>
      <w:r>
        <w:rPr>
          <w:color w:val="231F20"/>
          <w:spacing w:val="-42"/>
          <w:sz w:val="23"/>
        </w:rPr>
        <w:t> </w:t>
      </w:r>
      <w:r>
        <w:rPr>
          <w:color w:val="231F20"/>
          <w:spacing w:val="-4"/>
          <w:sz w:val="23"/>
        </w:rPr>
        <w:t>further</w:t>
      </w:r>
      <w:r>
        <w:rPr>
          <w:color w:val="231F20"/>
          <w:spacing w:val="-42"/>
          <w:sz w:val="23"/>
        </w:rPr>
        <w:t> </w:t>
      </w:r>
      <w:r>
        <w:rPr>
          <w:color w:val="231F20"/>
          <w:spacing w:val="-4"/>
          <w:sz w:val="23"/>
        </w:rPr>
        <w:t>enhances</w:t>
      </w:r>
      <w:r>
        <w:rPr>
          <w:color w:val="231F20"/>
          <w:spacing w:val="-42"/>
          <w:sz w:val="23"/>
        </w:rPr>
        <w:t> </w:t>
      </w:r>
      <w:r>
        <w:rPr>
          <w:color w:val="231F20"/>
          <w:spacing w:val="-3"/>
          <w:sz w:val="23"/>
        </w:rPr>
        <w:t>our</w:t>
      </w:r>
      <w:r>
        <w:rPr>
          <w:color w:val="231F20"/>
          <w:spacing w:val="-42"/>
          <w:sz w:val="23"/>
        </w:rPr>
        <w:t> </w:t>
      </w:r>
      <w:r>
        <w:rPr>
          <w:color w:val="231F20"/>
          <w:spacing w:val="-4"/>
          <w:sz w:val="23"/>
        </w:rPr>
        <w:t>ability</w:t>
      </w:r>
      <w:r>
        <w:rPr>
          <w:color w:val="231F20"/>
          <w:spacing w:val="-42"/>
          <w:sz w:val="23"/>
        </w:rPr>
        <w:t> </w:t>
      </w:r>
      <w:r>
        <w:rPr>
          <w:color w:val="231F20"/>
          <w:sz w:val="23"/>
        </w:rPr>
        <w:t>to</w:t>
      </w:r>
      <w:r>
        <w:rPr>
          <w:color w:val="231F20"/>
          <w:spacing w:val="-42"/>
          <w:sz w:val="23"/>
        </w:rPr>
        <w:t> </w:t>
      </w:r>
      <w:r>
        <w:rPr>
          <w:color w:val="231F20"/>
          <w:spacing w:val="-4"/>
          <w:sz w:val="23"/>
        </w:rPr>
        <w:t>achieve</w:t>
      </w:r>
      <w:r>
        <w:rPr>
          <w:color w:val="231F20"/>
          <w:spacing w:val="-42"/>
          <w:sz w:val="23"/>
        </w:rPr>
        <w:t> </w:t>
      </w:r>
      <w:r>
        <w:rPr>
          <w:color w:val="231F20"/>
          <w:spacing w:val="-4"/>
          <w:sz w:val="23"/>
        </w:rPr>
        <w:t>inclusive</w:t>
      </w:r>
      <w:r>
        <w:rPr>
          <w:color w:val="231F20"/>
          <w:spacing w:val="-42"/>
          <w:sz w:val="23"/>
        </w:rPr>
        <w:t> </w:t>
      </w:r>
      <w:r>
        <w:rPr>
          <w:color w:val="231F20"/>
          <w:spacing w:val="-4"/>
          <w:sz w:val="23"/>
        </w:rPr>
        <w:t>growth</w:t>
      </w:r>
      <w:r>
        <w:rPr>
          <w:color w:val="231F20"/>
          <w:spacing w:val="-42"/>
          <w:sz w:val="23"/>
        </w:rPr>
        <w:t> </w:t>
      </w:r>
      <w:r>
        <w:rPr>
          <w:color w:val="231F20"/>
          <w:spacing w:val="-3"/>
          <w:sz w:val="23"/>
        </w:rPr>
        <w:t>and</w:t>
      </w:r>
      <w:r>
        <w:rPr>
          <w:color w:val="231F20"/>
          <w:spacing w:val="-42"/>
          <w:sz w:val="23"/>
        </w:rPr>
        <w:t> </w:t>
      </w:r>
      <w:r>
        <w:rPr>
          <w:color w:val="231F20"/>
          <w:spacing w:val="-4"/>
          <w:sz w:val="23"/>
        </w:rPr>
        <w:t>development.</w:t>
      </w:r>
    </w:p>
    <w:p>
      <w:pPr>
        <w:pStyle w:val="BodyText"/>
        <w:spacing w:before="11"/>
        <w:rPr>
          <w:sz w:val="28"/>
        </w:rPr>
      </w:pPr>
    </w:p>
    <w:p>
      <w:pPr>
        <w:pStyle w:val="ListParagraph"/>
        <w:numPr>
          <w:ilvl w:val="0"/>
          <w:numId w:val="2"/>
        </w:numPr>
        <w:tabs>
          <w:tab w:pos="954" w:val="left" w:leader="none"/>
        </w:tabs>
        <w:spacing w:line="302" w:lineRule="auto" w:before="0" w:after="0"/>
        <w:ind w:left="103" w:right="118" w:firstLine="223"/>
        <w:jc w:val="both"/>
        <w:rPr>
          <w:sz w:val="23"/>
        </w:rPr>
      </w:pPr>
      <w:r>
        <w:rPr>
          <w:color w:val="231F20"/>
          <w:sz w:val="23"/>
        </w:rPr>
        <w:t>Mr. Speaker, Honourable Members, it is this progress in the fight against corruption and wider governance reforms that has resulted in Sierra Leone passing the scorecard of the Millennium Challenge Corporation (MCC). Sierra Leone is now eligible</w:t>
      </w:r>
      <w:r>
        <w:rPr>
          <w:color w:val="231F20"/>
          <w:spacing w:val="-6"/>
          <w:sz w:val="23"/>
        </w:rPr>
        <w:t> </w:t>
      </w:r>
      <w:r>
        <w:rPr>
          <w:color w:val="231F20"/>
          <w:sz w:val="23"/>
        </w:rPr>
        <w:t>for</w:t>
      </w:r>
      <w:r>
        <w:rPr>
          <w:color w:val="231F20"/>
          <w:spacing w:val="-6"/>
          <w:sz w:val="23"/>
        </w:rPr>
        <w:t> </w:t>
      </w:r>
      <w:r>
        <w:rPr>
          <w:color w:val="231F20"/>
          <w:sz w:val="23"/>
        </w:rPr>
        <w:t>Compact</w:t>
      </w:r>
      <w:r>
        <w:rPr>
          <w:color w:val="231F20"/>
          <w:spacing w:val="-6"/>
          <w:sz w:val="23"/>
        </w:rPr>
        <w:t> </w:t>
      </w:r>
      <w:r>
        <w:rPr>
          <w:color w:val="231F20"/>
          <w:sz w:val="23"/>
        </w:rPr>
        <w:t>Funding</w:t>
      </w:r>
      <w:r>
        <w:rPr>
          <w:color w:val="231F20"/>
          <w:spacing w:val="-6"/>
          <w:sz w:val="23"/>
        </w:rPr>
        <w:t> </w:t>
      </w:r>
      <w:r>
        <w:rPr>
          <w:color w:val="231F20"/>
          <w:sz w:val="23"/>
        </w:rPr>
        <w:t>of</w:t>
      </w:r>
      <w:r>
        <w:rPr>
          <w:color w:val="231F20"/>
          <w:spacing w:val="-6"/>
          <w:sz w:val="23"/>
        </w:rPr>
        <w:t> </w:t>
      </w:r>
      <w:r>
        <w:rPr>
          <w:color w:val="231F20"/>
          <w:sz w:val="23"/>
        </w:rPr>
        <w:t>up</w:t>
      </w:r>
      <w:r>
        <w:rPr>
          <w:color w:val="231F20"/>
          <w:spacing w:val="-6"/>
          <w:sz w:val="23"/>
        </w:rPr>
        <w:t> </w:t>
      </w:r>
      <w:r>
        <w:rPr>
          <w:color w:val="231F20"/>
          <w:sz w:val="23"/>
        </w:rPr>
        <w:t>to</w:t>
      </w:r>
      <w:r>
        <w:rPr>
          <w:color w:val="231F20"/>
          <w:spacing w:val="-6"/>
          <w:sz w:val="23"/>
        </w:rPr>
        <w:t> </w:t>
      </w:r>
      <w:r>
        <w:rPr>
          <w:color w:val="231F20"/>
          <w:sz w:val="23"/>
        </w:rPr>
        <w:t>US$600</w:t>
      </w:r>
      <w:r>
        <w:rPr>
          <w:color w:val="231F20"/>
          <w:spacing w:val="-6"/>
          <w:sz w:val="23"/>
        </w:rPr>
        <w:t> </w:t>
      </w:r>
      <w:r>
        <w:rPr>
          <w:color w:val="231F20"/>
          <w:sz w:val="23"/>
        </w:rPr>
        <w:t>million</w:t>
      </w:r>
      <w:r>
        <w:rPr>
          <w:color w:val="231F20"/>
          <w:spacing w:val="-6"/>
          <w:sz w:val="23"/>
        </w:rPr>
        <w:t> </w:t>
      </w:r>
      <w:r>
        <w:rPr>
          <w:color w:val="231F20"/>
          <w:sz w:val="23"/>
        </w:rPr>
        <w:t>from</w:t>
      </w:r>
      <w:r>
        <w:rPr>
          <w:color w:val="231F20"/>
          <w:spacing w:val="-6"/>
          <w:sz w:val="23"/>
        </w:rPr>
        <w:t> </w:t>
      </w:r>
      <w:r>
        <w:rPr>
          <w:color w:val="231F20"/>
          <w:sz w:val="23"/>
        </w:rPr>
        <w:t>the</w:t>
      </w:r>
      <w:r>
        <w:rPr>
          <w:color w:val="231F20"/>
          <w:spacing w:val="-6"/>
          <w:sz w:val="23"/>
        </w:rPr>
        <w:t> </w:t>
      </w:r>
      <w:r>
        <w:rPr>
          <w:color w:val="231F20"/>
          <w:sz w:val="23"/>
        </w:rPr>
        <w:t>MCC.</w:t>
      </w:r>
      <w:r>
        <w:rPr>
          <w:color w:val="231F20"/>
          <w:spacing w:val="-6"/>
          <w:sz w:val="23"/>
        </w:rPr>
        <w:t> </w:t>
      </w:r>
      <w:r>
        <w:rPr>
          <w:color w:val="231F20"/>
          <w:sz w:val="23"/>
        </w:rPr>
        <w:t>To</w:t>
      </w:r>
      <w:r>
        <w:rPr>
          <w:color w:val="231F20"/>
          <w:spacing w:val="-6"/>
          <w:sz w:val="23"/>
        </w:rPr>
        <w:t> </w:t>
      </w:r>
      <w:r>
        <w:rPr>
          <w:color w:val="231F20"/>
          <w:sz w:val="23"/>
        </w:rPr>
        <w:t>sustain</w:t>
      </w:r>
      <w:r>
        <w:rPr>
          <w:color w:val="231F20"/>
          <w:spacing w:val="-6"/>
          <w:sz w:val="23"/>
        </w:rPr>
        <w:t> </w:t>
      </w:r>
      <w:r>
        <w:rPr>
          <w:color w:val="231F20"/>
          <w:sz w:val="23"/>
        </w:rPr>
        <w:t>this </w:t>
      </w:r>
      <w:r>
        <w:rPr>
          <w:color w:val="231F20"/>
          <w:spacing w:val="-4"/>
          <w:sz w:val="23"/>
        </w:rPr>
        <w:t>momentum,</w:t>
      </w:r>
      <w:r>
        <w:rPr>
          <w:color w:val="231F20"/>
          <w:spacing w:val="-42"/>
          <w:sz w:val="23"/>
        </w:rPr>
        <w:t> </w:t>
      </w:r>
      <w:r>
        <w:rPr>
          <w:color w:val="231F20"/>
          <w:spacing w:val="-3"/>
          <w:sz w:val="23"/>
        </w:rPr>
        <w:t>Government</w:t>
      </w:r>
      <w:r>
        <w:rPr>
          <w:color w:val="231F20"/>
          <w:spacing w:val="-41"/>
          <w:sz w:val="23"/>
        </w:rPr>
        <w:t> </w:t>
      </w:r>
      <w:r>
        <w:rPr>
          <w:color w:val="231F20"/>
          <w:spacing w:val="-3"/>
          <w:sz w:val="23"/>
        </w:rPr>
        <w:t>will</w:t>
      </w:r>
      <w:r>
        <w:rPr>
          <w:color w:val="231F20"/>
          <w:spacing w:val="-41"/>
          <w:sz w:val="23"/>
        </w:rPr>
        <w:t> </w:t>
      </w:r>
      <w:r>
        <w:rPr>
          <w:color w:val="231F20"/>
          <w:spacing w:val="-4"/>
          <w:sz w:val="23"/>
        </w:rPr>
        <w:t>continue</w:t>
      </w:r>
      <w:r>
        <w:rPr>
          <w:color w:val="231F20"/>
          <w:spacing w:val="-42"/>
          <w:sz w:val="23"/>
        </w:rPr>
        <w:t> </w:t>
      </w:r>
      <w:r>
        <w:rPr>
          <w:color w:val="231F20"/>
          <w:sz w:val="23"/>
        </w:rPr>
        <w:t>to</w:t>
      </w:r>
      <w:r>
        <w:rPr>
          <w:color w:val="231F20"/>
          <w:spacing w:val="-42"/>
          <w:sz w:val="23"/>
        </w:rPr>
        <w:t> </w:t>
      </w:r>
      <w:r>
        <w:rPr>
          <w:color w:val="231F20"/>
          <w:spacing w:val="-3"/>
          <w:sz w:val="23"/>
        </w:rPr>
        <w:t>implement</w:t>
      </w:r>
      <w:r>
        <w:rPr>
          <w:color w:val="231F20"/>
          <w:spacing w:val="-41"/>
          <w:sz w:val="23"/>
        </w:rPr>
        <w:t> </w:t>
      </w:r>
      <w:r>
        <w:rPr>
          <w:color w:val="231F20"/>
          <w:spacing w:val="-4"/>
          <w:sz w:val="23"/>
        </w:rPr>
        <w:t>reforms</w:t>
      </w:r>
      <w:r>
        <w:rPr>
          <w:color w:val="231F20"/>
          <w:spacing w:val="-41"/>
          <w:sz w:val="23"/>
        </w:rPr>
        <w:t> </w:t>
      </w:r>
      <w:r>
        <w:rPr>
          <w:color w:val="231F20"/>
          <w:spacing w:val="-3"/>
          <w:sz w:val="23"/>
        </w:rPr>
        <w:t>and</w:t>
      </w:r>
      <w:r>
        <w:rPr>
          <w:color w:val="231F20"/>
          <w:spacing w:val="-42"/>
          <w:sz w:val="23"/>
        </w:rPr>
        <w:t> </w:t>
      </w:r>
      <w:r>
        <w:rPr>
          <w:color w:val="231F20"/>
          <w:spacing w:val="-4"/>
          <w:sz w:val="23"/>
        </w:rPr>
        <w:t>undertake</w:t>
      </w:r>
      <w:r>
        <w:rPr>
          <w:color w:val="231F20"/>
          <w:spacing w:val="-42"/>
          <w:sz w:val="23"/>
        </w:rPr>
        <w:t> </w:t>
      </w:r>
      <w:r>
        <w:rPr>
          <w:color w:val="231F20"/>
          <w:spacing w:val="-4"/>
          <w:sz w:val="23"/>
        </w:rPr>
        <w:t>investments </w:t>
      </w:r>
      <w:r>
        <w:rPr>
          <w:color w:val="231F20"/>
          <w:sz w:val="23"/>
        </w:rPr>
        <w:t>to address existing infrastructure deficits in key</w:t>
      </w:r>
      <w:r>
        <w:rPr>
          <w:color w:val="231F20"/>
          <w:spacing w:val="17"/>
          <w:sz w:val="23"/>
        </w:rPr>
        <w:t> </w:t>
      </w:r>
      <w:r>
        <w:rPr>
          <w:color w:val="231F20"/>
          <w:sz w:val="23"/>
        </w:rPr>
        <w:t>sectors.</w:t>
      </w:r>
    </w:p>
    <w:p>
      <w:pPr>
        <w:pStyle w:val="BodyText"/>
        <w:spacing w:before="8"/>
        <w:rPr>
          <w:sz w:val="28"/>
        </w:rPr>
      </w:pPr>
    </w:p>
    <w:p>
      <w:pPr>
        <w:pStyle w:val="ListParagraph"/>
        <w:numPr>
          <w:ilvl w:val="0"/>
          <w:numId w:val="2"/>
        </w:numPr>
        <w:tabs>
          <w:tab w:pos="954" w:val="left" w:leader="none"/>
        </w:tabs>
        <w:spacing w:line="302" w:lineRule="auto" w:before="0" w:after="0"/>
        <w:ind w:left="103" w:right="117" w:firstLine="223"/>
        <w:jc w:val="both"/>
        <w:rPr>
          <w:sz w:val="23"/>
        </w:rPr>
      </w:pPr>
      <w:r>
        <w:rPr>
          <w:color w:val="231F20"/>
          <w:sz w:val="23"/>
        </w:rPr>
        <w:t>Mr. Speaker, Honourable Members, we cannot embark on an economic diversification</w:t>
      </w:r>
      <w:r>
        <w:rPr>
          <w:color w:val="231F20"/>
          <w:spacing w:val="-20"/>
          <w:sz w:val="23"/>
        </w:rPr>
        <w:t> </w:t>
      </w:r>
      <w:r>
        <w:rPr>
          <w:color w:val="231F20"/>
          <w:sz w:val="23"/>
        </w:rPr>
        <w:t>and</w:t>
      </w:r>
      <w:r>
        <w:rPr>
          <w:color w:val="231F20"/>
          <w:spacing w:val="-20"/>
          <w:sz w:val="23"/>
        </w:rPr>
        <w:t> </w:t>
      </w:r>
      <w:r>
        <w:rPr>
          <w:color w:val="231F20"/>
          <w:sz w:val="23"/>
        </w:rPr>
        <w:t>inclusive</w:t>
      </w:r>
      <w:r>
        <w:rPr>
          <w:color w:val="231F20"/>
          <w:spacing w:val="-20"/>
          <w:sz w:val="23"/>
        </w:rPr>
        <w:t> </w:t>
      </w:r>
      <w:r>
        <w:rPr>
          <w:color w:val="231F20"/>
          <w:sz w:val="23"/>
        </w:rPr>
        <w:t>growth</w:t>
      </w:r>
      <w:r>
        <w:rPr>
          <w:color w:val="231F20"/>
          <w:spacing w:val="-20"/>
          <w:sz w:val="23"/>
        </w:rPr>
        <w:t> </w:t>
      </w:r>
      <w:r>
        <w:rPr>
          <w:color w:val="231F20"/>
          <w:sz w:val="23"/>
        </w:rPr>
        <w:t>agenda</w:t>
      </w:r>
      <w:r>
        <w:rPr>
          <w:color w:val="231F20"/>
          <w:spacing w:val="-20"/>
          <w:sz w:val="23"/>
        </w:rPr>
        <w:t> </w:t>
      </w:r>
      <w:r>
        <w:rPr>
          <w:color w:val="231F20"/>
          <w:sz w:val="23"/>
        </w:rPr>
        <w:t>without</w:t>
      </w:r>
      <w:r>
        <w:rPr>
          <w:color w:val="231F20"/>
          <w:spacing w:val="-20"/>
          <w:sz w:val="23"/>
        </w:rPr>
        <w:t> </w:t>
      </w:r>
      <w:r>
        <w:rPr>
          <w:color w:val="231F20"/>
          <w:sz w:val="23"/>
        </w:rPr>
        <w:t>the</w:t>
      </w:r>
      <w:r>
        <w:rPr>
          <w:color w:val="231F20"/>
          <w:spacing w:val="-20"/>
          <w:sz w:val="23"/>
        </w:rPr>
        <w:t> </w:t>
      </w:r>
      <w:r>
        <w:rPr>
          <w:color w:val="231F20"/>
          <w:sz w:val="23"/>
        </w:rPr>
        <w:t>strengthening</w:t>
      </w:r>
      <w:r>
        <w:rPr>
          <w:color w:val="231F20"/>
          <w:spacing w:val="-20"/>
          <w:sz w:val="23"/>
        </w:rPr>
        <w:t> </w:t>
      </w:r>
      <w:r>
        <w:rPr>
          <w:color w:val="231F20"/>
          <w:sz w:val="23"/>
        </w:rPr>
        <w:t>and</w:t>
      </w:r>
      <w:r>
        <w:rPr>
          <w:color w:val="231F20"/>
          <w:spacing w:val="-20"/>
          <w:sz w:val="23"/>
        </w:rPr>
        <w:t> </w:t>
      </w:r>
      <w:r>
        <w:rPr>
          <w:color w:val="231F20"/>
          <w:sz w:val="23"/>
        </w:rPr>
        <w:t>deepening of our financial sector. Due to enhanced supervision by the Bank of Sierra Leone, including restrictions on unsecured lending to Politically Exposed Persons, the financial</w:t>
      </w:r>
      <w:r>
        <w:rPr>
          <w:color w:val="231F20"/>
          <w:spacing w:val="-17"/>
          <w:sz w:val="23"/>
        </w:rPr>
        <w:t> </w:t>
      </w:r>
      <w:r>
        <w:rPr>
          <w:color w:val="231F20"/>
          <w:sz w:val="23"/>
        </w:rPr>
        <w:t>situation</w:t>
      </w:r>
      <w:r>
        <w:rPr>
          <w:color w:val="231F20"/>
          <w:spacing w:val="-18"/>
          <w:sz w:val="23"/>
        </w:rPr>
        <w:t> </w:t>
      </w:r>
      <w:r>
        <w:rPr>
          <w:color w:val="231F20"/>
          <w:sz w:val="23"/>
        </w:rPr>
        <w:t>of</w:t>
      </w:r>
      <w:r>
        <w:rPr>
          <w:color w:val="231F20"/>
          <w:spacing w:val="-18"/>
          <w:sz w:val="23"/>
        </w:rPr>
        <w:t> </w:t>
      </w:r>
      <w:r>
        <w:rPr>
          <w:color w:val="231F20"/>
          <w:sz w:val="23"/>
        </w:rPr>
        <w:t>the</w:t>
      </w:r>
      <w:r>
        <w:rPr>
          <w:color w:val="231F20"/>
          <w:spacing w:val="-17"/>
          <w:sz w:val="23"/>
        </w:rPr>
        <w:t> </w:t>
      </w:r>
      <w:r>
        <w:rPr>
          <w:color w:val="231F20"/>
          <w:sz w:val="23"/>
        </w:rPr>
        <w:t>two-state</w:t>
      </w:r>
      <w:r>
        <w:rPr>
          <w:color w:val="231F20"/>
          <w:spacing w:val="-17"/>
          <w:sz w:val="23"/>
        </w:rPr>
        <w:t> </w:t>
      </w:r>
      <w:r>
        <w:rPr>
          <w:color w:val="231F20"/>
          <w:sz w:val="23"/>
        </w:rPr>
        <w:t>owned</w:t>
      </w:r>
      <w:r>
        <w:rPr>
          <w:color w:val="231F20"/>
          <w:spacing w:val="-18"/>
          <w:sz w:val="23"/>
        </w:rPr>
        <w:t> </w:t>
      </w:r>
      <w:r>
        <w:rPr>
          <w:color w:val="231F20"/>
          <w:sz w:val="23"/>
        </w:rPr>
        <w:t>Banks,</w:t>
      </w:r>
      <w:r>
        <w:rPr>
          <w:color w:val="231F20"/>
          <w:spacing w:val="-17"/>
          <w:sz w:val="23"/>
        </w:rPr>
        <w:t> </w:t>
      </w:r>
      <w:r>
        <w:rPr>
          <w:color w:val="231F20"/>
          <w:sz w:val="23"/>
        </w:rPr>
        <w:t>Sierra</w:t>
      </w:r>
      <w:r>
        <w:rPr>
          <w:color w:val="231F20"/>
          <w:spacing w:val="-18"/>
          <w:sz w:val="23"/>
        </w:rPr>
        <w:t> </w:t>
      </w:r>
      <w:r>
        <w:rPr>
          <w:color w:val="231F20"/>
          <w:sz w:val="23"/>
        </w:rPr>
        <w:t>Leone</w:t>
      </w:r>
      <w:r>
        <w:rPr>
          <w:color w:val="231F20"/>
          <w:spacing w:val="-18"/>
          <w:sz w:val="23"/>
        </w:rPr>
        <w:t> </w:t>
      </w:r>
      <w:r>
        <w:rPr>
          <w:color w:val="231F20"/>
          <w:sz w:val="23"/>
        </w:rPr>
        <w:t>Commercial</w:t>
      </w:r>
      <w:r>
        <w:rPr>
          <w:color w:val="231F20"/>
          <w:spacing w:val="-17"/>
          <w:sz w:val="23"/>
        </w:rPr>
        <w:t> </w:t>
      </w:r>
      <w:r>
        <w:rPr>
          <w:color w:val="231F20"/>
          <w:sz w:val="23"/>
        </w:rPr>
        <w:t>Bank</w:t>
      </w:r>
      <w:r>
        <w:rPr>
          <w:color w:val="231F20"/>
          <w:spacing w:val="-17"/>
          <w:sz w:val="23"/>
        </w:rPr>
        <w:t> </w:t>
      </w:r>
      <w:r>
        <w:rPr>
          <w:color w:val="231F20"/>
          <w:sz w:val="23"/>
        </w:rPr>
        <w:t>and Rokel</w:t>
      </w:r>
      <w:r>
        <w:rPr>
          <w:color w:val="231F20"/>
          <w:spacing w:val="-10"/>
          <w:sz w:val="23"/>
        </w:rPr>
        <w:t> </w:t>
      </w:r>
      <w:r>
        <w:rPr>
          <w:color w:val="231F20"/>
          <w:sz w:val="23"/>
        </w:rPr>
        <w:t>Commercial</w:t>
      </w:r>
      <w:r>
        <w:rPr>
          <w:color w:val="231F20"/>
          <w:spacing w:val="-9"/>
          <w:sz w:val="23"/>
        </w:rPr>
        <w:t> </w:t>
      </w:r>
      <w:r>
        <w:rPr>
          <w:color w:val="231F20"/>
          <w:sz w:val="23"/>
        </w:rPr>
        <w:t>Bank,</w:t>
      </w:r>
      <w:r>
        <w:rPr>
          <w:color w:val="231F20"/>
          <w:spacing w:val="-9"/>
          <w:sz w:val="23"/>
        </w:rPr>
        <w:t> </w:t>
      </w:r>
      <w:r>
        <w:rPr>
          <w:color w:val="231F20"/>
          <w:sz w:val="23"/>
        </w:rPr>
        <w:t>which</w:t>
      </w:r>
      <w:r>
        <w:rPr>
          <w:color w:val="231F20"/>
          <w:spacing w:val="-9"/>
          <w:sz w:val="23"/>
        </w:rPr>
        <w:t> </w:t>
      </w:r>
      <w:r>
        <w:rPr>
          <w:color w:val="231F20"/>
          <w:sz w:val="23"/>
        </w:rPr>
        <w:t>had</w:t>
      </w:r>
      <w:r>
        <w:rPr>
          <w:color w:val="231F20"/>
          <w:spacing w:val="-10"/>
          <w:sz w:val="23"/>
        </w:rPr>
        <w:t> </w:t>
      </w:r>
      <w:r>
        <w:rPr>
          <w:color w:val="231F20"/>
          <w:sz w:val="23"/>
        </w:rPr>
        <w:t>almost</w:t>
      </w:r>
      <w:r>
        <w:rPr>
          <w:color w:val="231F20"/>
          <w:spacing w:val="-9"/>
          <w:sz w:val="23"/>
        </w:rPr>
        <w:t> </w:t>
      </w:r>
      <w:r>
        <w:rPr>
          <w:color w:val="231F20"/>
          <w:sz w:val="23"/>
        </w:rPr>
        <w:t>collapsed,</w:t>
      </w:r>
      <w:r>
        <w:rPr>
          <w:color w:val="231F20"/>
          <w:spacing w:val="-9"/>
          <w:sz w:val="23"/>
        </w:rPr>
        <w:t> </w:t>
      </w:r>
      <w:r>
        <w:rPr>
          <w:color w:val="231F20"/>
          <w:sz w:val="23"/>
        </w:rPr>
        <w:t>is</w:t>
      </w:r>
      <w:r>
        <w:rPr>
          <w:color w:val="231F20"/>
          <w:spacing w:val="-9"/>
          <w:sz w:val="23"/>
        </w:rPr>
        <w:t> </w:t>
      </w:r>
      <w:r>
        <w:rPr>
          <w:color w:val="231F20"/>
          <w:sz w:val="23"/>
        </w:rPr>
        <w:t>improving.</w:t>
      </w:r>
      <w:r>
        <w:rPr>
          <w:color w:val="231F20"/>
          <w:spacing w:val="-9"/>
          <w:sz w:val="23"/>
        </w:rPr>
        <w:t> </w:t>
      </w:r>
      <w:r>
        <w:rPr>
          <w:color w:val="231F20"/>
          <w:sz w:val="23"/>
        </w:rPr>
        <w:t>These</w:t>
      </w:r>
      <w:r>
        <w:rPr>
          <w:color w:val="231F20"/>
          <w:spacing w:val="-9"/>
          <w:sz w:val="23"/>
        </w:rPr>
        <w:t> </w:t>
      </w:r>
      <w:r>
        <w:rPr>
          <w:color w:val="231F20"/>
          <w:sz w:val="23"/>
        </w:rPr>
        <w:t>banks</w:t>
      </w:r>
      <w:r>
        <w:rPr>
          <w:color w:val="231F20"/>
          <w:spacing w:val="-9"/>
          <w:sz w:val="23"/>
        </w:rPr>
        <w:t> </w:t>
      </w:r>
      <w:r>
        <w:rPr>
          <w:color w:val="231F20"/>
          <w:sz w:val="23"/>
        </w:rPr>
        <w:t>are now</w:t>
      </w:r>
      <w:r>
        <w:rPr>
          <w:color w:val="231F20"/>
          <w:spacing w:val="-29"/>
          <w:sz w:val="23"/>
        </w:rPr>
        <w:t> </w:t>
      </w:r>
      <w:r>
        <w:rPr>
          <w:color w:val="231F20"/>
          <w:sz w:val="23"/>
        </w:rPr>
        <w:t>in</w:t>
      </w:r>
      <w:r>
        <w:rPr>
          <w:color w:val="231F20"/>
          <w:spacing w:val="-29"/>
          <w:sz w:val="23"/>
        </w:rPr>
        <w:t> </w:t>
      </w:r>
      <w:r>
        <w:rPr>
          <w:color w:val="231F20"/>
          <w:sz w:val="23"/>
        </w:rPr>
        <w:t>a</w:t>
      </w:r>
      <w:r>
        <w:rPr>
          <w:color w:val="231F20"/>
          <w:spacing w:val="-29"/>
          <w:sz w:val="23"/>
        </w:rPr>
        <w:t> </w:t>
      </w:r>
      <w:r>
        <w:rPr>
          <w:color w:val="231F20"/>
          <w:sz w:val="23"/>
        </w:rPr>
        <w:t>position</w:t>
      </w:r>
      <w:r>
        <w:rPr>
          <w:color w:val="231F20"/>
          <w:spacing w:val="-29"/>
          <w:sz w:val="23"/>
        </w:rPr>
        <w:t> </w:t>
      </w:r>
      <w:r>
        <w:rPr>
          <w:color w:val="231F20"/>
          <w:sz w:val="23"/>
        </w:rPr>
        <w:t>to</w:t>
      </w:r>
      <w:r>
        <w:rPr>
          <w:color w:val="231F20"/>
          <w:spacing w:val="-29"/>
          <w:sz w:val="23"/>
        </w:rPr>
        <w:t> </w:t>
      </w:r>
      <w:r>
        <w:rPr>
          <w:color w:val="231F20"/>
          <w:sz w:val="23"/>
        </w:rPr>
        <w:t>pay</w:t>
      </w:r>
      <w:r>
        <w:rPr>
          <w:color w:val="231F20"/>
          <w:spacing w:val="-29"/>
          <w:sz w:val="23"/>
        </w:rPr>
        <w:t> </w:t>
      </w:r>
      <w:r>
        <w:rPr>
          <w:color w:val="231F20"/>
          <w:sz w:val="23"/>
        </w:rPr>
        <w:t>dividends</w:t>
      </w:r>
      <w:r>
        <w:rPr>
          <w:color w:val="231F20"/>
          <w:spacing w:val="-29"/>
          <w:sz w:val="23"/>
        </w:rPr>
        <w:t> </w:t>
      </w:r>
      <w:r>
        <w:rPr>
          <w:color w:val="231F20"/>
          <w:sz w:val="23"/>
        </w:rPr>
        <w:t>for</w:t>
      </w:r>
      <w:r>
        <w:rPr>
          <w:color w:val="231F20"/>
          <w:spacing w:val="-29"/>
          <w:sz w:val="23"/>
        </w:rPr>
        <w:t> </w:t>
      </w:r>
      <w:r>
        <w:rPr>
          <w:color w:val="231F20"/>
          <w:sz w:val="23"/>
        </w:rPr>
        <w:t>the</w:t>
      </w:r>
      <w:r>
        <w:rPr>
          <w:color w:val="231F20"/>
          <w:spacing w:val="-29"/>
          <w:sz w:val="23"/>
        </w:rPr>
        <w:t> </w:t>
      </w:r>
      <w:r>
        <w:rPr>
          <w:color w:val="231F20"/>
          <w:sz w:val="23"/>
        </w:rPr>
        <w:t>first</w:t>
      </w:r>
      <w:r>
        <w:rPr>
          <w:color w:val="231F20"/>
          <w:spacing w:val="-29"/>
          <w:sz w:val="23"/>
        </w:rPr>
        <w:t> </w:t>
      </w:r>
      <w:r>
        <w:rPr>
          <w:color w:val="231F20"/>
          <w:sz w:val="23"/>
        </w:rPr>
        <w:t>time</w:t>
      </w:r>
      <w:r>
        <w:rPr>
          <w:color w:val="231F20"/>
          <w:spacing w:val="-29"/>
          <w:sz w:val="23"/>
        </w:rPr>
        <w:t> </w:t>
      </w:r>
      <w:r>
        <w:rPr>
          <w:color w:val="231F20"/>
          <w:sz w:val="23"/>
        </w:rPr>
        <w:t>in</w:t>
      </w:r>
      <w:r>
        <w:rPr>
          <w:color w:val="231F20"/>
          <w:spacing w:val="-29"/>
          <w:sz w:val="23"/>
        </w:rPr>
        <w:t> </w:t>
      </w:r>
      <w:r>
        <w:rPr>
          <w:color w:val="231F20"/>
          <w:sz w:val="23"/>
        </w:rPr>
        <w:t>ten</w:t>
      </w:r>
      <w:r>
        <w:rPr>
          <w:color w:val="231F20"/>
          <w:spacing w:val="-29"/>
          <w:sz w:val="23"/>
        </w:rPr>
        <w:t> </w:t>
      </w:r>
      <w:r>
        <w:rPr>
          <w:color w:val="231F20"/>
          <w:sz w:val="23"/>
        </w:rPr>
        <w:t>(10)</w:t>
      </w:r>
      <w:r>
        <w:rPr>
          <w:color w:val="231F20"/>
          <w:spacing w:val="-29"/>
          <w:sz w:val="23"/>
        </w:rPr>
        <w:t> </w:t>
      </w:r>
      <w:r>
        <w:rPr>
          <w:color w:val="231F20"/>
          <w:sz w:val="23"/>
        </w:rPr>
        <w:t>years.</w:t>
      </w:r>
      <w:r>
        <w:rPr>
          <w:color w:val="231F20"/>
          <w:spacing w:val="-29"/>
          <w:sz w:val="23"/>
        </w:rPr>
        <w:t> </w:t>
      </w:r>
      <w:r>
        <w:rPr>
          <w:color w:val="231F20"/>
          <w:sz w:val="23"/>
        </w:rPr>
        <w:t>To</w:t>
      </w:r>
      <w:r>
        <w:rPr>
          <w:color w:val="231F20"/>
          <w:spacing w:val="-29"/>
          <w:sz w:val="23"/>
        </w:rPr>
        <w:t> </w:t>
      </w:r>
      <w:r>
        <w:rPr>
          <w:color w:val="231F20"/>
          <w:sz w:val="23"/>
        </w:rPr>
        <w:t>further</w:t>
      </w:r>
      <w:r>
        <w:rPr>
          <w:color w:val="231F20"/>
          <w:spacing w:val="-29"/>
          <w:sz w:val="23"/>
        </w:rPr>
        <w:t> </w:t>
      </w:r>
      <w:r>
        <w:rPr>
          <w:color w:val="231F20"/>
          <w:sz w:val="23"/>
        </w:rPr>
        <w:t>improve governance of the banks, Cabinet has approved the removal of supervision of these Banks</w:t>
      </w:r>
      <w:r>
        <w:rPr>
          <w:color w:val="231F20"/>
          <w:spacing w:val="-35"/>
          <w:sz w:val="23"/>
        </w:rPr>
        <w:t> </w:t>
      </w:r>
      <w:r>
        <w:rPr>
          <w:color w:val="231F20"/>
          <w:sz w:val="23"/>
        </w:rPr>
        <w:t>from</w:t>
      </w:r>
      <w:r>
        <w:rPr>
          <w:color w:val="231F20"/>
          <w:spacing w:val="-35"/>
          <w:sz w:val="23"/>
        </w:rPr>
        <w:t> </w:t>
      </w:r>
      <w:r>
        <w:rPr>
          <w:color w:val="231F20"/>
          <w:sz w:val="23"/>
        </w:rPr>
        <w:t>the</w:t>
      </w:r>
      <w:r>
        <w:rPr>
          <w:color w:val="231F20"/>
          <w:spacing w:val="-35"/>
          <w:sz w:val="23"/>
        </w:rPr>
        <w:t> </w:t>
      </w:r>
      <w:r>
        <w:rPr>
          <w:color w:val="231F20"/>
          <w:sz w:val="23"/>
        </w:rPr>
        <w:t>National</w:t>
      </w:r>
      <w:r>
        <w:rPr>
          <w:color w:val="231F20"/>
          <w:spacing w:val="-35"/>
          <w:sz w:val="23"/>
        </w:rPr>
        <w:t> </w:t>
      </w:r>
      <w:r>
        <w:rPr>
          <w:color w:val="231F20"/>
          <w:sz w:val="23"/>
        </w:rPr>
        <w:t>Commission</w:t>
      </w:r>
      <w:r>
        <w:rPr>
          <w:color w:val="231F20"/>
          <w:spacing w:val="-35"/>
          <w:sz w:val="23"/>
        </w:rPr>
        <w:t> </w:t>
      </w:r>
      <w:r>
        <w:rPr>
          <w:color w:val="231F20"/>
          <w:sz w:val="23"/>
        </w:rPr>
        <w:t>for</w:t>
      </w:r>
      <w:r>
        <w:rPr>
          <w:color w:val="231F20"/>
          <w:spacing w:val="-35"/>
          <w:sz w:val="23"/>
        </w:rPr>
        <w:t> </w:t>
      </w:r>
      <w:r>
        <w:rPr>
          <w:color w:val="231F20"/>
          <w:sz w:val="23"/>
        </w:rPr>
        <w:t>Privatisation</w:t>
      </w:r>
      <w:r>
        <w:rPr>
          <w:color w:val="231F20"/>
          <w:spacing w:val="-35"/>
          <w:sz w:val="23"/>
        </w:rPr>
        <w:t> </w:t>
      </w:r>
      <w:r>
        <w:rPr>
          <w:color w:val="231F20"/>
          <w:sz w:val="23"/>
        </w:rPr>
        <w:t>and</w:t>
      </w:r>
      <w:r>
        <w:rPr>
          <w:color w:val="231F20"/>
          <w:spacing w:val="-35"/>
          <w:sz w:val="23"/>
        </w:rPr>
        <w:t> </w:t>
      </w:r>
      <w:r>
        <w:rPr>
          <w:color w:val="231F20"/>
          <w:sz w:val="23"/>
        </w:rPr>
        <w:t>vest</w:t>
      </w:r>
      <w:r>
        <w:rPr>
          <w:color w:val="231F20"/>
          <w:spacing w:val="-35"/>
          <w:sz w:val="23"/>
        </w:rPr>
        <w:t> </w:t>
      </w:r>
      <w:r>
        <w:rPr>
          <w:color w:val="231F20"/>
          <w:sz w:val="23"/>
        </w:rPr>
        <w:t>such</w:t>
      </w:r>
      <w:r>
        <w:rPr>
          <w:color w:val="231F20"/>
          <w:spacing w:val="-35"/>
          <w:sz w:val="23"/>
        </w:rPr>
        <w:t> </w:t>
      </w:r>
      <w:r>
        <w:rPr>
          <w:color w:val="231F20"/>
          <w:sz w:val="23"/>
        </w:rPr>
        <w:t>supervision</w:t>
      </w:r>
      <w:r>
        <w:rPr>
          <w:color w:val="231F20"/>
          <w:spacing w:val="-35"/>
          <w:sz w:val="23"/>
        </w:rPr>
        <w:t> </w:t>
      </w:r>
      <w:r>
        <w:rPr>
          <w:color w:val="231F20"/>
          <w:sz w:val="23"/>
        </w:rPr>
        <w:t>in</w:t>
      </w:r>
      <w:r>
        <w:rPr>
          <w:color w:val="231F20"/>
          <w:spacing w:val="-35"/>
          <w:sz w:val="23"/>
        </w:rPr>
        <w:t> </w:t>
      </w:r>
      <w:r>
        <w:rPr>
          <w:color w:val="231F20"/>
          <w:sz w:val="23"/>
        </w:rPr>
        <w:t>the Ministry of</w:t>
      </w:r>
      <w:r>
        <w:rPr>
          <w:color w:val="231F20"/>
          <w:spacing w:val="12"/>
          <w:sz w:val="23"/>
        </w:rPr>
        <w:t> </w:t>
      </w:r>
      <w:r>
        <w:rPr>
          <w:color w:val="231F20"/>
          <w:sz w:val="23"/>
        </w:rPr>
        <w:t>Finance.</w:t>
      </w:r>
    </w:p>
    <w:p>
      <w:pPr>
        <w:pStyle w:val="BodyText"/>
        <w:rPr>
          <w:sz w:val="29"/>
        </w:rPr>
      </w:pPr>
    </w:p>
    <w:p>
      <w:pPr>
        <w:pStyle w:val="ListParagraph"/>
        <w:numPr>
          <w:ilvl w:val="0"/>
          <w:numId w:val="2"/>
        </w:numPr>
        <w:tabs>
          <w:tab w:pos="954" w:val="left" w:leader="none"/>
        </w:tabs>
        <w:spacing w:line="302" w:lineRule="auto" w:before="0" w:after="0"/>
        <w:ind w:left="103" w:right="117" w:firstLine="223"/>
        <w:jc w:val="both"/>
        <w:rPr>
          <w:sz w:val="23"/>
        </w:rPr>
      </w:pPr>
      <w:r>
        <w:rPr>
          <w:color w:val="231F20"/>
          <w:sz w:val="23"/>
        </w:rPr>
        <w:t>Mr.</w:t>
      </w:r>
      <w:r>
        <w:rPr>
          <w:color w:val="231F20"/>
          <w:spacing w:val="-11"/>
          <w:sz w:val="23"/>
        </w:rPr>
        <w:t> </w:t>
      </w:r>
      <w:r>
        <w:rPr>
          <w:color w:val="231F20"/>
          <w:sz w:val="23"/>
        </w:rPr>
        <w:t>Speaker,</w:t>
      </w:r>
      <w:r>
        <w:rPr>
          <w:color w:val="231F20"/>
          <w:spacing w:val="-11"/>
          <w:sz w:val="23"/>
        </w:rPr>
        <w:t> </w:t>
      </w:r>
      <w:r>
        <w:rPr>
          <w:color w:val="231F20"/>
          <w:sz w:val="23"/>
        </w:rPr>
        <w:t>Honourable</w:t>
      </w:r>
      <w:r>
        <w:rPr>
          <w:color w:val="231F20"/>
          <w:spacing w:val="-11"/>
          <w:sz w:val="23"/>
        </w:rPr>
        <w:t> </w:t>
      </w:r>
      <w:r>
        <w:rPr>
          <w:color w:val="231F20"/>
          <w:sz w:val="23"/>
        </w:rPr>
        <w:t>Members,</w:t>
      </w:r>
      <w:r>
        <w:rPr>
          <w:color w:val="231F20"/>
          <w:spacing w:val="-11"/>
          <w:sz w:val="23"/>
        </w:rPr>
        <w:t> </w:t>
      </w:r>
      <w:r>
        <w:rPr>
          <w:color w:val="231F20"/>
          <w:sz w:val="23"/>
        </w:rPr>
        <w:t>our</w:t>
      </w:r>
      <w:r>
        <w:rPr>
          <w:color w:val="231F20"/>
          <w:spacing w:val="-11"/>
          <w:sz w:val="23"/>
        </w:rPr>
        <w:t> </w:t>
      </w:r>
      <w:r>
        <w:rPr>
          <w:color w:val="231F20"/>
          <w:sz w:val="23"/>
        </w:rPr>
        <w:t>resolve</w:t>
      </w:r>
      <w:r>
        <w:rPr>
          <w:color w:val="231F20"/>
          <w:spacing w:val="-11"/>
          <w:sz w:val="23"/>
        </w:rPr>
        <w:t> </w:t>
      </w:r>
      <w:r>
        <w:rPr>
          <w:color w:val="231F20"/>
          <w:sz w:val="23"/>
        </w:rPr>
        <w:t>to</w:t>
      </w:r>
      <w:r>
        <w:rPr>
          <w:color w:val="231F20"/>
          <w:spacing w:val="-11"/>
          <w:sz w:val="23"/>
        </w:rPr>
        <w:t> </w:t>
      </w:r>
      <w:r>
        <w:rPr>
          <w:color w:val="231F20"/>
          <w:sz w:val="23"/>
        </w:rPr>
        <w:t>transform</w:t>
      </w:r>
      <w:r>
        <w:rPr>
          <w:color w:val="231F20"/>
          <w:spacing w:val="-11"/>
          <w:sz w:val="23"/>
        </w:rPr>
        <w:t> </w:t>
      </w:r>
      <w:r>
        <w:rPr>
          <w:color w:val="231F20"/>
          <w:sz w:val="23"/>
        </w:rPr>
        <w:t>our</w:t>
      </w:r>
      <w:r>
        <w:rPr>
          <w:color w:val="231F20"/>
          <w:spacing w:val="-11"/>
          <w:sz w:val="23"/>
        </w:rPr>
        <w:t> </w:t>
      </w:r>
      <w:r>
        <w:rPr>
          <w:color w:val="231F20"/>
          <w:sz w:val="23"/>
        </w:rPr>
        <w:t>economy</w:t>
      </w:r>
      <w:r>
        <w:rPr>
          <w:color w:val="231F20"/>
          <w:spacing w:val="-11"/>
          <w:sz w:val="23"/>
        </w:rPr>
        <w:t> </w:t>
      </w:r>
      <w:r>
        <w:rPr>
          <w:color w:val="231F20"/>
          <w:sz w:val="23"/>
        </w:rPr>
        <w:t>by mainstreaming technology and innovation has never been stronger. The Directorate of Science, Technology and Innovation (DSTI) collaborating across Government is leading</w:t>
      </w:r>
      <w:r>
        <w:rPr>
          <w:color w:val="231F20"/>
          <w:spacing w:val="-12"/>
          <w:sz w:val="23"/>
        </w:rPr>
        <w:t> </w:t>
      </w:r>
      <w:r>
        <w:rPr>
          <w:color w:val="231F20"/>
          <w:sz w:val="23"/>
        </w:rPr>
        <w:t>the</w:t>
      </w:r>
      <w:r>
        <w:rPr>
          <w:color w:val="231F20"/>
          <w:spacing w:val="-12"/>
          <w:sz w:val="23"/>
        </w:rPr>
        <w:t> </w:t>
      </w:r>
      <w:r>
        <w:rPr>
          <w:color w:val="231F20"/>
          <w:sz w:val="23"/>
        </w:rPr>
        <w:t>efforts.</w:t>
      </w:r>
      <w:r>
        <w:rPr>
          <w:color w:val="231F20"/>
          <w:spacing w:val="-12"/>
          <w:sz w:val="23"/>
        </w:rPr>
        <w:t> </w:t>
      </w:r>
      <w:r>
        <w:rPr>
          <w:color w:val="231F20"/>
          <w:sz w:val="23"/>
        </w:rPr>
        <w:t>I</w:t>
      </w:r>
      <w:r>
        <w:rPr>
          <w:color w:val="231F20"/>
          <w:spacing w:val="-12"/>
          <w:sz w:val="23"/>
        </w:rPr>
        <w:t> </w:t>
      </w:r>
      <w:r>
        <w:rPr>
          <w:color w:val="231F20"/>
          <w:sz w:val="23"/>
        </w:rPr>
        <w:t>am</w:t>
      </w:r>
      <w:r>
        <w:rPr>
          <w:color w:val="231F20"/>
          <w:spacing w:val="-12"/>
          <w:sz w:val="23"/>
        </w:rPr>
        <w:t> </w:t>
      </w:r>
      <w:r>
        <w:rPr>
          <w:color w:val="231F20"/>
          <w:sz w:val="23"/>
        </w:rPr>
        <w:t>pleased</w:t>
      </w:r>
      <w:r>
        <w:rPr>
          <w:color w:val="231F20"/>
          <w:spacing w:val="-12"/>
          <w:sz w:val="23"/>
        </w:rPr>
        <w:t> </w:t>
      </w:r>
      <w:r>
        <w:rPr>
          <w:color w:val="231F20"/>
          <w:sz w:val="23"/>
        </w:rPr>
        <w:t>to</w:t>
      </w:r>
      <w:r>
        <w:rPr>
          <w:color w:val="231F20"/>
          <w:spacing w:val="-12"/>
          <w:sz w:val="23"/>
        </w:rPr>
        <w:t> </w:t>
      </w:r>
      <w:r>
        <w:rPr>
          <w:color w:val="231F20"/>
          <w:sz w:val="23"/>
        </w:rPr>
        <w:t>inform</w:t>
      </w:r>
      <w:r>
        <w:rPr>
          <w:color w:val="231F20"/>
          <w:spacing w:val="-12"/>
          <w:sz w:val="23"/>
        </w:rPr>
        <w:t> </w:t>
      </w:r>
      <w:r>
        <w:rPr>
          <w:color w:val="231F20"/>
          <w:sz w:val="23"/>
        </w:rPr>
        <w:t>this</w:t>
      </w:r>
      <w:r>
        <w:rPr>
          <w:color w:val="231F20"/>
          <w:spacing w:val="-12"/>
          <w:sz w:val="23"/>
        </w:rPr>
        <w:t> </w:t>
      </w:r>
      <w:r>
        <w:rPr>
          <w:color w:val="231F20"/>
          <w:sz w:val="23"/>
        </w:rPr>
        <w:t>Noble</w:t>
      </w:r>
      <w:r>
        <w:rPr>
          <w:color w:val="231F20"/>
          <w:spacing w:val="-12"/>
          <w:sz w:val="23"/>
        </w:rPr>
        <w:t> </w:t>
      </w:r>
      <w:r>
        <w:rPr>
          <w:color w:val="231F20"/>
          <w:sz w:val="23"/>
        </w:rPr>
        <w:t>House</w:t>
      </w:r>
      <w:r>
        <w:rPr>
          <w:color w:val="231F20"/>
          <w:spacing w:val="-12"/>
          <w:sz w:val="23"/>
        </w:rPr>
        <w:t> </w:t>
      </w:r>
      <w:r>
        <w:rPr>
          <w:color w:val="231F20"/>
          <w:sz w:val="23"/>
        </w:rPr>
        <w:t>that</w:t>
      </w:r>
      <w:r>
        <w:rPr>
          <w:color w:val="231F20"/>
          <w:spacing w:val="-12"/>
          <w:sz w:val="23"/>
        </w:rPr>
        <w:t> </w:t>
      </w:r>
      <w:r>
        <w:rPr>
          <w:color w:val="231F20"/>
          <w:sz w:val="23"/>
        </w:rPr>
        <w:t>following</w:t>
      </w:r>
      <w:r>
        <w:rPr>
          <w:color w:val="231F20"/>
          <w:spacing w:val="-12"/>
          <w:sz w:val="23"/>
        </w:rPr>
        <w:t> </w:t>
      </w:r>
      <w:r>
        <w:rPr>
          <w:color w:val="231F20"/>
          <w:sz w:val="23"/>
        </w:rPr>
        <w:t>the</w:t>
      </w:r>
      <w:r>
        <w:rPr>
          <w:color w:val="231F20"/>
          <w:spacing w:val="-12"/>
          <w:sz w:val="23"/>
        </w:rPr>
        <w:t> </w:t>
      </w:r>
      <w:r>
        <w:rPr>
          <w:color w:val="231F20"/>
          <w:sz w:val="23"/>
        </w:rPr>
        <w:t>launch of</w:t>
      </w:r>
      <w:r>
        <w:rPr>
          <w:color w:val="231F20"/>
          <w:spacing w:val="-50"/>
          <w:sz w:val="23"/>
        </w:rPr>
        <w:t> </w:t>
      </w:r>
      <w:r>
        <w:rPr>
          <w:color w:val="231F20"/>
          <w:sz w:val="23"/>
        </w:rPr>
        <w:t>the</w:t>
      </w:r>
      <w:r>
        <w:rPr>
          <w:color w:val="231F20"/>
          <w:spacing w:val="-50"/>
          <w:sz w:val="23"/>
        </w:rPr>
        <w:t> </w:t>
      </w:r>
      <w:r>
        <w:rPr>
          <w:color w:val="231F20"/>
          <w:sz w:val="23"/>
        </w:rPr>
        <w:t>National</w:t>
      </w:r>
      <w:r>
        <w:rPr>
          <w:color w:val="231F20"/>
          <w:spacing w:val="-50"/>
          <w:sz w:val="23"/>
        </w:rPr>
        <w:t> </w:t>
      </w:r>
      <w:r>
        <w:rPr>
          <w:color w:val="231F20"/>
          <w:sz w:val="23"/>
        </w:rPr>
        <w:t>Digital</w:t>
      </w:r>
      <w:r>
        <w:rPr>
          <w:color w:val="231F20"/>
          <w:spacing w:val="-50"/>
          <w:sz w:val="23"/>
        </w:rPr>
        <w:t> </w:t>
      </w:r>
      <w:r>
        <w:rPr>
          <w:color w:val="231F20"/>
          <w:sz w:val="23"/>
        </w:rPr>
        <w:t>and</w:t>
      </w:r>
      <w:r>
        <w:rPr>
          <w:color w:val="231F20"/>
          <w:spacing w:val="-50"/>
          <w:sz w:val="23"/>
        </w:rPr>
        <w:t> </w:t>
      </w:r>
      <w:r>
        <w:rPr>
          <w:color w:val="231F20"/>
          <w:sz w:val="23"/>
        </w:rPr>
        <w:t>Innovation</w:t>
      </w:r>
      <w:r>
        <w:rPr>
          <w:color w:val="231F20"/>
          <w:spacing w:val="-50"/>
          <w:sz w:val="23"/>
        </w:rPr>
        <w:t> </w:t>
      </w:r>
      <w:r>
        <w:rPr>
          <w:color w:val="231F20"/>
          <w:sz w:val="23"/>
        </w:rPr>
        <w:t>Strategy</w:t>
      </w:r>
      <w:r>
        <w:rPr>
          <w:color w:val="231F20"/>
          <w:spacing w:val="-50"/>
          <w:sz w:val="23"/>
        </w:rPr>
        <w:t> </w:t>
      </w:r>
      <w:r>
        <w:rPr>
          <w:color w:val="231F20"/>
          <w:sz w:val="23"/>
        </w:rPr>
        <w:t>by</w:t>
      </w:r>
      <w:r>
        <w:rPr>
          <w:color w:val="231F20"/>
          <w:spacing w:val="-50"/>
          <w:sz w:val="23"/>
        </w:rPr>
        <w:t> </w:t>
      </w:r>
      <w:r>
        <w:rPr>
          <w:color w:val="231F20"/>
          <w:sz w:val="23"/>
        </w:rPr>
        <w:t>His</w:t>
      </w:r>
      <w:r>
        <w:rPr>
          <w:color w:val="231F20"/>
          <w:spacing w:val="-49"/>
          <w:sz w:val="23"/>
        </w:rPr>
        <w:t> </w:t>
      </w:r>
      <w:r>
        <w:rPr>
          <w:color w:val="231F20"/>
          <w:sz w:val="23"/>
        </w:rPr>
        <w:t>Excellency,</w:t>
      </w:r>
      <w:r>
        <w:rPr>
          <w:color w:val="231F20"/>
          <w:spacing w:val="-50"/>
          <w:sz w:val="23"/>
        </w:rPr>
        <w:t> </w:t>
      </w:r>
      <w:r>
        <w:rPr>
          <w:color w:val="231F20"/>
          <w:sz w:val="23"/>
        </w:rPr>
        <w:t>on</w:t>
      </w:r>
      <w:r>
        <w:rPr>
          <w:color w:val="231F20"/>
          <w:spacing w:val="-50"/>
          <w:sz w:val="23"/>
        </w:rPr>
        <w:t> </w:t>
      </w:r>
      <w:r>
        <w:rPr>
          <w:color w:val="231F20"/>
          <w:sz w:val="23"/>
        </w:rPr>
        <w:t>1st</w:t>
      </w:r>
      <w:r>
        <w:rPr>
          <w:color w:val="231F20"/>
          <w:spacing w:val="-50"/>
          <w:sz w:val="23"/>
        </w:rPr>
        <w:t> </w:t>
      </w:r>
      <w:r>
        <w:rPr>
          <w:color w:val="231F20"/>
          <w:sz w:val="23"/>
        </w:rPr>
        <w:t>November</w:t>
      </w:r>
      <w:r>
        <w:rPr>
          <w:color w:val="231F20"/>
          <w:spacing w:val="-50"/>
          <w:sz w:val="23"/>
        </w:rPr>
        <w:t> </w:t>
      </w:r>
      <w:r>
        <w:rPr>
          <w:color w:val="231F20"/>
          <w:sz w:val="23"/>
        </w:rPr>
        <w:t>2019, Sierra</w:t>
      </w:r>
      <w:r>
        <w:rPr>
          <w:color w:val="231F20"/>
          <w:spacing w:val="-15"/>
          <w:sz w:val="23"/>
        </w:rPr>
        <w:t> </w:t>
      </w:r>
      <w:r>
        <w:rPr>
          <w:color w:val="231F20"/>
          <w:sz w:val="23"/>
        </w:rPr>
        <w:t>Leone</w:t>
      </w:r>
      <w:r>
        <w:rPr>
          <w:color w:val="231F20"/>
          <w:spacing w:val="-15"/>
          <w:sz w:val="23"/>
        </w:rPr>
        <w:t> </w:t>
      </w:r>
      <w:r>
        <w:rPr>
          <w:color w:val="231F20"/>
          <w:sz w:val="23"/>
        </w:rPr>
        <w:t>is</w:t>
      </w:r>
      <w:r>
        <w:rPr>
          <w:color w:val="231F20"/>
          <w:spacing w:val="-14"/>
          <w:sz w:val="23"/>
        </w:rPr>
        <w:t> </w:t>
      </w:r>
      <w:r>
        <w:rPr>
          <w:color w:val="231F20"/>
          <w:sz w:val="23"/>
        </w:rPr>
        <w:t>poised</w:t>
      </w:r>
      <w:r>
        <w:rPr>
          <w:color w:val="231F20"/>
          <w:spacing w:val="-15"/>
          <w:sz w:val="23"/>
        </w:rPr>
        <w:t> </w:t>
      </w:r>
      <w:r>
        <w:rPr>
          <w:color w:val="231F20"/>
          <w:sz w:val="23"/>
        </w:rPr>
        <w:t>to</w:t>
      </w:r>
      <w:r>
        <w:rPr>
          <w:color w:val="231F20"/>
          <w:spacing w:val="-14"/>
          <w:sz w:val="23"/>
        </w:rPr>
        <w:t> </w:t>
      </w:r>
      <w:r>
        <w:rPr>
          <w:color w:val="231F20"/>
          <w:sz w:val="23"/>
        </w:rPr>
        <w:t>be</w:t>
      </w:r>
      <w:r>
        <w:rPr>
          <w:color w:val="231F20"/>
          <w:spacing w:val="-15"/>
          <w:sz w:val="23"/>
        </w:rPr>
        <w:t> </w:t>
      </w:r>
      <w:r>
        <w:rPr>
          <w:color w:val="231F20"/>
          <w:sz w:val="23"/>
        </w:rPr>
        <w:t>among</w:t>
      </w:r>
      <w:r>
        <w:rPr>
          <w:color w:val="231F20"/>
          <w:spacing w:val="-15"/>
          <w:sz w:val="23"/>
        </w:rPr>
        <w:t> </w:t>
      </w:r>
      <w:r>
        <w:rPr>
          <w:color w:val="231F20"/>
          <w:sz w:val="23"/>
        </w:rPr>
        <w:t>global</w:t>
      </w:r>
      <w:r>
        <w:rPr>
          <w:color w:val="231F20"/>
          <w:spacing w:val="-15"/>
          <w:sz w:val="23"/>
        </w:rPr>
        <w:t> </w:t>
      </w:r>
      <w:r>
        <w:rPr>
          <w:color w:val="231F20"/>
          <w:sz w:val="23"/>
        </w:rPr>
        <w:t>leaders</w:t>
      </w:r>
      <w:r>
        <w:rPr>
          <w:color w:val="231F20"/>
          <w:spacing w:val="-14"/>
          <w:sz w:val="23"/>
        </w:rPr>
        <w:t> </w:t>
      </w:r>
      <w:r>
        <w:rPr>
          <w:color w:val="231F20"/>
          <w:sz w:val="23"/>
        </w:rPr>
        <w:t>in</w:t>
      </w:r>
      <w:r>
        <w:rPr>
          <w:color w:val="231F20"/>
          <w:spacing w:val="-14"/>
          <w:sz w:val="23"/>
        </w:rPr>
        <w:t> </w:t>
      </w:r>
      <w:r>
        <w:rPr>
          <w:color w:val="231F20"/>
          <w:sz w:val="23"/>
        </w:rPr>
        <w:t>the</w:t>
      </w:r>
      <w:r>
        <w:rPr>
          <w:color w:val="231F20"/>
          <w:spacing w:val="-14"/>
          <w:sz w:val="23"/>
        </w:rPr>
        <w:t> </w:t>
      </w:r>
      <w:r>
        <w:rPr>
          <w:color w:val="231F20"/>
          <w:sz w:val="23"/>
        </w:rPr>
        <w:t>digital</w:t>
      </w:r>
      <w:r>
        <w:rPr>
          <w:color w:val="231F20"/>
          <w:spacing w:val="-15"/>
          <w:sz w:val="23"/>
        </w:rPr>
        <w:t> </w:t>
      </w:r>
      <w:r>
        <w:rPr>
          <w:color w:val="231F20"/>
          <w:sz w:val="23"/>
        </w:rPr>
        <w:t>economy,</w:t>
      </w:r>
      <w:r>
        <w:rPr>
          <w:color w:val="231F20"/>
          <w:spacing w:val="-15"/>
          <w:sz w:val="23"/>
        </w:rPr>
        <w:t> </w:t>
      </w:r>
      <w:r>
        <w:rPr>
          <w:color w:val="231F20"/>
          <w:sz w:val="23"/>
        </w:rPr>
        <w:t>governance, innovation and entrepreneurship, focusing on effective service</w:t>
      </w:r>
      <w:r>
        <w:rPr>
          <w:color w:val="231F20"/>
          <w:spacing w:val="63"/>
          <w:sz w:val="23"/>
        </w:rPr>
        <w:t> </w:t>
      </w:r>
      <w:r>
        <w:rPr>
          <w:color w:val="231F20"/>
          <w:sz w:val="23"/>
        </w:rPr>
        <w:t>delivery.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26"/>
        <w:ind w:left="57" w:right="0"/>
      </w:pPr>
      <w:r>
        <w:rPr>
          <w:color w:val="231F20"/>
        </w:rPr>
        <w:t>4</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18" w:firstLine="223"/>
        <w:jc w:val="both"/>
        <w:rPr>
          <w:sz w:val="23"/>
        </w:rPr>
      </w:pPr>
      <w:r>
        <w:rPr>
          <w:color w:val="231F20"/>
          <w:sz w:val="23"/>
        </w:rPr>
        <w:t>Mr.</w:t>
      </w:r>
      <w:r>
        <w:rPr>
          <w:color w:val="231F20"/>
          <w:spacing w:val="-17"/>
          <w:sz w:val="23"/>
        </w:rPr>
        <w:t> </w:t>
      </w:r>
      <w:r>
        <w:rPr>
          <w:color w:val="231F20"/>
          <w:sz w:val="23"/>
        </w:rPr>
        <w:t>Speaker,</w:t>
      </w:r>
      <w:r>
        <w:rPr>
          <w:color w:val="231F20"/>
          <w:spacing w:val="-17"/>
          <w:sz w:val="23"/>
        </w:rPr>
        <w:t> </w:t>
      </w:r>
      <w:r>
        <w:rPr>
          <w:color w:val="231F20"/>
          <w:sz w:val="23"/>
        </w:rPr>
        <w:t>Honourable</w:t>
      </w:r>
      <w:r>
        <w:rPr>
          <w:color w:val="231F20"/>
          <w:spacing w:val="-17"/>
          <w:sz w:val="23"/>
        </w:rPr>
        <w:t> </w:t>
      </w:r>
      <w:r>
        <w:rPr>
          <w:color w:val="231F20"/>
          <w:sz w:val="23"/>
        </w:rPr>
        <w:t>Members,</w:t>
      </w:r>
      <w:r>
        <w:rPr>
          <w:color w:val="231F20"/>
          <w:spacing w:val="-17"/>
          <w:sz w:val="23"/>
        </w:rPr>
        <w:t> </w:t>
      </w:r>
      <w:r>
        <w:rPr>
          <w:color w:val="231F20"/>
          <w:sz w:val="23"/>
        </w:rPr>
        <w:t>despite</w:t>
      </w:r>
      <w:r>
        <w:rPr>
          <w:color w:val="231F20"/>
          <w:spacing w:val="-17"/>
          <w:sz w:val="23"/>
        </w:rPr>
        <w:t> </w:t>
      </w:r>
      <w:r>
        <w:rPr>
          <w:color w:val="231F20"/>
          <w:sz w:val="23"/>
        </w:rPr>
        <w:t>these</w:t>
      </w:r>
      <w:r>
        <w:rPr>
          <w:color w:val="231F20"/>
          <w:spacing w:val="-17"/>
          <w:sz w:val="23"/>
        </w:rPr>
        <w:t> </w:t>
      </w:r>
      <w:r>
        <w:rPr>
          <w:color w:val="231F20"/>
          <w:sz w:val="23"/>
        </w:rPr>
        <w:t>achievements,</w:t>
      </w:r>
      <w:r>
        <w:rPr>
          <w:color w:val="231F20"/>
          <w:spacing w:val="-17"/>
          <w:sz w:val="23"/>
        </w:rPr>
        <w:t> </w:t>
      </w:r>
      <w:r>
        <w:rPr>
          <w:color w:val="231F20"/>
          <w:sz w:val="23"/>
        </w:rPr>
        <w:t>the</w:t>
      </w:r>
      <w:r>
        <w:rPr>
          <w:color w:val="231F20"/>
          <w:spacing w:val="-17"/>
          <w:sz w:val="23"/>
        </w:rPr>
        <w:t> </w:t>
      </w:r>
      <w:r>
        <w:rPr>
          <w:color w:val="231F20"/>
          <w:sz w:val="23"/>
        </w:rPr>
        <w:t>legacy</w:t>
      </w:r>
      <w:r>
        <w:rPr>
          <w:color w:val="231F20"/>
          <w:spacing w:val="-17"/>
          <w:sz w:val="23"/>
        </w:rPr>
        <w:t> </w:t>
      </w:r>
      <w:r>
        <w:rPr>
          <w:color w:val="231F20"/>
          <w:sz w:val="23"/>
        </w:rPr>
        <w:t>of economic mismanagement continues to linger. The economy is recovering but not sufficiently enough to make a significant dent on poverty. The 2018 Sierra Leone Integrated Household Survey launched recently, estimated overall poverty</w:t>
      </w:r>
      <w:r>
        <w:rPr>
          <w:color w:val="231F20"/>
          <w:spacing w:val="-40"/>
          <w:sz w:val="23"/>
        </w:rPr>
        <w:t> </w:t>
      </w:r>
      <w:r>
        <w:rPr>
          <w:color w:val="231F20"/>
          <w:sz w:val="23"/>
        </w:rPr>
        <w:t>incidence at 56.8 percent and extreme poverty at 12.9</w:t>
      </w:r>
      <w:r>
        <w:rPr>
          <w:color w:val="231F20"/>
          <w:spacing w:val="-4"/>
          <w:sz w:val="23"/>
        </w:rPr>
        <w:t> </w:t>
      </w:r>
      <w:r>
        <w:rPr>
          <w:color w:val="231F20"/>
          <w:sz w:val="23"/>
        </w:rPr>
        <w:t>percent.</w:t>
      </w:r>
    </w:p>
    <w:p>
      <w:pPr>
        <w:pStyle w:val="BodyText"/>
        <w:spacing w:before="11"/>
        <w:rPr>
          <w:sz w:val="28"/>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Furthermore, the Mining Lease Agreements inherited have not improved</w:t>
      </w:r>
      <w:r>
        <w:rPr>
          <w:color w:val="231F20"/>
          <w:spacing w:val="-27"/>
          <w:sz w:val="23"/>
        </w:rPr>
        <w:t> </w:t>
      </w:r>
      <w:r>
        <w:rPr>
          <w:color w:val="231F20"/>
          <w:sz w:val="23"/>
        </w:rPr>
        <w:t>our earnings</w:t>
      </w:r>
      <w:r>
        <w:rPr>
          <w:color w:val="231F20"/>
          <w:spacing w:val="-9"/>
          <w:sz w:val="23"/>
        </w:rPr>
        <w:t> </w:t>
      </w:r>
      <w:r>
        <w:rPr>
          <w:color w:val="231F20"/>
          <w:sz w:val="23"/>
        </w:rPr>
        <w:t>from</w:t>
      </w:r>
      <w:r>
        <w:rPr>
          <w:color w:val="231F20"/>
          <w:spacing w:val="-9"/>
          <w:sz w:val="23"/>
        </w:rPr>
        <w:t> </w:t>
      </w:r>
      <w:r>
        <w:rPr>
          <w:color w:val="231F20"/>
          <w:sz w:val="23"/>
        </w:rPr>
        <w:t>the</w:t>
      </w:r>
      <w:r>
        <w:rPr>
          <w:color w:val="231F20"/>
          <w:spacing w:val="-9"/>
          <w:sz w:val="23"/>
        </w:rPr>
        <w:t> </w:t>
      </w:r>
      <w:r>
        <w:rPr>
          <w:color w:val="231F20"/>
          <w:sz w:val="23"/>
        </w:rPr>
        <w:t>mining</w:t>
      </w:r>
      <w:r>
        <w:rPr>
          <w:color w:val="231F20"/>
          <w:spacing w:val="-9"/>
          <w:sz w:val="23"/>
        </w:rPr>
        <w:t> </w:t>
      </w:r>
      <w:r>
        <w:rPr>
          <w:color w:val="231F20"/>
          <w:sz w:val="23"/>
        </w:rPr>
        <w:t>sector.</w:t>
      </w:r>
      <w:r>
        <w:rPr>
          <w:color w:val="231F20"/>
          <w:spacing w:val="-9"/>
          <w:sz w:val="23"/>
        </w:rPr>
        <w:t> </w:t>
      </w:r>
      <w:r>
        <w:rPr>
          <w:color w:val="231F20"/>
          <w:sz w:val="23"/>
        </w:rPr>
        <w:t>This</w:t>
      </w:r>
      <w:r>
        <w:rPr>
          <w:color w:val="231F20"/>
          <w:spacing w:val="-9"/>
          <w:sz w:val="23"/>
        </w:rPr>
        <w:t> </w:t>
      </w:r>
      <w:r>
        <w:rPr>
          <w:color w:val="231F20"/>
          <w:sz w:val="23"/>
        </w:rPr>
        <w:t>has</w:t>
      </w:r>
      <w:r>
        <w:rPr>
          <w:color w:val="231F20"/>
          <w:spacing w:val="-9"/>
          <w:sz w:val="23"/>
        </w:rPr>
        <w:t> </w:t>
      </w:r>
      <w:r>
        <w:rPr>
          <w:color w:val="231F20"/>
          <w:sz w:val="23"/>
        </w:rPr>
        <w:t>adversely</w:t>
      </w:r>
      <w:r>
        <w:rPr>
          <w:color w:val="231F20"/>
          <w:spacing w:val="-9"/>
          <w:sz w:val="23"/>
        </w:rPr>
        <w:t> </w:t>
      </w:r>
      <w:r>
        <w:rPr>
          <w:color w:val="231F20"/>
          <w:sz w:val="23"/>
        </w:rPr>
        <w:t>affected</w:t>
      </w:r>
      <w:r>
        <w:rPr>
          <w:color w:val="231F20"/>
          <w:spacing w:val="-9"/>
          <w:sz w:val="23"/>
        </w:rPr>
        <w:t> </w:t>
      </w:r>
      <w:r>
        <w:rPr>
          <w:color w:val="231F20"/>
          <w:sz w:val="23"/>
        </w:rPr>
        <w:t>our</w:t>
      </w:r>
      <w:r>
        <w:rPr>
          <w:color w:val="231F20"/>
          <w:spacing w:val="-9"/>
          <w:sz w:val="23"/>
        </w:rPr>
        <w:t> </w:t>
      </w:r>
      <w:r>
        <w:rPr>
          <w:color w:val="231F20"/>
          <w:sz w:val="23"/>
        </w:rPr>
        <w:t>export</w:t>
      </w:r>
      <w:r>
        <w:rPr>
          <w:color w:val="231F20"/>
          <w:spacing w:val="-9"/>
          <w:sz w:val="23"/>
        </w:rPr>
        <w:t> </w:t>
      </w:r>
      <w:r>
        <w:rPr>
          <w:color w:val="231F20"/>
          <w:sz w:val="23"/>
        </w:rPr>
        <w:t>performance causing</w:t>
      </w:r>
      <w:r>
        <w:rPr>
          <w:color w:val="231F20"/>
          <w:spacing w:val="-45"/>
          <w:sz w:val="23"/>
        </w:rPr>
        <w:t> </w:t>
      </w:r>
      <w:r>
        <w:rPr>
          <w:color w:val="231F20"/>
          <w:sz w:val="23"/>
        </w:rPr>
        <w:t>the</w:t>
      </w:r>
      <w:r>
        <w:rPr>
          <w:color w:val="231F20"/>
          <w:spacing w:val="-45"/>
          <w:sz w:val="23"/>
        </w:rPr>
        <w:t> </w:t>
      </w:r>
      <w:r>
        <w:rPr>
          <w:color w:val="231F20"/>
          <w:sz w:val="23"/>
        </w:rPr>
        <w:t>Leone</w:t>
      </w:r>
      <w:r>
        <w:rPr>
          <w:color w:val="231F20"/>
          <w:spacing w:val="-45"/>
          <w:sz w:val="23"/>
        </w:rPr>
        <w:t> </w:t>
      </w:r>
      <w:r>
        <w:rPr>
          <w:color w:val="231F20"/>
          <w:sz w:val="23"/>
        </w:rPr>
        <w:t>to</w:t>
      </w:r>
      <w:r>
        <w:rPr>
          <w:color w:val="231F20"/>
          <w:spacing w:val="-45"/>
          <w:sz w:val="23"/>
        </w:rPr>
        <w:t> </w:t>
      </w:r>
      <w:r>
        <w:rPr>
          <w:color w:val="231F20"/>
          <w:sz w:val="23"/>
        </w:rPr>
        <w:t>depreciate.</w:t>
      </w:r>
      <w:r>
        <w:rPr>
          <w:color w:val="231F20"/>
          <w:spacing w:val="-45"/>
          <w:sz w:val="23"/>
        </w:rPr>
        <w:t> </w:t>
      </w:r>
      <w:r>
        <w:rPr>
          <w:color w:val="231F20"/>
          <w:sz w:val="23"/>
        </w:rPr>
        <w:t>Inflation</w:t>
      </w:r>
      <w:r>
        <w:rPr>
          <w:color w:val="231F20"/>
          <w:spacing w:val="-45"/>
          <w:sz w:val="23"/>
        </w:rPr>
        <w:t> </w:t>
      </w:r>
      <w:r>
        <w:rPr>
          <w:color w:val="231F20"/>
          <w:sz w:val="23"/>
        </w:rPr>
        <w:t>though</w:t>
      </w:r>
      <w:r>
        <w:rPr>
          <w:color w:val="231F20"/>
          <w:spacing w:val="-45"/>
          <w:sz w:val="23"/>
        </w:rPr>
        <w:t> </w:t>
      </w:r>
      <w:r>
        <w:rPr>
          <w:color w:val="231F20"/>
          <w:sz w:val="23"/>
        </w:rPr>
        <w:t>moderating,</w:t>
      </w:r>
      <w:r>
        <w:rPr>
          <w:color w:val="231F20"/>
          <w:spacing w:val="-45"/>
          <w:sz w:val="23"/>
        </w:rPr>
        <w:t> </w:t>
      </w:r>
      <w:r>
        <w:rPr>
          <w:color w:val="231F20"/>
          <w:sz w:val="23"/>
        </w:rPr>
        <w:t>remains</w:t>
      </w:r>
      <w:r>
        <w:rPr>
          <w:color w:val="231F20"/>
          <w:spacing w:val="-44"/>
          <w:sz w:val="23"/>
        </w:rPr>
        <w:t> </w:t>
      </w:r>
      <w:r>
        <w:rPr>
          <w:color w:val="231F20"/>
          <w:sz w:val="23"/>
        </w:rPr>
        <w:t>high,</w:t>
      </w:r>
      <w:r>
        <w:rPr>
          <w:color w:val="231F20"/>
          <w:spacing w:val="-45"/>
          <w:sz w:val="23"/>
        </w:rPr>
        <w:t> </w:t>
      </w:r>
      <w:r>
        <w:rPr>
          <w:color w:val="231F20"/>
          <w:sz w:val="23"/>
        </w:rPr>
        <w:t>weakening the</w:t>
      </w:r>
      <w:r>
        <w:rPr>
          <w:color w:val="231F20"/>
          <w:spacing w:val="-7"/>
          <w:sz w:val="23"/>
        </w:rPr>
        <w:t> </w:t>
      </w:r>
      <w:r>
        <w:rPr>
          <w:color w:val="231F20"/>
          <w:sz w:val="23"/>
        </w:rPr>
        <w:t>purchasing</w:t>
      </w:r>
      <w:r>
        <w:rPr>
          <w:color w:val="231F20"/>
          <w:spacing w:val="-7"/>
          <w:sz w:val="23"/>
        </w:rPr>
        <w:t> </w:t>
      </w:r>
      <w:r>
        <w:rPr>
          <w:color w:val="231F20"/>
          <w:sz w:val="23"/>
        </w:rPr>
        <w:t>power</w:t>
      </w:r>
      <w:r>
        <w:rPr>
          <w:color w:val="231F20"/>
          <w:spacing w:val="-7"/>
          <w:sz w:val="23"/>
        </w:rPr>
        <w:t> </w:t>
      </w:r>
      <w:r>
        <w:rPr>
          <w:color w:val="231F20"/>
          <w:sz w:val="23"/>
        </w:rPr>
        <w:t>of</w:t>
      </w:r>
      <w:r>
        <w:rPr>
          <w:color w:val="231F20"/>
          <w:spacing w:val="-7"/>
          <w:sz w:val="23"/>
        </w:rPr>
        <w:t> </w:t>
      </w:r>
      <w:r>
        <w:rPr>
          <w:color w:val="231F20"/>
          <w:sz w:val="23"/>
        </w:rPr>
        <w:t>our</w:t>
      </w:r>
      <w:r>
        <w:rPr>
          <w:color w:val="231F20"/>
          <w:spacing w:val="-7"/>
          <w:sz w:val="23"/>
        </w:rPr>
        <w:t> </w:t>
      </w:r>
      <w:r>
        <w:rPr>
          <w:color w:val="231F20"/>
          <w:sz w:val="23"/>
        </w:rPr>
        <w:t>incomes</w:t>
      </w:r>
      <w:r>
        <w:rPr>
          <w:color w:val="231F20"/>
          <w:spacing w:val="-7"/>
          <w:sz w:val="23"/>
        </w:rPr>
        <w:t> </w:t>
      </w:r>
      <w:r>
        <w:rPr>
          <w:color w:val="231F20"/>
          <w:sz w:val="23"/>
        </w:rPr>
        <w:t>and</w:t>
      </w:r>
      <w:r>
        <w:rPr>
          <w:color w:val="231F20"/>
          <w:spacing w:val="-7"/>
          <w:sz w:val="23"/>
        </w:rPr>
        <w:t> </w:t>
      </w:r>
      <w:r>
        <w:rPr>
          <w:color w:val="231F20"/>
          <w:sz w:val="23"/>
        </w:rPr>
        <w:t>deepening</w:t>
      </w:r>
      <w:r>
        <w:rPr>
          <w:color w:val="231F20"/>
          <w:spacing w:val="-7"/>
          <w:sz w:val="23"/>
        </w:rPr>
        <w:t> </w:t>
      </w:r>
      <w:r>
        <w:rPr>
          <w:color w:val="231F20"/>
          <w:sz w:val="23"/>
        </w:rPr>
        <w:t>poverty.</w:t>
      </w:r>
    </w:p>
    <w:p>
      <w:pPr>
        <w:pStyle w:val="BodyText"/>
        <w:rPr>
          <w:sz w:val="29"/>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This situation is compounded by the huge stock of arrears owed to</w:t>
      </w:r>
      <w:r>
        <w:rPr>
          <w:color w:val="231F20"/>
          <w:spacing w:val="-36"/>
          <w:sz w:val="23"/>
        </w:rPr>
        <w:t> </w:t>
      </w:r>
      <w:r>
        <w:rPr>
          <w:color w:val="231F20"/>
          <w:sz w:val="23"/>
        </w:rPr>
        <w:t>domestic suppliers</w:t>
      </w:r>
      <w:r>
        <w:rPr>
          <w:color w:val="231F20"/>
          <w:spacing w:val="-24"/>
          <w:sz w:val="23"/>
        </w:rPr>
        <w:t> </w:t>
      </w:r>
      <w:r>
        <w:rPr>
          <w:color w:val="231F20"/>
          <w:sz w:val="23"/>
        </w:rPr>
        <w:t>and</w:t>
      </w:r>
      <w:r>
        <w:rPr>
          <w:color w:val="231F20"/>
          <w:spacing w:val="-24"/>
          <w:sz w:val="23"/>
        </w:rPr>
        <w:t> </w:t>
      </w:r>
      <w:r>
        <w:rPr>
          <w:color w:val="231F20"/>
          <w:sz w:val="23"/>
        </w:rPr>
        <w:t>contractors.</w:t>
      </w:r>
      <w:r>
        <w:rPr>
          <w:color w:val="231F20"/>
          <w:spacing w:val="25"/>
          <w:sz w:val="23"/>
        </w:rPr>
        <w:t> </w:t>
      </w:r>
      <w:r>
        <w:rPr>
          <w:color w:val="231F20"/>
          <w:sz w:val="23"/>
        </w:rPr>
        <w:t>These</w:t>
      </w:r>
      <w:r>
        <w:rPr>
          <w:color w:val="231F20"/>
          <w:spacing w:val="-24"/>
          <w:sz w:val="23"/>
        </w:rPr>
        <w:t> </w:t>
      </w:r>
      <w:r>
        <w:rPr>
          <w:color w:val="231F20"/>
          <w:sz w:val="23"/>
        </w:rPr>
        <w:t>were</w:t>
      </w:r>
      <w:r>
        <w:rPr>
          <w:color w:val="231F20"/>
          <w:spacing w:val="-24"/>
          <w:sz w:val="23"/>
        </w:rPr>
        <w:t> </w:t>
      </w:r>
      <w:r>
        <w:rPr>
          <w:color w:val="231F20"/>
          <w:sz w:val="23"/>
        </w:rPr>
        <w:t>accumulated</w:t>
      </w:r>
      <w:r>
        <w:rPr>
          <w:color w:val="231F20"/>
          <w:spacing w:val="-24"/>
          <w:sz w:val="23"/>
        </w:rPr>
        <w:t> </w:t>
      </w:r>
      <w:r>
        <w:rPr>
          <w:color w:val="231F20"/>
          <w:sz w:val="23"/>
        </w:rPr>
        <w:t>primarily</w:t>
      </w:r>
      <w:r>
        <w:rPr>
          <w:color w:val="231F20"/>
          <w:spacing w:val="-24"/>
          <w:sz w:val="23"/>
        </w:rPr>
        <w:t> </w:t>
      </w:r>
      <w:r>
        <w:rPr>
          <w:color w:val="231F20"/>
          <w:sz w:val="23"/>
        </w:rPr>
        <w:t>during</w:t>
      </w:r>
      <w:r>
        <w:rPr>
          <w:color w:val="231F20"/>
          <w:spacing w:val="-24"/>
          <w:sz w:val="23"/>
        </w:rPr>
        <w:t> </w:t>
      </w:r>
      <w:r>
        <w:rPr>
          <w:color w:val="231F20"/>
          <w:sz w:val="23"/>
        </w:rPr>
        <w:t>2016</w:t>
      </w:r>
      <w:r>
        <w:rPr>
          <w:color w:val="231F20"/>
          <w:spacing w:val="-24"/>
          <w:sz w:val="23"/>
        </w:rPr>
        <w:t> </w:t>
      </w:r>
      <w:r>
        <w:rPr>
          <w:color w:val="231F20"/>
          <w:sz w:val="23"/>
        </w:rPr>
        <w:t>and</w:t>
      </w:r>
      <w:r>
        <w:rPr>
          <w:color w:val="231F20"/>
          <w:spacing w:val="-24"/>
          <w:sz w:val="23"/>
        </w:rPr>
        <w:t> </w:t>
      </w:r>
      <w:r>
        <w:rPr>
          <w:color w:val="231F20"/>
          <w:sz w:val="23"/>
        </w:rPr>
        <w:t>2017. The payment of these arrears, together with the high debt service payments on domestic debt, which were also accumulated during the past ten years,</w:t>
      </w:r>
      <w:r>
        <w:rPr>
          <w:color w:val="231F20"/>
          <w:spacing w:val="51"/>
          <w:sz w:val="23"/>
        </w:rPr>
        <w:t> </w:t>
      </w:r>
      <w:r>
        <w:rPr>
          <w:color w:val="231F20"/>
          <w:sz w:val="23"/>
        </w:rPr>
        <w:t>have constrained</w:t>
      </w:r>
      <w:r>
        <w:rPr>
          <w:color w:val="231F20"/>
          <w:spacing w:val="-31"/>
          <w:sz w:val="23"/>
        </w:rPr>
        <w:t> </w:t>
      </w:r>
      <w:r>
        <w:rPr>
          <w:color w:val="231F20"/>
          <w:sz w:val="23"/>
        </w:rPr>
        <w:t>the</w:t>
      </w:r>
      <w:r>
        <w:rPr>
          <w:color w:val="231F20"/>
          <w:spacing w:val="-31"/>
          <w:sz w:val="23"/>
        </w:rPr>
        <w:t> </w:t>
      </w:r>
      <w:r>
        <w:rPr>
          <w:color w:val="231F20"/>
          <w:sz w:val="23"/>
        </w:rPr>
        <w:t>fiscal</w:t>
      </w:r>
      <w:r>
        <w:rPr>
          <w:color w:val="231F20"/>
          <w:spacing w:val="-31"/>
          <w:sz w:val="23"/>
        </w:rPr>
        <w:t> </w:t>
      </w:r>
      <w:r>
        <w:rPr>
          <w:color w:val="231F20"/>
          <w:sz w:val="23"/>
        </w:rPr>
        <w:t>space</w:t>
      </w:r>
      <w:r>
        <w:rPr>
          <w:color w:val="231F20"/>
          <w:spacing w:val="-31"/>
          <w:sz w:val="23"/>
        </w:rPr>
        <w:t> </w:t>
      </w:r>
      <w:r>
        <w:rPr>
          <w:color w:val="231F20"/>
          <w:sz w:val="23"/>
        </w:rPr>
        <w:t>for</w:t>
      </w:r>
      <w:r>
        <w:rPr>
          <w:color w:val="231F20"/>
          <w:spacing w:val="-31"/>
          <w:sz w:val="23"/>
        </w:rPr>
        <w:t> </w:t>
      </w:r>
      <w:r>
        <w:rPr>
          <w:color w:val="231F20"/>
          <w:sz w:val="23"/>
        </w:rPr>
        <w:t>spending</w:t>
      </w:r>
      <w:r>
        <w:rPr>
          <w:color w:val="231F20"/>
          <w:spacing w:val="-31"/>
          <w:sz w:val="23"/>
        </w:rPr>
        <w:t> </w:t>
      </w:r>
      <w:r>
        <w:rPr>
          <w:color w:val="231F20"/>
          <w:sz w:val="23"/>
        </w:rPr>
        <w:t>on</w:t>
      </w:r>
      <w:r>
        <w:rPr>
          <w:color w:val="231F20"/>
          <w:spacing w:val="-31"/>
          <w:sz w:val="23"/>
        </w:rPr>
        <w:t> </w:t>
      </w:r>
      <w:r>
        <w:rPr>
          <w:color w:val="231F20"/>
          <w:sz w:val="23"/>
        </w:rPr>
        <w:t>the</w:t>
      </w:r>
      <w:r>
        <w:rPr>
          <w:color w:val="231F20"/>
          <w:spacing w:val="-31"/>
          <w:sz w:val="23"/>
        </w:rPr>
        <w:t> </w:t>
      </w:r>
      <w:r>
        <w:rPr>
          <w:color w:val="231F20"/>
          <w:sz w:val="23"/>
        </w:rPr>
        <w:t>productive</w:t>
      </w:r>
      <w:r>
        <w:rPr>
          <w:color w:val="231F20"/>
          <w:spacing w:val="-31"/>
          <w:sz w:val="23"/>
        </w:rPr>
        <w:t> </w:t>
      </w:r>
      <w:r>
        <w:rPr>
          <w:color w:val="231F20"/>
          <w:sz w:val="23"/>
        </w:rPr>
        <w:t>sectors</w:t>
      </w:r>
      <w:r>
        <w:rPr>
          <w:color w:val="231F20"/>
          <w:spacing w:val="-31"/>
          <w:sz w:val="23"/>
        </w:rPr>
        <w:t> </w:t>
      </w:r>
      <w:r>
        <w:rPr>
          <w:color w:val="231F20"/>
          <w:sz w:val="23"/>
        </w:rPr>
        <w:t>and</w:t>
      </w:r>
      <w:r>
        <w:rPr>
          <w:color w:val="231F20"/>
          <w:spacing w:val="-31"/>
          <w:sz w:val="23"/>
        </w:rPr>
        <w:t> </w:t>
      </w:r>
      <w:r>
        <w:rPr>
          <w:color w:val="231F20"/>
          <w:sz w:val="23"/>
        </w:rPr>
        <w:t>infrastructure. This has undermined the public and private sectors’ capacity to create jobs. The consequence</w:t>
      </w:r>
      <w:r>
        <w:rPr>
          <w:color w:val="231F20"/>
          <w:spacing w:val="-6"/>
          <w:sz w:val="23"/>
        </w:rPr>
        <w:t> </w:t>
      </w:r>
      <w:r>
        <w:rPr>
          <w:color w:val="231F20"/>
          <w:sz w:val="23"/>
        </w:rPr>
        <w:t>is</w:t>
      </w:r>
      <w:r>
        <w:rPr>
          <w:color w:val="231F20"/>
          <w:spacing w:val="-6"/>
          <w:sz w:val="23"/>
        </w:rPr>
        <w:t> </w:t>
      </w:r>
      <w:r>
        <w:rPr>
          <w:color w:val="231F20"/>
          <w:sz w:val="23"/>
        </w:rPr>
        <w:t>high</w:t>
      </w:r>
      <w:r>
        <w:rPr>
          <w:color w:val="231F20"/>
          <w:spacing w:val="-6"/>
          <w:sz w:val="23"/>
        </w:rPr>
        <w:t> </w:t>
      </w:r>
      <w:r>
        <w:rPr>
          <w:color w:val="231F20"/>
          <w:sz w:val="23"/>
        </w:rPr>
        <w:t>levels</w:t>
      </w:r>
      <w:r>
        <w:rPr>
          <w:color w:val="231F20"/>
          <w:spacing w:val="-6"/>
          <w:sz w:val="23"/>
        </w:rPr>
        <w:t> </w:t>
      </w:r>
      <w:r>
        <w:rPr>
          <w:color w:val="231F20"/>
          <w:sz w:val="23"/>
        </w:rPr>
        <w:t>of</w:t>
      </w:r>
      <w:r>
        <w:rPr>
          <w:color w:val="231F20"/>
          <w:spacing w:val="-6"/>
          <w:sz w:val="23"/>
        </w:rPr>
        <w:t> </w:t>
      </w:r>
      <w:r>
        <w:rPr>
          <w:color w:val="231F20"/>
          <w:sz w:val="23"/>
        </w:rPr>
        <w:t>unemployment</w:t>
      </w:r>
      <w:r>
        <w:rPr>
          <w:color w:val="231F20"/>
          <w:spacing w:val="-6"/>
          <w:sz w:val="23"/>
        </w:rPr>
        <w:t> </w:t>
      </w:r>
      <w:r>
        <w:rPr>
          <w:color w:val="231F20"/>
          <w:sz w:val="23"/>
        </w:rPr>
        <w:t>especially</w:t>
      </w:r>
      <w:r>
        <w:rPr>
          <w:color w:val="231F20"/>
          <w:spacing w:val="-6"/>
          <w:sz w:val="23"/>
        </w:rPr>
        <w:t> </w:t>
      </w:r>
      <w:r>
        <w:rPr>
          <w:color w:val="231F20"/>
          <w:sz w:val="23"/>
        </w:rPr>
        <w:t>among</w:t>
      </w:r>
      <w:r>
        <w:rPr>
          <w:color w:val="231F20"/>
          <w:spacing w:val="-6"/>
          <w:sz w:val="23"/>
        </w:rPr>
        <w:t> </w:t>
      </w:r>
      <w:r>
        <w:rPr>
          <w:color w:val="231F20"/>
          <w:sz w:val="23"/>
        </w:rPr>
        <w:t>our</w:t>
      </w:r>
      <w:r>
        <w:rPr>
          <w:color w:val="231F20"/>
          <w:spacing w:val="-6"/>
          <w:sz w:val="23"/>
        </w:rPr>
        <w:t> </w:t>
      </w:r>
      <w:r>
        <w:rPr>
          <w:color w:val="231F20"/>
          <w:sz w:val="23"/>
        </w:rPr>
        <w:t>youth,</w:t>
      </w:r>
      <w:r>
        <w:rPr>
          <w:color w:val="231F20"/>
          <w:spacing w:val="-6"/>
          <w:sz w:val="23"/>
        </w:rPr>
        <w:t> </w:t>
      </w:r>
      <w:r>
        <w:rPr>
          <w:color w:val="231F20"/>
          <w:sz w:val="23"/>
        </w:rPr>
        <w:t>which</w:t>
      </w:r>
      <w:r>
        <w:rPr>
          <w:color w:val="231F20"/>
          <w:spacing w:val="-6"/>
          <w:sz w:val="23"/>
        </w:rPr>
        <w:t> </w:t>
      </w:r>
      <w:r>
        <w:rPr>
          <w:color w:val="231F20"/>
          <w:sz w:val="23"/>
        </w:rPr>
        <w:t>has given rise to the slogan, </w:t>
      </w:r>
      <w:r>
        <w:rPr>
          <w:b/>
          <w:color w:val="231F20"/>
          <w:sz w:val="23"/>
        </w:rPr>
        <w:t>‘Di Gron</w:t>
      </w:r>
      <w:r>
        <w:rPr>
          <w:b/>
          <w:color w:val="231F20"/>
          <w:spacing w:val="-31"/>
          <w:sz w:val="23"/>
        </w:rPr>
        <w:t> </w:t>
      </w:r>
      <w:r>
        <w:rPr>
          <w:b/>
          <w:color w:val="231F20"/>
          <w:sz w:val="23"/>
        </w:rPr>
        <w:t>Dry’</w:t>
      </w:r>
      <w:r>
        <w:rPr>
          <w:color w:val="231F20"/>
          <w:sz w:val="23"/>
        </w:rPr>
        <w:t>.</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Mr.</w:t>
      </w:r>
      <w:r>
        <w:rPr>
          <w:color w:val="231F20"/>
          <w:spacing w:val="-13"/>
          <w:sz w:val="23"/>
        </w:rPr>
        <w:t> </w:t>
      </w:r>
      <w:r>
        <w:rPr>
          <w:color w:val="231F20"/>
          <w:sz w:val="23"/>
        </w:rPr>
        <w:t>Speaker,</w:t>
      </w:r>
      <w:r>
        <w:rPr>
          <w:color w:val="231F20"/>
          <w:spacing w:val="-13"/>
          <w:sz w:val="23"/>
        </w:rPr>
        <w:t> </w:t>
      </w:r>
      <w:r>
        <w:rPr>
          <w:color w:val="231F20"/>
          <w:sz w:val="23"/>
        </w:rPr>
        <w:t>Honourable</w:t>
      </w:r>
      <w:r>
        <w:rPr>
          <w:color w:val="231F20"/>
          <w:spacing w:val="-13"/>
          <w:sz w:val="23"/>
        </w:rPr>
        <w:t> </w:t>
      </w:r>
      <w:r>
        <w:rPr>
          <w:color w:val="231F20"/>
          <w:sz w:val="23"/>
        </w:rPr>
        <w:t>Members,</w:t>
      </w:r>
      <w:r>
        <w:rPr>
          <w:color w:val="231F20"/>
          <w:spacing w:val="-13"/>
          <w:sz w:val="23"/>
        </w:rPr>
        <w:t> </w:t>
      </w:r>
      <w:r>
        <w:rPr>
          <w:color w:val="231F20"/>
          <w:sz w:val="23"/>
        </w:rPr>
        <w:t>the</w:t>
      </w:r>
      <w:r>
        <w:rPr>
          <w:color w:val="231F20"/>
          <w:spacing w:val="-13"/>
          <w:sz w:val="23"/>
        </w:rPr>
        <w:t> </w:t>
      </w:r>
      <w:r>
        <w:rPr>
          <w:color w:val="231F20"/>
          <w:sz w:val="23"/>
        </w:rPr>
        <w:t>2020</w:t>
      </w:r>
      <w:r>
        <w:rPr>
          <w:color w:val="231F20"/>
          <w:spacing w:val="-13"/>
          <w:sz w:val="23"/>
        </w:rPr>
        <w:t> </w:t>
      </w:r>
      <w:r>
        <w:rPr>
          <w:color w:val="231F20"/>
          <w:sz w:val="23"/>
        </w:rPr>
        <w:t>Budget</w:t>
      </w:r>
      <w:r>
        <w:rPr>
          <w:color w:val="231F20"/>
          <w:spacing w:val="-13"/>
          <w:sz w:val="23"/>
        </w:rPr>
        <w:t> </w:t>
      </w:r>
      <w:r>
        <w:rPr>
          <w:color w:val="231F20"/>
          <w:sz w:val="23"/>
        </w:rPr>
        <w:t>is</w:t>
      </w:r>
      <w:r>
        <w:rPr>
          <w:color w:val="231F20"/>
          <w:spacing w:val="-13"/>
          <w:sz w:val="23"/>
        </w:rPr>
        <w:t> </w:t>
      </w:r>
      <w:r>
        <w:rPr>
          <w:color w:val="231F20"/>
          <w:sz w:val="23"/>
        </w:rPr>
        <w:t>an</w:t>
      </w:r>
      <w:r>
        <w:rPr>
          <w:color w:val="231F20"/>
          <w:spacing w:val="-13"/>
          <w:sz w:val="23"/>
        </w:rPr>
        <w:t> </w:t>
      </w:r>
      <w:r>
        <w:rPr>
          <w:color w:val="231F20"/>
          <w:sz w:val="23"/>
        </w:rPr>
        <w:t>attempt</w:t>
      </w:r>
      <w:r>
        <w:rPr>
          <w:color w:val="231F20"/>
          <w:spacing w:val="-13"/>
          <w:sz w:val="23"/>
        </w:rPr>
        <w:t> </w:t>
      </w:r>
      <w:r>
        <w:rPr>
          <w:color w:val="231F20"/>
          <w:sz w:val="23"/>
        </w:rPr>
        <w:t>to</w:t>
      </w:r>
      <w:r>
        <w:rPr>
          <w:color w:val="231F20"/>
          <w:spacing w:val="-13"/>
          <w:sz w:val="23"/>
        </w:rPr>
        <w:t> </w:t>
      </w:r>
      <w:r>
        <w:rPr>
          <w:color w:val="231F20"/>
          <w:sz w:val="23"/>
        </w:rPr>
        <w:t>reverse this</w:t>
      </w:r>
      <w:r>
        <w:rPr>
          <w:color w:val="231F20"/>
          <w:spacing w:val="-28"/>
          <w:sz w:val="23"/>
        </w:rPr>
        <w:t> </w:t>
      </w:r>
      <w:r>
        <w:rPr>
          <w:color w:val="231F20"/>
          <w:sz w:val="23"/>
        </w:rPr>
        <w:t>ugly</w:t>
      </w:r>
      <w:r>
        <w:rPr>
          <w:color w:val="231F20"/>
          <w:spacing w:val="-28"/>
          <w:sz w:val="23"/>
        </w:rPr>
        <w:t> </w:t>
      </w:r>
      <w:r>
        <w:rPr>
          <w:color w:val="231F20"/>
          <w:sz w:val="23"/>
        </w:rPr>
        <w:t>situation.</w:t>
      </w:r>
      <w:r>
        <w:rPr>
          <w:color w:val="231F20"/>
          <w:spacing w:val="-28"/>
          <w:sz w:val="23"/>
        </w:rPr>
        <w:t> </w:t>
      </w:r>
      <w:r>
        <w:rPr>
          <w:color w:val="231F20"/>
          <w:sz w:val="23"/>
        </w:rPr>
        <w:t>Whilst</w:t>
      </w:r>
      <w:r>
        <w:rPr>
          <w:color w:val="231F20"/>
          <w:spacing w:val="-28"/>
          <w:sz w:val="23"/>
        </w:rPr>
        <w:t> </w:t>
      </w:r>
      <w:r>
        <w:rPr>
          <w:color w:val="231F20"/>
          <w:sz w:val="23"/>
        </w:rPr>
        <w:t>the</w:t>
      </w:r>
      <w:r>
        <w:rPr>
          <w:color w:val="231F20"/>
          <w:spacing w:val="-28"/>
          <w:sz w:val="23"/>
        </w:rPr>
        <w:t> </w:t>
      </w:r>
      <w:r>
        <w:rPr>
          <w:color w:val="231F20"/>
          <w:sz w:val="23"/>
        </w:rPr>
        <w:t>Budget</w:t>
      </w:r>
      <w:r>
        <w:rPr>
          <w:color w:val="231F20"/>
          <w:spacing w:val="-28"/>
          <w:sz w:val="23"/>
        </w:rPr>
        <w:t> </w:t>
      </w:r>
      <w:r>
        <w:rPr>
          <w:color w:val="231F20"/>
          <w:sz w:val="23"/>
        </w:rPr>
        <w:t>will</w:t>
      </w:r>
      <w:r>
        <w:rPr>
          <w:color w:val="231F20"/>
          <w:spacing w:val="-28"/>
          <w:sz w:val="23"/>
        </w:rPr>
        <w:t> </w:t>
      </w:r>
      <w:r>
        <w:rPr>
          <w:color w:val="231F20"/>
          <w:sz w:val="23"/>
        </w:rPr>
        <w:t>continue</w:t>
      </w:r>
      <w:r>
        <w:rPr>
          <w:color w:val="231F20"/>
          <w:spacing w:val="-28"/>
          <w:sz w:val="23"/>
        </w:rPr>
        <w:t> </w:t>
      </w:r>
      <w:r>
        <w:rPr>
          <w:color w:val="231F20"/>
          <w:sz w:val="23"/>
        </w:rPr>
        <w:t>to</w:t>
      </w:r>
      <w:r>
        <w:rPr>
          <w:color w:val="231F20"/>
          <w:spacing w:val="-28"/>
          <w:sz w:val="23"/>
        </w:rPr>
        <w:t> </w:t>
      </w:r>
      <w:r>
        <w:rPr>
          <w:color w:val="231F20"/>
          <w:sz w:val="23"/>
        </w:rPr>
        <w:t>focus</w:t>
      </w:r>
      <w:r>
        <w:rPr>
          <w:color w:val="231F20"/>
          <w:spacing w:val="-28"/>
          <w:sz w:val="23"/>
        </w:rPr>
        <w:t> </w:t>
      </w:r>
      <w:r>
        <w:rPr>
          <w:color w:val="231F20"/>
          <w:sz w:val="23"/>
        </w:rPr>
        <w:t>on</w:t>
      </w:r>
      <w:r>
        <w:rPr>
          <w:color w:val="231F20"/>
          <w:spacing w:val="-28"/>
          <w:sz w:val="23"/>
        </w:rPr>
        <w:t> </w:t>
      </w:r>
      <w:r>
        <w:rPr>
          <w:color w:val="231F20"/>
          <w:sz w:val="23"/>
        </w:rPr>
        <w:t>scaling-up</w:t>
      </w:r>
      <w:r>
        <w:rPr>
          <w:color w:val="231F20"/>
          <w:spacing w:val="-28"/>
          <w:sz w:val="23"/>
        </w:rPr>
        <w:t> </w:t>
      </w:r>
      <w:r>
        <w:rPr>
          <w:color w:val="231F20"/>
          <w:sz w:val="23"/>
        </w:rPr>
        <w:t>investments in human capital development, it also lays out strategies and targeted interventions to</w:t>
      </w:r>
      <w:r>
        <w:rPr>
          <w:color w:val="231F20"/>
          <w:spacing w:val="-26"/>
          <w:sz w:val="23"/>
        </w:rPr>
        <w:t> </w:t>
      </w:r>
      <w:r>
        <w:rPr>
          <w:color w:val="231F20"/>
          <w:sz w:val="23"/>
        </w:rPr>
        <w:t>develop</w:t>
      </w:r>
      <w:r>
        <w:rPr>
          <w:color w:val="231F20"/>
          <w:spacing w:val="-26"/>
          <w:sz w:val="23"/>
        </w:rPr>
        <w:t> </w:t>
      </w:r>
      <w:r>
        <w:rPr>
          <w:color w:val="231F20"/>
          <w:sz w:val="23"/>
        </w:rPr>
        <w:t>skills</w:t>
      </w:r>
      <w:r>
        <w:rPr>
          <w:color w:val="231F20"/>
          <w:spacing w:val="-26"/>
          <w:sz w:val="23"/>
        </w:rPr>
        <w:t> </w:t>
      </w:r>
      <w:r>
        <w:rPr>
          <w:color w:val="231F20"/>
          <w:sz w:val="23"/>
        </w:rPr>
        <w:t>and</w:t>
      </w:r>
      <w:r>
        <w:rPr>
          <w:color w:val="231F20"/>
          <w:spacing w:val="-26"/>
          <w:sz w:val="23"/>
        </w:rPr>
        <w:t> </w:t>
      </w:r>
      <w:r>
        <w:rPr>
          <w:color w:val="231F20"/>
          <w:sz w:val="23"/>
        </w:rPr>
        <w:t>create</w:t>
      </w:r>
      <w:r>
        <w:rPr>
          <w:color w:val="231F20"/>
          <w:spacing w:val="-26"/>
          <w:sz w:val="23"/>
        </w:rPr>
        <w:t> </w:t>
      </w:r>
      <w:r>
        <w:rPr>
          <w:color w:val="231F20"/>
          <w:sz w:val="23"/>
        </w:rPr>
        <w:t>jobs</w:t>
      </w:r>
      <w:r>
        <w:rPr>
          <w:color w:val="231F20"/>
          <w:spacing w:val="-25"/>
          <w:sz w:val="23"/>
        </w:rPr>
        <w:t> </w:t>
      </w:r>
      <w:r>
        <w:rPr>
          <w:color w:val="231F20"/>
          <w:sz w:val="23"/>
        </w:rPr>
        <w:t>for</w:t>
      </w:r>
      <w:r>
        <w:rPr>
          <w:color w:val="231F20"/>
          <w:spacing w:val="-26"/>
          <w:sz w:val="23"/>
        </w:rPr>
        <w:t> </w:t>
      </w:r>
      <w:r>
        <w:rPr>
          <w:color w:val="231F20"/>
          <w:sz w:val="23"/>
        </w:rPr>
        <w:t>our</w:t>
      </w:r>
      <w:r>
        <w:rPr>
          <w:color w:val="231F20"/>
          <w:spacing w:val="-26"/>
          <w:sz w:val="23"/>
        </w:rPr>
        <w:t> </w:t>
      </w:r>
      <w:r>
        <w:rPr>
          <w:color w:val="231F20"/>
          <w:sz w:val="23"/>
        </w:rPr>
        <w:t>citizens,</w:t>
      </w:r>
      <w:r>
        <w:rPr>
          <w:color w:val="231F20"/>
          <w:spacing w:val="-26"/>
          <w:sz w:val="23"/>
        </w:rPr>
        <w:t> </w:t>
      </w:r>
      <w:r>
        <w:rPr>
          <w:color w:val="231F20"/>
          <w:sz w:val="23"/>
        </w:rPr>
        <w:t>especially</w:t>
      </w:r>
      <w:r>
        <w:rPr>
          <w:color w:val="231F20"/>
          <w:spacing w:val="-26"/>
          <w:sz w:val="23"/>
        </w:rPr>
        <w:t> </w:t>
      </w:r>
      <w:r>
        <w:rPr>
          <w:color w:val="231F20"/>
          <w:sz w:val="23"/>
        </w:rPr>
        <w:t>women</w:t>
      </w:r>
      <w:r>
        <w:rPr>
          <w:color w:val="231F20"/>
          <w:spacing w:val="-25"/>
          <w:sz w:val="23"/>
        </w:rPr>
        <w:t> </w:t>
      </w:r>
      <w:r>
        <w:rPr>
          <w:color w:val="231F20"/>
          <w:sz w:val="23"/>
        </w:rPr>
        <w:t>and</w:t>
      </w:r>
      <w:r>
        <w:rPr>
          <w:color w:val="231F20"/>
          <w:spacing w:val="-26"/>
          <w:sz w:val="23"/>
        </w:rPr>
        <w:t> </w:t>
      </w:r>
      <w:r>
        <w:rPr>
          <w:color w:val="231F20"/>
          <w:sz w:val="23"/>
        </w:rPr>
        <w:t>youth.</w:t>
      </w:r>
      <w:r>
        <w:rPr>
          <w:color w:val="231F20"/>
          <w:spacing w:val="-26"/>
          <w:sz w:val="23"/>
        </w:rPr>
        <w:t> </w:t>
      </w:r>
      <w:r>
        <w:rPr>
          <w:color w:val="231F20"/>
          <w:sz w:val="23"/>
        </w:rPr>
        <w:t>This</w:t>
      </w:r>
      <w:r>
        <w:rPr>
          <w:color w:val="231F20"/>
          <w:spacing w:val="-26"/>
          <w:sz w:val="23"/>
        </w:rPr>
        <w:t> </w:t>
      </w:r>
      <w:r>
        <w:rPr>
          <w:color w:val="231F20"/>
          <w:sz w:val="23"/>
        </w:rPr>
        <w:t>will create the workforce required for greater labour market participation and reduce poverty and</w:t>
      </w:r>
      <w:r>
        <w:rPr>
          <w:color w:val="231F20"/>
          <w:spacing w:val="-22"/>
          <w:sz w:val="23"/>
        </w:rPr>
        <w:t> </w:t>
      </w:r>
      <w:r>
        <w:rPr>
          <w:color w:val="231F20"/>
          <w:sz w:val="23"/>
        </w:rPr>
        <w:t>inequality.</w:t>
      </w:r>
    </w:p>
    <w:p>
      <w:pPr>
        <w:pStyle w:val="BodyText"/>
        <w:spacing w:before="9"/>
        <w:rPr>
          <w:sz w:val="28"/>
        </w:rPr>
      </w:pPr>
    </w:p>
    <w:p>
      <w:pPr>
        <w:pStyle w:val="ListParagraph"/>
        <w:numPr>
          <w:ilvl w:val="0"/>
          <w:numId w:val="2"/>
        </w:numPr>
        <w:tabs>
          <w:tab w:pos="954" w:val="left" w:leader="none"/>
        </w:tabs>
        <w:spacing w:line="302" w:lineRule="auto" w:before="0" w:after="0"/>
        <w:ind w:left="103" w:right="120" w:firstLine="223"/>
        <w:jc w:val="both"/>
        <w:rPr>
          <w:sz w:val="23"/>
        </w:rPr>
      </w:pPr>
      <w:r>
        <w:rPr>
          <w:color w:val="231F20"/>
          <w:sz w:val="23"/>
        </w:rPr>
        <w:t>The Budget will therefore focus on fiscal consolidation for human capital development</w:t>
      </w:r>
      <w:r>
        <w:rPr>
          <w:color w:val="231F20"/>
          <w:spacing w:val="-18"/>
          <w:sz w:val="23"/>
        </w:rPr>
        <w:t> </w:t>
      </w:r>
      <w:r>
        <w:rPr>
          <w:color w:val="231F20"/>
          <w:sz w:val="23"/>
        </w:rPr>
        <w:t>and</w:t>
      </w:r>
      <w:r>
        <w:rPr>
          <w:color w:val="231F20"/>
          <w:spacing w:val="-18"/>
          <w:sz w:val="23"/>
        </w:rPr>
        <w:t> </w:t>
      </w:r>
      <w:r>
        <w:rPr>
          <w:color w:val="231F20"/>
          <w:sz w:val="23"/>
        </w:rPr>
        <w:t>job</w:t>
      </w:r>
      <w:r>
        <w:rPr>
          <w:color w:val="231F20"/>
          <w:spacing w:val="-18"/>
          <w:sz w:val="23"/>
        </w:rPr>
        <w:t> </w:t>
      </w:r>
      <w:r>
        <w:rPr>
          <w:color w:val="231F20"/>
          <w:sz w:val="23"/>
        </w:rPr>
        <w:t>creation,</w:t>
      </w:r>
      <w:r>
        <w:rPr>
          <w:color w:val="231F20"/>
          <w:spacing w:val="-18"/>
          <w:sz w:val="23"/>
        </w:rPr>
        <w:t> </w:t>
      </w:r>
      <w:r>
        <w:rPr>
          <w:color w:val="231F20"/>
          <w:sz w:val="23"/>
        </w:rPr>
        <w:t>enhanced</w:t>
      </w:r>
      <w:r>
        <w:rPr>
          <w:color w:val="231F20"/>
          <w:spacing w:val="-18"/>
          <w:sz w:val="23"/>
        </w:rPr>
        <w:t> </w:t>
      </w:r>
      <w:r>
        <w:rPr>
          <w:color w:val="231F20"/>
          <w:sz w:val="23"/>
        </w:rPr>
        <w:t>by</w:t>
      </w:r>
      <w:r>
        <w:rPr>
          <w:color w:val="231F20"/>
          <w:spacing w:val="-18"/>
          <w:sz w:val="23"/>
        </w:rPr>
        <w:t> </w:t>
      </w:r>
      <w:r>
        <w:rPr>
          <w:color w:val="231F20"/>
          <w:sz w:val="23"/>
        </w:rPr>
        <w:t>a</w:t>
      </w:r>
      <w:r>
        <w:rPr>
          <w:color w:val="231F20"/>
          <w:spacing w:val="-18"/>
          <w:sz w:val="23"/>
        </w:rPr>
        <w:t> </w:t>
      </w:r>
      <w:r>
        <w:rPr>
          <w:color w:val="231F20"/>
          <w:sz w:val="23"/>
        </w:rPr>
        <w:t>thriving</w:t>
      </w:r>
      <w:r>
        <w:rPr>
          <w:color w:val="231F20"/>
          <w:spacing w:val="-18"/>
          <w:sz w:val="23"/>
        </w:rPr>
        <w:t> </w:t>
      </w:r>
      <w:r>
        <w:rPr>
          <w:color w:val="231F20"/>
          <w:sz w:val="23"/>
        </w:rPr>
        <w:t>private</w:t>
      </w:r>
      <w:r>
        <w:rPr>
          <w:color w:val="231F20"/>
          <w:spacing w:val="-18"/>
          <w:sz w:val="23"/>
        </w:rPr>
        <w:t> </w:t>
      </w:r>
      <w:r>
        <w:rPr>
          <w:color w:val="231F20"/>
          <w:sz w:val="23"/>
        </w:rPr>
        <w:t>sector</w:t>
      </w:r>
      <w:r>
        <w:rPr>
          <w:color w:val="231F20"/>
          <w:spacing w:val="-18"/>
          <w:sz w:val="23"/>
        </w:rPr>
        <w:t> </w:t>
      </w:r>
      <w:r>
        <w:rPr>
          <w:color w:val="231F20"/>
          <w:sz w:val="23"/>
        </w:rPr>
        <w:t>whilst</w:t>
      </w:r>
      <w:r>
        <w:rPr>
          <w:color w:val="231F20"/>
          <w:spacing w:val="-18"/>
          <w:sz w:val="23"/>
        </w:rPr>
        <w:t> </w:t>
      </w:r>
      <w:r>
        <w:rPr>
          <w:color w:val="231F20"/>
          <w:sz w:val="23"/>
        </w:rPr>
        <w:t>leveraging on science and</w:t>
      </w:r>
      <w:r>
        <w:rPr>
          <w:color w:val="231F20"/>
          <w:spacing w:val="12"/>
          <w:sz w:val="23"/>
        </w:rPr>
        <w:t> </w:t>
      </w:r>
      <w:r>
        <w:rPr>
          <w:color w:val="231F20"/>
          <w:sz w:val="23"/>
        </w:rPr>
        <w:t>technology.</w:t>
      </w:r>
    </w:p>
    <w:p>
      <w:pPr>
        <w:pStyle w:val="BodyText"/>
        <w:rPr>
          <w:sz w:val="29"/>
        </w:rPr>
      </w:pPr>
    </w:p>
    <w:p>
      <w:pPr>
        <w:pStyle w:val="ListParagraph"/>
        <w:numPr>
          <w:ilvl w:val="0"/>
          <w:numId w:val="2"/>
        </w:numPr>
        <w:tabs>
          <w:tab w:pos="954" w:val="left" w:leader="none"/>
        </w:tabs>
        <w:spacing w:line="302" w:lineRule="auto" w:before="0" w:after="0"/>
        <w:ind w:left="103" w:right="125" w:firstLine="223"/>
        <w:jc w:val="both"/>
        <w:rPr>
          <w:sz w:val="23"/>
        </w:rPr>
      </w:pPr>
      <w:r>
        <w:rPr>
          <w:color w:val="231F20"/>
          <w:sz w:val="23"/>
        </w:rPr>
        <w:t>Let me at this stage provide you with an update on global developments</w:t>
      </w:r>
      <w:r>
        <w:rPr>
          <w:color w:val="231F20"/>
          <w:spacing w:val="-22"/>
          <w:sz w:val="23"/>
        </w:rPr>
        <w:t> </w:t>
      </w:r>
      <w:r>
        <w:rPr>
          <w:color w:val="231F20"/>
          <w:sz w:val="23"/>
        </w:rPr>
        <w:t>and outlook and the relationship with the domestic economy.</w:t>
      </w:r>
    </w:p>
    <w:p>
      <w:pPr>
        <w:pStyle w:val="BodyText"/>
        <w:spacing w:before="10"/>
        <w:rPr>
          <w:sz w:val="28"/>
        </w:rPr>
      </w:pPr>
    </w:p>
    <w:p>
      <w:pPr>
        <w:pStyle w:val="Heading2"/>
        <w:numPr>
          <w:ilvl w:val="0"/>
          <w:numId w:val="1"/>
        </w:numPr>
        <w:tabs>
          <w:tab w:pos="477" w:val="left" w:leader="none"/>
        </w:tabs>
        <w:spacing w:line="240" w:lineRule="auto" w:before="1" w:after="0"/>
        <w:ind w:left="476" w:right="0" w:hanging="370"/>
        <w:jc w:val="left"/>
      </w:pPr>
      <w:r>
        <w:rPr>
          <w:color w:val="231F20"/>
        </w:rPr>
        <w:t>Global</w:t>
      </w:r>
      <w:r>
        <w:rPr>
          <w:color w:val="231F20"/>
          <w:spacing w:val="-25"/>
        </w:rPr>
        <w:t> </w:t>
      </w:r>
      <w:r>
        <w:rPr>
          <w:color w:val="231F20"/>
        </w:rPr>
        <w:t>Economic</w:t>
      </w:r>
      <w:r>
        <w:rPr>
          <w:color w:val="231F20"/>
          <w:spacing w:val="-24"/>
        </w:rPr>
        <w:t> </w:t>
      </w:r>
      <w:r>
        <w:rPr>
          <w:color w:val="231F20"/>
        </w:rPr>
        <w:t>Developments</w:t>
      </w:r>
      <w:r>
        <w:rPr>
          <w:color w:val="231F20"/>
          <w:spacing w:val="-24"/>
        </w:rPr>
        <w:t> </w:t>
      </w:r>
      <w:r>
        <w:rPr>
          <w:color w:val="231F20"/>
        </w:rPr>
        <w:t>in</w:t>
      </w:r>
      <w:r>
        <w:rPr>
          <w:color w:val="231F20"/>
          <w:spacing w:val="-25"/>
        </w:rPr>
        <w:t> </w:t>
      </w:r>
      <w:r>
        <w:rPr>
          <w:color w:val="231F20"/>
        </w:rPr>
        <w:t>2019</w:t>
      </w:r>
      <w:r>
        <w:rPr>
          <w:color w:val="231F20"/>
          <w:spacing w:val="-24"/>
        </w:rPr>
        <w:t> </w:t>
      </w:r>
      <w:r>
        <w:rPr>
          <w:color w:val="231F20"/>
        </w:rPr>
        <w:t>and</w:t>
      </w:r>
      <w:r>
        <w:rPr>
          <w:color w:val="231F20"/>
          <w:spacing w:val="-24"/>
        </w:rPr>
        <w:t> </w:t>
      </w:r>
      <w:r>
        <w:rPr>
          <w:color w:val="231F20"/>
        </w:rPr>
        <w:t>Outlook</w:t>
      </w:r>
    </w:p>
    <w:p>
      <w:pPr>
        <w:pStyle w:val="ListParagraph"/>
        <w:numPr>
          <w:ilvl w:val="0"/>
          <w:numId w:val="2"/>
        </w:numPr>
        <w:tabs>
          <w:tab w:pos="954" w:val="left" w:leader="none"/>
        </w:tabs>
        <w:spacing w:line="302" w:lineRule="auto" w:before="70" w:after="0"/>
        <w:ind w:left="103" w:right="120" w:firstLine="223"/>
        <w:jc w:val="both"/>
        <w:rPr>
          <w:sz w:val="23"/>
        </w:rPr>
      </w:pPr>
      <w:r>
        <w:rPr>
          <w:color w:val="231F20"/>
          <w:sz w:val="23"/>
        </w:rPr>
        <w:t>Mr.</w:t>
      </w:r>
      <w:r>
        <w:rPr>
          <w:color w:val="231F20"/>
          <w:spacing w:val="-45"/>
          <w:sz w:val="23"/>
        </w:rPr>
        <w:t> </w:t>
      </w:r>
      <w:r>
        <w:rPr>
          <w:color w:val="231F20"/>
          <w:sz w:val="23"/>
        </w:rPr>
        <w:t>Speaker,</w:t>
      </w:r>
      <w:r>
        <w:rPr>
          <w:color w:val="231F20"/>
          <w:spacing w:val="-44"/>
          <w:sz w:val="23"/>
        </w:rPr>
        <w:t> </w:t>
      </w:r>
      <w:r>
        <w:rPr>
          <w:color w:val="231F20"/>
          <w:sz w:val="23"/>
        </w:rPr>
        <w:t>Honourable</w:t>
      </w:r>
      <w:r>
        <w:rPr>
          <w:color w:val="231F20"/>
          <w:spacing w:val="-44"/>
          <w:sz w:val="23"/>
        </w:rPr>
        <w:t> </w:t>
      </w:r>
      <w:r>
        <w:rPr>
          <w:color w:val="231F20"/>
          <w:sz w:val="23"/>
        </w:rPr>
        <w:t>Members,</w:t>
      </w:r>
      <w:r>
        <w:rPr>
          <w:color w:val="231F20"/>
          <w:spacing w:val="-44"/>
          <w:sz w:val="23"/>
        </w:rPr>
        <w:t> </w:t>
      </w:r>
      <w:r>
        <w:rPr>
          <w:color w:val="231F20"/>
          <w:sz w:val="23"/>
        </w:rPr>
        <w:t>after</w:t>
      </w:r>
      <w:r>
        <w:rPr>
          <w:color w:val="231F20"/>
          <w:spacing w:val="-44"/>
          <w:sz w:val="23"/>
        </w:rPr>
        <w:t> </w:t>
      </w:r>
      <w:r>
        <w:rPr>
          <w:color w:val="231F20"/>
          <w:sz w:val="23"/>
        </w:rPr>
        <w:t>more</w:t>
      </w:r>
      <w:r>
        <w:rPr>
          <w:color w:val="231F20"/>
          <w:spacing w:val="-44"/>
          <w:sz w:val="23"/>
        </w:rPr>
        <w:t> </w:t>
      </w:r>
      <w:r>
        <w:rPr>
          <w:color w:val="231F20"/>
          <w:sz w:val="23"/>
        </w:rPr>
        <w:t>than</w:t>
      </w:r>
      <w:r>
        <w:rPr>
          <w:color w:val="231F20"/>
          <w:spacing w:val="-44"/>
          <w:sz w:val="23"/>
        </w:rPr>
        <w:t> </w:t>
      </w:r>
      <w:r>
        <w:rPr>
          <w:color w:val="231F20"/>
          <w:sz w:val="23"/>
        </w:rPr>
        <w:t>four</w:t>
      </w:r>
      <w:r>
        <w:rPr>
          <w:color w:val="231F20"/>
          <w:spacing w:val="-44"/>
          <w:sz w:val="23"/>
        </w:rPr>
        <w:t> </w:t>
      </w:r>
      <w:r>
        <w:rPr>
          <w:color w:val="231F20"/>
          <w:sz w:val="23"/>
        </w:rPr>
        <w:t>years</w:t>
      </w:r>
      <w:r>
        <w:rPr>
          <w:color w:val="231F20"/>
          <w:spacing w:val="-44"/>
          <w:sz w:val="23"/>
        </w:rPr>
        <w:t> </w:t>
      </w:r>
      <w:r>
        <w:rPr>
          <w:color w:val="231F20"/>
          <w:sz w:val="23"/>
        </w:rPr>
        <w:t>of</w:t>
      </w:r>
      <w:r>
        <w:rPr>
          <w:color w:val="231F20"/>
          <w:spacing w:val="-44"/>
          <w:sz w:val="23"/>
        </w:rPr>
        <w:t> </w:t>
      </w:r>
      <w:r>
        <w:rPr>
          <w:color w:val="231F20"/>
          <w:sz w:val="23"/>
        </w:rPr>
        <w:t>uninterrupted global growth, the pace of economic activities has weakened. The global economy is projected</w:t>
      </w:r>
      <w:r>
        <w:rPr>
          <w:color w:val="231F20"/>
          <w:spacing w:val="-9"/>
          <w:sz w:val="23"/>
        </w:rPr>
        <w:t> </w:t>
      </w:r>
      <w:r>
        <w:rPr>
          <w:color w:val="231F20"/>
          <w:sz w:val="23"/>
        </w:rPr>
        <w:t>to</w:t>
      </w:r>
      <w:r>
        <w:rPr>
          <w:color w:val="231F20"/>
          <w:spacing w:val="-9"/>
          <w:sz w:val="23"/>
        </w:rPr>
        <w:t> </w:t>
      </w:r>
      <w:r>
        <w:rPr>
          <w:color w:val="231F20"/>
          <w:sz w:val="23"/>
        </w:rPr>
        <w:t>slow</w:t>
      </w:r>
      <w:r>
        <w:rPr>
          <w:color w:val="231F20"/>
          <w:spacing w:val="-9"/>
          <w:sz w:val="23"/>
        </w:rPr>
        <w:t> </w:t>
      </w:r>
      <w:r>
        <w:rPr>
          <w:color w:val="231F20"/>
          <w:sz w:val="23"/>
        </w:rPr>
        <w:t>down</w:t>
      </w:r>
      <w:r>
        <w:rPr>
          <w:color w:val="231F20"/>
          <w:spacing w:val="-9"/>
          <w:sz w:val="23"/>
        </w:rPr>
        <w:t> </w:t>
      </w:r>
      <w:r>
        <w:rPr>
          <w:color w:val="231F20"/>
          <w:sz w:val="23"/>
        </w:rPr>
        <w:t>to</w:t>
      </w:r>
      <w:r>
        <w:rPr>
          <w:color w:val="231F20"/>
          <w:spacing w:val="-9"/>
          <w:sz w:val="23"/>
        </w:rPr>
        <w:t> </w:t>
      </w:r>
      <w:r>
        <w:rPr>
          <w:color w:val="231F20"/>
          <w:sz w:val="23"/>
        </w:rPr>
        <w:t>3.0</w:t>
      </w:r>
      <w:r>
        <w:rPr>
          <w:color w:val="231F20"/>
          <w:spacing w:val="-9"/>
          <w:sz w:val="23"/>
        </w:rPr>
        <w:t> </w:t>
      </w:r>
      <w:r>
        <w:rPr>
          <w:color w:val="231F20"/>
          <w:sz w:val="23"/>
        </w:rPr>
        <w:t>percent</w:t>
      </w:r>
      <w:r>
        <w:rPr>
          <w:color w:val="231F20"/>
          <w:spacing w:val="-9"/>
          <w:sz w:val="23"/>
        </w:rPr>
        <w:t> </w:t>
      </w:r>
      <w:r>
        <w:rPr>
          <w:color w:val="231F20"/>
          <w:sz w:val="23"/>
        </w:rPr>
        <w:t>in</w:t>
      </w:r>
      <w:r>
        <w:rPr>
          <w:color w:val="231F20"/>
          <w:spacing w:val="-9"/>
          <w:sz w:val="23"/>
        </w:rPr>
        <w:t> </w:t>
      </w:r>
      <w:r>
        <w:rPr>
          <w:color w:val="231F20"/>
          <w:sz w:val="23"/>
        </w:rPr>
        <w:t>2019</w:t>
      </w:r>
      <w:r>
        <w:rPr>
          <w:color w:val="231F20"/>
          <w:spacing w:val="-9"/>
          <w:sz w:val="23"/>
        </w:rPr>
        <w:t> </w:t>
      </w:r>
      <w:r>
        <w:rPr>
          <w:color w:val="231F20"/>
          <w:sz w:val="23"/>
        </w:rPr>
        <w:t>from</w:t>
      </w:r>
      <w:r>
        <w:rPr>
          <w:color w:val="231F20"/>
          <w:spacing w:val="-9"/>
          <w:sz w:val="23"/>
        </w:rPr>
        <w:t> </w:t>
      </w:r>
      <w:r>
        <w:rPr>
          <w:color w:val="231F20"/>
          <w:sz w:val="23"/>
        </w:rPr>
        <w:t>3.6</w:t>
      </w:r>
      <w:r>
        <w:rPr>
          <w:color w:val="231F20"/>
          <w:spacing w:val="-9"/>
          <w:sz w:val="23"/>
        </w:rPr>
        <w:t> </w:t>
      </w:r>
      <w:r>
        <w:rPr>
          <w:color w:val="231F20"/>
          <w:sz w:val="23"/>
        </w:rPr>
        <w:t>percent</w:t>
      </w:r>
      <w:r>
        <w:rPr>
          <w:color w:val="231F20"/>
          <w:spacing w:val="-9"/>
          <w:sz w:val="23"/>
        </w:rPr>
        <w:t> </w:t>
      </w:r>
      <w:r>
        <w:rPr>
          <w:color w:val="231F20"/>
          <w:sz w:val="23"/>
        </w:rPr>
        <w:t>in</w:t>
      </w:r>
      <w:r>
        <w:rPr>
          <w:color w:val="231F20"/>
          <w:spacing w:val="-9"/>
          <w:sz w:val="23"/>
        </w:rPr>
        <w:t> </w:t>
      </w:r>
      <w:r>
        <w:rPr>
          <w:color w:val="231F20"/>
          <w:sz w:val="23"/>
        </w:rPr>
        <w:t>2018.</w:t>
      </w:r>
      <w:r>
        <w:rPr>
          <w:color w:val="231F20"/>
          <w:spacing w:val="-9"/>
          <w:sz w:val="23"/>
        </w:rPr>
        <w:t> </w:t>
      </w:r>
      <w:r>
        <w:rPr>
          <w:color w:val="231F20"/>
          <w:sz w:val="23"/>
        </w:rPr>
        <w:t>This</w:t>
      </w:r>
      <w:r>
        <w:rPr>
          <w:color w:val="231F20"/>
          <w:spacing w:val="-9"/>
          <w:sz w:val="23"/>
        </w:rPr>
        <w:t> </w:t>
      </w:r>
      <w:r>
        <w:rPr>
          <w:color w:val="231F20"/>
          <w:sz w:val="23"/>
        </w:rPr>
        <w:t>reflects the decline in manufacturing output and global trade, due to higher tariffs and prolonged trade policy</w:t>
      </w:r>
      <w:r>
        <w:rPr>
          <w:color w:val="231F20"/>
          <w:spacing w:val="-15"/>
          <w:sz w:val="23"/>
        </w:rPr>
        <w:t> </w:t>
      </w:r>
      <w:r>
        <w:rPr>
          <w:color w:val="231F20"/>
          <w:sz w:val="23"/>
        </w:rPr>
        <w:t>uncertainty.</w:t>
      </w:r>
    </w:p>
    <w:p>
      <w:pPr>
        <w:pStyle w:val="BodyText"/>
        <w:rPr>
          <w:sz w:val="20"/>
        </w:rPr>
      </w:pPr>
    </w:p>
    <w:p>
      <w:pPr>
        <w:pStyle w:val="BodyText"/>
        <w:rPr>
          <w:sz w:val="20"/>
        </w:rPr>
      </w:pPr>
    </w:p>
    <w:p>
      <w:pPr>
        <w:pStyle w:val="BodyText"/>
        <w:rPr>
          <w:sz w:val="20"/>
        </w:rPr>
      </w:pPr>
    </w:p>
    <w:p>
      <w:pPr>
        <w:pStyle w:val="BodyText"/>
        <w:spacing w:before="10"/>
        <w:rPr>
          <w:sz w:val="21"/>
        </w:rPr>
      </w:pPr>
    </w:p>
    <w:p>
      <w:pPr>
        <w:pStyle w:val="Heading1"/>
        <w:ind w:left="57" w:right="0"/>
      </w:pPr>
      <w:r>
        <w:rPr>
          <w:color w:val="231F20"/>
        </w:rPr>
        <w:t>5</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19" w:firstLine="223"/>
        <w:jc w:val="both"/>
        <w:rPr>
          <w:sz w:val="23"/>
        </w:rPr>
      </w:pPr>
      <w:r>
        <w:rPr>
          <w:color w:val="231F20"/>
          <w:sz w:val="23"/>
        </w:rPr>
        <w:t>The United States’ economic growth is gradually slowing down due to the waning impact of past fiscal stimulus while the uncertainty surrounding Brexit is weakening growth in Europe. The Chinese economy is also slowing down, as it transitions from an export-led to a services- led growth</w:t>
      </w:r>
      <w:r>
        <w:rPr>
          <w:color w:val="231F20"/>
          <w:spacing w:val="27"/>
          <w:sz w:val="23"/>
        </w:rPr>
        <w:t> </w:t>
      </w:r>
      <w:r>
        <w:rPr>
          <w:color w:val="231F20"/>
          <w:sz w:val="23"/>
        </w:rPr>
        <w:t>model.</w:t>
      </w:r>
    </w:p>
    <w:p>
      <w:pPr>
        <w:pStyle w:val="BodyText"/>
        <w:spacing w:before="1"/>
        <w:rPr>
          <w:sz w:val="29"/>
        </w:rPr>
      </w:pPr>
    </w:p>
    <w:p>
      <w:pPr>
        <w:pStyle w:val="ListParagraph"/>
        <w:numPr>
          <w:ilvl w:val="0"/>
          <w:numId w:val="2"/>
        </w:numPr>
        <w:tabs>
          <w:tab w:pos="953" w:val="left" w:leader="none"/>
          <w:tab w:pos="954" w:val="left" w:leader="none"/>
        </w:tabs>
        <w:spacing w:line="240" w:lineRule="auto" w:before="0" w:after="0"/>
        <w:ind w:left="953" w:right="0" w:hanging="627"/>
        <w:jc w:val="left"/>
        <w:rPr>
          <w:sz w:val="23"/>
        </w:rPr>
      </w:pPr>
      <w:r>
        <w:rPr>
          <w:color w:val="231F20"/>
          <w:sz w:val="23"/>
        </w:rPr>
        <w:t>In</w:t>
      </w:r>
      <w:r>
        <w:rPr>
          <w:color w:val="231F20"/>
          <w:spacing w:val="-9"/>
          <w:sz w:val="23"/>
        </w:rPr>
        <w:t> </w:t>
      </w:r>
      <w:r>
        <w:rPr>
          <w:color w:val="231F20"/>
          <w:sz w:val="23"/>
        </w:rPr>
        <w:t>Sub</w:t>
      </w:r>
      <w:r>
        <w:rPr>
          <w:color w:val="231F20"/>
          <w:spacing w:val="-9"/>
          <w:sz w:val="23"/>
        </w:rPr>
        <w:t> </w:t>
      </w:r>
      <w:r>
        <w:rPr>
          <w:color w:val="231F20"/>
          <w:sz w:val="23"/>
        </w:rPr>
        <w:t>Saharan</w:t>
      </w:r>
      <w:r>
        <w:rPr>
          <w:color w:val="231F20"/>
          <w:spacing w:val="-9"/>
          <w:sz w:val="23"/>
        </w:rPr>
        <w:t> </w:t>
      </w:r>
      <w:r>
        <w:rPr>
          <w:color w:val="231F20"/>
          <w:sz w:val="23"/>
        </w:rPr>
        <w:t>Africa,</w:t>
      </w:r>
      <w:r>
        <w:rPr>
          <w:color w:val="231F20"/>
          <w:spacing w:val="-9"/>
          <w:sz w:val="23"/>
        </w:rPr>
        <w:t> </w:t>
      </w:r>
      <w:r>
        <w:rPr>
          <w:color w:val="231F20"/>
          <w:sz w:val="23"/>
        </w:rPr>
        <w:t>the</w:t>
      </w:r>
      <w:r>
        <w:rPr>
          <w:color w:val="231F20"/>
          <w:spacing w:val="-9"/>
          <w:sz w:val="23"/>
        </w:rPr>
        <w:t> </w:t>
      </w:r>
      <w:r>
        <w:rPr>
          <w:color w:val="231F20"/>
          <w:sz w:val="23"/>
        </w:rPr>
        <w:t>growth</w:t>
      </w:r>
      <w:r>
        <w:rPr>
          <w:color w:val="231F20"/>
          <w:spacing w:val="-9"/>
          <w:sz w:val="23"/>
        </w:rPr>
        <w:t> </w:t>
      </w:r>
      <w:r>
        <w:rPr>
          <w:color w:val="231F20"/>
          <w:sz w:val="23"/>
        </w:rPr>
        <w:t>projection</w:t>
      </w:r>
      <w:r>
        <w:rPr>
          <w:color w:val="231F20"/>
          <w:spacing w:val="-9"/>
          <w:sz w:val="23"/>
        </w:rPr>
        <w:t> </w:t>
      </w:r>
      <w:r>
        <w:rPr>
          <w:color w:val="231F20"/>
          <w:sz w:val="23"/>
        </w:rPr>
        <w:t>has</w:t>
      </w:r>
      <w:r>
        <w:rPr>
          <w:color w:val="231F20"/>
          <w:spacing w:val="-9"/>
          <w:sz w:val="23"/>
        </w:rPr>
        <w:t> </w:t>
      </w:r>
      <w:r>
        <w:rPr>
          <w:color w:val="231F20"/>
          <w:sz w:val="23"/>
        </w:rPr>
        <w:t>been</w:t>
      </w:r>
      <w:r>
        <w:rPr>
          <w:color w:val="231F20"/>
          <w:spacing w:val="-9"/>
          <w:sz w:val="23"/>
        </w:rPr>
        <w:t> </w:t>
      </w:r>
      <w:r>
        <w:rPr>
          <w:color w:val="231F20"/>
          <w:sz w:val="23"/>
        </w:rPr>
        <w:t>revised</w:t>
      </w:r>
      <w:r>
        <w:rPr>
          <w:color w:val="231F20"/>
          <w:spacing w:val="-9"/>
          <w:sz w:val="23"/>
        </w:rPr>
        <w:t> </w:t>
      </w:r>
      <w:r>
        <w:rPr>
          <w:color w:val="231F20"/>
          <w:sz w:val="23"/>
        </w:rPr>
        <w:t>downwards</w:t>
      </w:r>
      <w:r>
        <w:rPr>
          <w:color w:val="231F20"/>
          <w:spacing w:val="-9"/>
          <w:sz w:val="23"/>
        </w:rPr>
        <w:t> </w:t>
      </w:r>
      <w:r>
        <w:rPr>
          <w:color w:val="231F20"/>
          <w:sz w:val="23"/>
        </w:rPr>
        <w:t>to</w:t>
      </w:r>
    </w:p>
    <w:p>
      <w:pPr>
        <w:pStyle w:val="BodyText"/>
        <w:spacing w:line="302" w:lineRule="auto" w:before="68"/>
        <w:ind w:left="103" w:right="121"/>
        <w:jc w:val="both"/>
      </w:pPr>
      <w:r>
        <w:rPr>
          <w:color w:val="231F20"/>
        </w:rPr>
        <w:t>3.2 percent in 2019 from an initial projection of 3.4 percent. This is the effect of prolonged</w:t>
      </w:r>
      <w:r>
        <w:rPr>
          <w:color w:val="231F20"/>
          <w:spacing w:val="-25"/>
        </w:rPr>
        <w:t> </w:t>
      </w:r>
      <w:r>
        <w:rPr>
          <w:color w:val="231F20"/>
        </w:rPr>
        <w:t>global</w:t>
      </w:r>
      <w:r>
        <w:rPr>
          <w:color w:val="231F20"/>
          <w:spacing w:val="-25"/>
        </w:rPr>
        <w:t> </w:t>
      </w:r>
      <w:r>
        <w:rPr>
          <w:color w:val="231F20"/>
        </w:rPr>
        <w:t>policy</w:t>
      </w:r>
      <w:r>
        <w:rPr>
          <w:color w:val="231F20"/>
          <w:spacing w:val="-25"/>
        </w:rPr>
        <w:t> </w:t>
      </w:r>
      <w:r>
        <w:rPr>
          <w:color w:val="231F20"/>
        </w:rPr>
        <w:t>uncertainty,</w:t>
      </w:r>
      <w:r>
        <w:rPr>
          <w:color w:val="231F20"/>
          <w:spacing w:val="-25"/>
        </w:rPr>
        <w:t> </w:t>
      </w:r>
      <w:r>
        <w:rPr>
          <w:color w:val="231F20"/>
        </w:rPr>
        <w:t>the</w:t>
      </w:r>
      <w:r>
        <w:rPr>
          <w:color w:val="231F20"/>
          <w:spacing w:val="-25"/>
        </w:rPr>
        <w:t> </w:t>
      </w:r>
      <w:r>
        <w:rPr>
          <w:color w:val="231F20"/>
        </w:rPr>
        <w:t>US-China</w:t>
      </w:r>
      <w:r>
        <w:rPr>
          <w:color w:val="231F20"/>
          <w:spacing w:val="-25"/>
        </w:rPr>
        <w:t> </w:t>
      </w:r>
      <w:r>
        <w:rPr>
          <w:color w:val="231F20"/>
        </w:rPr>
        <w:t>trade</w:t>
      </w:r>
      <w:r>
        <w:rPr>
          <w:color w:val="231F20"/>
          <w:spacing w:val="-25"/>
        </w:rPr>
        <w:t> </w:t>
      </w:r>
      <w:r>
        <w:rPr>
          <w:color w:val="231F20"/>
        </w:rPr>
        <w:t>tensions,</w:t>
      </w:r>
      <w:r>
        <w:rPr>
          <w:color w:val="231F20"/>
          <w:spacing w:val="-25"/>
        </w:rPr>
        <w:t> </w:t>
      </w:r>
      <w:r>
        <w:rPr>
          <w:color w:val="231F20"/>
        </w:rPr>
        <w:t>and</w:t>
      </w:r>
      <w:r>
        <w:rPr>
          <w:color w:val="231F20"/>
          <w:spacing w:val="-25"/>
        </w:rPr>
        <w:t> </w:t>
      </w:r>
      <w:r>
        <w:rPr>
          <w:color w:val="231F20"/>
        </w:rPr>
        <w:t>weak</w:t>
      </w:r>
      <w:r>
        <w:rPr>
          <w:color w:val="231F20"/>
          <w:spacing w:val="-25"/>
        </w:rPr>
        <w:t> </w:t>
      </w:r>
      <w:r>
        <w:rPr>
          <w:color w:val="231F20"/>
        </w:rPr>
        <w:t>growth</w:t>
      </w:r>
      <w:r>
        <w:rPr>
          <w:color w:val="231F20"/>
          <w:spacing w:val="-25"/>
        </w:rPr>
        <w:t> </w:t>
      </w:r>
      <w:r>
        <w:rPr>
          <w:color w:val="231F20"/>
        </w:rPr>
        <w:t>in trading partner</w:t>
      </w:r>
      <w:r>
        <w:rPr>
          <w:color w:val="231F20"/>
          <w:spacing w:val="18"/>
        </w:rPr>
        <w:t> </w:t>
      </w:r>
      <w:r>
        <w:rPr>
          <w:color w:val="231F20"/>
        </w:rPr>
        <w:t>countries.</w:t>
      </w:r>
    </w:p>
    <w:p>
      <w:pPr>
        <w:pStyle w:val="BodyText"/>
        <w:rPr>
          <w:sz w:val="29"/>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Global inflation is projected to remain low due to softening energy prices in developed</w:t>
      </w:r>
      <w:r>
        <w:rPr>
          <w:color w:val="231F20"/>
          <w:spacing w:val="-34"/>
          <w:sz w:val="23"/>
        </w:rPr>
        <w:t> </w:t>
      </w:r>
      <w:r>
        <w:rPr>
          <w:color w:val="231F20"/>
          <w:sz w:val="23"/>
        </w:rPr>
        <w:t>countries</w:t>
      </w:r>
      <w:r>
        <w:rPr>
          <w:color w:val="231F20"/>
          <w:spacing w:val="-34"/>
          <w:sz w:val="23"/>
        </w:rPr>
        <w:t> </w:t>
      </w:r>
      <w:r>
        <w:rPr>
          <w:color w:val="231F20"/>
          <w:sz w:val="23"/>
        </w:rPr>
        <w:t>and</w:t>
      </w:r>
      <w:r>
        <w:rPr>
          <w:color w:val="231F20"/>
          <w:spacing w:val="-34"/>
          <w:sz w:val="23"/>
        </w:rPr>
        <w:t> </w:t>
      </w:r>
      <w:r>
        <w:rPr>
          <w:color w:val="231F20"/>
          <w:sz w:val="23"/>
        </w:rPr>
        <w:t>stable</w:t>
      </w:r>
      <w:r>
        <w:rPr>
          <w:color w:val="231F20"/>
          <w:spacing w:val="-34"/>
          <w:sz w:val="23"/>
        </w:rPr>
        <w:t> </w:t>
      </w:r>
      <w:r>
        <w:rPr>
          <w:color w:val="231F20"/>
          <w:sz w:val="23"/>
        </w:rPr>
        <w:t>currencies</w:t>
      </w:r>
      <w:r>
        <w:rPr>
          <w:color w:val="231F20"/>
          <w:spacing w:val="-34"/>
          <w:sz w:val="23"/>
        </w:rPr>
        <w:t> </w:t>
      </w:r>
      <w:r>
        <w:rPr>
          <w:color w:val="231F20"/>
          <w:sz w:val="23"/>
        </w:rPr>
        <w:t>in</w:t>
      </w:r>
      <w:r>
        <w:rPr>
          <w:color w:val="231F20"/>
          <w:spacing w:val="-34"/>
          <w:sz w:val="23"/>
        </w:rPr>
        <w:t> </w:t>
      </w:r>
      <w:r>
        <w:rPr>
          <w:color w:val="231F20"/>
          <w:sz w:val="23"/>
        </w:rPr>
        <w:t>emerging</w:t>
      </w:r>
      <w:r>
        <w:rPr>
          <w:color w:val="231F20"/>
          <w:spacing w:val="-34"/>
          <w:sz w:val="23"/>
        </w:rPr>
        <w:t> </w:t>
      </w:r>
      <w:r>
        <w:rPr>
          <w:color w:val="231F20"/>
          <w:sz w:val="23"/>
        </w:rPr>
        <w:t>and</w:t>
      </w:r>
      <w:r>
        <w:rPr>
          <w:color w:val="231F20"/>
          <w:spacing w:val="-34"/>
          <w:sz w:val="23"/>
        </w:rPr>
        <w:t> </w:t>
      </w:r>
      <w:r>
        <w:rPr>
          <w:color w:val="231F20"/>
          <w:sz w:val="23"/>
        </w:rPr>
        <w:t>developing</w:t>
      </w:r>
      <w:r>
        <w:rPr>
          <w:color w:val="231F20"/>
          <w:spacing w:val="-34"/>
          <w:sz w:val="23"/>
        </w:rPr>
        <w:t> </w:t>
      </w:r>
      <w:r>
        <w:rPr>
          <w:color w:val="231F20"/>
          <w:sz w:val="23"/>
        </w:rPr>
        <w:t>economies.</w:t>
      </w:r>
      <w:r>
        <w:rPr>
          <w:color w:val="231F20"/>
          <w:spacing w:val="-34"/>
          <w:sz w:val="23"/>
        </w:rPr>
        <w:t> </w:t>
      </w:r>
      <w:r>
        <w:rPr>
          <w:color w:val="231F20"/>
          <w:sz w:val="23"/>
        </w:rPr>
        <w:t>Iron ore prices are expected to fall to US$77 in 2020 from over US$100 per metric ton in September</w:t>
      </w:r>
      <w:r>
        <w:rPr>
          <w:color w:val="231F20"/>
          <w:spacing w:val="-10"/>
          <w:sz w:val="23"/>
        </w:rPr>
        <w:t> </w:t>
      </w:r>
      <w:r>
        <w:rPr>
          <w:color w:val="231F20"/>
          <w:sz w:val="23"/>
        </w:rPr>
        <w:t>2019,</w:t>
      </w:r>
      <w:r>
        <w:rPr>
          <w:color w:val="231F20"/>
          <w:spacing w:val="-10"/>
          <w:sz w:val="23"/>
        </w:rPr>
        <w:t> </w:t>
      </w:r>
      <w:r>
        <w:rPr>
          <w:color w:val="231F20"/>
          <w:sz w:val="23"/>
        </w:rPr>
        <w:t>as</w:t>
      </w:r>
      <w:r>
        <w:rPr>
          <w:color w:val="231F20"/>
          <w:spacing w:val="-10"/>
          <w:sz w:val="23"/>
        </w:rPr>
        <w:t> </w:t>
      </w:r>
      <w:r>
        <w:rPr>
          <w:color w:val="231F20"/>
          <w:sz w:val="23"/>
        </w:rPr>
        <w:t>a</w:t>
      </w:r>
      <w:r>
        <w:rPr>
          <w:color w:val="231F20"/>
          <w:spacing w:val="-10"/>
          <w:sz w:val="23"/>
        </w:rPr>
        <w:t> </w:t>
      </w:r>
      <w:r>
        <w:rPr>
          <w:color w:val="231F20"/>
          <w:sz w:val="23"/>
        </w:rPr>
        <w:t>result</w:t>
      </w:r>
      <w:r>
        <w:rPr>
          <w:color w:val="231F20"/>
          <w:spacing w:val="-10"/>
          <w:sz w:val="23"/>
        </w:rPr>
        <w:t> </w:t>
      </w:r>
      <w:r>
        <w:rPr>
          <w:color w:val="231F20"/>
          <w:sz w:val="23"/>
        </w:rPr>
        <w:t>of</w:t>
      </w:r>
      <w:r>
        <w:rPr>
          <w:color w:val="231F20"/>
          <w:spacing w:val="-10"/>
          <w:sz w:val="23"/>
        </w:rPr>
        <w:t> </w:t>
      </w:r>
      <w:r>
        <w:rPr>
          <w:color w:val="231F20"/>
          <w:sz w:val="23"/>
        </w:rPr>
        <w:t>the</w:t>
      </w:r>
      <w:r>
        <w:rPr>
          <w:color w:val="231F20"/>
          <w:spacing w:val="-10"/>
          <w:sz w:val="23"/>
        </w:rPr>
        <w:t> </w:t>
      </w:r>
      <w:r>
        <w:rPr>
          <w:color w:val="231F20"/>
          <w:sz w:val="23"/>
        </w:rPr>
        <w:t>normalisation</w:t>
      </w:r>
      <w:r>
        <w:rPr>
          <w:color w:val="231F20"/>
          <w:spacing w:val="-10"/>
          <w:sz w:val="23"/>
        </w:rPr>
        <w:t> </w:t>
      </w:r>
      <w:r>
        <w:rPr>
          <w:color w:val="231F20"/>
          <w:sz w:val="23"/>
        </w:rPr>
        <w:t>of</w:t>
      </w:r>
      <w:r>
        <w:rPr>
          <w:color w:val="231F20"/>
          <w:spacing w:val="-10"/>
          <w:sz w:val="23"/>
        </w:rPr>
        <w:t> </w:t>
      </w:r>
      <w:r>
        <w:rPr>
          <w:color w:val="231F20"/>
          <w:sz w:val="23"/>
        </w:rPr>
        <w:t>mining</w:t>
      </w:r>
      <w:r>
        <w:rPr>
          <w:color w:val="231F20"/>
          <w:spacing w:val="-10"/>
          <w:sz w:val="23"/>
        </w:rPr>
        <w:t> </w:t>
      </w:r>
      <w:r>
        <w:rPr>
          <w:color w:val="231F20"/>
          <w:sz w:val="23"/>
        </w:rPr>
        <w:t>disruptions</w:t>
      </w:r>
      <w:r>
        <w:rPr>
          <w:color w:val="231F20"/>
          <w:spacing w:val="-10"/>
          <w:sz w:val="23"/>
        </w:rPr>
        <w:t> </w:t>
      </w:r>
      <w:r>
        <w:rPr>
          <w:color w:val="231F20"/>
          <w:sz w:val="23"/>
        </w:rPr>
        <w:t>in</w:t>
      </w:r>
      <w:r>
        <w:rPr>
          <w:color w:val="231F20"/>
          <w:spacing w:val="-10"/>
          <w:sz w:val="23"/>
        </w:rPr>
        <w:t> </w:t>
      </w:r>
      <w:r>
        <w:rPr>
          <w:color w:val="231F20"/>
          <w:sz w:val="23"/>
        </w:rPr>
        <w:t>Brazil</w:t>
      </w:r>
      <w:r>
        <w:rPr>
          <w:color w:val="231F20"/>
          <w:spacing w:val="-10"/>
          <w:sz w:val="23"/>
        </w:rPr>
        <w:t> </w:t>
      </w:r>
      <w:r>
        <w:rPr>
          <w:color w:val="231F20"/>
          <w:sz w:val="23"/>
        </w:rPr>
        <w:t>and Australia.</w:t>
      </w:r>
      <w:r>
        <w:rPr>
          <w:color w:val="231F20"/>
          <w:spacing w:val="-42"/>
          <w:sz w:val="23"/>
        </w:rPr>
        <w:t> </w:t>
      </w:r>
      <w:r>
        <w:rPr>
          <w:color w:val="231F20"/>
          <w:sz w:val="23"/>
        </w:rPr>
        <w:t>Similarly,</w:t>
      </w:r>
      <w:r>
        <w:rPr>
          <w:color w:val="231F20"/>
          <w:spacing w:val="-42"/>
          <w:sz w:val="23"/>
        </w:rPr>
        <w:t> </w:t>
      </w:r>
      <w:r>
        <w:rPr>
          <w:color w:val="231F20"/>
          <w:sz w:val="23"/>
        </w:rPr>
        <w:t>oil</w:t>
      </w:r>
      <w:r>
        <w:rPr>
          <w:color w:val="231F20"/>
          <w:spacing w:val="-42"/>
          <w:sz w:val="23"/>
        </w:rPr>
        <w:t> </w:t>
      </w:r>
      <w:r>
        <w:rPr>
          <w:color w:val="231F20"/>
          <w:sz w:val="23"/>
        </w:rPr>
        <w:t>prices</w:t>
      </w:r>
      <w:r>
        <w:rPr>
          <w:color w:val="231F20"/>
          <w:spacing w:val="-42"/>
          <w:sz w:val="23"/>
        </w:rPr>
        <w:t> </w:t>
      </w:r>
      <w:r>
        <w:rPr>
          <w:color w:val="231F20"/>
          <w:sz w:val="23"/>
        </w:rPr>
        <w:t>are</w:t>
      </w:r>
      <w:r>
        <w:rPr>
          <w:color w:val="231F20"/>
          <w:spacing w:val="-42"/>
          <w:sz w:val="23"/>
        </w:rPr>
        <w:t> </w:t>
      </w:r>
      <w:r>
        <w:rPr>
          <w:color w:val="231F20"/>
          <w:sz w:val="23"/>
        </w:rPr>
        <w:t>projected</w:t>
      </w:r>
      <w:r>
        <w:rPr>
          <w:color w:val="231F20"/>
          <w:spacing w:val="-42"/>
          <w:sz w:val="23"/>
        </w:rPr>
        <w:t> </w:t>
      </w:r>
      <w:r>
        <w:rPr>
          <w:color w:val="231F20"/>
          <w:sz w:val="23"/>
        </w:rPr>
        <w:t>to</w:t>
      </w:r>
      <w:r>
        <w:rPr>
          <w:color w:val="231F20"/>
          <w:spacing w:val="-42"/>
          <w:sz w:val="23"/>
        </w:rPr>
        <w:t> </w:t>
      </w:r>
      <w:r>
        <w:rPr>
          <w:color w:val="231F20"/>
          <w:sz w:val="23"/>
        </w:rPr>
        <w:t>fall</w:t>
      </w:r>
      <w:r>
        <w:rPr>
          <w:color w:val="231F20"/>
          <w:spacing w:val="-42"/>
          <w:sz w:val="23"/>
        </w:rPr>
        <w:t> </w:t>
      </w:r>
      <w:r>
        <w:rPr>
          <w:color w:val="231F20"/>
          <w:sz w:val="23"/>
        </w:rPr>
        <w:t>from</w:t>
      </w:r>
      <w:r>
        <w:rPr>
          <w:color w:val="231F20"/>
          <w:spacing w:val="-42"/>
          <w:sz w:val="23"/>
        </w:rPr>
        <w:t> </w:t>
      </w:r>
      <w:r>
        <w:rPr>
          <w:color w:val="231F20"/>
          <w:sz w:val="23"/>
        </w:rPr>
        <w:t>$61.8</w:t>
      </w:r>
      <w:r>
        <w:rPr>
          <w:color w:val="231F20"/>
          <w:spacing w:val="-41"/>
          <w:sz w:val="23"/>
        </w:rPr>
        <w:t> </w:t>
      </w:r>
      <w:r>
        <w:rPr>
          <w:color w:val="231F20"/>
          <w:sz w:val="23"/>
        </w:rPr>
        <w:t>in</w:t>
      </w:r>
      <w:r>
        <w:rPr>
          <w:color w:val="231F20"/>
          <w:spacing w:val="-42"/>
          <w:sz w:val="23"/>
        </w:rPr>
        <w:t> </w:t>
      </w:r>
      <w:r>
        <w:rPr>
          <w:color w:val="231F20"/>
          <w:sz w:val="23"/>
        </w:rPr>
        <w:t>2019</w:t>
      </w:r>
      <w:r>
        <w:rPr>
          <w:color w:val="231F20"/>
          <w:spacing w:val="-42"/>
          <w:sz w:val="23"/>
        </w:rPr>
        <w:t> </w:t>
      </w:r>
      <w:r>
        <w:rPr>
          <w:color w:val="231F20"/>
          <w:sz w:val="23"/>
        </w:rPr>
        <w:t>to</w:t>
      </w:r>
      <w:r>
        <w:rPr>
          <w:color w:val="231F20"/>
          <w:spacing w:val="-42"/>
          <w:sz w:val="23"/>
        </w:rPr>
        <w:t> </w:t>
      </w:r>
      <w:r>
        <w:rPr>
          <w:color w:val="231F20"/>
          <w:sz w:val="23"/>
        </w:rPr>
        <w:t>$57.9</w:t>
      </w:r>
      <w:r>
        <w:rPr>
          <w:color w:val="231F20"/>
          <w:spacing w:val="-42"/>
          <w:sz w:val="23"/>
        </w:rPr>
        <w:t> </w:t>
      </w:r>
      <w:r>
        <w:rPr>
          <w:color w:val="231F20"/>
          <w:sz w:val="23"/>
        </w:rPr>
        <w:t>per</w:t>
      </w:r>
      <w:r>
        <w:rPr>
          <w:color w:val="231F20"/>
          <w:spacing w:val="-42"/>
          <w:sz w:val="23"/>
        </w:rPr>
        <w:t> </w:t>
      </w:r>
      <w:r>
        <w:rPr>
          <w:color w:val="231F20"/>
          <w:sz w:val="23"/>
        </w:rPr>
        <w:t>barrel in</w:t>
      </w:r>
      <w:r>
        <w:rPr>
          <w:color w:val="231F20"/>
          <w:spacing w:val="-26"/>
          <w:sz w:val="23"/>
        </w:rPr>
        <w:t> </w:t>
      </w:r>
      <w:r>
        <w:rPr>
          <w:color w:val="231F20"/>
          <w:sz w:val="23"/>
        </w:rPr>
        <w:t>2020.</w:t>
      </w:r>
    </w:p>
    <w:p>
      <w:pPr>
        <w:pStyle w:val="BodyText"/>
        <w:spacing w:before="11"/>
        <w:rPr>
          <w:sz w:val="28"/>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Global</w:t>
      </w:r>
      <w:r>
        <w:rPr>
          <w:color w:val="231F20"/>
          <w:spacing w:val="-26"/>
          <w:sz w:val="23"/>
        </w:rPr>
        <w:t> </w:t>
      </w:r>
      <w:r>
        <w:rPr>
          <w:color w:val="231F20"/>
          <w:sz w:val="23"/>
        </w:rPr>
        <w:t>economic</w:t>
      </w:r>
      <w:r>
        <w:rPr>
          <w:color w:val="231F20"/>
          <w:spacing w:val="-26"/>
          <w:sz w:val="23"/>
        </w:rPr>
        <w:t> </w:t>
      </w:r>
      <w:r>
        <w:rPr>
          <w:color w:val="231F20"/>
          <w:sz w:val="23"/>
        </w:rPr>
        <w:t>growth</w:t>
      </w:r>
      <w:r>
        <w:rPr>
          <w:color w:val="231F20"/>
          <w:spacing w:val="-26"/>
          <w:sz w:val="23"/>
        </w:rPr>
        <w:t> </w:t>
      </w:r>
      <w:r>
        <w:rPr>
          <w:color w:val="231F20"/>
          <w:sz w:val="23"/>
        </w:rPr>
        <w:t>is</w:t>
      </w:r>
      <w:r>
        <w:rPr>
          <w:color w:val="231F20"/>
          <w:spacing w:val="-26"/>
          <w:sz w:val="23"/>
        </w:rPr>
        <w:t> </w:t>
      </w:r>
      <w:r>
        <w:rPr>
          <w:color w:val="231F20"/>
          <w:sz w:val="23"/>
        </w:rPr>
        <w:t>projected</w:t>
      </w:r>
      <w:r>
        <w:rPr>
          <w:color w:val="231F20"/>
          <w:spacing w:val="-26"/>
          <w:sz w:val="23"/>
        </w:rPr>
        <w:t> </w:t>
      </w:r>
      <w:r>
        <w:rPr>
          <w:color w:val="231F20"/>
          <w:sz w:val="23"/>
        </w:rPr>
        <w:t>to</w:t>
      </w:r>
      <w:r>
        <w:rPr>
          <w:color w:val="231F20"/>
          <w:spacing w:val="-26"/>
          <w:sz w:val="23"/>
        </w:rPr>
        <w:t> </w:t>
      </w:r>
      <w:r>
        <w:rPr>
          <w:color w:val="231F20"/>
          <w:sz w:val="23"/>
        </w:rPr>
        <w:t>recover</w:t>
      </w:r>
      <w:r>
        <w:rPr>
          <w:color w:val="231F20"/>
          <w:spacing w:val="-26"/>
          <w:sz w:val="23"/>
        </w:rPr>
        <w:t> </w:t>
      </w:r>
      <w:r>
        <w:rPr>
          <w:color w:val="231F20"/>
          <w:sz w:val="23"/>
        </w:rPr>
        <w:t>slightly</w:t>
      </w:r>
      <w:r>
        <w:rPr>
          <w:color w:val="231F20"/>
          <w:spacing w:val="-26"/>
          <w:sz w:val="23"/>
        </w:rPr>
        <w:t> </w:t>
      </w:r>
      <w:r>
        <w:rPr>
          <w:color w:val="231F20"/>
          <w:sz w:val="23"/>
        </w:rPr>
        <w:t>to</w:t>
      </w:r>
      <w:r>
        <w:rPr>
          <w:color w:val="231F20"/>
          <w:spacing w:val="-26"/>
          <w:sz w:val="23"/>
        </w:rPr>
        <w:t> </w:t>
      </w:r>
      <w:r>
        <w:rPr>
          <w:color w:val="231F20"/>
          <w:sz w:val="23"/>
        </w:rPr>
        <w:t>3.4</w:t>
      </w:r>
      <w:r>
        <w:rPr>
          <w:color w:val="231F20"/>
          <w:spacing w:val="-26"/>
          <w:sz w:val="23"/>
        </w:rPr>
        <w:t> </w:t>
      </w:r>
      <w:r>
        <w:rPr>
          <w:color w:val="231F20"/>
          <w:sz w:val="23"/>
        </w:rPr>
        <w:t>percent,</w:t>
      </w:r>
      <w:r>
        <w:rPr>
          <w:color w:val="231F20"/>
          <w:spacing w:val="-26"/>
          <w:sz w:val="23"/>
        </w:rPr>
        <w:t> </w:t>
      </w:r>
      <w:r>
        <w:rPr>
          <w:color w:val="231F20"/>
          <w:sz w:val="23"/>
        </w:rPr>
        <w:t>and</w:t>
      </w:r>
      <w:r>
        <w:rPr>
          <w:color w:val="231F20"/>
          <w:spacing w:val="-26"/>
          <w:sz w:val="23"/>
        </w:rPr>
        <w:t> </w:t>
      </w:r>
      <w:r>
        <w:rPr>
          <w:color w:val="231F20"/>
          <w:sz w:val="23"/>
        </w:rPr>
        <w:t>Sub Saharan</w:t>
      </w:r>
      <w:r>
        <w:rPr>
          <w:color w:val="231F20"/>
          <w:spacing w:val="-39"/>
          <w:sz w:val="23"/>
        </w:rPr>
        <w:t> </w:t>
      </w:r>
      <w:r>
        <w:rPr>
          <w:color w:val="231F20"/>
          <w:sz w:val="23"/>
        </w:rPr>
        <w:t>Africa</w:t>
      </w:r>
      <w:r>
        <w:rPr>
          <w:color w:val="231F20"/>
          <w:spacing w:val="-39"/>
          <w:sz w:val="23"/>
        </w:rPr>
        <w:t> </w:t>
      </w:r>
      <w:r>
        <w:rPr>
          <w:color w:val="231F20"/>
          <w:sz w:val="23"/>
        </w:rPr>
        <w:t>to</w:t>
      </w:r>
      <w:r>
        <w:rPr>
          <w:color w:val="231F20"/>
          <w:spacing w:val="-39"/>
          <w:sz w:val="23"/>
        </w:rPr>
        <w:t> </w:t>
      </w:r>
      <w:r>
        <w:rPr>
          <w:color w:val="231F20"/>
          <w:sz w:val="23"/>
        </w:rPr>
        <w:t>3.6</w:t>
      </w:r>
      <w:r>
        <w:rPr>
          <w:color w:val="231F20"/>
          <w:spacing w:val="-38"/>
          <w:sz w:val="23"/>
        </w:rPr>
        <w:t> </w:t>
      </w:r>
      <w:r>
        <w:rPr>
          <w:color w:val="231F20"/>
          <w:sz w:val="23"/>
        </w:rPr>
        <w:t>percent</w:t>
      </w:r>
      <w:r>
        <w:rPr>
          <w:color w:val="231F20"/>
          <w:spacing w:val="-39"/>
          <w:sz w:val="23"/>
        </w:rPr>
        <w:t> </w:t>
      </w:r>
      <w:r>
        <w:rPr>
          <w:color w:val="231F20"/>
          <w:sz w:val="23"/>
        </w:rPr>
        <w:t>in</w:t>
      </w:r>
      <w:r>
        <w:rPr>
          <w:color w:val="231F20"/>
          <w:spacing w:val="-39"/>
          <w:sz w:val="23"/>
        </w:rPr>
        <w:t> </w:t>
      </w:r>
      <w:r>
        <w:rPr>
          <w:color w:val="231F20"/>
          <w:sz w:val="23"/>
        </w:rPr>
        <w:t>2020.</w:t>
      </w:r>
      <w:r>
        <w:rPr>
          <w:color w:val="231F20"/>
          <w:spacing w:val="-39"/>
          <w:sz w:val="23"/>
        </w:rPr>
        <w:t> </w:t>
      </w:r>
      <w:r>
        <w:rPr>
          <w:color w:val="231F20"/>
          <w:sz w:val="23"/>
        </w:rPr>
        <w:t>The</w:t>
      </w:r>
      <w:r>
        <w:rPr>
          <w:color w:val="231F20"/>
          <w:spacing w:val="-38"/>
          <w:sz w:val="23"/>
        </w:rPr>
        <w:t> </w:t>
      </w:r>
      <w:r>
        <w:rPr>
          <w:color w:val="231F20"/>
          <w:sz w:val="23"/>
        </w:rPr>
        <w:t>global</w:t>
      </w:r>
      <w:r>
        <w:rPr>
          <w:color w:val="231F20"/>
          <w:spacing w:val="-39"/>
          <w:sz w:val="23"/>
        </w:rPr>
        <w:t> </w:t>
      </w:r>
      <w:r>
        <w:rPr>
          <w:color w:val="231F20"/>
          <w:sz w:val="23"/>
        </w:rPr>
        <w:t>outlook</w:t>
      </w:r>
      <w:r>
        <w:rPr>
          <w:color w:val="231F20"/>
          <w:spacing w:val="-39"/>
          <w:sz w:val="23"/>
        </w:rPr>
        <w:t> </w:t>
      </w:r>
      <w:r>
        <w:rPr>
          <w:color w:val="231F20"/>
          <w:sz w:val="23"/>
        </w:rPr>
        <w:t>remains</w:t>
      </w:r>
      <w:r>
        <w:rPr>
          <w:color w:val="231F20"/>
          <w:spacing w:val="-39"/>
          <w:sz w:val="23"/>
        </w:rPr>
        <w:t> </w:t>
      </w:r>
      <w:r>
        <w:rPr>
          <w:color w:val="231F20"/>
          <w:sz w:val="23"/>
        </w:rPr>
        <w:t>highly</w:t>
      </w:r>
      <w:r>
        <w:rPr>
          <w:color w:val="231F20"/>
          <w:spacing w:val="-38"/>
          <w:sz w:val="23"/>
        </w:rPr>
        <w:t> </w:t>
      </w:r>
      <w:r>
        <w:rPr>
          <w:color w:val="231F20"/>
          <w:sz w:val="23"/>
        </w:rPr>
        <w:t>uncertain</w:t>
      </w:r>
      <w:r>
        <w:rPr>
          <w:color w:val="231F20"/>
          <w:spacing w:val="-39"/>
          <w:sz w:val="23"/>
        </w:rPr>
        <w:t> </w:t>
      </w:r>
      <w:r>
        <w:rPr>
          <w:color w:val="231F20"/>
          <w:sz w:val="23"/>
        </w:rPr>
        <w:t>and subject</w:t>
      </w:r>
      <w:r>
        <w:rPr>
          <w:color w:val="231F20"/>
          <w:spacing w:val="-26"/>
          <w:sz w:val="23"/>
        </w:rPr>
        <w:t> </w:t>
      </w:r>
      <w:r>
        <w:rPr>
          <w:color w:val="231F20"/>
          <w:sz w:val="23"/>
        </w:rPr>
        <w:t>to</w:t>
      </w:r>
      <w:r>
        <w:rPr>
          <w:color w:val="231F20"/>
          <w:spacing w:val="-26"/>
          <w:sz w:val="23"/>
        </w:rPr>
        <w:t> </w:t>
      </w:r>
      <w:r>
        <w:rPr>
          <w:color w:val="231F20"/>
          <w:sz w:val="23"/>
        </w:rPr>
        <w:t>downside</w:t>
      </w:r>
      <w:r>
        <w:rPr>
          <w:color w:val="231F20"/>
          <w:spacing w:val="-26"/>
          <w:sz w:val="23"/>
        </w:rPr>
        <w:t> </w:t>
      </w:r>
      <w:r>
        <w:rPr>
          <w:color w:val="231F20"/>
          <w:sz w:val="23"/>
        </w:rPr>
        <w:t>risks.</w:t>
      </w:r>
      <w:r>
        <w:rPr>
          <w:color w:val="231F20"/>
          <w:spacing w:val="-26"/>
          <w:sz w:val="23"/>
        </w:rPr>
        <w:t> </w:t>
      </w:r>
      <w:r>
        <w:rPr>
          <w:color w:val="231F20"/>
          <w:sz w:val="23"/>
        </w:rPr>
        <w:t>These</w:t>
      </w:r>
      <w:r>
        <w:rPr>
          <w:color w:val="231F20"/>
          <w:spacing w:val="-26"/>
          <w:sz w:val="23"/>
        </w:rPr>
        <w:t> </w:t>
      </w:r>
      <w:r>
        <w:rPr>
          <w:color w:val="231F20"/>
          <w:sz w:val="23"/>
        </w:rPr>
        <w:t>include</w:t>
      </w:r>
      <w:r>
        <w:rPr>
          <w:color w:val="231F20"/>
          <w:spacing w:val="-26"/>
          <w:sz w:val="23"/>
        </w:rPr>
        <w:t> </w:t>
      </w:r>
      <w:r>
        <w:rPr>
          <w:color w:val="231F20"/>
          <w:sz w:val="23"/>
        </w:rPr>
        <w:t>elevated</w:t>
      </w:r>
      <w:r>
        <w:rPr>
          <w:color w:val="231F20"/>
          <w:spacing w:val="-26"/>
          <w:sz w:val="23"/>
        </w:rPr>
        <w:t> </w:t>
      </w:r>
      <w:r>
        <w:rPr>
          <w:color w:val="231F20"/>
          <w:sz w:val="23"/>
        </w:rPr>
        <w:t>trade</w:t>
      </w:r>
      <w:r>
        <w:rPr>
          <w:color w:val="231F20"/>
          <w:spacing w:val="-26"/>
          <w:sz w:val="23"/>
        </w:rPr>
        <w:t> </w:t>
      </w:r>
      <w:r>
        <w:rPr>
          <w:color w:val="231F20"/>
          <w:sz w:val="23"/>
        </w:rPr>
        <w:t>tensions,</w:t>
      </w:r>
      <w:r>
        <w:rPr>
          <w:color w:val="231F20"/>
          <w:spacing w:val="-26"/>
          <w:sz w:val="23"/>
        </w:rPr>
        <w:t> </w:t>
      </w:r>
      <w:r>
        <w:rPr>
          <w:color w:val="231F20"/>
          <w:sz w:val="23"/>
        </w:rPr>
        <w:t>policy</w:t>
      </w:r>
      <w:r>
        <w:rPr>
          <w:color w:val="231F20"/>
          <w:spacing w:val="-26"/>
          <w:sz w:val="23"/>
        </w:rPr>
        <w:t> </w:t>
      </w:r>
      <w:r>
        <w:rPr>
          <w:color w:val="231F20"/>
          <w:sz w:val="23"/>
        </w:rPr>
        <w:t>uncertainties, and rising debt</w:t>
      </w:r>
      <w:r>
        <w:rPr>
          <w:color w:val="231F20"/>
          <w:spacing w:val="20"/>
          <w:sz w:val="23"/>
        </w:rPr>
        <w:t> </w:t>
      </w:r>
      <w:r>
        <w:rPr>
          <w:color w:val="231F20"/>
          <w:sz w:val="23"/>
        </w:rPr>
        <w:t>levels.</w:t>
      </w:r>
    </w:p>
    <w:p>
      <w:pPr>
        <w:pStyle w:val="BodyText"/>
        <w:spacing w:before="10"/>
        <w:rPr>
          <w:sz w:val="28"/>
        </w:rPr>
      </w:pPr>
    </w:p>
    <w:p>
      <w:pPr>
        <w:pStyle w:val="Heading2"/>
        <w:numPr>
          <w:ilvl w:val="0"/>
          <w:numId w:val="1"/>
        </w:numPr>
        <w:tabs>
          <w:tab w:pos="614" w:val="left" w:leader="none"/>
        </w:tabs>
        <w:spacing w:line="302" w:lineRule="auto" w:before="0" w:after="0"/>
        <w:ind w:left="581" w:right="3412" w:hanging="478"/>
        <w:jc w:val="left"/>
      </w:pPr>
      <w:r>
        <w:rPr>
          <w:b w:val="0"/>
        </w:rPr>
        <w:tab/>
      </w:r>
      <w:r>
        <w:rPr>
          <w:color w:val="231F20"/>
        </w:rPr>
        <w:t>Domestic</w:t>
      </w:r>
      <w:r>
        <w:rPr>
          <w:color w:val="231F20"/>
          <w:spacing w:val="-30"/>
        </w:rPr>
        <w:t> </w:t>
      </w:r>
      <w:r>
        <w:rPr>
          <w:color w:val="231F20"/>
        </w:rPr>
        <w:t>Economic</w:t>
      </w:r>
      <w:r>
        <w:rPr>
          <w:color w:val="231F20"/>
          <w:spacing w:val="-29"/>
        </w:rPr>
        <w:t> </w:t>
      </w:r>
      <w:r>
        <w:rPr>
          <w:color w:val="231F20"/>
        </w:rPr>
        <w:t>Developments</w:t>
      </w:r>
      <w:r>
        <w:rPr>
          <w:color w:val="231F20"/>
          <w:spacing w:val="-29"/>
        </w:rPr>
        <w:t> </w:t>
      </w:r>
      <w:r>
        <w:rPr>
          <w:color w:val="231F20"/>
        </w:rPr>
        <w:t>and</w:t>
      </w:r>
      <w:r>
        <w:rPr>
          <w:color w:val="231F20"/>
          <w:spacing w:val="-29"/>
        </w:rPr>
        <w:t> </w:t>
      </w:r>
      <w:r>
        <w:rPr>
          <w:color w:val="231F20"/>
        </w:rPr>
        <w:t>Outlook Macroeconomic Performance in</w:t>
      </w:r>
      <w:r>
        <w:rPr>
          <w:color w:val="231F20"/>
          <w:spacing w:val="-25"/>
        </w:rPr>
        <w:t> </w:t>
      </w:r>
      <w:r>
        <w:rPr>
          <w:color w:val="231F20"/>
        </w:rPr>
        <w:t>2019</w:t>
      </w:r>
    </w:p>
    <w:p>
      <w:pPr>
        <w:pStyle w:val="ListParagraph"/>
        <w:numPr>
          <w:ilvl w:val="0"/>
          <w:numId w:val="2"/>
        </w:numPr>
        <w:tabs>
          <w:tab w:pos="954" w:val="left" w:leader="none"/>
        </w:tabs>
        <w:spacing w:line="302" w:lineRule="auto" w:before="0" w:after="0"/>
        <w:ind w:left="103" w:right="118" w:firstLine="223"/>
        <w:jc w:val="both"/>
        <w:rPr>
          <w:sz w:val="23"/>
        </w:rPr>
      </w:pPr>
      <w:r>
        <w:rPr>
          <w:color w:val="231F20"/>
          <w:sz w:val="23"/>
        </w:rPr>
        <w:t>Mr. Speaker, Honourable Members, the Sierra Leone economy is recovering from</w:t>
      </w:r>
      <w:r>
        <w:rPr>
          <w:color w:val="231F20"/>
          <w:spacing w:val="-19"/>
          <w:sz w:val="23"/>
        </w:rPr>
        <w:t> </w:t>
      </w:r>
      <w:r>
        <w:rPr>
          <w:color w:val="231F20"/>
          <w:sz w:val="23"/>
        </w:rPr>
        <w:t>subdued</w:t>
      </w:r>
      <w:r>
        <w:rPr>
          <w:color w:val="231F20"/>
          <w:spacing w:val="-19"/>
          <w:sz w:val="23"/>
        </w:rPr>
        <w:t> </w:t>
      </w:r>
      <w:r>
        <w:rPr>
          <w:color w:val="231F20"/>
          <w:sz w:val="23"/>
        </w:rPr>
        <w:t>growth</w:t>
      </w:r>
      <w:r>
        <w:rPr>
          <w:color w:val="231F20"/>
          <w:spacing w:val="-19"/>
          <w:sz w:val="23"/>
        </w:rPr>
        <w:t> </w:t>
      </w:r>
      <w:r>
        <w:rPr>
          <w:color w:val="231F20"/>
          <w:sz w:val="23"/>
        </w:rPr>
        <w:t>in</w:t>
      </w:r>
      <w:r>
        <w:rPr>
          <w:color w:val="231F20"/>
          <w:spacing w:val="-19"/>
          <w:sz w:val="23"/>
        </w:rPr>
        <w:t> </w:t>
      </w:r>
      <w:r>
        <w:rPr>
          <w:color w:val="231F20"/>
          <w:sz w:val="23"/>
        </w:rPr>
        <w:t>2017</w:t>
      </w:r>
      <w:r>
        <w:rPr>
          <w:color w:val="231F20"/>
          <w:spacing w:val="-19"/>
          <w:sz w:val="23"/>
        </w:rPr>
        <w:t> </w:t>
      </w:r>
      <w:r>
        <w:rPr>
          <w:color w:val="231F20"/>
          <w:sz w:val="23"/>
        </w:rPr>
        <w:t>and</w:t>
      </w:r>
      <w:r>
        <w:rPr>
          <w:color w:val="231F20"/>
          <w:spacing w:val="-19"/>
          <w:sz w:val="23"/>
        </w:rPr>
        <w:t> </w:t>
      </w:r>
      <w:r>
        <w:rPr>
          <w:color w:val="231F20"/>
          <w:sz w:val="23"/>
        </w:rPr>
        <w:t>2018.</w:t>
      </w:r>
      <w:r>
        <w:rPr>
          <w:color w:val="231F20"/>
          <w:spacing w:val="-19"/>
          <w:sz w:val="23"/>
        </w:rPr>
        <w:t> </w:t>
      </w:r>
      <w:r>
        <w:rPr>
          <w:color w:val="231F20"/>
          <w:sz w:val="23"/>
        </w:rPr>
        <w:t>Preliminary</w:t>
      </w:r>
      <w:r>
        <w:rPr>
          <w:color w:val="231F20"/>
          <w:spacing w:val="-19"/>
          <w:sz w:val="23"/>
        </w:rPr>
        <w:t> </w:t>
      </w:r>
      <w:r>
        <w:rPr>
          <w:color w:val="231F20"/>
          <w:sz w:val="23"/>
        </w:rPr>
        <w:t>data</w:t>
      </w:r>
      <w:r>
        <w:rPr>
          <w:color w:val="231F20"/>
          <w:spacing w:val="-19"/>
          <w:sz w:val="23"/>
        </w:rPr>
        <w:t> </w:t>
      </w:r>
      <w:r>
        <w:rPr>
          <w:color w:val="231F20"/>
          <w:sz w:val="23"/>
        </w:rPr>
        <w:t>indicates</w:t>
      </w:r>
      <w:r>
        <w:rPr>
          <w:color w:val="231F20"/>
          <w:spacing w:val="-19"/>
          <w:sz w:val="23"/>
        </w:rPr>
        <w:t> </w:t>
      </w:r>
      <w:r>
        <w:rPr>
          <w:color w:val="231F20"/>
          <w:sz w:val="23"/>
        </w:rPr>
        <w:t>that</w:t>
      </w:r>
      <w:r>
        <w:rPr>
          <w:color w:val="231F20"/>
          <w:spacing w:val="-19"/>
          <w:sz w:val="23"/>
        </w:rPr>
        <w:t> </w:t>
      </w:r>
      <w:r>
        <w:rPr>
          <w:color w:val="231F20"/>
          <w:sz w:val="23"/>
        </w:rPr>
        <w:t>the</w:t>
      </w:r>
      <w:r>
        <w:rPr>
          <w:color w:val="231F20"/>
          <w:spacing w:val="-19"/>
          <w:sz w:val="23"/>
        </w:rPr>
        <w:t> </w:t>
      </w:r>
      <w:r>
        <w:rPr>
          <w:color w:val="231F20"/>
          <w:sz w:val="23"/>
        </w:rPr>
        <w:t>economy will</w:t>
      </w:r>
      <w:r>
        <w:rPr>
          <w:color w:val="231F20"/>
          <w:spacing w:val="-21"/>
          <w:sz w:val="23"/>
        </w:rPr>
        <w:t> </w:t>
      </w:r>
      <w:r>
        <w:rPr>
          <w:color w:val="231F20"/>
          <w:sz w:val="23"/>
        </w:rPr>
        <w:t>grow</w:t>
      </w:r>
      <w:r>
        <w:rPr>
          <w:color w:val="231F20"/>
          <w:spacing w:val="-21"/>
          <w:sz w:val="23"/>
        </w:rPr>
        <w:t> </w:t>
      </w:r>
      <w:r>
        <w:rPr>
          <w:color w:val="231F20"/>
          <w:sz w:val="23"/>
        </w:rPr>
        <w:t>by</w:t>
      </w:r>
      <w:r>
        <w:rPr>
          <w:color w:val="231F20"/>
          <w:spacing w:val="-21"/>
          <w:sz w:val="23"/>
        </w:rPr>
        <w:t> </w:t>
      </w:r>
      <w:r>
        <w:rPr>
          <w:color w:val="231F20"/>
          <w:sz w:val="23"/>
        </w:rPr>
        <w:t>5.1</w:t>
      </w:r>
      <w:r>
        <w:rPr>
          <w:color w:val="231F20"/>
          <w:spacing w:val="-21"/>
          <w:sz w:val="23"/>
        </w:rPr>
        <w:t> </w:t>
      </w:r>
      <w:r>
        <w:rPr>
          <w:color w:val="231F20"/>
          <w:sz w:val="23"/>
        </w:rPr>
        <w:t>percent</w:t>
      </w:r>
      <w:r>
        <w:rPr>
          <w:color w:val="231F20"/>
          <w:spacing w:val="-21"/>
          <w:sz w:val="23"/>
        </w:rPr>
        <w:t> </w:t>
      </w:r>
      <w:r>
        <w:rPr>
          <w:color w:val="231F20"/>
          <w:sz w:val="23"/>
        </w:rPr>
        <w:t>in</w:t>
      </w:r>
      <w:r>
        <w:rPr>
          <w:color w:val="231F20"/>
          <w:spacing w:val="-21"/>
          <w:sz w:val="23"/>
        </w:rPr>
        <w:t> </w:t>
      </w:r>
      <w:r>
        <w:rPr>
          <w:color w:val="231F20"/>
          <w:sz w:val="23"/>
        </w:rPr>
        <w:t>2019</w:t>
      </w:r>
      <w:r>
        <w:rPr>
          <w:color w:val="231F20"/>
          <w:spacing w:val="-21"/>
          <w:sz w:val="23"/>
        </w:rPr>
        <w:t> </w:t>
      </w:r>
      <w:r>
        <w:rPr>
          <w:color w:val="231F20"/>
          <w:sz w:val="23"/>
        </w:rPr>
        <w:t>compared</w:t>
      </w:r>
      <w:r>
        <w:rPr>
          <w:color w:val="231F20"/>
          <w:spacing w:val="-21"/>
          <w:sz w:val="23"/>
        </w:rPr>
        <w:t> </w:t>
      </w:r>
      <w:r>
        <w:rPr>
          <w:color w:val="231F20"/>
          <w:sz w:val="23"/>
        </w:rPr>
        <w:t>to</w:t>
      </w:r>
      <w:r>
        <w:rPr>
          <w:color w:val="231F20"/>
          <w:spacing w:val="-21"/>
          <w:sz w:val="23"/>
        </w:rPr>
        <w:t> </w:t>
      </w:r>
      <w:r>
        <w:rPr>
          <w:color w:val="231F20"/>
          <w:sz w:val="23"/>
        </w:rPr>
        <w:t>3.8</w:t>
      </w:r>
      <w:r>
        <w:rPr>
          <w:color w:val="231F20"/>
          <w:spacing w:val="-21"/>
          <w:sz w:val="23"/>
        </w:rPr>
        <w:t> </w:t>
      </w:r>
      <w:r>
        <w:rPr>
          <w:color w:val="231F20"/>
          <w:sz w:val="23"/>
        </w:rPr>
        <w:t>percent</w:t>
      </w:r>
      <w:r>
        <w:rPr>
          <w:color w:val="231F20"/>
          <w:spacing w:val="-21"/>
          <w:sz w:val="23"/>
        </w:rPr>
        <w:t> </w:t>
      </w:r>
      <w:r>
        <w:rPr>
          <w:color w:val="231F20"/>
          <w:sz w:val="23"/>
        </w:rPr>
        <w:t>and</w:t>
      </w:r>
      <w:r>
        <w:rPr>
          <w:color w:val="231F20"/>
          <w:spacing w:val="-21"/>
          <w:sz w:val="23"/>
        </w:rPr>
        <w:t> </w:t>
      </w:r>
      <w:r>
        <w:rPr>
          <w:color w:val="231F20"/>
          <w:sz w:val="23"/>
        </w:rPr>
        <w:t>3.7</w:t>
      </w:r>
      <w:r>
        <w:rPr>
          <w:color w:val="231F20"/>
          <w:spacing w:val="-21"/>
          <w:sz w:val="23"/>
        </w:rPr>
        <w:t> </w:t>
      </w:r>
      <w:r>
        <w:rPr>
          <w:color w:val="231F20"/>
          <w:sz w:val="23"/>
        </w:rPr>
        <w:t>percent</w:t>
      </w:r>
      <w:r>
        <w:rPr>
          <w:color w:val="231F20"/>
          <w:spacing w:val="-21"/>
          <w:sz w:val="23"/>
        </w:rPr>
        <w:t> </w:t>
      </w:r>
      <w:r>
        <w:rPr>
          <w:color w:val="231F20"/>
          <w:sz w:val="23"/>
        </w:rPr>
        <w:t>in</w:t>
      </w:r>
      <w:r>
        <w:rPr>
          <w:color w:val="231F20"/>
          <w:spacing w:val="-21"/>
          <w:sz w:val="23"/>
        </w:rPr>
        <w:t> </w:t>
      </w:r>
      <w:r>
        <w:rPr>
          <w:color w:val="231F20"/>
          <w:sz w:val="23"/>
        </w:rPr>
        <w:t>2017</w:t>
      </w:r>
      <w:r>
        <w:rPr>
          <w:color w:val="231F20"/>
          <w:spacing w:val="-21"/>
          <w:sz w:val="23"/>
        </w:rPr>
        <w:t> </w:t>
      </w:r>
      <w:r>
        <w:rPr>
          <w:color w:val="231F20"/>
          <w:sz w:val="23"/>
        </w:rPr>
        <w:t>and 2018,</w:t>
      </w:r>
      <w:r>
        <w:rPr>
          <w:color w:val="231F20"/>
          <w:spacing w:val="-29"/>
          <w:sz w:val="23"/>
        </w:rPr>
        <w:t> </w:t>
      </w:r>
      <w:r>
        <w:rPr>
          <w:color w:val="231F20"/>
          <w:sz w:val="23"/>
        </w:rPr>
        <w:t>respectively.</w:t>
      </w:r>
      <w:r>
        <w:rPr>
          <w:color w:val="231F20"/>
          <w:spacing w:val="-29"/>
          <w:sz w:val="23"/>
        </w:rPr>
        <w:t> </w:t>
      </w:r>
      <w:r>
        <w:rPr>
          <w:color w:val="231F20"/>
          <w:sz w:val="23"/>
        </w:rPr>
        <w:t>The</w:t>
      </w:r>
      <w:r>
        <w:rPr>
          <w:color w:val="231F20"/>
          <w:spacing w:val="-29"/>
          <w:sz w:val="23"/>
        </w:rPr>
        <w:t> </w:t>
      </w:r>
      <w:r>
        <w:rPr>
          <w:color w:val="231F20"/>
          <w:sz w:val="23"/>
        </w:rPr>
        <w:t>recovery</w:t>
      </w:r>
      <w:r>
        <w:rPr>
          <w:color w:val="231F20"/>
          <w:spacing w:val="-29"/>
          <w:sz w:val="23"/>
        </w:rPr>
        <w:t> </w:t>
      </w:r>
      <w:r>
        <w:rPr>
          <w:color w:val="231F20"/>
          <w:sz w:val="23"/>
        </w:rPr>
        <w:t>of</w:t>
      </w:r>
      <w:r>
        <w:rPr>
          <w:color w:val="231F20"/>
          <w:spacing w:val="-29"/>
          <w:sz w:val="23"/>
        </w:rPr>
        <w:t> </w:t>
      </w:r>
      <w:r>
        <w:rPr>
          <w:color w:val="231F20"/>
          <w:sz w:val="23"/>
        </w:rPr>
        <w:t>the</w:t>
      </w:r>
      <w:r>
        <w:rPr>
          <w:color w:val="231F20"/>
          <w:spacing w:val="-29"/>
          <w:sz w:val="23"/>
        </w:rPr>
        <w:t> </w:t>
      </w:r>
      <w:r>
        <w:rPr>
          <w:color w:val="231F20"/>
          <w:sz w:val="23"/>
        </w:rPr>
        <w:t>economy</w:t>
      </w:r>
      <w:r>
        <w:rPr>
          <w:color w:val="231F20"/>
          <w:spacing w:val="-29"/>
          <w:sz w:val="23"/>
        </w:rPr>
        <w:t> </w:t>
      </w:r>
      <w:r>
        <w:rPr>
          <w:color w:val="231F20"/>
          <w:sz w:val="23"/>
        </w:rPr>
        <w:t>is</w:t>
      </w:r>
      <w:r>
        <w:rPr>
          <w:color w:val="231F20"/>
          <w:spacing w:val="-29"/>
          <w:sz w:val="23"/>
        </w:rPr>
        <w:t> </w:t>
      </w:r>
      <w:r>
        <w:rPr>
          <w:color w:val="231F20"/>
          <w:sz w:val="23"/>
        </w:rPr>
        <w:t>underpinned</w:t>
      </w:r>
      <w:r>
        <w:rPr>
          <w:color w:val="231F20"/>
          <w:spacing w:val="-29"/>
          <w:sz w:val="23"/>
        </w:rPr>
        <w:t> </w:t>
      </w:r>
      <w:r>
        <w:rPr>
          <w:color w:val="231F20"/>
          <w:sz w:val="23"/>
        </w:rPr>
        <w:t>by</w:t>
      </w:r>
      <w:r>
        <w:rPr>
          <w:color w:val="231F20"/>
          <w:spacing w:val="-29"/>
          <w:sz w:val="23"/>
        </w:rPr>
        <w:t> </w:t>
      </w:r>
      <w:r>
        <w:rPr>
          <w:color w:val="231F20"/>
          <w:sz w:val="23"/>
        </w:rPr>
        <w:t>increased</w:t>
      </w:r>
      <w:r>
        <w:rPr>
          <w:color w:val="231F20"/>
          <w:spacing w:val="-29"/>
          <w:sz w:val="23"/>
        </w:rPr>
        <w:t> </w:t>
      </w:r>
      <w:r>
        <w:rPr>
          <w:color w:val="231F20"/>
          <w:sz w:val="23"/>
        </w:rPr>
        <w:t>activities in</w:t>
      </w:r>
      <w:r>
        <w:rPr>
          <w:color w:val="231F20"/>
          <w:spacing w:val="-29"/>
          <w:sz w:val="23"/>
        </w:rPr>
        <w:t> </w:t>
      </w:r>
      <w:r>
        <w:rPr>
          <w:color w:val="231F20"/>
          <w:sz w:val="23"/>
        </w:rPr>
        <w:t>the</w:t>
      </w:r>
      <w:r>
        <w:rPr>
          <w:color w:val="231F20"/>
          <w:spacing w:val="-29"/>
          <w:sz w:val="23"/>
        </w:rPr>
        <w:t> </w:t>
      </w:r>
      <w:r>
        <w:rPr>
          <w:color w:val="231F20"/>
          <w:sz w:val="23"/>
        </w:rPr>
        <w:t>agriculture</w:t>
      </w:r>
      <w:r>
        <w:rPr>
          <w:color w:val="231F20"/>
          <w:spacing w:val="-29"/>
          <w:sz w:val="23"/>
        </w:rPr>
        <w:t> </w:t>
      </w:r>
      <w:r>
        <w:rPr>
          <w:color w:val="231F20"/>
          <w:sz w:val="23"/>
        </w:rPr>
        <w:t>sector,</w:t>
      </w:r>
      <w:r>
        <w:rPr>
          <w:color w:val="231F20"/>
          <w:spacing w:val="-29"/>
          <w:sz w:val="23"/>
        </w:rPr>
        <w:t> </w:t>
      </w:r>
      <w:r>
        <w:rPr>
          <w:color w:val="231F20"/>
          <w:sz w:val="23"/>
        </w:rPr>
        <w:t>higher</w:t>
      </w:r>
      <w:r>
        <w:rPr>
          <w:color w:val="231F20"/>
          <w:spacing w:val="-29"/>
          <w:sz w:val="23"/>
        </w:rPr>
        <w:t> </w:t>
      </w:r>
      <w:r>
        <w:rPr>
          <w:color w:val="231F20"/>
          <w:sz w:val="23"/>
        </w:rPr>
        <w:t>production</w:t>
      </w:r>
      <w:r>
        <w:rPr>
          <w:color w:val="231F20"/>
          <w:spacing w:val="-29"/>
          <w:sz w:val="23"/>
        </w:rPr>
        <w:t> </w:t>
      </w:r>
      <w:r>
        <w:rPr>
          <w:color w:val="231F20"/>
          <w:sz w:val="23"/>
        </w:rPr>
        <w:t>of</w:t>
      </w:r>
      <w:r>
        <w:rPr>
          <w:color w:val="231F20"/>
          <w:spacing w:val="-29"/>
          <w:sz w:val="23"/>
        </w:rPr>
        <w:t> </w:t>
      </w:r>
      <w:r>
        <w:rPr>
          <w:color w:val="231F20"/>
          <w:sz w:val="23"/>
        </w:rPr>
        <w:t>rutile,</w:t>
      </w:r>
      <w:r>
        <w:rPr>
          <w:color w:val="231F20"/>
          <w:spacing w:val="-29"/>
          <w:sz w:val="23"/>
        </w:rPr>
        <w:t> </w:t>
      </w:r>
      <w:r>
        <w:rPr>
          <w:color w:val="231F20"/>
          <w:sz w:val="23"/>
        </w:rPr>
        <w:t>increased</w:t>
      </w:r>
      <w:r>
        <w:rPr>
          <w:color w:val="231F20"/>
          <w:spacing w:val="-29"/>
          <w:sz w:val="23"/>
        </w:rPr>
        <w:t> </w:t>
      </w:r>
      <w:r>
        <w:rPr>
          <w:color w:val="231F20"/>
          <w:sz w:val="23"/>
        </w:rPr>
        <w:t>construction</w:t>
      </w:r>
      <w:r>
        <w:rPr>
          <w:color w:val="231F20"/>
          <w:spacing w:val="-29"/>
          <w:sz w:val="23"/>
        </w:rPr>
        <w:t> </w:t>
      </w:r>
      <w:r>
        <w:rPr>
          <w:color w:val="231F20"/>
          <w:sz w:val="23"/>
        </w:rPr>
        <w:t>activities, and</w:t>
      </w:r>
      <w:r>
        <w:rPr>
          <w:color w:val="231F20"/>
          <w:spacing w:val="-14"/>
          <w:sz w:val="23"/>
        </w:rPr>
        <w:t> </w:t>
      </w:r>
      <w:r>
        <w:rPr>
          <w:color w:val="231F20"/>
          <w:sz w:val="23"/>
        </w:rPr>
        <w:t>expansion</w:t>
      </w:r>
      <w:r>
        <w:rPr>
          <w:color w:val="231F20"/>
          <w:spacing w:val="-14"/>
          <w:sz w:val="23"/>
        </w:rPr>
        <w:t> </w:t>
      </w:r>
      <w:r>
        <w:rPr>
          <w:color w:val="231F20"/>
          <w:sz w:val="23"/>
        </w:rPr>
        <w:t>of</w:t>
      </w:r>
      <w:r>
        <w:rPr>
          <w:color w:val="231F20"/>
          <w:spacing w:val="-14"/>
          <w:sz w:val="23"/>
        </w:rPr>
        <w:t> </w:t>
      </w:r>
      <w:r>
        <w:rPr>
          <w:color w:val="231F20"/>
          <w:sz w:val="23"/>
        </w:rPr>
        <w:t>the</w:t>
      </w:r>
      <w:r>
        <w:rPr>
          <w:color w:val="231F20"/>
          <w:spacing w:val="-14"/>
          <w:sz w:val="23"/>
        </w:rPr>
        <w:t> </w:t>
      </w:r>
      <w:r>
        <w:rPr>
          <w:color w:val="231F20"/>
          <w:sz w:val="23"/>
        </w:rPr>
        <w:t>services</w:t>
      </w:r>
      <w:r>
        <w:rPr>
          <w:color w:val="231F20"/>
          <w:spacing w:val="-14"/>
          <w:sz w:val="23"/>
        </w:rPr>
        <w:t> </w:t>
      </w:r>
      <w:r>
        <w:rPr>
          <w:color w:val="231F20"/>
          <w:sz w:val="23"/>
        </w:rPr>
        <w:t>sector.</w:t>
      </w:r>
      <w:r>
        <w:rPr>
          <w:color w:val="231F20"/>
          <w:spacing w:val="-14"/>
          <w:sz w:val="23"/>
        </w:rPr>
        <w:t> </w:t>
      </w:r>
      <w:r>
        <w:rPr>
          <w:color w:val="231F20"/>
          <w:sz w:val="23"/>
        </w:rPr>
        <w:t>Excluding</w:t>
      </w:r>
      <w:r>
        <w:rPr>
          <w:color w:val="231F20"/>
          <w:spacing w:val="-14"/>
          <w:sz w:val="23"/>
        </w:rPr>
        <w:t> </w:t>
      </w:r>
      <w:r>
        <w:rPr>
          <w:color w:val="231F20"/>
          <w:sz w:val="23"/>
        </w:rPr>
        <w:t>iron</w:t>
      </w:r>
      <w:r>
        <w:rPr>
          <w:color w:val="231F20"/>
          <w:spacing w:val="-14"/>
          <w:sz w:val="23"/>
        </w:rPr>
        <w:t> </w:t>
      </w:r>
      <w:r>
        <w:rPr>
          <w:color w:val="231F20"/>
          <w:sz w:val="23"/>
        </w:rPr>
        <w:t>ore,</w:t>
      </w:r>
      <w:r>
        <w:rPr>
          <w:color w:val="231F20"/>
          <w:spacing w:val="-14"/>
          <w:sz w:val="23"/>
        </w:rPr>
        <w:t> </w:t>
      </w:r>
      <w:r>
        <w:rPr>
          <w:color w:val="231F20"/>
          <w:sz w:val="23"/>
        </w:rPr>
        <w:t>the</w:t>
      </w:r>
      <w:r>
        <w:rPr>
          <w:color w:val="231F20"/>
          <w:spacing w:val="-14"/>
          <w:sz w:val="23"/>
        </w:rPr>
        <w:t> </w:t>
      </w:r>
      <w:r>
        <w:rPr>
          <w:color w:val="231F20"/>
          <w:sz w:val="23"/>
        </w:rPr>
        <w:t>economy</w:t>
      </w:r>
      <w:r>
        <w:rPr>
          <w:color w:val="231F20"/>
          <w:spacing w:val="-14"/>
          <w:sz w:val="23"/>
        </w:rPr>
        <w:t> </w:t>
      </w:r>
      <w:r>
        <w:rPr>
          <w:color w:val="231F20"/>
          <w:sz w:val="23"/>
        </w:rPr>
        <w:t>is</w:t>
      </w:r>
      <w:r>
        <w:rPr>
          <w:color w:val="231F20"/>
          <w:spacing w:val="-14"/>
          <w:sz w:val="23"/>
        </w:rPr>
        <w:t> </w:t>
      </w:r>
      <w:r>
        <w:rPr>
          <w:color w:val="231F20"/>
          <w:sz w:val="23"/>
        </w:rPr>
        <w:t>estimated</w:t>
      </w:r>
      <w:r>
        <w:rPr>
          <w:color w:val="231F20"/>
          <w:spacing w:val="-14"/>
          <w:sz w:val="23"/>
        </w:rPr>
        <w:t> </w:t>
      </w:r>
      <w:r>
        <w:rPr>
          <w:color w:val="231F20"/>
          <w:sz w:val="23"/>
        </w:rPr>
        <w:t>to grow</w:t>
      </w:r>
      <w:r>
        <w:rPr>
          <w:color w:val="231F20"/>
          <w:spacing w:val="-12"/>
          <w:sz w:val="23"/>
        </w:rPr>
        <w:t> </w:t>
      </w:r>
      <w:r>
        <w:rPr>
          <w:color w:val="231F20"/>
          <w:sz w:val="23"/>
        </w:rPr>
        <w:t>by</w:t>
      </w:r>
      <w:r>
        <w:rPr>
          <w:color w:val="231F20"/>
          <w:spacing w:val="-12"/>
          <w:sz w:val="23"/>
        </w:rPr>
        <w:t> </w:t>
      </w:r>
      <w:r>
        <w:rPr>
          <w:color w:val="231F20"/>
          <w:sz w:val="23"/>
        </w:rPr>
        <w:t>4.5</w:t>
      </w:r>
      <w:r>
        <w:rPr>
          <w:color w:val="231F20"/>
          <w:spacing w:val="-12"/>
          <w:sz w:val="23"/>
        </w:rPr>
        <w:t> </w:t>
      </w:r>
      <w:r>
        <w:rPr>
          <w:color w:val="231F20"/>
          <w:sz w:val="23"/>
        </w:rPr>
        <w:t>percent</w:t>
      </w:r>
      <w:r>
        <w:rPr>
          <w:color w:val="231F20"/>
          <w:spacing w:val="-12"/>
          <w:sz w:val="23"/>
        </w:rPr>
        <w:t> </w:t>
      </w:r>
      <w:r>
        <w:rPr>
          <w:color w:val="231F20"/>
          <w:sz w:val="23"/>
        </w:rPr>
        <w:t>in</w:t>
      </w:r>
      <w:r>
        <w:rPr>
          <w:color w:val="231F20"/>
          <w:spacing w:val="-12"/>
          <w:sz w:val="23"/>
        </w:rPr>
        <w:t> </w:t>
      </w:r>
      <w:r>
        <w:rPr>
          <w:color w:val="231F20"/>
          <w:sz w:val="23"/>
        </w:rPr>
        <w:t>2019.</w:t>
      </w:r>
    </w:p>
    <w:p>
      <w:pPr>
        <w:pStyle w:val="BodyText"/>
        <w:spacing w:before="10"/>
        <w:rPr>
          <w:sz w:val="28"/>
        </w:rPr>
      </w:pPr>
    </w:p>
    <w:p>
      <w:pPr>
        <w:pStyle w:val="ListParagraph"/>
        <w:numPr>
          <w:ilvl w:val="0"/>
          <w:numId w:val="2"/>
        </w:numPr>
        <w:tabs>
          <w:tab w:pos="954" w:val="left" w:leader="none"/>
        </w:tabs>
        <w:spacing w:line="302" w:lineRule="auto" w:before="1" w:after="0"/>
        <w:ind w:left="103" w:right="119" w:firstLine="223"/>
        <w:jc w:val="both"/>
        <w:rPr>
          <w:sz w:val="23"/>
        </w:rPr>
      </w:pPr>
      <w:r>
        <w:rPr>
          <w:color w:val="231F20"/>
          <w:sz w:val="23"/>
        </w:rPr>
        <w:t>After a steady decline from 18.2 percent in August 2018 to 14.1 percent in February 2019, inflationary pressures emerged in March 2019. Headline inflation increased</w:t>
      </w:r>
      <w:r>
        <w:rPr>
          <w:color w:val="231F20"/>
          <w:spacing w:val="-26"/>
          <w:sz w:val="23"/>
        </w:rPr>
        <w:t> </w:t>
      </w:r>
      <w:r>
        <w:rPr>
          <w:color w:val="231F20"/>
          <w:sz w:val="23"/>
        </w:rPr>
        <w:t>to</w:t>
      </w:r>
      <w:r>
        <w:rPr>
          <w:color w:val="231F20"/>
          <w:spacing w:val="-26"/>
          <w:sz w:val="23"/>
        </w:rPr>
        <w:t> </w:t>
      </w:r>
      <w:r>
        <w:rPr>
          <w:color w:val="231F20"/>
          <w:sz w:val="23"/>
        </w:rPr>
        <w:t>14.8</w:t>
      </w:r>
      <w:r>
        <w:rPr>
          <w:color w:val="231F20"/>
          <w:spacing w:val="-26"/>
          <w:sz w:val="23"/>
        </w:rPr>
        <w:t> </w:t>
      </w:r>
      <w:r>
        <w:rPr>
          <w:color w:val="231F20"/>
          <w:sz w:val="23"/>
        </w:rPr>
        <w:t>percent</w:t>
      </w:r>
      <w:r>
        <w:rPr>
          <w:color w:val="231F20"/>
          <w:spacing w:val="-26"/>
          <w:sz w:val="23"/>
        </w:rPr>
        <w:t> </w:t>
      </w:r>
      <w:r>
        <w:rPr>
          <w:color w:val="231F20"/>
          <w:sz w:val="23"/>
        </w:rPr>
        <w:t>and</w:t>
      </w:r>
      <w:r>
        <w:rPr>
          <w:color w:val="231F20"/>
          <w:spacing w:val="-26"/>
          <w:sz w:val="23"/>
        </w:rPr>
        <w:t> </w:t>
      </w:r>
      <w:r>
        <w:rPr>
          <w:color w:val="231F20"/>
          <w:sz w:val="23"/>
        </w:rPr>
        <w:t>further</w:t>
      </w:r>
      <w:r>
        <w:rPr>
          <w:color w:val="231F20"/>
          <w:spacing w:val="-26"/>
          <w:sz w:val="23"/>
        </w:rPr>
        <w:t> </w:t>
      </w:r>
      <w:r>
        <w:rPr>
          <w:color w:val="231F20"/>
          <w:sz w:val="23"/>
        </w:rPr>
        <w:t>up</w:t>
      </w:r>
      <w:r>
        <w:rPr>
          <w:color w:val="231F20"/>
          <w:spacing w:val="-26"/>
          <w:sz w:val="23"/>
        </w:rPr>
        <w:t> </w:t>
      </w:r>
      <w:r>
        <w:rPr>
          <w:color w:val="231F20"/>
          <w:sz w:val="23"/>
        </w:rPr>
        <w:t>to</w:t>
      </w:r>
      <w:r>
        <w:rPr>
          <w:color w:val="231F20"/>
          <w:spacing w:val="-26"/>
          <w:sz w:val="23"/>
        </w:rPr>
        <w:t> </w:t>
      </w:r>
      <w:r>
        <w:rPr>
          <w:color w:val="231F20"/>
          <w:sz w:val="23"/>
        </w:rPr>
        <w:t>15.4</w:t>
      </w:r>
      <w:r>
        <w:rPr>
          <w:color w:val="231F20"/>
          <w:spacing w:val="-26"/>
          <w:sz w:val="23"/>
        </w:rPr>
        <w:t> </w:t>
      </w:r>
      <w:r>
        <w:rPr>
          <w:color w:val="231F20"/>
          <w:sz w:val="23"/>
        </w:rPr>
        <w:t>percent</w:t>
      </w:r>
      <w:r>
        <w:rPr>
          <w:color w:val="231F20"/>
          <w:spacing w:val="-26"/>
          <w:sz w:val="23"/>
        </w:rPr>
        <w:t> </w:t>
      </w:r>
      <w:r>
        <w:rPr>
          <w:color w:val="231F20"/>
          <w:sz w:val="23"/>
        </w:rPr>
        <w:t>in</w:t>
      </w:r>
      <w:r>
        <w:rPr>
          <w:color w:val="231F20"/>
          <w:spacing w:val="-26"/>
          <w:sz w:val="23"/>
        </w:rPr>
        <w:t> </w:t>
      </w:r>
      <w:r>
        <w:rPr>
          <w:color w:val="231F20"/>
          <w:sz w:val="23"/>
        </w:rPr>
        <w:t>August</w:t>
      </w:r>
      <w:r>
        <w:rPr>
          <w:color w:val="231F20"/>
          <w:spacing w:val="-26"/>
          <w:sz w:val="23"/>
        </w:rPr>
        <w:t> </w:t>
      </w:r>
      <w:r>
        <w:rPr>
          <w:color w:val="231F20"/>
          <w:sz w:val="23"/>
        </w:rPr>
        <w:t>2019.</w:t>
      </w:r>
      <w:r>
        <w:rPr>
          <w:color w:val="231F20"/>
          <w:spacing w:val="-26"/>
          <w:sz w:val="23"/>
        </w:rPr>
        <w:t> </w:t>
      </w:r>
      <w:r>
        <w:rPr>
          <w:color w:val="231F20"/>
          <w:sz w:val="23"/>
        </w:rPr>
        <w:t>The</w:t>
      </w:r>
      <w:r>
        <w:rPr>
          <w:color w:val="231F20"/>
          <w:spacing w:val="-26"/>
          <w:sz w:val="23"/>
        </w:rPr>
        <w:t> </w:t>
      </w:r>
      <w:r>
        <w:rPr>
          <w:color w:val="231F20"/>
          <w:sz w:val="23"/>
        </w:rPr>
        <w:t>increase in domestic prices in 2019, could be attributed to the depreciation of the Leone exchange rate with pass-through effects on imported food and non-food prices. It is expected that the underlying inflationary pressures could moderate to 14.0 percent by end December</w:t>
      </w:r>
      <w:r>
        <w:rPr>
          <w:color w:val="231F20"/>
          <w:spacing w:val="-33"/>
          <w:sz w:val="23"/>
        </w:rPr>
        <w:t> </w:t>
      </w:r>
      <w:r>
        <w:rPr>
          <w:color w:val="231F20"/>
          <w:sz w:val="23"/>
        </w:rPr>
        <w:t>2019.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26"/>
        <w:ind w:left="57" w:right="0"/>
      </w:pPr>
      <w:r>
        <w:rPr>
          <w:color w:val="231F20"/>
        </w:rPr>
        <w:t>6</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17" w:firstLine="223"/>
        <w:jc w:val="both"/>
        <w:rPr>
          <w:sz w:val="23"/>
        </w:rPr>
      </w:pPr>
      <w:r>
        <w:rPr>
          <w:color w:val="231F20"/>
          <w:sz w:val="23"/>
        </w:rPr>
        <w:t>Mr.</w:t>
      </w:r>
      <w:r>
        <w:rPr>
          <w:color w:val="231F20"/>
          <w:spacing w:val="-22"/>
          <w:sz w:val="23"/>
        </w:rPr>
        <w:t> </w:t>
      </w:r>
      <w:r>
        <w:rPr>
          <w:color w:val="231F20"/>
          <w:sz w:val="23"/>
        </w:rPr>
        <w:t>Speaker,</w:t>
      </w:r>
      <w:r>
        <w:rPr>
          <w:color w:val="231F20"/>
          <w:spacing w:val="-23"/>
          <w:sz w:val="23"/>
        </w:rPr>
        <w:t> </w:t>
      </w:r>
      <w:r>
        <w:rPr>
          <w:color w:val="231F20"/>
          <w:sz w:val="23"/>
        </w:rPr>
        <w:t>Honourable</w:t>
      </w:r>
      <w:r>
        <w:rPr>
          <w:color w:val="231F20"/>
          <w:spacing w:val="-22"/>
          <w:sz w:val="23"/>
        </w:rPr>
        <w:t> </w:t>
      </w:r>
      <w:r>
        <w:rPr>
          <w:color w:val="231F20"/>
          <w:sz w:val="23"/>
        </w:rPr>
        <w:t>Members,</w:t>
      </w:r>
      <w:r>
        <w:rPr>
          <w:color w:val="231F20"/>
          <w:spacing w:val="-22"/>
          <w:sz w:val="23"/>
        </w:rPr>
        <w:t> </w:t>
      </w:r>
      <w:r>
        <w:rPr>
          <w:color w:val="231F20"/>
          <w:sz w:val="23"/>
        </w:rPr>
        <w:t>the</w:t>
      </w:r>
      <w:r>
        <w:rPr>
          <w:color w:val="231F20"/>
          <w:spacing w:val="-22"/>
          <w:sz w:val="23"/>
        </w:rPr>
        <w:t> </w:t>
      </w:r>
      <w:r>
        <w:rPr>
          <w:color w:val="231F20"/>
          <w:sz w:val="23"/>
        </w:rPr>
        <w:t>value</w:t>
      </w:r>
      <w:r>
        <w:rPr>
          <w:color w:val="231F20"/>
          <w:spacing w:val="-22"/>
          <w:sz w:val="23"/>
        </w:rPr>
        <w:t> </w:t>
      </w:r>
      <w:r>
        <w:rPr>
          <w:color w:val="231F20"/>
          <w:sz w:val="23"/>
        </w:rPr>
        <w:t>of</w:t>
      </w:r>
      <w:r>
        <w:rPr>
          <w:color w:val="231F20"/>
          <w:spacing w:val="-22"/>
          <w:sz w:val="23"/>
        </w:rPr>
        <w:t> </w:t>
      </w:r>
      <w:r>
        <w:rPr>
          <w:color w:val="231F20"/>
          <w:sz w:val="23"/>
        </w:rPr>
        <w:t>exports</w:t>
      </w:r>
      <w:r>
        <w:rPr>
          <w:color w:val="231F20"/>
          <w:spacing w:val="-22"/>
          <w:sz w:val="23"/>
        </w:rPr>
        <w:t> </w:t>
      </w:r>
      <w:r>
        <w:rPr>
          <w:color w:val="231F20"/>
          <w:sz w:val="23"/>
        </w:rPr>
        <w:t>more</w:t>
      </w:r>
      <w:r>
        <w:rPr>
          <w:color w:val="231F20"/>
          <w:spacing w:val="-22"/>
          <w:sz w:val="23"/>
        </w:rPr>
        <w:t> </w:t>
      </w:r>
      <w:r>
        <w:rPr>
          <w:color w:val="231F20"/>
          <w:sz w:val="23"/>
        </w:rPr>
        <w:t>than</w:t>
      </w:r>
      <w:r>
        <w:rPr>
          <w:color w:val="231F20"/>
          <w:spacing w:val="-22"/>
          <w:sz w:val="23"/>
        </w:rPr>
        <w:t> </w:t>
      </w:r>
      <w:r>
        <w:rPr>
          <w:color w:val="231F20"/>
          <w:sz w:val="23"/>
        </w:rPr>
        <w:t>doubled</w:t>
      </w:r>
      <w:r>
        <w:rPr>
          <w:color w:val="231F20"/>
          <w:spacing w:val="-22"/>
          <w:sz w:val="23"/>
        </w:rPr>
        <w:t> </w:t>
      </w:r>
      <w:r>
        <w:rPr>
          <w:color w:val="231F20"/>
          <w:sz w:val="23"/>
        </w:rPr>
        <w:t>to US$556.6</w:t>
      </w:r>
      <w:r>
        <w:rPr>
          <w:color w:val="231F20"/>
          <w:spacing w:val="-48"/>
          <w:sz w:val="23"/>
        </w:rPr>
        <w:t> </w:t>
      </w:r>
      <w:r>
        <w:rPr>
          <w:color w:val="231F20"/>
          <w:sz w:val="23"/>
        </w:rPr>
        <w:t>million</w:t>
      </w:r>
      <w:r>
        <w:rPr>
          <w:color w:val="231F20"/>
          <w:spacing w:val="-48"/>
          <w:sz w:val="23"/>
        </w:rPr>
        <w:t> </w:t>
      </w:r>
      <w:r>
        <w:rPr>
          <w:color w:val="231F20"/>
          <w:sz w:val="23"/>
        </w:rPr>
        <w:t>during</w:t>
      </w:r>
      <w:r>
        <w:rPr>
          <w:color w:val="231F20"/>
          <w:spacing w:val="-47"/>
          <w:sz w:val="23"/>
        </w:rPr>
        <w:t> </w:t>
      </w:r>
      <w:r>
        <w:rPr>
          <w:color w:val="231F20"/>
          <w:sz w:val="23"/>
        </w:rPr>
        <w:t>January</w:t>
      </w:r>
      <w:r>
        <w:rPr>
          <w:color w:val="231F20"/>
          <w:spacing w:val="-48"/>
          <w:sz w:val="23"/>
        </w:rPr>
        <w:t> </w:t>
      </w:r>
      <w:r>
        <w:rPr>
          <w:color w:val="231F20"/>
          <w:sz w:val="23"/>
        </w:rPr>
        <w:t>to</w:t>
      </w:r>
      <w:r>
        <w:rPr>
          <w:color w:val="231F20"/>
          <w:spacing w:val="-47"/>
          <w:sz w:val="23"/>
        </w:rPr>
        <w:t> </w:t>
      </w:r>
      <w:r>
        <w:rPr>
          <w:color w:val="231F20"/>
          <w:sz w:val="23"/>
        </w:rPr>
        <w:t>June</w:t>
      </w:r>
      <w:r>
        <w:rPr>
          <w:color w:val="231F20"/>
          <w:spacing w:val="-48"/>
          <w:sz w:val="23"/>
        </w:rPr>
        <w:t> </w:t>
      </w:r>
      <w:r>
        <w:rPr>
          <w:color w:val="231F20"/>
          <w:sz w:val="23"/>
        </w:rPr>
        <w:t>2019</w:t>
      </w:r>
      <w:r>
        <w:rPr>
          <w:color w:val="231F20"/>
          <w:spacing w:val="-48"/>
          <w:sz w:val="23"/>
        </w:rPr>
        <w:t> </w:t>
      </w:r>
      <w:r>
        <w:rPr>
          <w:color w:val="231F20"/>
          <w:sz w:val="23"/>
        </w:rPr>
        <w:t>from</w:t>
      </w:r>
      <w:r>
        <w:rPr>
          <w:color w:val="231F20"/>
          <w:spacing w:val="-47"/>
          <w:sz w:val="23"/>
        </w:rPr>
        <w:t> </w:t>
      </w:r>
      <w:r>
        <w:rPr>
          <w:color w:val="231F20"/>
          <w:sz w:val="23"/>
        </w:rPr>
        <w:t>US$</w:t>
      </w:r>
      <w:r>
        <w:rPr>
          <w:color w:val="231F20"/>
          <w:spacing w:val="-48"/>
          <w:sz w:val="23"/>
        </w:rPr>
        <w:t> </w:t>
      </w:r>
      <w:r>
        <w:rPr>
          <w:color w:val="231F20"/>
          <w:sz w:val="23"/>
        </w:rPr>
        <w:t>234.6</w:t>
      </w:r>
      <w:r>
        <w:rPr>
          <w:color w:val="231F20"/>
          <w:spacing w:val="-47"/>
          <w:sz w:val="23"/>
        </w:rPr>
        <w:t> </w:t>
      </w:r>
      <w:r>
        <w:rPr>
          <w:color w:val="231F20"/>
          <w:sz w:val="23"/>
        </w:rPr>
        <w:t>million</w:t>
      </w:r>
      <w:r>
        <w:rPr>
          <w:color w:val="231F20"/>
          <w:spacing w:val="-48"/>
          <w:sz w:val="23"/>
        </w:rPr>
        <w:t> </w:t>
      </w:r>
      <w:r>
        <w:rPr>
          <w:color w:val="231F20"/>
          <w:sz w:val="23"/>
        </w:rPr>
        <w:t>during</w:t>
      </w:r>
      <w:r>
        <w:rPr>
          <w:color w:val="231F20"/>
          <w:spacing w:val="-48"/>
          <w:sz w:val="23"/>
        </w:rPr>
        <w:t> </w:t>
      </w:r>
      <w:r>
        <w:rPr>
          <w:color w:val="231F20"/>
          <w:sz w:val="23"/>
        </w:rPr>
        <w:t>the</w:t>
      </w:r>
      <w:r>
        <w:rPr>
          <w:color w:val="231F20"/>
          <w:spacing w:val="-47"/>
          <w:sz w:val="23"/>
        </w:rPr>
        <w:t> </w:t>
      </w:r>
      <w:r>
        <w:rPr>
          <w:color w:val="231F20"/>
          <w:sz w:val="23"/>
        </w:rPr>
        <w:t>same period in 2018. The sharp increase is accounted for mainly by re-exports, which increased</w:t>
      </w:r>
      <w:r>
        <w:rPr>
          <w:color w:val="231F20"/>
          <w:spacing w:val="-12"/>
          <w:sz w:val="23"/>
        </w:rPr>
        <w:t> </w:t>
      </w:r>
      <w:r>
        <w:rPr>
          <w:color w:val="231F20"/>
          <w:sz w:val="23"/>
        </w:rPr>
        <w:t>to</w:t>
      </w:r>
      <w:r>
        <w:rPr>
          <w:color w:val="231F20"/>
          <w:spacing w:val="-12"/>
          <w:sz w:val="23"/>
        </w:rPr>
        <w:t> </w:t>
      </w:r>
      <w:r>
        <w:rPr>
          <w:color w:val="231F20"/>
          <w:sz w:val="23"/>
        </w:rPr>
        <w:t>US$270.7</w:t>
      </w:r>
      <w:r>
        <w:rPr>
          <w:color w:val="231F20"/>
          <w:spacing w:val="-12"/>
          <w:sz w:val="23"/>
        </w:rPr>
        <w:t> </w:t>
      </w:r>
      <w:r>
        <w:rPr>
          <w:color w:val="231F20"/>
          <w:sz w:val="23"/>
        </w:rPr>
        <w:t>million</w:t>
      </w:r>
      <w:r>
        <w:rPr>
          <w:color w:val="231F20"/>
          <w:spacing w:val="-12"/>
          <w:sz w:val="23"/>
        </w:rPr>
        <w:t> </w:t>
      </w:r>
      <w:r>
        <w:rPr>
          <w:color w:val="231F20"/>
          <w:sz w:val="23"/>
        </w:rPr>
        <w:t>from</w:t>
      </w:r>
      <w:r>
        <w:rPr>
          <w:color w:val="231F20"/>
          <w:spacing w:val="-12"/>
          <w:sz w:val="23"/>
        </w:rPr>
        <w:t> </w:t>
      </w:r>
      <w:r>
        <w:rPr>
          <w:color w:val="231F20"/>
          <w:sz w:val="23"/>
        </w:rPr>
        <w:t>US$13.0</w:t>
      </w:r>
      <w:r>
        <w:rPr>
          <w:color w:val="231F20"/>
          <w:spacing w:val="-12"/>
          <w:sz w:val="23"/>
        </w:rPr>
        <w:t> </w:t>
      </w:r>
      <w:r>
        <w:rPr>
          <w:color w:val="231F20"/>
          <w:sz w:val="23"/>
        </w:rPr>
        <w:t>million</w:t>
      </w:r>
      <w:r>
        <w:rPr>
          <w:color w:val="231F20"/>
          <w:spacing w:val="-12"/>
          <w:sz w:val="23"/>
        </w:rPr>
        <w:t> </w:t>
      </w:r>
      <w:r>
        <w:rPr>
          <w:color w:val="231F20"/>
          <w:sz w:val="23"/>
        </w:rPr>
        <w:t>over</w:t>
      </w:r>
      <w:r>
        <w:rPr>
          <w:color w:val="231F20"/>
          <w:spacing w:val="-12"/>
          <w:sz w:val="23"/>
        </w:rPr>
        <w:t> </w:t>
      </w:r>
      <w:r>
        <w:rPr>
          <w:color w:val="231F20"/>
          <w:sz w:val="23"/>
        </w:rPr>
        <w:t>the</w:t>
      </w:r>
      <w:r>
        <w:rPr>
          <w:color w:val="231F20"/>
          <w:spacing w:val="-12"/>
          <w:sz w:val="23"/>
        </w:rPr>
        <w:t> </w:t>
      </w:r>
      <w:r>
        <w:rPr>
          <w:color w:val="231F20"/>
          <w:sz w:val="23"/>
        </w:rPr>
        <w:t>corresponding</w:t>
      </w:r>
      <w:r>
        <w:rPr>
          <w:color w:val="231F20"/>
          <w:spacing w:val="-12"/>
          <w:sz w:val="23"/>
        </w:rPr>
        <w:t> </w:t>
      </w:r>
      <w:r>
        <w:rPr>
          <w:color w:val="231F20"/>
          <w:sz w:val="23"/>
        </w:rPr>
        <w:t>periods. Domestic</w:t>
      </w:r>
      <w:r>
        <w:rPr>
          <w:color w:val="231F20"/>
          <w:spacing w:val="-9"/>
          <w:sz w:val="23"/>
        </w:rPr>
        <w:t> </w:t>
      </w:r>
      <w:r>
        <w:rPr>
          <w:color w:val="231F20"/>
          <w:sz w:val="23"/>
        </w:rPr>
        <w:t>exports</w:t>
      </w:r>
      <w:r>
        <w:rPr>
          <w:color w:val="231F20"/>
          <w:spacing w:val="-9"/>
          <w:sz w:val="23"/>
        </w:rPr>
        <w:t> </w:t>
      </w:r>
      <w:r>
        <w:rPr>
          <w:color w:val="231F20"/>
          <w:sz w:val="23"/>
        </w:rPr>
        <w:t>increased</w:t>
      </w:r>
      <w:r>
        <w:rPr>
          <w:color w:val="231F20"/>
          <w:spacing w:val="-9"/>
          <w:sz w:val="23"/>
        </w:rPr>
        <w:t> </w:t>
      </w:r>
      <w:r>
        <w:rPr>
          <w:color w:val="231F20"/>
          <w:sz w:val="23"/>
        </w:rPr>
        <w:t>by</w:t>
      </w:r>
      <w:r>
        <w:rPr>
          <w:color w:val="231F20"/>
          <w:spacing w:val="-9"/>
          <w:sz w:val="23"/>
        </w:rPr>
        <w:t> </w:t>
      </w:r>
      <w:r>
        <w:rPr>
          <w:color w:val="231F20"/>
          <w:sz w:val="23"/>
        </w:rPr>
        <w:t>US$</w:t>
      </w:r>
      <w:r>
        <w:rPr>
          <w:color w:val="231F20"/>
          <w:spacing w:val="-9"/>
          <w:sz w:val="23"/>
        </w:rPr>
        <w:t> </w:t>
      </w:r>
      <w:r>
        <w:rPr>
          <w:color w:val="231F20"/>
          <w:sz w:val="23"/>
        </w:rPr>
        <w:t>64.4</w:t>
      </w:r>
      <w:r>
        <w:rPr>
          <w:color w:val="231F20"/>
          <w:spacing w:val="-9"/>
          <w:sz w:val="23"/>
        </w:rPr>
        <w:t> </w:t>
      </w:r>
      <w:r>
        <w:rPr>
          <w:color w:val="231F20"/>
          <w:sz w:val="23"/>
        </w:rPr>
        <w:t>million</w:t>
      </w:r>
      <w:r>
        <w:rPr>
          <w:color w:val="231F20"/>
          <w:spacing w:val="-9"/>
          <w:sz w:val="23"/>
        </w:rPr>
        <w:t> </w:t>
      </w:r>
      <w:r>
        <w:rPr>
          <w:color w:val="231F20"/>
          <w:sz w:val="23"/>
        </w:rPr>
        <w:t>to</w:t>
      </w:r>
      <w:r>
        <w:rPr>
          <w:color w:val="231F20"/>
          <w:spacing w:val="-9"/>
          <w:sz w:val="23"/>
        </w:rPr>
        <w:t> </w:t>
      </w:r>
      <w:r>
        <w:rPr>
          <w:color w:val="231F20"/>
          <w:sz w:val="23"/>
        </w:rPr>
        <w:t>US$285.9</w:t>
      </w:r>
      <w:r>
        <w:rPr>
          <w:color w:val="231F20"/>
          <w:spacing w:val="-9"/>
          <w:sz w:val="23"/>
        </w:rPr>
        <w:t> </w:t>
      </w:r>
      <w:r>
        <w:rPr>
          <w:color w:val="231F20"/>
          <w:sz w:val="23"/>
        </w:rPr>
        <w:t>million</w:t>
      </w:r>
      <w:r>
        <w:rPr>
          <w:color w:val="231F20"/>
          <w:spacing w:val="-9"/>
          <w:sz w:val="23"/>
        </w:rPr>
        <w:t> </w:t>
      </w:r>
      <w:r>
        <w:rPr>
          <w:color w:val="231F20"/>
          <w:sz w:val="23"/>
        </w:rPr>
        <w:t>during</w:t>
      </w:r>
      <w:r>
        <w:rPr>
          <w:color w:val="231F20"/>
          <w:spacing w:val="-9"/>
          <w:sz w:val="23"/>
        </w:rPr>
        <w:t> </w:t>
      </w:r>
      <w:r>
        <w:rPr>
          <w:color w:val="231F20"/>
          <w:sz w:val="23"/>
        </w:rPr>
        <w:t>the</w:t>
      </w:r>
      <w:r>
        <w:rPr>
          <w:color w:val="231F20"/>
          <w:spacing w:val="-9"/>
          <w:sz w:val="23"/>
        </w:rPr>
        <w:t> </w:t>
      </w:r>
      <w:r>
        <w:rPr>
          <w:color w:val="231F20"/>
          <w:sz w:val="23"/>
        </w:rPr>
        <w:t>first half of 2019 due to an increase in mineral and agricultural</w:t>
      </w:r>
      <w:r>
        <w:rPr>
          <w:color w:val="231F20"/>
          <w:spacing w:val="33"/>
          <w:sz w:val="23"/>
        </w:rPr>
        <w:t> </w:t>
      </w:r>
      <w:r>
        <w:rPr>
          <w:color w:val="231F20"/>
          <w:sz w:val="23"/>
        </w:rPr>
        <w:t>exports.</w:t>
      </w:r>
    </w:p>
    <w:p>
      <w:pPr>
        <w:pStyle w:val="BodyText"/>
        <w:rPr>
          <w:sz w:val="29"/>
        </w:rPr>
      </w:pPr>
    </w:p>
    <w:p>
      <w:pPr>
        <w:pStyle w:val="ListParagraph"/>
        <w:numPr>
          <w:ilvl w:val="0"/>
          <w:numId w:val="2"/>
        </w:numPr>
        <w:tabs>
          <w:tab w:pos="954" w:val="left" w:leader="none"/>
        </w:tabs>
        <w:spacing w:line="302" w:lineRule="auto" w:before="0" w:after="0"/>
        <w:ind w:left="103" w:right="118" w:firstLine="223"/>
        <w:jc w:val="both"/>
        <w:rPr>
          <w:sz w:val="23"/>
        </w:rPr>
      </w:pPr>
      <w:r>
        <w:rPr>
          <w:color w:val="231F20"/>
          <w:sz w:val="23"/>
        </w:rPr>
        <w:t>The</w:t>
      </w:r>
      <w:r>
        <w:rPr>
          <w:color w:val="231F20"/>
          <w:spacing w:val="-29"/>
          <w:sz w:val="23"/>
        </w:rPr>
        <w:t> </w:t>
      </w:r>
      <w:r>
        <w:rPr>
          <w:color w:val="231F20"/>
          <w:sz w:val="23"/>
        </w:rPr>
        <w:t>value</w:t>
      </w:r>
      <w:r>
        <w:rPr>
          <w:color w:val="231F20"/>
          <w:spacing w:val="-29"/>
          <w:sz w:val="23"/>
        </w:rPr>
        <w:t> </w:t>
      </w:r>
      <w:r>
        <w:rPr>
          <w:color w:val="231F20"/>
          <w:sz w:val="23"/>
        </w:rPr>
        <w:t>of</w:t>
      </w:r>
      <w:r>
        <w:rPr>
          <w:color w:val="231F20"/>
          <w:spacing w:val="-29"/>
          <w:sz w:val="23"/>
        </w:rPr>
        <w:t> </w:t>
      </w:r>
      <w:r>
        <w:rPr>
          <w:color w:val="231F20"/>
          <w:sz w:val="23"/>
        </w:rPr>
        <w:t>imported</w:t>
      </w:r>
      <w:r>
        <w:rPr>
          <w:color w:val="231F20"/>
          <w:spacing w:val="-29"/>
          <w:sz w:val="23"/>
        </w:rPr>
        <w:t> </w:t>
      </w:r>
      <w:r>
        <w:rPr>
          <w:color w:val="231F20"/>
          <w:sz w:val="23"/>
        </w:rPr>
        <w:t>goods</w:t>
      </w:r>
      <w:r>
        <w:rPr>
          <w:color w:val="231F20"/>
          <w:spacing w:val="-29"/>
          <w:sz w:val="23"/>
        </w:rPr>
        <w:t> </w:t>
      </w:r>
      <w:r>
        <w:rPr>
          <w:color w:val="231F20"/>
          <w:sz w:val="23"/>
        </w:rPr>
        <w:t>increased</w:t>
      </w:r>
      <w:r>
        <w:rPr>
          <w:color w:val="231F20"/>
          <w:spacing w:val="-29"/>
          <w:sz w:val="23"/>
        </w:rPr>
        <w:t> </w:t>
      </w:r>
      <w:r>
        <w:rPr>
          <w:color w:val="231F20"/>
          <w:sz w:val="23"/>
        </w:rPr>
        <w:t>by</w:t>
      </w:r>
      <w:r>
        <w:rPr>
          <w:color w:val="231F20"/>
          <w:spacing w:val="-29"/>
          <w:sz w:val="23"/>
        </w:rPr>
        <w:t> </w:t>
      </w:r>
      <w:r>
        <w:rPr>
          <w:color w:val="231F20"/>
          <w:sz w:val="23"/>
        </w:rPr>
        <w:t>13.5</w:t>
      </w:r>
      <w:r>
        <w:rPr>
          <w:color w:val="231F20"/>
          <w:spacing w:val="-29"/>
          <w:sz w:val="23"/>
        </w:rPr>
        <w:t> </w:t>
      </w:r>
      <w:r>
        <w:rPr>
          <w:color w:val="231F20"/>
          <w:sz w:val="23"/>
        </w:rPr>
        <w:t>percent</w:t>
      </w:r>
      <w:r>
        <w:rPr>
          <w:color w:val="231F20"/>
          <w:spacing w:val="-29"/>
          <w:sz w:val="23"/>
        </w:rPr>
        <w:t> </w:t>
      </w:r>
      <w:r>
        <w:rPr>
          <w:color w:val="231F20"/>
          <w:sz w:val="23"/>
        </w:rPr>
        <w:t>to</w:t>
      </w:r>
      <w:r>
        <w:rPr>
          <w:color w:val="231F20"/>
          <w:spacing w:val="-29"/>
          <w:sz w:val="23"/>
        </w:rPr>
        <w:t> </w:t>
      </w:r>
      <w:r>
        <w:rPr>
          <w:color w:val="231F20"/>
          <w:sz w:val="23"/>
        </w:rPr>
        <w:t>US$</w:t>
      </w:r>
      <w:r>
        <w:rPr>
          <w:color w:val="231F20"/>
          <w:spacing w:val="-29"/>
          <w:sz w:val="23"/>
        </w:rPr>
        <w:t> </w:t>
      </w:r>
      <w:r>
        <w:rPr>
          <w:color w:val="231F20"/>
          <w:sz w:val="23"/>
        </w:rPr>
        <w:t>753.8</w:t>
      </w:r>
      <w:r>
        <w:rPr>
          <w:color w:val="231F20"/>
          <w:spacing w:val="-29"/>
          <w:sz w:val="23"/>
        </w:rPr>
        <w:t> </w:t>
      </w:r>
      <w:r>
        <w:rPr>
          <w:color w:val="231F20"/>
          <w:sz w:val="23"/>
        </w:rPr>
        <w:t>million</w:t>
      </w:r>
      <w:r>
        <w:rPr>
          <w:color w:val="231F20"/>
          <w:spacing w:val="-29"/>
          <w:sz w:val="23"/>
        </w:rPr>
        <w:t> </w:t>
      </w:r>
      <w:r>
        <w:rPr>
          <w:color w:val="231F20"/>
          <w:sz w:val="23"/>
        </w:rPr>
        <w:t>for the period January to June 2019 from US$ 661.8 million during the corresponding period in 2018 on account of the sharp increase in the imports of intermediate and manufactured goods,s as well as machinery and transport equipment. Food</w:t>
      </w:r>
      <w:r>
        <w:rPr>
          <w:color w:val="231F20"/>
          <w:spacing w:val="-51"/>
          <w:sz w:val="23"/>
        </w:rPr>
        <w:t> </w:t>
      </w:r>
      <w:r>
        <w:rPr>
          <w:color w:val="231F20"/>
          <w:sz w:val="23"/>
        </w:rPr>
        <w:t>imports however,</w:t>
      </w:r>
      <w:r>
        <w:rPr>
          <w:color w:val="231F20"/>
          <w:spacing w:val="-42"/>
          <w:sz w:val="23"/>
        </w:rPr>
        <w:t> </w:t>
      </w:r>
      <w:r>
        <w:rPr>
          <w:color w:val="231F20"/>
          <w:sz w:val="23"/>
        </w:rPr>
        <w:t>dropped</w:t>
      </w:r>
      <w:r>
        <w:rPr>
          <w:color w:val="231F20"/>
          <w:spacing w:val="-41"/>
          <w:sz w:val="23"/>
        </w:rPr>
        <w:t> </w:t>
      </w:r>
      <w:r>
        <w:rPr>
          <w:color w:val="231F20"/>
          <w:sz w:val="23"/>
        </w:rPr>
        <w:t>by</w:t>
      </w:r>
      <w:r>
        <w:rPr>
          <w:color w:val="231F20"/>
          <w:spacing w:val="-42"/>
          <w:sz w:val="23"/>
        </w:rPr>
        <w:t> </w:t>
      </w:r>
      <w:r>
        <w:rPr>
          <w:color w:val="231F20"/>
          <w:sz w:val="23"/>
        </w:rPr>
        <w:t>44.0</w:t>
      </w:r>
      <w:r>
        <w:rPr>
          <w:color w:val="231F20"/>
          <w:spacing w:val="-41"/>
          <w:sz w:val="23"/>
        </w:rPr>
        <w:t> </w:t>
      </w:r>
      <w:r>
        <w:rPr>
          <w:color w:val="231F20"/>
          <w:sz w:val="23"/>
        </w:rPr>
        <w:t>percent</w:t>
      </w:r>
      <w:r>
        <w:rPr>
          <w:color w:val="231F20"/>
          <w:spacing w:val="-42"/>
          <w:sz w:val="23"/>
        </w:rPr>
        <w:t> </w:t>
      </w:r>
      <w:r>
        <w:rPr>
          <w:color w:val="231F20"/>
          <w:sz w:val="23"/>
        </w:rPr>
        <w:t>to</w:t>
      </w:r>
      <w:r>
        <w:rPr>
          <w:color w:val="231F20"/>
          <w:spacing w:val="-41"/>
          <w:sz w:val="23"/>
        </w:rPr>
        <w:t> </w:t>
      </w:r>
      <w:r>
        <w:rPr>
          <w:color w:val="231F20"/>
          <w:sz w:val="23"/>
        </w:rPr>
        <w:t>US$</w:t>
      </w:r>
      <w:r>
        <w:rPr>
          <w:color w:val="231F20"/>
          <w:spacing w:val="-41"/>
          <w:sz w:val="23"/>
        </w:rPr>
        <w:t> </w:t>
      </w:r>
      <w:r>
        <w:rPr>
          <w:color w:val="231F20"/>
          <w:sz w:val="23"/>
        </w:rPr>
        <w:t>131.4</w:t>
      </w:r>
      <w:r>
        <w:rPr>
          <w:color w:val="231F20"/>
          <w:spacing w:val="-42"/>
          <w:sz w:val="23"/>
        </w:rPr>
        <w:t> </w:t>
      </w:r>
      <w:r>
        <w:rPr>
          <w:color w:val="231F20"/>
          <w:sz w:val="23"/>
        </w:rPr>
        <w:t>million</w:t>
      </w:r>
      <w:r>
        <w:rPr>
          <w:color w:val="231F20"/>
          <w:spacing w:val="-41"/>
          <w:sz w:val="23"/>
        </w:rPr>
        <w:t> </w:t>
      </w:r>
      <w:r>
        <w:rPr>
          <w:color w:val="231F20"/>
          <w:sz w:val="23"/>
        </w:rPr>
        <w:t>during</w:t>
      </w:r>
      <w:r>
        <w:rPr>
          <w:color w:val="231F20"/>
          <w:spacing w:val="-42"/>
          <w:sz w:val="23"/>
        </w:rPr>
        <w:t> </w:t>
      </w:r>
      <w:r>
        <w:rPr>
          <w:color w:val="231F20"/>
          <w:sz w:val="23"/>
        </w:rPr>
        <w:t>the</w:t>
      </w:r>
      <w:r>
        <w:rPr>
          <w:color w:val="231F20"/>
          <w:spacing w:val="-41"/>
          <w:sz w:val="23"/>
        </w:rPr>
        <w:t> </w:t>
      </w:r>
      <w:r>
        <w:rPr>
          <w:color w:val="231F20"/>
          <w:sz w:val="23"/>
        </w:rPr>
        <w:t>first</w:t>
      </w:r>
      <w:r>
        <w:rPr>
          <w:color w:val="231F20"/>
          <w:spacing w:val="-42"/>
          <w:sz w:val="23"/>
        </w:rPr>
        <w:t> </w:t>
      </w:r>
      <w:r>
        <w:rPr>
          <w:color w:val="231F20"/>
          <w:sz w:val="23"/>
        </w:rPr>
        <w:t>half</w:t>
      </w:r>
      <w:r>
        <w:rPr>
          <w:color w:val="231F20"/>
          <w:spacing w:val="-41"/>
          <w:sz w:val="23"/>
        </w:rPr>
        <w:t> </w:t>
      </w:r>
      <w:r>
        <w:rPr>
          <w:color w:val="231F20"/>
          <w:sz w:val="23"/>
        </w:rPr>
        <w:t>of</w:t>
      </w:r>
      <w:r>
        <w:rPr>
          <w:color w:val="231F20"/>
          <w:spacing w:val="-41"/>
          <w:sz w:val="23"/>
        </w:rPr>
        <w:t> </w:t>
      </w:r>
      <w:r>
        <w:rPr>
          <w:color w:val="231F20"/>
          <w:sz w:val="23"/>
        </w:rPr>
        <w:t>2019.</w:t>
      </w:r>
      <w:r>
        <w:rPr>
          <w:color w:val="231F20"/>
          <w:spacing w:val="-42"/>
          <w:sz w:val="23"/>
        </w:rPr>
        <w:t> </w:t>
      </w:r>
      <w:r>
        <w:rPr>
          <w:color w:val="231F20"/>
          <w:sz w:val="23"/>
        </w:rPr>
        <w:t>The value</w:t>
      </w:r>
      <w:r>
        <w:rPr>
          <w:color w:val="231F20"/>
          <w:spacing w:val="-28"/>
          <w:sz w:val="23"/>
        </w:rPr>
        <w:t> </w:t>
      </w:r>
      <w:r>
        <w:rPr>
          <w:color w:val="231F20"/>
          <w:sz w:val="23"/>
        </w:rPr>
        <w:t>of</w:t>
      </w:r>
      <w:r>
        <w:rPr>
          <w:color w:val="231F20"/>
          <w:spacing w:val="-28"/>
          <w:sz w:val="23"/>
        </w:rPr>
        <w:t> </w:t>
      </w:r>
      <w:r>
        <w:rPr>
          <w:color w:val="231F20"/>
          <w:sz w:val="23"/>
        </w:rPr>
        <w:t>rice</w:t>
      </w:r>
      <w:r>
        <w:rPr>
          <w:color w:val="231F20"/>
          <w:spacing w:val="-28"/>
          <w:sz w:val="23"/>
        </w:rPr>
        <w:t> </w:t>
      </w:r>
      <w:r>
        <w:rPr>
          <w:color w:val="231F20"/>
          <w:sz w:val="23"/>
        </w:rPr>
        <w:t>imports</w:t>
      </w:r>
      <w:r>
        <w:rPr>
          <w:color w:val="231F20"/>
          <w:spacing w:val="-28"/>
          <w:sz w:val="23"/>
        </w:rPr>
        <w:t> </w:t>
      </w:r>
      <w:r>
        <w:rPr>
          <w:color w:val="231F20"/>
          <w:sz w:val="23"/>
        </w:rPr>
        <w:t>dropped</w:t>
      </w:r>
      <w:r>
        <w:rPr>
          <w:color w:val="231F20"/>
          <w:spacing w:val="-28"/>
          <w:sz w:val="23"/>
        </w:rPr>
        <w:t> </w:t>
      </w:r>
      <w:r>
        <w:rPr>
          <w:color w:val="231F20"/>
          <w:sz w:val="23"/>
        </w:rPr>
        <w:t>by</w:t>
      </w:r>
      <w:r>
        <w:rPr>
          <w:color w:val="231F20"/>
          <w:spacing w:val="-28"/>
          <w:sz w:val="23"/>
        </w:rPr>
        <w:t> </w:t>
      </w:r>
      <w:r>
        <w:rPr>
          <w:color w:val="231F20"/>
          <w:sz w:val="23"/>
        </w:rPr>
        <w:t>16.4</w:t>
      </w:r>
      <w:r>
        <w:rPr>
          <w:color w:val="231F20"/>
          <w:spacing w:val="-28"/>
          <w:sz w:val="23"/>
        </w:rPr>
        <w:t> </w:t>
      </w:r>
      <w:r>
        <w:rPr>
          <w:color w:val="231F20"/>
          <w:sz w:val="23"/>
        </w:rPr>
        <w:t>percent</w:t>
      </w:r>
      <w:r>
        <w:rPr>
          <w:color w:val="231F20"/>
          <w:spacing w:val="-28"/>
          <w:sz w:val="23"/>
        </w:rPr>
        <w:t> </w:t>
      </w:r>
      <w:r>
        <w:rPr>
          <w:color w:val="231F20"/>
          <w:sz w:val="23"/>
        </w:rPr>
        <w:t>to</w:t>
      </w:r>
      <w:r>
        <w:rPr>
          <w:color w:val="231F20"/>
          <w:spacing w:val="-28"/>
          <w:sz w:val="23"/>
        </w:rPr>
        <w:t> </w:t>
      </w:r>
      <w:r>
        <w:rPr>
          <w:color w:val="231F20"/>
          <w:sz w:val="23"/>
        </w:rPr>
        <w:t>US$</w:t>
      </w:r>
      <w:r>
        <w:rPr>
          <w:color w:val="231F20"/>
          <w:spacing w:val="-28"/>
          <w:sz w:val="23"/>
        </w:rPr>
        <w:t> </w:t>
      </w:r>
      <w:r>
        <w:rPr>
          <w:color w:val="231F20"/>
          <w:sz w:val="23"/>
        </w:rPr>
        <w:t>76.6</w:t>
      </w:r>
      <w:r>
        <w:rPr>
          <w:color w:val="231F20"/>
          <w:spacing w:val="-28"/>
          <w:sz w:val="23"/>
        </w:rPr>
        <w:t> </w:t>
      </w:r>
      <w:r>
        <w:rPr>
          <w:color w:val="231F20"/>
          <w:sz w:val="23"/>
        </w:rPr>
        <w:t>million</w:t>
      </w:r>
      <w:r>
        <w:rPr>
          <w:color w:val="231F20"/>
          <w:spacing w:val="-28"/>
          <w:sz w:val="23"/>
        </w:rPr>
        <w:t> </w:t>
      </w:r>
      <w:r>
        <w:rPr>
          <w:color w:val="231F20"/>
          <w:sz w:val="23"/>
        </w:rPr>
        <w:t>as</w:t>
      </w:r>
      <w:r>
        <w:rPr>
          <w:color w:val="231F20"/>
          <w:spacing w:val="-28"/>
          <w:sz w:val="23"/>
        </w:rPr>
        <w:t> </w:t>
      </w:r>
      <w:r>
        <w:rPr>
          <w:color w:val="231F20"/>
          <w:sz w:val="23"/>
        </w:rPr>
        <w:t>imported</w:t>
      </w:r>
      <w:r>
        <w:rPr>
          <w:color w:val="231F20"/>
          <w:spacing w:val="-28"/>
          <w:sz w:val="23"/>
        </w:rPr>
        <w:t> </w:t>
      </w:r>
      <w:r>
        <w:rPr>
          <w:color w:val="231F20"/>
          <w:sz w:val="23"/>
        </w:rPr>
        <w:t>volumes dropped</w:t>
      </w:r>
      <w:r>
        <w:rPr>
          <w:color w:val="231F20"/>
          <w:spacing w:val="-18"/>
          <w:sz w:val="23"/>
        </w:rPr>
        <w:t> </w:t>
      </w:r>
      <w:r>
        <w:rPr>
          <w:color w:val="231F20"/>
          <w:sz w:val="23"/>
        </w:rPr>
        <w:t>by</w:t>
      </w:r>
      <w:r>
        <w:rPr>
          <w:color w:val="231F20"/>
          <w:spacing w:val="-18"/>
          <w:sz w:val="23"/>
        </w:rPr>
        <w:t> </w:t>
      </w:r>
      <w:r>
        <w:rPr>
          <w:color w:val="231F20"/>
          <w:sz w:val="23"/>
        </w:rPr>
        <w:t>13.6</w:t>
      </w:r>
      <w:r>
        <w:rPr>
          <w:color w:val="231F20"/>
          <w:spacing w:val="-18"/>
          <w:sz w:val="23"/>
        </w:rPr>
        <w:t> </w:t>
      </w:r>
      <w:r>
        <w:rPr>
          <w:color w:val="231F20"/>
          <w:sz w:val="23"/>
        </w:rPr>
        <w:t>percent</w:t>
      </w:r>
      <w:r>
        <w:rPr>
          <w:color w:val="231F20"/>
          <w:spacing w:val="-18"/>
          <w:sz w:val="23"/>
        </w:rPr>
        <w:t> </w:t>
      </w:r>
      <w:r>
        <w:rPr>
          <w:color w:val="231F20"/>
          <w:sz w:val="23"/>
        </w:rPr>
        <w:t>to</w:t>
      </w:r>
      <w:r>
        <w:rPr>
          <w:color w:val="231F20"/>
          <w:spacing w:val="-18"/>
          <w:sz w:val="23"/>
        </w:rPr>
        <w:t> </w:t>
      </w:r>
      <w:r>
        <w:rPr>
          <w:color w:val="231F20"/>
          <w:sz w:val="23"/>
        </w:rPr>
        <w:t>176</w:t>
      </w:r>
      <w:r>
        <w:rPr>
          <w:color w:val="231F20"/>
          <w:spacing w:val="-18"/>
          <w:sz w:val="23"/>
        </w:rPr>
        <w:t> </w:t>
      </w:r>
      <w:r>
        <w:rPr>
          <w:color w:val="231F20"/>
          <w:sz w:val="23"/>
        </w:rPr>
        <w:t>thousand</w:t>
      </w:r>
      <w:r>
        <w:rPr>
          <w:color w:val="231F20"/>
          <w:spacing w:val="-18"/>
          <w:sz w:val="23"/>
        </w:rPr>
        <w:t> </w:t>
      </w:r>
      <w:r>
        <w:rPr>
          <w:color w:val="231F20"/>
          <w:sz w:val="23"/>
        </w:rPr>
        <w:t>metric</w:t>
      </w:r>
      <w:r>
        <w:rPr>
          <w:color w:val="231F20"/>
          <w:spacing w:val="-18"/>
          <w:sz w:val="23"/>
        </w:rPr>
        <w:t> </w:t>
      </w:r>
      <w:r>
        <w:rPr>
          <w:color w:val="231F20"/>
          <w:sz w:val="23"/>
        </w:rPr>
        <w:t>tons</w:t>
      </w:r>
      <w:r>
        <w:rPr>
          <w:color w:val="231F20"/>
          <w:spacing w:val="-18"/>
          <w:sz w:val="23"/>
        </w:rPr>
        <w:t> </w:t>
      </w:r>
      <w:r>
        <w:rPr>
          <w:color w:val="231F20"/>
          <w:sz w:val="23"/>
        </w:rPr>
        <w:t>during</w:t>
      </w:r>
      <w:r>
        <w:rPr>
          <w:color w:val="231F20"/>
          <w:spacing w:val="-18"/>
          <w:sz w:val="23"/>
        </w:rPr>
        <w:t> </w:t>
      </w:r>
      <w:r>
        <w:rPr>
          <w:color w:val="231F20"/>
          <w:sz w:val="23"/>
        </w:rPr>
        <w:t>the</w:t>
      </w:r>
      <w:r>
        <w:rPr>
          <w:color w:val="231F20"/>
          <w:spacing w:val="-18"/>
          <w:sz w:val="23"/>
        </w:rPr>
        <w:t> </w:t>
      </w:r>
      <w:r>
        <w:rPr>
          <w:color w:val="231F20"/>
          <w:sz w:val="23"/>
        </w:rPr>
        <w:t>same</w:t>
      </w:r>
      <w:r>
        <w:rPr>
          <w:color w:val="231F20"/>
          <w:spacing w:val="-18"/>
          <w:sz w:val="23"/>
        </w:rPr>
        <w:t> </w:t>
      </w:r>
      <w:r>
        <w:rPr>
          <w:color w:val="231F20"/>
          <w:sz w:val="23"/>
        </w:rPr>
        <w:t>period.</w:t>
      </w:r>
      <w:r>
        <w:rPr>
          <w:color w:val="231F20"/>
          <w:spacing w:val="-18"/>
          <w:sz w:val="23"/>
        </w:rPr>
        <w:t> </w:t>
      </w:r>
      <w:r>
        <w:rPr>
          <w:color w:val="231F20"/>
          <w:sz w:val="23"/>
        </w:rPr>
        <w:t>Import values</w:t>
      </w:r>
      <w:r>
        <w:rPr>
          <w:color w:val="231F20"/>
          <w:spacing w:val="-44"/>
          <w:sz w:val="23"/>
        </w:rPr>
        <w:t> </w:t>
      </w:r>
      <w:r>
        <w:rPr>
          <w:color w:val="231F20"/>
          <w:sz w:val="23"/>
        </w:rPr>
        <w:t>for</w:t>
      </w:r>
      <w:r>
        <w:rPr>
          <w:color w:val="231F20"/>
          <w:spacing w:val="-43"/>
          <w:sz w:val="23"/>
        </w:rPr>
        <w:t> </w:t>
      </w:r>
      <w:r>
        <w:rPr>
          <w:color w:val="231F20"/>
          <w:sz w:val="23"/>
        </w:rPr>
        <w:t>beverages</w:t>
      </w:r>
      <w:r>
        <w:rPr>
          <w:color w:val="231F20"/>
          <w:spacing w:val="-43"/>
          <w:sz w:val="23"/>
        </w:rPr>
        <w:t> </w:t>
      </w:r>
      <w:r>
        <w:rPr>
          <w:color w:val="231F20"/>
          <w:sz w:val="23"/>
        </w:rPr>
        <w:t>and</w:t>
      </w:r>
      <w:r>
        <w:rPr>
          <w:color w:val="231F20"/>
          <w:spacing w:val="-43"/>
          <w:sz w:val="23"/>
        </w:rPr>
        <w:t> </w:t>
      </w:r>
      <w:r>
        <w:rPr>
          <w:color w:val="231F20"/>
          <w:sz w:val="23"/>
        </w:rPr>
        <w:t>tobacco</w:t>
      </w:r>
      <w:r>
        <w:rPr>
          <w:color w:val="231F20"/>
          <w:spacing w:val="-44"/>
          <w:sz w:val="23"/>
        </w:rPr>
        <w:t> </w:t>
      </w:r>
      <w:r>
        <w:rPr>
          <w:color w:val="231F20"/>
          <w:sz w:val="23"/>
        </w:rPr>
        <w:t>dropped</w:t>
      </w:r>
      <w:r>
        <w:rPr>
          <w:color w:val="231F20"/>
          <w:spacing w:val="-43"/>
          <w:sz w:val="23"/>
        </w:rPr>
        <w:t> </w:t>
      </w:r>
      <w:r>
        <w:rPr>
          <w:color w:val="231F20"/>
          <w:sz w:val="23"/>
        </w:rPr>
        <w:t>by</w:t>
      </w:r>
      <w:r>
        <w:rPr>
          <w:color w:val="231F20"/>
          <w:spacing w:val="-43"/>
          <w:sz w:val="23"/>
        </w:rPr>
        <w:t> </w:t>
      </w:r>
      <w:r>
        <w:rPr>
          <w:color w:val="231F20"/>
          <w:sz w:val="23"/>
        </w:rPr>
        <w:t>44.2</w:t>
      </w:r>
      <w:r>
        <w:rPr>
          <w:color w:val="231F20"/>
          <w:spacing w:val="-43"/>
          <w:sz w:val="23"/>
        </w:rPr>
        <w:t> </w:t>
      </w:r>
      <w:r>
        <w:rPr>
          <w:color w:val="231F20"/>
          <w:sz w:val="23"/>
        </w:rPr>
        <w:t>percent</w:t>
      </w:r>
      <w:r>
        <w:rPr>
          <w:color w:val="231F20"/>
          <w:spacing w:val="-44"/>
          <w:sz w:val="23"/>
        </w:rPr>
        <w:t> </w:t>
      </w:r>
      <w:r>
        <w:rPr>
          <w:color w:val="231F20"/>
          <w:sz w:val="23"/>
        </w:rPr>
        <w:t>and</w:t>
      </w:r>
      <w:r>
        <w:rPr>
          <w:color w:val="231F20"/>
          <w:spacing w:val="-43"/>
          <w:sz w:val="23"/>
        </w:rPr>
        <w:t> </w:t>
      </w:r>
      <w:r>
        <w:rPr>
          <w:color w:val="231F20"/>
          <w:sz w:val="23"/>
        </w:rPr>
        <w:t>animal</w:t>
      </w:r>
      <w:r>
        <w:rPr>
          <w:color w:val="231F20"/>
          <w:spacing w:val="-43"/>
          <w:sz w:val="23"/>
        </w:rPr>
        <w:t> </w:t>
      </w:r>
      <w:r>
        <w:rPr>
          <w:color w:val="231F20"/>
          <w:sz w:val="23"/>
        </w:rPr>
        <w:t>and</w:t>
      </w:r>
      <w:r>
        <w:rPr>
          <w:color w:val="231F20"/>
          <w:spacing w:val="-43"/>
          <w:sz w:val="23"/>
        </w:rPr>
        <w:t> </w:t>
      </w:r>
      <w:r>
        <w:rPr>
          <w:color w:val="231F20"/>
          <w:sz w:val="23"/>
        </w:rPr>
        <w:t>vegetable</w:t>
      </w:r>
      <w:r>
        <w:rPr>
          <w:color w:val="231F20"/>
          <w:spacing w:val="-43"/>
          <w:sz w:val="23"/>
        </w:rPr>
        <w:t> </w:t>
      </w:r>
      <w:r>
        <w:rPr>
          <w:color w:val="231F20"/>
          <w:sz w:val="23"/>
        </w:rPr>
        <w:t>oils by</w:t>
      </w:r>
      <w:r>
        <w:rPr>
          <w:color w:val="231F20"/>
          <w:spacing w:val="-13"/>
          <w:sz w:val="23"/>
        </w:rPr>
        <w:t> </w:t>
      </w:r>
      <w:r>
        <w:rPr>
          <w:color w:val="231F20"/>
          <w:sz w:val="23"/>
        </w:rPr>
        <w:t>41.2</w:t>
      </w:r>
      <w:r>
        <w:rPr>
          <w:color w:val="231F20"/>
          <w:spacing w:val="-13"/>
          <w:sz w:val="23"/>
        </w:rPr>
        <w:t> </w:t>
      </w:r>
      <w:r>
        <w:rPr>
          <w:color w:val="231F20"/>
          <w:sz w:val="23"/>
        </w:rPr>
        <w:t>percent.</w:t>
      </w:r>
      <w:r>
        <w:rPr>
          <w:color w:val="231F20"/>
          <w:spacing w:val="-13"/>
          <w:sz w:val="23"/>
        </w:rPr>
        <w:t> </w:t>
      </w:r>
      <w:r>
        <w:rPr>
          <w:color w:val="231F20"/>
          <w:sz w:val="23"/>
        </w:rPr>
        <w:t>Fuel</w:t>
      </w:r>
      <w:r>
        <w:rPr>
          <w:color w:val="231F20"/>
          <w:spacing w:val="-14"/>
          <w:sz w:val="23"/>
        </w:rPr>
        <w:t> </w:t>
      </w:r>
      <w:r>
        <w:rPr>
          <w:color w:val="231F20"/>
          <w:sz w:val="23"/>
        </w:rPr>
        <w:t>imports</w:t>
      </w:r>
      <w:r>
        <w:rPr>
          <w:color w:val="231F20"/>
          <w:spacing w:val="-13"/>
          <w:sz w:val="23"/>
        </w:rPr>
        <w:t> </w:t>
      </w:r>
      <w:r>
        <w:rPr>
          <w:color w:val="231F20"/>
          <w:sz w:val="23"/>
        </w:rPr>
        <w:t>also</w:t>
      </w:r>
      <w:r>
        <w:rPr>
          <w:color w:val="231F20"/>
          <w:spacing w:val="-13"/>
          <w:sz w:val="23"/>
        </w:rPr>
        <w:t> </w:t>
      </w:r>
      <w:r>
        <w:rPr>
          <w:color w:val="231F20"/>
          <w:sz w:val="23"/>
        </w:rPr>
        <w:t>dropped</w:t>
      </w:r>
      <w:r>
        <w:rPr>
          <w:color w:val="231F20"/>
          <w:spacing w:val="-13"/>
          <w:sz w:val="23"/>
        </w:rPr>
        <w:t> </w:t>
      </w:r>
      <w:r>
        <w:rPr>
          <w:color w:val="231F20"/>
          <w:sz w:val="23"/>
        </w:rPr>
        <w:t>by</w:t>
      </w:r>
      <w:r>
        <w:rPr>
          <w:color w:val="231F20"/>
          <w:spacing w:val="-13"/>
          <w:sz w:val="23"/>
        </w:rPr>
        <w:t> </w:t>
      </w:r>
      <w:r>
        <w:rPr>
          <w:color w:val="231F20"/>
          <w:sz w:val="23"/>
        </w:rPr>
        <w:t>17.5</w:t>
      </w:r>
      <w:r>
        <w:rPr>
          <w:color w:val="231F20"/>
          <w:spacing w:val="-13"/>
          <w:sz w:val="23"/>
        </w:rPr>
        <w:t> </w:t>
      </w:r>
      <w:r>
        <w:rPr>
          <w:color w:val="231F20"/>
          <w:sz w:val="23"/>
        </w:rPr>
        <w:t>percent</w:t>
      </w:r>
      <w:r>
        <w:rPr>
          <w:color w:val="231F20"/>
          <w:spacing w:val="-13"/>
          <w:sz w:val="23"/>
        </w:rPr>
        <w:t> </w:t>
      </w:r>
      <w:r>
        <w:rPr>
          <w:color w:val="231F20"/>
          <w:sz w:val="23"/>
        </w:rPr>
        <w:t>to</w:t>
      </w:r>
      <w:r>
        <w:rPr>
          <w:color w:val="231F20"/>
          <w:spacing w:val="-13"/>
          <w:sz w:val="23"/>
        </w:rPr>
        <w:t> </w:t>
      </w:r>
      <w:r>
        <w:rPr>
          <w:color w:val="231F20"/>
          <w:sz w:val="23"/>
        </w:rPr>
        <w:t>US$114.8</w:t>
      </w:r>
      <w:r>
        <w:rPr>
          <w:color w:val="231F20"/>
          <w:spacing w:val="-13"/>
          <w:sz w:val="23"/>
        </w:rPr>
        <w:t> </w:t>
      </w:r>
      <w:r>
        <w:rPr>
          <w:color w:val="231F20"/>
          <w:sz w:val="23"/>
        </w:rPr>
        <w:t>million.</w:t>
      </w:r>
    </w:p>
    <w:p>
      <w:pPr>
        <w:pStyle w:val="BodyText"/>
        <w:spacing w:before="10"/>
        <w:rPr>
          <w:sz w:val="28"/>
        </w:rPr>
      </w:pPr>
    </w:p>
    <w:p>
      <w:pPr>
        <w:pStyle w:val="ListParagraph"/>
        <w:numPr>
          <w:ilvl w:val="0"/>
          <w:numId w:val="2"/>
        </w:numPr>
        <w:tabs>
          <w:tab w:pos="954" w:val="left" w:leader="none"/>
        </w:tabs>
        <w:spacing w:line="302" w:lineRule="auto" w:before="0" w:after="0"/>
        <w:ind w:left="103" w:right="118" w:firstLine="223"/>
        <w:jc w:val="both"/>
        <w:rPr>
          <w:sz w:val="23"/>
        </w:rPr>
      </w:pPr>
      <w:r>
        <w:rPr>
          <w:color w:val="231F20"/>
          <w:sz w:val="23"/>
        </w:rPr>
        <w:t>Due to the sharp increase in total exports including re-exports by US$322 million compared to the increase in imports of US$92 million, the trade deficit decreased significantly to US$197.1 million during the first half of</w:t>
      </w:r>
      <w:r>
        <w:rPr>
          <w:color w:val="231F20"/>
          <w:spacing w:val="10"/>
          <w:sz w:val="23"/>
        </w:rPr>
        <w:t> </w:t>
      </w:r>
      <w:r>
        <w:rPr>
          <w:color w:val="231F20"/>
          <w:sz w:val="23"/>
        </w:rPr>
        <w:t>2019.</w:t>
      </w:r>
    </w:p>
    <w:p>
      <w:pPr>
        <w:pStyle w:val="BodyText"/>
        <w:spacing w:before="9"/>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Gross foreign reserves of the Bank of Sierra Leone increased to US$ 533.2 million (3.5 months of import cover) as at end August 2019 from US$483 million in December</w:t>
      </w:r>
      <w:r>
        <w:rPr>
          <w:color w:val="231F20"/>
          <w:spacing w:val="-20"/>
          <w:sz w:val="23"/>
        </w:rPr>
        <w:t> </w:t>
      </w:r>
      <w:r>
        <w:rPr>
          <w:color w:val="231F20"/>
          <w:sz w:val="23"/>
        </w:rPr>
        <w:t>2018,</w:t>
      </w:r>
      <w:r>
        <w:rPr>
          <w:color w:val="231F20"/>
          <w:spacing w:val="-20"/>
          <w:sz w:val="23"/>
        </w:rPr>
        <w:t> </w:t>
      </w:r>
      <w:r>
        <w:rPr>
          <w:color w:val="231F20"/>
          <w:sz w:val="23"/>
        </w:rPr>
        <w:t>reflecting</w:t>
      </w:r>
      <w:r>
        <w:rPr>
          <w:color w:val="231F20"/>
          <w:spacing w:val="-20"/>
          <w:sz w:val="23"/>
        </w:rPr>
        <w:t> </w:t>
      </w:r>
      <w:r>
        <w:rPr>
          <w:color w:val="231F20"/>
          <w:sz w:val="23"/>
        </w:rPr>
        <w:t>mainly</w:t>
      </w:r>
      <w:r>
        <w:rPr>
          <w:color w:val="231F20"/>
          <w:spacing w:val="-20"/>
          <w:sz w:val="23"/>
        </w:rPr>
        <w:t> </w:t>
      </w:r>
      <w:r>
        <w:rPr>
          <w:color w:val="231F20"/>
          <w:sz w:val="23"/>
        </w:rPr>
        <w:t>the</w:t>
      </w:r>
      <w:r>
        <w:rPr>
          <w:color w:val="231F20"/>
          <w:spacing w:val="-20"/>
          <w:sz w:val="23"/>
        </w:rPr>
        <w:t> </w:t>
      </w:r>
      <w:r>
        <w:rPr>
          <w:color w:val="231F20"/>
          <w:sz w:val="23"/>
        </w:rPr>
        <w:t>disbursement</w:t>
      </w:r>
      <w:r>
        <w:rPr>
          <w:color w:val="231F20"/>
          <w:spacing w:val="-20"/>
          <w:sz w:val="23"/>
        </w:rPr>
        <w:t> </w:t>
      </w:r>
      <w:r>
        <w:rPr>
          <w:color w:val="231F20"/>
          <w:sz w:val="23"/>
        </w:rPr>
        <w:t>of</w:t>
      </w:r>
      <w:r>
        <w:rPr>
          <w:color w:val="231F20"/>
          <w:spacing w:val="-20"/>
          <w:sz w:val="23"/>
        </w:rPr>
        <w:t> </w:t>
      </w:r>
      <w:r>
        <w:rPr>
          <w:color w:val="231F20"/>
          <w:sz w:val="23"/>
        </w:rPr>
        <w:t>programme</w:t>
      </w:r>
      <w:r>
        <w:rPr>
          <w:color w:val="231F20"/>
          <w:spacing w:val="-20"/>
          <w:sz w:val="23"/>
        </w:rPr>
        <w:t> </w:t>
      </w:r>
      <w:r>
        <w:rPr>
          <w:color w:val="231F20"/>
          <w:sz w:val="23"/>
        </w:rPr>
        <w:t>and</w:t>
      </w:r>
      <w:r>
        <w:rPr>
          <w:color w:val="231F20"/>
          <w:spacing w:val="-20"/>
          <w:sz w:val="23"/>
        </w:rPr>
        <w:t> </w:t>
      </w:r>
      <w:r>
        <w:rPr>
          <w:color w:val="231F20"/>
          <w:sz w:val="23"/>
        </w:rPr>
        <w:t>project</w:t>
      </w:r>
      <w:r>
        <w:rPr>
          <w:color w:val="231F20"/>
          <w:spacing w:val="-20"/>
          <w:sz w:val="23"/>
        </w:rPr>
        <w:t> </w:t>
      </w:r>
      <w:r>
        <w:rPr>
          <w:color w:val="231F20"/>
          <w:sz w:val="23"/>
        </w:rPr>
        <w:t>grants and</w:t>
      </w:r>
      <w:r>
        <w:rPr>
          <w:color w:val="231F20"/>
          <w:spacing w:val="-16"/>
          <w:sz w:val="23"/>
        </w:rPr>
        <w:t> </w:t>
      </w:r>
      <w:r>
        <w:rPr>
          <w:color w:val="231F20"/>
          <w:sz w:val="23"/>
        </w:rPr>
        <w:t>balance</w:t>
      </w:r>
      <w:r>
        <w:rPr>
          <w:color w:val="231F20"/>
          <w:spacing w:val="-16"/>
          <w:sz w:val="23"/>
        </w:rPr>
        <w:t> </w:t>
      </w:r>
      <w:r>
        <w:rPr>
          <w:color w:val="231F20"/>
          <w:sz w:val="23"/>
        </w:rPr>
        <w:t>of</w:t>
      </w:r>
      <w:r>
        <w:rPr>
          <w:color w:val="231F20"/>
          <w:spacing w:val="-16"/>
          <w:sz w:val="23"/>
        </w:rPr>
        <w:t> </w:t>
      </w:r>
      <w:r>
        <w:rPr>
          <w:color w:val="231F20"/>
          <w:sz w:val="23"/>
        </w:rPr>
        <w:t>payment</w:t>
      </w:r>
      <w:r>
        <w:rPr>
          <w:color w:val="231F20"/>
          <w:spacing w:val="-16"/>
          <w:sz w:val="23"/>
        </w:rPr>
        <w:t> </w:t>
      </w:r>
      <w:r>
        <w:rPr>
          <w:color w:val="231F20"/>
          <w:sz w:val="23"/>
        </w:rPr>
        <w:t>support</w:t>
      </w:r>
      <w:r>
        <w:rPr>
          <w:color w:val="231F20"/>
          <w:spacing w:val="-16"/>
          <w:sz w:val="23"/>
        </w:rPr>
        <w:t> </w:t>
      </w:r>
      <w:r>
        <w:rPr>
          <w:color w:val="231F20"/>
          <w:sz w:val="23"/>
        </w:rPr>
        <w:t>by</w:t>
      </w:r>
      <w:r>
        <w:rPr>
          <w:color w:val="231F20"/>
          <w:spacing w:val="-16"/>
          <w:sz w:val="23"/>
        </w:rPr>
        <w:t> </w:t>
      </w:r>
      <w:r>
        <w:rPr>
          <w:color w:val="231F20"/>
          <w:sz w:val="23"/>
        </w:rPr>
        <w:t>development</w:t>
      </w:r>
      <w:r>
        <w:rPr>
          <w:color w:val="231F20"/>
          <w:spacing w:val="-16"/>
          <w:sz w:val="23"/>
        </w:rPr>
        <w:t> </w:t>
      </w:r>
      <w:r>
        <w:rPr>
          <w:color w:val="231F20"/>
          <w:sz w:val="23"/>
        </w:rPr>
        <w:t>partners.</w:t>
      </w:r>
    </w:p>
    <w:p>
      <w:pPr>
        <w:pStyle w:val="BodyText"/>
        <w:spacing w:before="1"/>
        <w:rPr>
          <w:sz w:val="29"/>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The</w:t>
      </w:r>
      <w:r>
        <w:rPr>
          <w:color w:val="231F20"/>
          <w:spacing w:val="-18"/>
          <w:sz w:val="23"/>
        </w:rPr>
        <w:t> </w:t>
      </w:r>
      <w:r>
        <w:rPr>
          <w:color w:val="231F20"/>
          <w:sz w:val="23"/>
        </w:rPr>
        <w:t>official</w:t>
      </w:r>
      <w:r>
        <w:rPr>
          <w:color w:val="231F20"/>
          <w:spacing w:val="-18"/>
          <w:sz w:val="23"/>
        </w:rPr>
        <w:t> </w:t>
      </w:r>
      <w:r>
        <w:rPr>
          <w:color w:val="231F20"/>
          <w:sz w:val="23"/>
        </w:rPr>
        <w:t>exchange</w:t>
      </w:r>
      <w:r>
        <w:rPr>
          <w:color w:val="231F20"/>
          <w:spacing w:val="-18"/>
          <w:sz w:val="23"/>
        </w:rPr>
        <w:t> </w:t>
      </w:r>
      <w:r>
        <w:rPr>
          <w:color w:val="231F20"/>
          <w:sz w:val="23"/>
        </w:rPr>
        <w:t>rate</w:t>
      </w:r>
      <w:r>
        <w:rPr>
          <w:color w:val="231F20"/>
          <w:spacing w:val="-18"/>
          <w:sz w:val="23"/>
        </w:rPr>
        <w:t> </w:t>
      </w:r>
      <w:r>
        <w:rPr>
          <w:color w:val="231F20"/>
          <w:sz w:val="23"/>
        </w:rPr>
        <w:t>of</w:t>
      </w:r>
      <w:r>
        <w:rPr>
          <w:color w:val="231F20"/>
          <w:spacing w:val="-18"/>
          <w:sz w:val="23"/>
        </w:rPr>
        <w:t> </w:t>
      </w:r>
      <w:r>
        <w:rPr>
          <w:color w:val="231F20"/>
          <w:sz w:val="23"/>
        </w:rPr>
        <w:t>the</w:t>
      </w:r>
      <w:r>
        <w:rPr>
          <w:color w:val="231F20"/>
          <w:spacing w:val="-18"/>
          <w:sz w:val="23"/>
        </w:rPr>
        <w:t> </w:t>
      </w:r>
      <w:r>
        <w:rPr>
          <w:color w:val="231F20"/>
          <w:sz w:val="23"/>
        </w:rPr>
        <w:t>Leone</w:t>
      </w:r>
      <w:r>
        <w:rPr>
          <w:color w:val="231F20"/>
          <w:spacing w:val="-18"/>
          <w:sz w:val="23"/>
        </w:rPr>
        <w:t> </w:t>
      </w:r>
      <w:r>
        <w:rPr>
          <w:color w:val="231F20"/>
          <w:sz w:val="23"/>
        </w:rPr>
        <w:t>to</w:t>
      </w:r>
      <w:r>
        <w:rPr>
          <w:color w:val="231F20"/>
          <w:spacing w:val="-18"/>
          <w:sz w:val="23"/>
        </w:rPr>
        <w:t> </w:t>
      </w:r>
      <w:r>
        <w:rPr>
          <w:color w:val="231F20"/>
          <w:sz w:val="23"/>
        </w:rPr>
        <w:t>major</w:t>
      </w:r>
      <w:r>
        <w:rPr>
          <w:color w:val="231F20"/>
          <w:spacing w:val="-18"/>
          <w:sz w:val="23"/>
        </w:rPr>
        <w:t> </w:t>
      </w:r>
      <w:r>
        <w:rPr>
          <w:color w:val="231F20"/>
          <w:sz w:val="23"/>
        </w:rPr>
        <w:t>international</w:t>
      </w:r>
      <w:r>
        <w:rPr>
          <w:color w:val="231F20"/>
          <w:spacing w:val="-18"/>
          <w:sz w:val="23"/>
        </w:rPr>
        <w:t> </w:t>
      </w:r>
      <w:r>
        <w:rPr>
          <w:color w:val="231F20"/>
          <w:sz w:val="23"/>
        </w:rPr>
        <w:t>currencies</w:t>
      </w:r>
      <w:r>
        <w:rPr>
          <w:color w:val="231F20"/>
          <w:spacing w:val="-18"/>
          <w:sz w:val="23"/>
        </w:rPr>
        <w:t> </w:t>
      </w:r>
      <w:r>
        <w:rPr>
          <w:color w:val="231F20"/>
          <w:sz w:val="23"/>
        </w:rPr>
        <w:t>came under</w:t>
      </w:r>
      <w:r>
        <w:rPr>
          <w:color w:val="231F20"/>
          <w:spacing w:val="-19"/>
          <w:sz w:val="23"/>
        </w:rPr>
        <w:t> </w:t>
      </w:r>
      <w:r>
        <w:rPr>
          <w:color w:val="231F20"/>
          <w:sz w:val="23"/>
        </w:rPr>
        <w:t>pressure</w:t>
      </w:r>
      <w:r>
        <w:rPr>
          <w:color w:val="231F20"/>
          <w:spacing w:val="-19"/>
          <w:sz w:val="23"/>
        </w:rPr>
        <w:t> </w:t>
      </w:r>
      <w:r>
        <w:rPr>
          <w:color w:val="231F20"/>
          <w:sz w:val="23"/>
        </w:rPr>
        <w:t>during</w:t>
      </w:r>
      <w:r>
        <w:rPr>
          <w:color w:val="231F20"/>
          <w:spacing w:val="-19"/>
          <w:sz w:val="23"/>
        </w:rPr>
        <w:t> </w:t>
      </w:r>
      <w:r>
        <w:rPr>
          <w:color w:val="231F20"/>
          <w:sz w:val="23"/>
        </w:rPr>
        <w:t>the</w:t>
      </w:r>
      <w:r>
        <w:rPr>
          <w:color w:val="231F20"/>
          <w:spacing w:val="-19"/>
          <w:sz w:val="23"/>
        </w:rPr>
        <w:t> </w:t>
      </w:r>
      <w:r>
        <w:rPr>
          <w:color w:val="231F20"/>
          <w:sz w:val="23"/>
        </w:rPr>
        <w:t>year.</w:t>
      </w:r>
      <w:r>
        <w:rPr>
          <w:color w:val="231F20"/>
          <w:spacing w:val="-19"/>
          <w:sz w:val="23"/>
        </w:rPr>
        <w:t> </w:t>
      </w:r>
      <w:r>
        <w:rPr>
          <w:color w:val="231F20"/>
          <w:sz w:val="23"/>
        </w:rPr>
        <w:t>This</w:t>
      </w:r>
      <w:r>
        <w:rPr>
          <w:color w:val="231F20"/>
          <w:spacing w:val="-19"/>
          <w:sz w:val="23"/>
        </w:rPr>
        <w:t> </w:t>
      </w:r>
      <w:r>
        <w:rPr>
          <w:color w:val="231F20"/>
          <w:sz w:val="23"/>
        </w:rPr>
        <w:t>reflects</w:t>
      </w:r>
      <w:r>
        <w:rPr>
          <w:color w:val="231F20"/>
          <w:spacing w:val="-19"/>
          <w:sz w:val="23"/>
        </w:rPr>
        <w:t> </w:t>
      </w:r>
      <w:r>
        <w:rPr>
          <w:color w:val="231F20"/>
          <w:sz w:val="23"/>
        </w:rPr>
        <w:t>the</w:t>
      </w:r>
      <w:r>
        <w:rPr>
          <w:color w:val="231F20"/>
          <w:spacing w:val="-19"/>
          <w:sz w:val="23"/>
        </w:rPr>
        <w:t> </w:t>
      </w:r>
      <w:r>
        <w:rPr>
          <w:color w:val="231F20"/>
          <w:sz w:val="23"/>
        </w:rPr>
        <w:t>low</w:t>
      </w:r>
      <w:r>
        <w:rPr>
          <w:color w:val="231F20"/>
          <w:spacing w:val="-19"/>
          <w:sz w:val="23"/>
        </w:rPr>
        <w:t> </w:t>
      </w:r>
      <w:r>
        <w:rPr>
          <w:color w:val="231F20"/>
          <w:sz w:val="23"/>
        </w:rPr>
        <w:t>level</w:t>
      </w:r>
      <w:r>
        <w:rPr>
          <w:color w:val="231F20"/>
          <w:spacing w:val="-19"/>
          <w:sz w:val="23"/>
        </w:rPr>
        <w:t> </w:t>
      </w:r>
      <w:r>
        <w:rPr>
          <w:color w:val="231F20"/>
          <w:sz w:val="23"/>
        </w:rPr>
        <w:t>of</w:t>
      </w:r>
      <w:r>
        <w:rPr>
          <w:color w:val="231F20"/>
          <w:spacing w:val="-19"/>
          <w:sz w:val="23"/>
        </w:rPr>
        <w:t> </w:t>
      </w:r>
      <w:r>
        <w:rPr>
          <w:color w:val="231F20"/>
          <w:sz w:val="23"/>
        </w:rPr>
        <w:t>domestic</w:t>
      </w:r>
      <w:r>
        <w:rPr>
          <w:color w:val="231F20"/>
          <w:spacing w:val="-19"/>
          <w:sz w:val="23"/>
        </w:rPr>
        <w:t> </w:t>
      </w:r>
      <w:r>
        <w:rPr>
          <w:color w:val="231F20"/>
          <w:sz w:val="23"/>
        </w:rPr>
        <w:t>exports,</w:t>
      </w:r>
      <w:r>
        <w:rPr>
          <w:color w:val="231F20"/>
          <w:spacing w:val="-19"/>
          <w:sz w:val="23"/>
        </w:rPr>
        <w:t> </w:t>
      </w:r>
      <w:r>
        <w:rPr>
          <w:color w:val="231F20"/>
          <w:sz w:val="23"/>
        </w:rPr>
        <w:t>as</w:t>
      </w:r>
      <w:r>
        <w:rPr>
          <w:color w:val="231F20"/>
          <w:spacing w:val="-19"/>
          <w:sz w:val="23"/>
        </w:rPr>
        <w:t> </w:t>
      </w:r>
      <w:r>
        <w:rPr>
          <w:color w:val="231F20"/>
          <w:sz w:val="23"/>
        </w:rPr>
        <w:t>well as speculative behaviour by local market participants. As a result, the</w:t>
      </w:r>
      <w:r>
        <w:rPr>
          <w:color w:val="231F20"/>
          <w:spacing w:val="51"/>
          <w:sz w:val="23"/>
        </w:rPr>
        <w:t> </w:t>
      </w:r>
      <w:r>
        <w:rPr>
          <w:color w:val="231F20"/>
          <w:sz w:val="23"/>
        </w:rPr>
        <w:t>Leone depreciated</w:t>
      </w:r>
      <w:r>
        <w:rPr>
          <w:color w:val="231F20"/>
          <w:spacing w:val="-15"/>
          <w:sz w:val="23"/>
        </w:rPr>
        <w:t> </w:t>
      </w:r>
      <w:r>
        <w:rPr>
          <w:color w:val="231F20"/>
          <w:sz w:val="23"/>
        </w:rPr>
        <w:t>by</w:t>
      </w:r>
      <w:r>
        <w:rPr>
          <w:color w:val="231F20"/>
          <w:spacing w:val="-15"/>
          <w:sz w:val="23"/>
        </w:rPr>
        <w:t> </w:t>
      </w:r>
      <w:r>
        <w:rPr>
          <w:color w:val="231F20"/>
          <w:sz w:val="23"/>
        </w:rPr>
        <w:t>11.0</w:t>
      </w:r>
      <w:r>
        <w:rPr>
          <w:color w:val="231F20"/>
          <w:spacing w:val="-15"/>
          <w:sz w:val="23"/>
        </w:rPr>
        <w:t> </w:t>
      </w:r>
      <w:r>
        <w:rPr>
          <w:color w:val="231F20"/>
          <w:sz w:val="23"/>
        </w:rPr>
        <w:t>percent</w:t>
      </w:r>
      <w:r>
        <w:rPr>
          <w:color w:val="231F20"/>
          <w:spacing w:val="-15"/>
          <w:sz w:val="23"/>
        </w:rPr>
        <w:t> </w:t>
      </w:r>
      <w:r>
        <w:rPr>
          <w:color w:val="231F20"/>
          <w:sz w:val="23"/>
        </w:rPr>
        <w:t>against</w:t>
      </w:r>
      <w:r>
        <w:rPr>
          <w:color w:val="231F20"/>
          <w:spacing w:val="-15"/>
          <w:sz w:val="23"/>
        </w:rPr>
        <w:t> </w:t>
      </w:r>
      <w:r>
        <w:rPr>
          <w:color w:val="231F20"/>
          <w:sz w:val="23"/>
        </w:rPr>
        <w:t>the</w:t>
      </w:r>
      <w:r>
        <w:rPr>
          <w:color w:val="231F20"/>
          <w:spacing w:val="-15"/>
          <w:sz w:val="23"/>
        </w:rPr>
        <w:t> </w:t>
      </w:r>
      <w:r>
        <w:rPr>
          <w:color w:val="231F20"/>
          <w:sz w:val="23"/>
        </w:rPr>
        <w:t>US</w:t>
      </w:r>
      <w:r>
        <w:rPr>
          <w:color w:val="231F20"/>
          <w:spacing w:val="-14"/>
          <w:sz w:val="23"/>
        </w:rPr>
        <w:t> </w:t>
      </w:r>
      <w:r>
        <w:rPr>
          <w:color w:val="231F20"/>
          <w:sz w:val="23"/>
        </w:rPr>
        <w:t>dollar</w:t>
      </w:r>
      <w:r>
        <w:rPr>
          <w:color w:val="231F20"/>
          <w:spacing w:val="-15"/>
          <w:sz w:val="23"/>
        </w:rPr>
        <w:t> </w:t>
      </w:r>
      <w:r>
        <w:rPr>
          <w:color w:val="231F20"/>
          <w:sz w:val="23"/>
        </w:rPr>
        <w:t>from</w:t>
      </w:r>
      <w:r>
        <w:rPr>
          <w:color w:val="231F20"/>
          <w:spacing w:val="-15"/>
          <w:sz w:val="23"/>
        </w:rPr>
        <w:t> </w:t>
      </w:r>
      <w:r>
        <w:rPr>
          <w:color w:val="231F20"/>
          <w:sz w:val="23"/>
        </w:rPr>
        <w:t>December</w:t>
      </w:r>
      <w:r>
        <w:rPr>
          <w:color w:val="231F20"/>
          <w:spacing w:val="-15"/>
          <w:sz w:val="23"/>
        </w:rPr>
        <w:t> </w:t>
      </w:r>
      <w:r>
        <w:rPr>
          <w:color w:val="231F20"/>
          <w:sz w:val="23"/>
        </w:rPr>
        <w:t>2018</w:t>
      </w:r>
      <w:r>
        <w:rPr>
          <w:color w:val="231F20"/>
          <w:spacing w:val="-15"/>
          <w:sz w:val="23"/>
        </w:rPr>
        <w:t> </w:t>
      </w:r>
      <w:r>
        <w:rPr>
          <w:color w:val="231F20"/>
          <w:sz w:val="23"/>
        </w:rPr>
        <w:t>to</w:t>
      </w:r>
      <w:r>
        <w:rPr>
          <w:color w:val="231F20"/>
          <w:spacing w:val="-15"/>
          <w:sz w:val="23"/>
        </w:rPr>
        <w:t> </w:t>
      </w:r>
      <w:r>
        <w:rPr>
          <w:color w:val="231F20"/>
          <w:sz w:val="23"/>
        </w:rPr>
        <w:t>September </w:t>
      </w:r>
      <w:r>
        <w:rPr>
          <w:color w:val="231F20"/>
          <w:spacing w:val="-8"/>
          <w:sz w:val="23"/>
        </w:rPr>
        <w:t>2019.</w:t>
      </w:r>
    </w:p>
    <w:p>
      <w:pPr>
        <w:pStyle w:val="BodyText"/>
        <w:spacing w:before="10"/>
        <w:rPr>
          <w:sz w:val="28"/>
        </w:rPr>
      </w:pPr>
    </w:p>
    <w:p>
      <w:pPr>
        <w:pStyle w:val="ListParagraph"/>
        <w:numPr>
          <w:ilvl w:val="0"/>
          <w:numId w:val="2"/>
        </w:numPr>
        <w:tabs>
          <w:tab w:pos="954" w:val="left" w:leader="none"/>
        </w:tabs>
        <w:spacing w:line="302" w:lineRule="auto" w:before="0" w:after="0"/>
        <w:ind w:left="103" w:right="120" w:firstLine="223"/>
        <w:jc w:val="both"/>
        <w:rPr>
          <w:sz w:val="23"/>
        </w:rPr>
      </w:pPr>
      <w:r>
        <w:rPr>
          <w:color w:val="231F20"/>
          <w:sz w:val="23"/>
        </w:rPr>
        <w:t>Mr. Speaker, Honourable Members, relative to end December 2018, the external</w:t>
      </w:r>
      <w:r>
        <w:rPr>
          <w:color w:val="231F20"/>
          <w:spacing w:val="-16"/>
          <w:sz w:val="23"/>
        </w:rPr>
        <w:t> </w:t>
      </w:r>
      <w:r>
        <w:rPr>
          <w:color w:val="231F20"/>
          <w:sz w:val="23"/>
        </w:rPr>
        <w:t>debt</w:t>
      </w:r>
      <w:r>
        <w:rPr>
          <w:color w:val="231F20"/>
          <w:spacing w:val="-16"/>
          <w:sz w:val="23"/>
        </w:rPr>
        <w:t> </w:t>
      </w:r>
      <w:r>
        <w:rPr>
          <w:color w:val="231F20"/>
          <w:sz w:val="23"/>
        </w:rPr>
        <w:t>stock</w:t>
      </w:r>
      <w:r>
        <w:rPr>
          <w:color w:val="231F20"/>
          <w:spacing w:val="-16"/>
          <w:sz w:val="23"/>
        </w:rPr>
        <w:t> </w:t>
      </w:r>
      <w:r>
        <w:rPr>
          <w:color w:val="231F20"/>
          <w:sz w:val="23"/>
        </w:rPr>
        <w:t>increased</w:t>
      </w:r>
      <w:r>
        <w:rPr>
          <w:color w:val="231F20"/>
          <w:spacing w:val="-16"/>
          <w:sz w:val="23"/>
        </w:rPr>
        <w:t> </w:t>
      </w:r>
      <w:r>
        <w:rPr>
          <w:color w:val="231F20"/>
          <w:sz w:val="23"/>
        </w:rPr>
        <w:t>by</w:t>
      </w:r>
      <w:r>
        <w:rPr>
          <w:color w:val="231F20"/>
          <w:spacing w:val="-16"/>
          <w:sz w:val="23"/>
        </w:rPr>
        <w:t> </w:t>
      </w:r>
      <w:r>
        <w:rPr>
          <w:color w:val="231F20"/>
          <w:sz w:val="23"/>
        </w:rPr>
        <w:t>2.5</w:t>
      </w:r>
      <w:r>
        <w:rPr>
          <w:color w:val="231F20"/>
          <w:spacing w:val="-16"/>
          <w:sz w:val="23"/>
        </w:rPr>
        <w:t> </w:t>
      </w:r>
      <w:r>
        <w:rPr>
          <w:color w:val="231F20"/>
          <w:sz w:val="23"/>
        </w:rPr>
        <w:t>percent</w:t>
      </w:r>
      <w:r>
        <w:rPr>
          <w:color w:val="231F20"/>
          <w:spacing w:val="-16"/>
          <w:sz w:val="23"/>
        </w:rPr>
        <w:t> </w:t>
      </w:r>
      <w:r>
        <w:rPr>
          <w:color w:val="231F20"/>
          <w:sz w:val="23"/>
        </w:rPr>
        <w:t>to</w:t>
      </w:r>
      <w:r>
        <w:rPr>
          <w:color w:val="231F20"/>
          <w:spacing w:val="-16"/>
          <w:sz w:val="23"/>
        </w:rPr>
        <w:t> </w:t>
      </w:r>
      <w:r>
        <w:rPr>
          <w:color w:val="231F20"/>
          <w:sz w:val="23"/>
        </w:rPr>
        <w:t>US$</w:t>
      </w:r>
      <w:r>
        <w:rPr>
          <w:color w:val="231F20"/>
          <w:spacing w:val="-16"/>
          <w:sz w:val="23"/>
        </w:rPr>
        <w:t> </w:t>
      </w:r>
      <w:r>
        <w:rPr>
          <w:color w:val="231F20"/>
          <w:sz w:val="23"/>
        </w:rPr>
        <w:t>1.64</w:t>
      </w:r>
      <w:r>
        <w:rPr>
          <w:color w:val="231F20"/>
          <w:spacing w:val="-16"/>
          <w:sz w:val="23"/>
        </w:rPr>
        <w:t> </w:t>
      </w:r>
      <w:r>
        <w:rPr>
          <w:color w:val="231F20"/>
          <w:sz w:val="23"/>
        </w:rPr>
        <w:t>billion</w:t>
      </w:r>
      <w:r>
        <w:rPr>
          <w:color w:val="231F20"/>
          <w:spacing w:val="-16"/>
          <w:sz w:val="23"/>
        </w:rPr>
        <w:t> </w:t>
      </w:r>
      <w:r>
        <w:rPr>
          <w:color w:val="231F20"/>
          <w:sz w:val="23"/>
        </w:rPr>
        <w:t>as</w:t>
      </w:r>
      <w:r>
        <w:rPr>
          <w:color w:val="231F20"/>
          <w:spacing w:val="-16"/>
          <w:sz w:val="23"/>
        </w:rPr>
        <w:t> </w:t>
      </w:r>
      <w:r>
        <w:rPr>
          <w:color w:val="231F20"/>
          <w:sz w:val="23"/>
        </w:rPr>
        <w:t>at</w:t>
      </w:r>
      <w:r>
        <w:rPr>
          <w:color w:val="231F20"/>
          <w:spacing w:val="-16"/>
          <w:sz w:val="23"/>
        </w:rPr>
        <w:t> </w:t>
      </w:r>
      <w:r>
        <w:rPr>
          <w:color w:val="231F20"/>
          <w:sz w:val="23"/>
        </w:rPr>
        <w:t>end</w:t>
      </w:r>
      <w:r>
        <w:rPr>
          <w:color w:val="231F20"/>
          <w:spacing w:val="-16"/>
          <w:sz w:val="23"/>
        </w:rPr>
        <w:t> </w:t>
      </w:r>
      <w:r>
        <w:rPr>
          <w:color w:val="231F20"/>
          <w:sz w:val="23"/>
        </w:rPr>
        <w:t>June</w:t>
      </w:r>
      <w:r>
        <w:rPr>
          <w:color w:val="231F20"/>
          <w:spacing w:val="-16"/>
          <w:sz w:val="23"/>
        </w:rPr>
        <w:t> </w:t>
      </w:r>
      <w:r>
        <w:rPr>
          <w:color w:val="231F20"/>
          <w:sz w:val="23"/>
        </w:rPr>
        <w:t>2019. Debt owed to multilateral creditors amounted to US$1.2 billion, accounting for</w:t>
      </w:r>
      <w:r>
        <w:rPr>
          <w:color w:val="231F20"/>
          <w:spacing w:val="-33"/>
          <w:sz w:val="23"/>
        </w:rPr>
        <w:t> </w:t>
      </w:r>
      <w:r>
        <w:rPr>
          <w:color w:val="231F20"/>
          <w:sz w:val="23"/>
        </w:rPr>
        <w:t>73.2 percent; bilateral creditors, US$210 million, accounting for 12.8 percent; and commercial creditors, US$ 187 million, accounting for 11.4</w:t>
      </w:r>
      <w:r>
        <w:rPr>
          <w:color w:val="231F20"/>
          <w:spacing w:val="-16"/>
          <w:sz w:val="23"/>
        </w:rPr>
        <w:t> </w:t>
      </w:r>
      <w:r>
        <w:rPr>
          <w:color w:val="231F20"/>
          <w:sz w:val="23"/>
        </w:rPr>
        <w:t>percent.</w:t>
      </w:r>
    </w:p>
    <w:p>
      <w:pPr>
        <w:pStyle w:val="BodyText"/>
        <w:spacing w:before="11"/>
        <w:rPr>
          <w:sz w:val="28"/>
        </w:rPr>
      </w:pPr>
    </w:p>
    <w:p>
      <w:pPr>
        <w:pStyle w:val="ListParagraph"/>
        <w:numPr>
          <w:ilvl w:val="0"/>
          <w:numId w:val="2"/>
        </w:numPr>
        <w:tabs>
          <w:tab w:pos="954" w:val="left" w:leader="none"/>
        </w:tabs>
        <w:spacing w:line="302" w:lineRule="auto" w:before="0" w:after="0"/>
        <w:ind w:left="103" w:right="120" w:firstLine="223"/>
        <w:jc w:val="both"/>
        <w:rPr>
          <w:sz w:val="23"/>
        </w:rPr>
      </w:pPr>
      <w:r>
        <w:rPr>
          <w:color w:val="231F20"/>
          <w:sz w:val="23"/>
        </w:rPr>
        <w:t>The</w:t>
      </w:r>
      <w:r>
        <w:rPr>
          <w:color w:val="231F20"/>
          <w:spacing w:val="-31"/>
          <w:sz w:val="23"/>
        </w:rPr>
        <w:t> </w:t>
      </w:r>
      <w:r>
        <w:rPr>
          <w:color w:val="231F20"/>
          <w:sz w:val="23"/>
        </w:rPr>
        <w:t>stock</w:t>
      </w:r>
      <w:r>
        <w:rPr>
          <w:color w:val="231F20"/>
          <w:spacing w:val="-31"/>
          <w:sz w:val="23"/>
        </w:rPr>
        <w:t> </w:t>
      </w:r>
      <w:r>
        <w:rPr>
          <w:color w:val="231F20"/>
          <w:sz w:val="23"/>
        </w:rPr>
        <w:t>of</w:t>
      </w:r>
      <w:r>
        <w:rPr>
          <w:color w:val="231F20"/>
          <w:spacing w:val="-31"/>
          <w:sz w:val="23"/>
        </w:rPr>
        <w:t> </w:t>
      </w:r>
      <w:r>
        <w:rPr>
          <w:color w:val="231F20"/>
          <w:sz w:val="23"/>
        </w:rPr>
        <w:t>domestic</w:t>
      </w:r>
      <w:r>
        <w:rPr>
          <w:color w:val="231F20"/>
          <w:spacing w:val="-31"/>
          <w:sz w:val="23"/>
        </w:rPr>
        <w:t> </w:t>
      </w:r>
      <w:r>
        <w:rPr>
          <w:color w:val="231F20"/>
          <w:sz w:val="23"/>
        </w:rPr>
        <w:t>debt</w:t>
      </w:r>
      <w:r>
        <w:rPr>
          <w:color w:val="231F20"/>
          <w:spacing w:val="-31"/>
          <w:sz w:val="23"/>
        </w:rPr>
        <w:t> </w:t>
      </w:r>
      <w:r>
        <w:rPr>
          <w:color w:val="231F20"/>
          <w:sz w:val="23"/>
        </w:rPr>
        <w:t>amounted</w:t>
      </w:r>
      <w:r>
        <w:rPr>
          <w:color w:val="231F20"/>
          <w:spacing w:val="-31"/>
          <w:sz w:val="23"/>
        </w:rPr>
        <w:t> </w:t>
      </w:r>
      <w:r>
        <w:rPr>
          <w:color w:val="231F20"/>
          <w:sz w:val="23"/>
        </w:rPr>
        <w:t>to</w:t>
      </w:r>
      <w:r>
        <w:rPr>
          <w:color w:val="231F20"/>
          <w:spacing w:val="-31"/>
          <w:sz w:val="23"/>
        </w:rPr>
        <w:t> </w:t>
      </w:r>
      <w:r>
        <w:rPr>
          <w:color w:val="231F20"/>
          <w:sz w:val="23"/>
        </w:rPr>
        <w:t>Le</w:t>
      </w:r>
      <w:r>
        <w:rPr>
          <w:color w:val="231F20"/>
          <w:spacing w:val="-31"/>
          <w:sz w:val="23"/>
        </w:rPr>
        <w:t> </w:t>
      </w:r>
      <w:r>
        <w:rPr>
          <w:color w:val="231F20"/>
          <w:sz w:val="23"/>
        </w:rPr>
        <w:t>6.1</w:t>
      </w:r>
      <w:r>
        <w:rPr>
          <w:color w:val="231F20"/>
          <w:spacing w:val="-31"/>
          <w:sz w:val="23"/>
        </w:rPr>
        <w:t> </w:t>
      </w:r>
      <w:r>
        <w:rPr>
          <w:color w:val="231F20"/>
          <w:sz w:val="23"/>
        </w:rPr>
        <w:t>trillion,</w:t>
      </w:r>
      <w:r>
        <w:rPr>
          <w:color w:val="231F20"/>
          <w:spacing w:val="-31"/>
          <w:sz w:val="23"/>
        </w:rPr>
        <w:t> </w:t>
      </w:r>
      <w:r>
        <w:rPr>
          <w:color w:val="231F20"/>
          <w:sz w:val="23"/>
        </w:rPr>
        <w:t>equivalent</w:t>
      </w:r>
      <w:r>
        <w:rPr>
          <w:color w:val="231F20"/>
          <w:spacing w:val="-31"/>
          <w:sz w:val="23"/>
        </w:rPr>
        <w:t> </w:t>
      </w:r>
      <w:r>
        <w:rPr>
          <w:color w:val="231F20"/>
          <w:sz w:val="23"/>
        </w:rPr>
        <w:t>to</w:t>
      </w:r>
      <w:r>
        <w:rPr>
          <w:color w:val="231F20"/>
          <w:spacing w:val="-31"/>
          <w:sz w:val="23"/>
        </w:rPr>
        <w:t> </w:t>
      </w:r>
      <w:r>
        <w:rPr>
          <w:color w:val="231F20"/>
          <w:sz w:val="23"/>
        </w:rPr>
        <w:t>US$</w:t>
      </w:r>
      <w:r>
        <w:rPr>
          <w:color w:val="231F20"/>
          <w:spacing w:val="-31"/>
          <w:sz w:val="23"/>
        </w:rPr>
        <w:t> </w:t>
      </w:r>
      <w:r>
        <w:rPr>
          <w:color w:val="231F20"/>
          <w:sz w:val="23"/>
        </w:rPr>
        <w:t>635.6 million as at end June 2019, an increase by 7.5 percent relative to the stock as at December</w:t>
      </w:r>
      <w:r>
        <w:rPr>
          <w:color w:val="231F20"/>
          <w:spacing w:val="-14"/>
          <w:sz w:val="23"/>
        </w:rPr>
        <w:t> </w:t>
      </w:r>
      <w:r>
        <w:rPr>
          <w:color w:val="231F20"/>
          <w:sz w:val="23"/>
        </w:rPr>
        <w:t>2018.</w:t>
      </w:r>
    </w:p>
    <w:p>
      <w:pPr>
        <w:pStyle w:val="BodyText"/>
        <w:rPr>
          <w:sz w:val="20"/>
        </w:rPr>
      </w:pPr>
    </w:p>
    <w:p>
      <w:pPr>
        <w:pStyle w:val="BodyText"/>
        <w:rPr>
          <w:sz w:val="20"/>
        </w:rPr>
      </w:pPr>
    </w:p>
    <w:p>
      <w:pPr>
        <w:pStyle w:val="Heading1"/>
        <w:spacing w:before="251"/>
        <w:ind w:left="57" w:right="0"/>
      </w:pPr>
      <w:r>
        <w:rPr>
          <w:color w:val="231F20"/>
        </w:rPr>
        <w:t>7</w:t>
      </w:r>
    </w:p>
    <w:p>
      <w:pPr>
        <w:spacing w:after="0"/>
        <w:sectPr>
          <w:pgSz w:w="11900" w:h="16840"/>
          <w:pgMar w:top="1180" w:bottom="280" w:left="1140" w:right="1120"/>
        </w:sectPr>
      </w:pPr>
    </w:p>
    <w:p>
      <w:pPr>
        <w:pStyle w:val="Heading2"/>
        <w:spacing w:before="77"/>
      </w:pPr>
      <w:r>
        <w:rPr>
          <w:color w:val="231F20"/>
        </w:rPr>
        <w:t>Budgetary Performance in 2019</w:t>
      </w:r>
    </w:p>
    <w:p>
      <w:pPr>
        <w:pStyle w:val="ListParagraph"/>
        <w:numPr>
          <w:ilvl w:val="0"/>
          <w:numId w:val="2"/>
        </w:numPr>
        <w:tabs>
          <w:tab w:pos="954" w:val="left" w:leader="none"/>
        </w:tabs>
        <w:spacing w:line="302" w:lineRule="auto" w:before="71" w:after="0"/>
        <w:ind w:left="103" w:right="118" w:firstLine="223"/>
        <w:jc w:val="both"/>
        <w:rPr>
          <w:sz w:val="23"/>
        </w:rPr>
      </w:pPr>
      <w:r>
        <w:rPr>
          <w:color w:val="231F20"/>
          <w:sz w:val="23"/>
        </w:rPr>
        <w:t>Mr.</w:t>
      </w:r>
      <w:r>
        <w:rPr>
          <w:color w:val="231F20"/>
          <w:spacing w:val="-52"/>
          <w:sz w:val="23"/>
        </w:rPr>
        <w:t> </w:t>
      </w:r>
      <w:r>
        <w:rPr>
          <w:color w:val="231F20"/>
          <w:sz w:val="23"/>
        </w:rPr>
        <w:t>Speaker,</w:t>
      </w:r>
      <w:r>
        <w:rPr>
          <w:color w:val="231F20"/>
          <w:spacing w:val="-51"/>
          <w:sz w:val="23"/>
        </w:rPr>
        <w:t> </w:t>
      </w:r>
      <w:r>
        <w:rPr>
          <w:color w:val="231F20"/>
          <w:sz w:val="23"/>
        </w:rPr>
        <w:t>Honourable</w:t>
      </w:r>
      <w:r>
        <w:rPr>
          <w:color w:val="231F20"/>
          <w:spacing w:val="-51"/>
          <w:sz w:val="23"/>
        </w:rPr>
        <w:t> </w:t>
      </w:r>
      <w:r>
        <w:rPr>
          <w:color w:val="231F20"/>
          <w:sz w:val="23"/>
        </w:rPr>
        <w:t>Members,</w:t>
      </w:r>
      <w:r>
        <w:rPr>
          <w:color w:val="231F20"/>
          <w:spacing w:val="-51"/>
          <w:sz w:val="23"/>
        </w:rPr>
        <w:t> </w:t>
      </w:r>
      <w:r>
        <w:rPr>
          <w:color w:val="231F20"/>
          <w:sz w:val="23"/>
        </w:rPr>
        <w:t>public</w:t>
      </w:r>
      <w:r>
        <w:rPr>
          <w:color w:val="231F20"/>
          <w:spacing w:val="-51"/>
          <w:sz w:val="23"/>
        </w:rPr>
        <w:t> </w:t>
      </w:r>
      <w:r>
        <w:rPr>
          <w:color w:val="231F20"/>
          <w:sz w:val="23"/>
        </w:rPr>
        <w:t>finances</w:t>
      </w:r>
      <w:r>
        <w:rPr>
          <w:color w:val="231F20"/>
          <w:spacing w:val="-51"/>
          <w:sz w:val="23"/>
        </w:rPr>
        <w:t> </w:t>
      </w:r>
      <w:r>
        <w:rPr>
          <w:color w:val="231F20"/>
          <w:sz w:val="23"/>
        </w:rPr>
        <w:t>continue</w:t>
      </w:r>
      <w:r>
        <w:rPr>
          <w:color w:val="231F20"/>
          <w:spacing w:val="-51"/>
          <w:sz w:val="23"/>
        </w:rPr>
        <w:t> </w:t>
      </w:r>
      <w:r>
        <w:rPr>
          <w:color w:val="231F20"/>
          <w:sz w:val="23"/>
        </w:rPr>
        <w:t>to</w:t>
      </w:r>
      <w:r>
        <w:rPr>
          <w:color w:val="231F20"/>
          <w:spacing w:val="-51"/>
          <w:sz w:val="23"/>
        </w:rPr>
        <w:t> </w:t>
      </w:r>
      <w:r>
        <w:rPr>
          <w:color w:val="231F20"/>
          <w:sz w:val="23"/>
        </w:rPr>
        <w:t>improve</w:t>
      </w:r>
      <w:r>
        <w:rPr>
          <w:color w:val="231F20"/>
          <w:spacing w:val="-51"/>
          <w:sz w:val="23"/>
        </w:rPr>
        <w:t> </w:t>
      </w:r>
      <w:r>
        <w:rPr>
          <w:color w:val="231F20"/>
          <w:sz w:val="23"/>
        </w:rPr>
        <w:t>in</w:t>
      </w:r>
      <w:r>
        <w:rPr>
          <w:color w:val="231F20"/>
          <w:spacing w:val="-51"/>
          <w:sz w:val="23"/>
        </w:rPr>
        <w:t> </w:t>
      </w:r>
      <w:r>
        <w:rPr>
          <w:color w:val="231F20"/>
          <w:sz w:val="23"/>
        </w:rPr>
        <w:t>2019 reflecting the impact of Government’s sustained fiscal consolidation drive. Total revenue</w:t>
      </w:r>
      <w:r>
        <w:rPr>
          <w:color w:val="231F20"/>
          <w:spacing w:val="-14"/>
          <w:sz w:val="23"/>
        </w:rPr>
        <w:t> </w:t>
      </w:r>
      <w:r>
        <w:rPr>
          <w:color w:val="231F20"/>
          <w:sz w:val="23"/>
        </w:rPr>
        <w:t>collected</w:t>
      </w:r>
      <w:r>
        <w:rPr>
          <w:color w:val="231F20"/>
          <w:spacing w:val="-14"/>
          <w:sz w:val="23"/>
        </w:rPr>
        <w:t> </w:t>
      </w:r>
      <w:r>
        <w:rPr>
          <w:color w:val="231F20"/>
          <w:sz w:val="23"/>
        </w:rPr>
        <w:t>during</w:t>
      </w:r>
      <w:r>
        <w:rPr>
          <w:color w:val="231F20"/>
          <w:spacing w:val="-14"/>
          <w:sz w:val="23"/>
        </w:rPr>
        <w:t> </w:t>
      </w:r>
      <w:r>
        <w:rPr>
          <w:color w:val="231F20"/>
          <w:sz w:val="23"/>
        </w:rPr>
        <w:t>the</w:t>
      </w:r>
      <w:r>
        <w:rPr>
          <w:color w:val="231F20"/>
          <w:spacing w:val="-14"/>
          <w:sz w:val="23"/>
        </w:rPr>
        <w:t> </w:t>
      </w:r>
      <w:r>
        <w:rPr>
          <w:color w:val="231F20"/>
          <w:sz w:val="23"/>
        </w:rPr>
        <w:t>first</w:t>
      </w:r>
      <w:r>
        <w:rPr>
          <w:color w:val="231F20"/>
          <w:spacing w:val="-14"/>
          <w:sz w:val="23"/>
        </w:rPr>
        <w:t> </w:t>
      </w:r>
      <w:r>
        <w:rPr>
          <w:color w:val="231F20"/>
          <w:sz w:val="23"/>
        </w:rPr>
        <w:t>half</w:t>
      </w:r>
      <w:r>
        <w:rPr>
          <w:color w:val="231F20"/>
          <w:spacing w:val="-14"/>
          <w:sz w:val="23"/>
        </w:rPr>
        <w:t> </w:t>
      </w:r>
      <w:r>
        <w:rPr>
          <w:color w:val="231F20"/>
          <w:sz w:val="23"/>
        </w:rPr>
        <w:t>of</w:t>
      </w:r>
      <w:r>
        <w:rPr>
          <w:color w:val="231F20"/>
          <w:spacing w:val="-14"/>
          <w:sz w:val="23"/>
        </w:rPr>
        <w:t> </w:t>
      </w:r>
      <w:r>
        <w:rPr>
          <w:color w:val="231F20"/>
          <w:sz w:val="23"/>
        </w:rPr>
        <w:t>the</w:t>
      </w:r>
      <w:r>
        <w:rPr>
          <w:color w:val="231F20"/>
          <w:spacing w:val="-14"/>
          <w:sz w:val="23"/>
        </w:rPr>
        <w:t> </w:t>
      </w:r>
      <w:r>
        <w:rPr>
          <w:color w:val="231F20"/>
          <w:sz w:val="23"/>
        </w:rPr>
        <w:t>year</w:t>
      </w:r>
      <w:r>
        <w:rPr>
          <w:color w:val="231F20"/>
          <w:spacing w:val="-14"/>
          <w:sz w:val="23"/>
        </w:rPr>
        <w:t> </w:t>
      </w:r>
      <w:r>
        <w:rPr>
          <w:color w:val="231F20"/>
          <w:sz w:val="23"/>
        </w:rPr>
        <w:t>exceeded</w:t>
      </w:r>
      <w:r>
        <w:rPr>
          <w:color w:val="231F20"/>
          <w:spacing w:val="-14"/>
          <w:sz w:val="23"/>
        </w:rPr>
        <w:t> </w:t>
      </w:r>
      <w:r>
        <w:rPr>
          <w:color w:val="231F20"/>
          <w:sz w:val="23"/>
        </w:rPr>
        <w:t>the</w:t>
      </w:r>
      <w:r>
        <w:rPr>
          <w:color w:val="231F20"/>
          <w:spacing w:val="-14"/>
          <w:sz w:val="23"/>
        </w:rPr>
        <w:t> </w:t>
      </w:r>
      <w:r>
        <w:rPr>
          <w:color w:val="231F20"/>
          <w:sz w:val="23"/>
        </w:rPr>
        <w:t>IMF</w:t>
      </w:r>
      <w:r>
        <w:rPr>
          <w:color w:val="231F20"/>
          <w:spacing w:val="-14"/>
          <w:sz w:val="23"/>
        </w:rPr>
        <w:t> </w:t>
      </w:r>
      <w:r>
        <w:rPr>
          <w:color w:val="231F20"/>
          <w:sz w:val="23"/>
        </w:rPr>
        <w:t>programme</w:t>
      </w:r>
      <w:r>
        <w:rPr>
          <w:color w:val="231F20"/>
          <w:spacing w:val="-14"/>
          <w:sz w:val="23"/>
        </w:rPr>
        <w:t> </w:t>
      </w:r>
      <w:r>
        <w:rPr>
          <w:color w:val="231F20"/>
          <w:sz w:val="23"/>
        </w:rPr>
        <w:t>target while</w:t>
      </w:r>
      <w:r>
        <w:rPr>
          <w:color w:val="231F20"/>
          <w:spacing w:val="-9"/>
          <w:sz w:val="23"/>
        </w:rPr>
        <w:t> </w:t>
      </w:r>
      <w:r>
        <w:rPr>
          <w:color w:val="231F20"/>
          <w:sz w:val="23"/>
        </w:rPr>
        <w:t>overall</w:t>
      </w:r>
      <w:r>
        <w:rPr>
          <w:color w:val="231F20"/>
          <w:spacing w:val="-9"/>
          <w:sz w:val="23"/>
        </w:rPr>
        <w:t> </w:t>
      </w:r>
      <w:r>
        <w:rPr>
          <w:color w:val="231F20"/>
          <w:sz w:val="23"/>
        </w:rPr>
        <w:t>expenditures</w:t>
      </w:r>
      <w:r>
        <w:rPr>
          <w:color w:val="231F20"/>
          <w:spacing w:val="-9"/>
          <w:sz w:val="23"/>
        </w:rPr>
        <w:t> </w:t>
      </w:r>
      <w:r>
        <w:rPr>
          <w:color w:val="231F20"/>
          <w:sz w:val="23"/>
        </w:rPr>
        <w:t>remained</w:t>
      </w:r>
      <w:r>
        <w:rPr>
          <w:color w:val="231F20"/>
          <w:spacing w:val="-9"/>
          <w:sz w:val="23"/>
        </w:rPr>
        <w:t> </w:t>
      </w:r>
      <w:r>
        <w:rPr>
          <w:color w:val="231F20"/>
          <w:sz w:val="23"/>
        </w:rPr>
        <w:t>within</w:t>
      </w:r>
      <w:r>
        <w:rPr>
          <w:color w:val="231F20"/>
          <w:spacing w:val="-9"/>
          <w:sz w:val="23"/>
        </w:rPr>
        <w:t> </w:t>
      </w:r>
      <w:r>
        <w:rPr>
          <w:color w:val="231F20"/>
          <w:sz w:val="23"/>
        </w:rPr>
        <w:t>the</w:t>
      </w:r>
      <w:r>
        <w:rPr>
          <w:color w:val="231F20"/>
          <w:spacing w:val="-9"/>
          <w:sz w:val="23"/>
        </w:rPr>
        <w:t> </w:t>
      </w:r>
      <w:r>
        <w:rPr>
          <w:color w:val="231F20"/>
          <w:sz w:val="23"/>
        </w:rPr>
        <w:t>budgeted</w:t>
      </w:r>
      <w:r>
        <w:rPr>
          <w:color w:val="231F20"/>
          <w:spacing w:val="-9"/>
          <w:sz w:val="23"/>
        </w:rPr>
        <w:t> </w:t>
      </w:r>
      <w:r>
        <w:rPr>
          <w:color w:val="231F20"/>
          <w:sz w:val="23"/>
        </w:rPr>
        <w:t>limits.</w:t>
      </w:r>
      <w:r>
        <w:rPr>
          <w:color w:val="231F20"/>
          <w:spacing w:val="-9"/>
          <w:sz w:val="23"/>
        </w:rPr>
        <w:t> </w:t>
      </w:r>
      <w:r>
        <w:rPr>
          <w:color w:val="231F20"/>
          <w:sz w:val="23"/>
        </w:rPr>
        <w:t>The</w:t>
      </w:r>
      <w:r>
        <w:rPr>
          <w:color w:val="231F20"/>
          <w:spacing w:val="-9"/>
          <w:sz w:val="23"/>
        </w:rPr>
        <w:t> </w:t>
      </w:r>
      <w:r>
        <w:rPr>
          <w:color w:val="231F20"/>
          <w:sz w:val="23"/>
        </w:rPr>
        <w:t>implementation of</w:t>
      </w:r>
      <w:r>
        <w:rPr>
          <w:color w:val="231F20"/>
          <w:spacing w:val="-7"/>
          <w:sz w:val="23"/>
        </w:rPr>
        <w:t> </w:t>
      </w:r>
      <w:r>
        <w:rPr>
          <w:color w:val="231F20"/>
          <w:sz w:val="23"/>
        </w:rPr>
        <w:t>the</w:t>
      </w:r>
      <w:r>
        <w:rPr>
          <w:color w:val="231F20"/>
          <w:spacing w:val="-6"/>
          <w:sz w:val="23"/>
        </w:rPr>
        <w:t> </w:t>
      </w:r>
      <w:r>
        <w:rPr>
          <w:color w:val="231F20"/>
          <w:sz w:val="23"/>
        </w:rPr>
        <w:t>2019</w:t>
      </w:r>
      <w:r>
        <w:rPr>
          <w:color w:val="231F20"/>
          <w:spacing w:val="-7"/>
          <w:sz w:val="23"/>
        </w:rPr>
        <w:t> </w:t>
      </w:r>
      <w:r>
        <w:rPr>
          <w:color w:val="231F20"/>
          <w:sz w:val="23"/>
        </w:rPr>
        <w:t>budget</w:t>
      </w:r>
      <w:r>
        <w:rPr>
          <w:color w:val="231F20"/>
          <w:spacing w:val="-7"/>
          <w:sz w:val="23"/>
        </w:rPr>
        <w:t> </w:t>
      </w:r>
      <w:r>
        <w:rPr>
          <w:color w:val="231F20"/>
          <w:sz w:val="23"/>
        </w:rPr>
        <w:t>was</w:t>
      </w:r>
      <w:r>
        <w:rPr>
          <w:color w:val="231F20"/>
          <w:spacing w:val="-6"/>
          <w:sz w:val="23"/>
        </w:rPr>
        <w:t> </w:t>
      </w:r>
      <w:r>
        <w:rPr>
          <w:color w:val="231F20"/>
          <w:sz w:val="23"/>
        </w:rPr>
        <w:t>however</w:t>
      </w:r>
      <w:r>
        <w:rPr>
          <w:color w:val="231F20"/>
          <w:spacing w:val="-7"/>
          <w:sz w:val="23"/>
        </w:rPr>
        <w:t> </w:t>
      </w:r>
      <w:r>
        <w:rPr>
          <w:color w:val="231F20"/>
          <w:sz w:val="23"/>
        </w:rPr>
        <w:t>challenged</w:t>
      </w:r>
      <w:r>
        <w:rPr>
          <w:color w:val="231F20"/>
          <w:spacing w:val="-7"/>
          <w:sz w:val="23"/>
        </w:rPr>
        <w:t> </w:t>
      </w:r>
      <w:r>
        <w:rPr>
          <w:color w:val="231F20"/>
          <w:sz w:val="23"/>
        </w:rPr>
        <w:t>by</w:t>
      </w:r>
      <w:r>
        <w:rPr>
          <w:color w:val="231F20"/>
          <w:spacing w:val="-7"/>
          <w:sz w:val="23"/>
        </w:rPr>
        <w:t> </w:t>
      </w:r>
      <w:r>
        <w:rPr>
          <w:color w:val="231F20"/>
          <w:sz w:val="23"/>
        </w:rPr>
        <w:t>the</w:t>
      </w:r>
      <w:r>
        <w:rPr>
          <w:color w:val="231F20"/>
          <w:spacing w:val="-6"/>
          <w:sz w:val="23"/>
        </w:rPr>
        <w:t> </w:t>
      </w:r>
      <w:r>
        <w:rPr>
          <w:color w:val="231F20"/>
          <w:sz w:val="23"/>
        </w:rPr>
        <w:t>need</w:t>
      </w:r>
      <w:r>
        <w:rPr>
          <w:color w:val="231F20"/>
          <w:spacing w:val="-7"/>
          <w:sz w:val="23"/>
        </w:rPr>
        <w:t> </w:t>
      </w:r>
      <w:r>
        <w:rPr>
          <w:color w:val="231F20"/>
          <w:sz w:val="23"/>
        </w:rPr>
        <w:t>to</w:t>
      </w:r>
      <w:r>
        <w:rPr>
          <w:color w:val="231F20"/>
          <w:spacing w:val="-6"/>
          <w:sz w:val="23"/>
        </w:rPr>
        <w:t> </w:t>
      </w:r>
      <w:r>
        <w:rPr>
          <w:color w:val="231F20"/>
          <w:sz w:val="23"/>
        </w:rPr>
        <w:t>pay</w:t>
      </w:r>
      <w:r>
        <w:rPr>
          <w:color w:val="231F20"/>
          <w:spacing w:val="-7"/>
          <w:sz w:val="23"/>
        </w:rPr>
        <w:t> </w:t>
      </w:r>
      <w:r>
        <w:rPr>
          <w:color w:val="231F20"/>
          <w:sz w:val="23"/>
        </w:rPr>
        <w:t>some</w:t>
      </w:r>
      <w:r>
        <w:rPr>
          <w:color w:val="231F20"/>
          <w:spacing w:val="-7"/>
          <w:sz w:val="23"/>
        </w:rPr>
        <w:t> </w:t>
      </w:r>
      <w:r>
        <w:rPr>
          <w:color w:val="231F20"/>
          <w:sz w:val="23"/>
        </w:rPr>
        <w:t>of</w:t>
      </w:r>
      <w:r>
        <w:rPr>
          <w:color w:val="231F20"/>
          <w:spacing w:val="-7"/>
          <w:sz w:val="23"/>
        </w:rPr>
        <w:t> </w:t>
      </w:r>
      <w:r>
        <w:rPr>
          <w:color w:val="231F20"/>
          <w:sz w:val="23"/>
        </w:rPr>
        <w:t>the</w:t>
      </w:r>
      <w:r>
        <w:rPr>
          <w:color w:val="231F20"/>
          <w:spacing w:val="-6"/>
          <w:sz w:val="23"/>
        </w:rPr>
        <w:t> </w:t>
      </w:r>
      <w:r>
        <w:rPr>
          <w:color w:val="231F20"/>
          <w:sz w:val="23"/>
        </w:rPr>
        <w:t>inherited domestic arrears to ensure continued service delivery in strategic sectors. The situation</w:t>
      </w:r>
      <w:r>
        <w:rPr>
          <w:color w:val="231F20"/>
          <w:spacing w:val="-10"/>
          <w:sz w:val="23"/>
        </w:rPr>
        <w:t> </w:t>
      </w:r>
      <w:r>
        <w:rPr>
          <w:color w:val="231F20"/>
          <w:sz w:val="23"/>
        </w:rPr>
        <w:t>was</w:t>
      </w:r>
      <w:r>
        <w:rPr>
          <w:color w:val="231F20"/>
          <w:spacing w:val="-10"/>
          <w:sz w:val="23"/>
        </w:rPr>
        <w:t> </w:t>
      </w:r>
      <w:r>
        <w:rPr>
          <w:color w:val="231F20"/>
          <w:sz w:val="23"/>
        </w:rPr>
        <w:t>exacerbated</w:t>
      </w:r>
      <w:r>
        <w:rPr>
          <w:color w:val="231F20"/>
          <w:spacing w:val="-10"/>
          <w:sz w:val="23"/>
        </w:rPr>
        <w:t> </w:t>
      </w:r>
      <w:r>
        <w:rPr>
          <w:color w:val="231F20"/>
          <w:sz w:val="23"/>
        </w:rPr>
        <w:t>by</w:t>
      </w:r>
      <w:r>
        <w:rPr>
          <w:color w:val="231F20"/>
          <w:spacing w:val="-10"/>
          <w:sz w:val="23"/>
        </w:rPr>
        <w:t> </w:t>
      </w:r>
      <w:r>
        <w:rPr>
          <w:color w:val="231F20"/>
          <w:sz w:val="23"/>
        </w:rPr>
        <w:t>the</w:t>
      </w:r>
      <w:r>
        <w:rPr>
          <w:color w:val="231F20"/>
          <w:spacing w:val="-10"/>
          <w:sz w:val="23"/>
        </w:rPr>
        <w:t> </w:t>
      </w:r>
      <w:r>
        <w:rPr>
          <w:color w:val="231F20"/>
          <w:sz w:val="23"/>
        </w:rPr>
        <w:t>high</w:t>
      </w:r>
      <w:r>
        <w:rPr>
          <w:color w:val="231F20"/>
          <w:spacing w:val="-10"/>
          <w:sz w:val="23"/>
        </w:rPr>
        <w:t> </w:t>
      </w:r>
      <w:r>
        <w:rPr>
          <w:color w:val="231F20"/>
          <w:sz w:val="23"/>
        </w:rPr>
        <w:t>debt</w:t>
      </w:r>
      <w:r>
        <w:rPr>
          <w:color w:val="231F20"/>
          <w:spacing w:val="-10"/>
          <w:sz w:val="23"/>
        </w:rPr>
        <w:t> </w:t>
      </w:r>
      <w:r>
        <w:rPr>
          <w:color w:val="231F20"/>
          <w:sz w:val="23"/>
        </w:rPr>
        <w:t>service</w:t>
      </w:r>
      <w:r>
        <w:rPr>
          <w:color w:val="231F20"/>
          <w:spacing w:val="-10"/>
          <w:sz w:val="23"/>
        </w:rPr>
        <w:t> </w:t>
      </w:r>
      <w:r>
        <w:rPr>
          <w:color w:val="231F20"/>
          <w:sz w:val="23"/>
        </w:rPr>
        <w:t>payments,</w:t>
      </w:r>
      <w:r>
        <w:rPr>
          <w:color w:val="231F20"/>
          <w:spacing w:val="-10"/>
          <w:sz w:val="23"/>
        </w:rPr>
        <w:t> </w:t>
      </w:r>
      <w:r>
        <w:rPr>
          <w:color w:val="231F20"/>
          <w:sz w:val="23"/>
        </w:rPr>
        <w:t>especially</w:t>
      </w:r>
      <w:r>
        <w:rPr>
          <w:color w:val="231F20"/>
          <w:spacing w:val="-10"/>
          <w:sz w:val="23"/>
        </w:rPr>
        <w:t> </w:t>
      </w:r>
      <w:r>
        <w:rPr>
          <w:color w:val="231F20"/>
          <w:sz w:val="23"/>
        </w:rPr>
        <w:t>on</w:t>
      </w:r>
      <w:r>
        <w:rPr>
          <w:color w:val="231F20"/>
          <w:spacing w:val="-10"/>
          <w:sz w:val="23"/>
        </w:rPr>
        <w:t> </w:t>
      </w:r>
      <w:r>
        <w:rPr>
          <w:color w:val="231F20"/>
          <w:sz w:val="23"/>
        </w:rPr>
        <w:t>domestic debt.</w:t>
      </w:r>
      <w:r>
        <w:rPr>
          <w:color w:val="231F20"/>
          <w:spacing w:val="39"/>
          <w:sz w:val="23"/>
        </w:rPr>
        <w:t> </w:t>
      </w:r>
      <w:r>
        <w:rPr>
          <w:color w:val="231F20"/>
          <w:sz w:val="23"/>
        </w:rPr>
        <w:t>Despite</w:t>
      </w:r>
      <w:r>
        <w:rPr>
          <w:color w:val="231F20"/>
          <w:spacing w:val="-17"/>
          <w:sz w:val="23"/>
        </w:rPr>
        <w:t> </w:t>
      </w:r>
      <w:r>
        <w:rPr>
          <w:color w:val="231F20"/>
          <w:sz w:val="23"/>
        </w:rPr>
        <w:t>these</w:t>
      </w:r>
      <w:r>
        <w:rPr>
          <w:color w:val="231F20"/>
          <w:spacing w:val="-17"/>
          <w:sz w:val="23"/>
        </w:rPr>
        <w:t> </w:t>
      </w:r>
      <w:r>
        <w:rPr>
          <w:color w:val="231F20"/>
          <w:sz w:val="23"/>
        </w:rPr>
        <w:t>constraints,</w:t>
      </w:r>
      <w:r>
        <w:rPr>
          <w:color w:val="231F20"/>
          <w:spacing w:val="-17"/>
          <w:sz w:val="23"/>
        </w:rPr>
        <w:t> </w:t>
      </w:r>
      <w:r>
        <w:rPr>
          <w:color w:val="231F20"/>
          <w:sz w:val="23"/>
        </w:rPr>
        <w:t>the</w:t>
      </w:r>
      <w:r>
        <w:rPr>
          <w:color w:val="231F20"/>
          <w:spacing w:val="-17"/>
          <w:sz w:val="23"/>
        </w:rPr>
        <w:t> </w:t>
      </w:r>
      <w:r>
        <w:rPr>
          <w:color w:val="231F20"/>
          <w:sz w:val="23"/>
        </w:rPr>
        <w:t>budget</w:t>
      </w:r>
      <w:r>
        <w:rPr>
          <w:color w:val="231F20"/>
          <w:spacing w:val="-17"/>
          <w:sz w:val="23"/>
        </w:rPr>
        <w:t> </w:t>
      </w:r>
      <w:r>
        <w:rPr>
          <w:color w:val="231F20"/>
          <w:sz w:val="23"/>
        </w:rPr>
        <w:t>execution</w:t>
      </w:r>
      <w:r>
        <w:rPr>
          <w:color w:val="231F20"/>
          <w:spacing w:val="-17"/>
          <w:sz w:val="23"/>
        </w:rPr>
        <w:t> </w:t>
      </w:r>
      <w:r>
        <w:rPr>
          <w:color w:val="231F20"/>
          <w:sz w:val="23"/>
        </w:rPr>
        <w:t>rate</w:t>
      </w:r>
      <w:r>
        <w:rPr>
          <w:color w:val="231F20"/>
          <w:spacing w:val="-17"/>
          <w:sz w:val="23"/>
        </w:rPr>
        <w:t> </w:t>
      </w:r>
      <w:r>
        <w:rPr>
          <w:color w:val="231F20"/>
          <w:sz w:val="23"/>
        </w:rPr>
        <w:t>as</w:t>
      </w:r>
      <w:r>
        <w:rPr>
          <w:color w:val="231F20"/>
          <w:spacing w:val="-17"/>
          <w:sz w:val="23"/>
        </w:rPr>
        <w:t> </w:t>
      </w:r>
      <w:r>
        <w:rPr>
          <w:color w:val="231F20"/>
          <w:sz w:val="23"/>
        </w:rPr>
        <w:t>at</w:t>
      </w:r>
      <w:r>
        <w:rPr>
          <w:color w:val="231F20"/>
          <w:spacing w:val="-17"/>
          <w:sz w:val="23"/>
        </w:rPr>
        <w:t> </w:t>
      </w:r>
      <w:r>
        <w:rPr>
          <w:color w:val="231F20"/>
          <w:sz w:val="23"/>
        </w:rPr>
        <w:t>end</w:t>
      </w:r>
      <w:r>
        <w:rPr>
          <w:color w:val="231F20"/>
          <w:spacing w:val="-17"/>
          <w:sz w:val="23"/>
        </w:rPr>
        <w:t> </w:t>
      </w:r>
      <w:r>
        <w:rPr>
          <w:color w:val="231F20"/>
          <w:sz w:val="23"/>
        </w:rPr>
        <w:t>September</w:t>
      </w:r>
      <w:r>
        <w:rPr>
          <w:color w:val="231F20"/>
          <w:spacing w:val="-17"/>
          <w:sz w:val="23"/>
        </w:rPr>
        <w:t> </w:t>
      </w:r>
      <w:r>
        <w:rPr>
          <w:color w:val="231F20"/>
          <w:sz w:val="23"/>
        </w:rPr>
        <w:t>2019 was 72</w:t>
      </w:r>
      <w:r>
        <w:rPr>
          <w:color w:val="231F20"/>
          <w:spacing w:val="2"/>
          <w:sz w:val="23"/>
        </w:rPr>
        <w:t> </w:t>
      </w:r>
      <w:r>
        <w:rPr>
          <w:color w:val="231F20"/>
          <w:sz w:val="23"/>
        </w:rPr>
        <w:t>percent.</w:t>
      </w:r>
    </w:p>
    <w:p>
      <w:pPr>
        <w:pStyle w:val="BodyText"/>
        <w:spacing w:before="11"/>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Mr.</w:t>
      </w:r>
      <w:r>
        <w:rPr>
          <w:color w:val="231F20"/>
          <w:spacing w:val="-7"/>
          <w:sz w:val="23"/>
        </w:rPr>
        <w:t> </w:t>
      </w:r>
      <w:r>
        <w:rPr>
          <w:color w:val="231F20"/>
          <w:sz w:val="23"/>
        </w:rPr>
        <w:t>Speaker,</w:t>
      </w:r>
      <w:r>
        <w:rPr>
          <w:color w:val="231F20"/>
          <w:spacing w:val="-7"/>
          <w:sz w:val="23"/>
        </w:rPr>
        <w:t> </w:t>
      </w:r>
      <w:r>
        <w:rPr>
          <w:color w:val="231F20"/>
          <w:sz w:val="23"/>
        </w:rPr>
        <w:t>Honourable</w:t>
      </w:r>
      <w:r>
        <w:rPr>
          <w:color w:val="231F20"/>
          <w:spacing w:val="-7"/>
          <w:sz w:val="23"/>
        </w:rPr>
        <w:t> </w:t>
      </w:r>
      <w:r>
        <w:rPr>
          <w:color w:val="231F20"/>
          <w:sz w:val="23"/>
        </w:rPr>
        <w:t>Members,</w:t>
      </w:r>
      <w:r>
        <w:rPr>
          <w:color w:val="231F20"/>
          <w:spacing w:val="-7"/>
          <w:sz w:val="23"/>
        </w:rPr>
        <w:t> </w:t>
      </w:r>
      <w:r>
        <w:rPr>
          <w:color w:val="231F20"/>
          <w:sz w:val="23"/>
        </w:rPr>
        <w:t>total</w:t>
      </w:r>
      <w:r>
        <w:rPr>
          <w:color w:val="231F20"/>
          <w:spacing w:val="-7"/>
          <w:sz w:val="23"/>
        </w:rPr>
        <w:t> </w:t>
      </w:r>
      <w:r>
        <w:rPr>
          <w:color w:val="231F20"/>
          <w:sz w:val="23"/>
        </w:rPr>
        <w:t>revenue</w:t>
      </w:r>
      <w:r>
        <w:rPr>
          <w:color w:val="231F20"/>
          <w:spacing w:val="-7"/>
          <w:sz w:val="23"/>
        </w:rPr>
        <w:t> </w:t>
      </w:r>
      <w:r>
        <w:rPr>
          <w:color w:val="231F20"/>
          <w:sz w:val="23"/>
        </w:rPr>
        <w:t>collected</w:t>
      </w:r>
      <w:r>
        <w:rPr>
          <w:color w:val="231F20"/>
          <w:spacing w:val="-7"/>
          <w:sz w:val="23"/>
        </w:rPr>
        <w:t> </w:t>
      </w:r>
      <w:r>
        <w:rPr>
          <w:color w:val="231F20"/>
          <w:sz w:val="23"/>
        </w:rPr>
        <w:t>between</w:t>
      </w:r>
      <w:r>
        <w:rPr>
          <w:color w:val="231F20"/>
          <w:spacing w:val="-7"/>
          <w:sz w:val="23"/>
        </w:rPr>
        <w:t> </w:t>
      </w:r>
      <w:r>
        <w:rPr>
          <w:color w:val="231F20"/>
          <w:sz w:val="23"/>
        </w:rPr>
        <w:t>January and</w:t>
      </w:r>
      <w:r>
        <w:rPr>
          <w:color w:val="231F20"/>
          <w:spacing w:val="-31"/>
          <w:sz w:val="23"/>
        </w:rPr>
        <w:t> </w:t>
      </w:r>
      <w:r>
        <w:rPr>
          <w:color w:val="231F20"/>
          <w:sz w:val="23"/>
        </w:rPr>
        <w:t>September</w:t>
      </w:r>
      <w:r>
        <w:rPr>
          <w:color w:val="231F20"/>
          <w:spacing w:val="-31"/>
          <w:sz w:val="23"/>
        </w:rPr>
        <w:t> </w:t>
      </w:r>
      <w:r>
        <w:rPr>
          <w:color w:val="231F20"/>
          <w:sz w:val="23"/>
        </w:rPr>
        <w:t>2019,</w:t>
      </w:r>
      <w:r>
        <w:rPr>
          <w:color w:val="231F20"/>
          <w:spacing w:val="-31"/>
          <w:sz w:val="23"/>
        </w:rPr>
        <w:t> </w:t>
      </w:r>
      <w:r>
        <w:rPr>
          <w:color w:val="231F20"/>
          <w:sz w:val="23"/>
        </w:rPr>
        <w:t>amounted</w:t>
      </w:r>
      <w:r>
        <w:rPr>
          <w:color w:val="231F20"/>
          <w:spacing w:val="-31"/>
          <w:sz w:val="23"/>
        </w:rPr>
        <w:t> </w:t>
      </w:r>
      <w:r>
        <w:rPr>
          <w:color w:val="231F20"/>
          <w:sz w:val="23"/>
        </w:rPr>
        <w:t>to</w:t>
      </w:r>
      <w:r>
        <w:rPr>
          <w:color w:val="231F20"/>
          <w:spacing w:val="-31"/>
          <w:sz w:val="23"/>
        </w:rPr>
        <w:t> </w:t>
      </w:r>
      <w:r>
        <w:rPr>
          <w:color w:val="231F20"/>
          <w:sz w:val="23"/>
        </w:rPr>
        <w:t>Le4.1</w:t>
      </w:r>
      <w:r>
        <w:rPr>
          <w:color w:val="231F20"/>
          <w:spacing w:val="-31"/>
          <w:sz w:val="23"/>
        </w:rPr>
        <w:t> </w:t>
      </w:r>
      <w:r>
        <w:rPr>
          <w:color w:val="231F20"/>
          <w:sz w:val="23"/>
        </w:rPr>
        <w:t>trillion</w:t>
      </w:r>
      <w:r>
        <w:rPr>
          <w:color w:val="231F20"/>
          <w:spacing w:val="-31"/>
          <w:sz w:val="23"/>
        </w:rPr>
        <w:t> </w:t>
      </w:r>
      <w:r>
        <w:rPr>
          <w:color w:val="231F20"/>
          <w:sz w:val="23"/>
        </w:rPr>
        <w:t>or</w:t>
      </w:r>
      <w:r>
        <w:rPr>
          <w:color w:val="231F20"/>
          <w:spacing w:val="-31"/>
          <w:sz w:val="23"/>
        </w:rPr>
        <w:t> </w:t>
      </w:r>
      <w:r>
        <w:rPr>
          <w:color w:val="231F20"/>
          <w:sz w:val="23"/>
        </w:rPr>
        <w:t>10.8</w:t>
      </w:r>
      <w:r>
        <w:rPr>
          <w:color w:val="231F20"/>
          <w:spacing w:val="-31"/>
          <w:sz w:val="23"/>
        </w:rPr>
        <w:t> </w:t>
      </w:r>
      <w:r>
        <w:rPr>
          <w:color w:val="231F20"/>
          <w:sz w:val="23"/>
        </w:rPr>
        <w:t>percent</w:t>
      </w:r>
      <w:r>
        <w:rPr>
          <w:color w:val="231F20"/>
          <w:spacing w:val="-31"/>
          <w:sz w:val="23"/>
        </w:rPr>
        <w:t> </w:t>
      </w:r>
      <w:r>
        <w:rPr>
          <w:color w:val="231F20"/>
          <w:sz w:val="23"/>
        </w:rPr>
        <w:t>of</w:t>
      </w:r>
      <w:r>
        <w:rPr>
          <w:color w:val="231F20"/>
          <w:spacing w:val="-31"/>
          <w:sz w:val="23"/>
        </w:rPr>
        <w:t> </w:t>
      </w:r>
      <w:r>
        <w:rPr>
          <w:color w:val="231F20"/>
          <w:sz w:val="23"/>
        </w:rPr>
        <w:t>GDP.</w:t>
      </w:r>
      <w:r>
        <w:rPr>
          <w:color w:val="231F20"/>
          <w:spacing w:val="-31"/>
          <w:sz w:val="23"/>
        </w:rPr>
        <w:t> </w:t>
      </w:r>
      <w:r>
        <w:rPr>
          <w:color w:val="231F20"/>
          <w:sz w:val="23"/>
        </w:rPr>
        <w:t>This</w:t>
      </w:r>
      <w:r>
        <w:rPr>
          <w:color w:val="231F20"/>
          <w:spacing w:val="-31"/>
          <w:sz w:val="23"/>
        </w:rPr>
        <w:t> </w:t>
      </w:r>
      <w:r>
        <w:rPr>
          <w:color w:val="231F20"/>
          <w:sz w:val="23"/>
        </w:rPr>
        <w:t>exceeded the target for the first three quarters of the year by Le278 billion. Income taxes amounted to Le1.42 trillion; Goods and Services Tax (GST), Le756.2 billion; Import Duties, Le529 billion; Excise Duty on petroleum products, Le410 billion; Mineral royalties,</w:t>
      </w:r>
      <w:r>
        <w:rPr>
          <w:color w:val="231F20"/>
          <w:spacing w:val="-9"/>
          <w:sz w:val="23"/>
        </w:rPr>
        <w:t> </w:t>
      </w:r>
      <w:r>
        <w:rPr>
          <w:color w:val="231F20"/>
          <w:sz w:val="23"/>
        </w:rPr>
        <w:t>Le196.3</w:t>
      </w:r>
      <w:r>
        <w:rPr>
          <w:color w:val="231F20"/>
          <w:spacing w:val="-9"/>
          <w:sz w:val="23"/>
        </w:rPr>
        <w:t> </w:t>
      </w:r>
      <w:r>
        <w:rPr>
          <w:color w:val="231F20"/>
          <w:sz w:val="23"/>
        </w:rPr>
        <w:t>billion;</w:t>
      </w:r>
      <w:r>
        <w:rPr>
          <w:color w:val="231F20"/>
          <w:spacing w:val="-9"/>
          <w:sz w:val="23"/>
        </w:rPr>
        <w:t> </w:t>
      </w:r>
      <w:r>
        <w:rPr>
          <w:color w:val="231F20"/>
          <w:sz w:val="23"/>
        </w:rPr>
        <w:t>Royalty</w:t>
      </w:r>
      <w:r>
        <w:rPr>
          <w:color w:val="231F20"/>
          <w:spacing w:val="-9"/>
          <w:sz w:val="23"/>
        </w:rPr>
        <w:t> </w:t>
      </w:r>
      <w:r>
        <w:rPr>
          <w:color w:val="231F20"/>
          <w:sz w:val="23"/>
        </w:rPr>
        <w:t>on</w:t>
      </w:r>
      <w:r>
        <w:rPr>
          <w:color w:val="231F20"/>
          <w:spacing w:val="-9"/>
          <w:sz w:val="23"/>
        </w:rPr>
        <w:t> </w:t>
      </w:r>
      <w:r>
        <w:rPr>
          <w:color w:val="231F20"/>
          <w:sz w:val="23"/>
        </w:rPr>
        <w:t>fisheries</w:t>
      </w:r>
      <w:r>
        <w:rPr>
          <w:color w:val="231F20"/>
          <w:spacing w:val="-9"/>
          <w:sz w:val="23"/>
        </w:rPr>
        <w:t> </w:t>
      </w:r>
      <w:r>
        <w:rPr>
          <w:color w:val="231F20"/>
          <w:sz w:val="23"/>
        </w:rPr>
        <w:t>amounted</w:t>
      </w:r>
      <w:r>
        <w:rPr>
          <w:color w:val="231F20"/>
          <w:spacing w:val="-9"/>
          <w:sz w:val="23"/>
        </w:rPr>
        <w:t> </w:t>
      </w:r>
      <w:r>
        <w:rPr>
          <w:color w:val="231F20"/>
          <w:sz w:val="23"/>
        </w:rPr>
        <w:t>to</w:t>
      </w:r>
      <w:r>
        <w:rPr>
          <w:color w:val="231F20"/>
          <w:spacing w:val="-9"/>
          <w:sz w:val="23"/>
        </w:rPr>
        <w:t> </w:t>
      </w:r>
      <w:r>
        <w:rPr>
          <w:color w:val="231F20"/>
          <w:sz w:val="23"/>
        </w:rPr>
        <w:t>Le77</w:t>
      </w:r>
      <w:r>
        <w:rPr>
          <w:color w:val="231F20"/>
          <w:spacing w:val="-9"/>
          <w:sz w:val="23"/>
        </w:rPr>
        <w:t> </w:t>
      </w:r>
      <w:r>
        <w:rPr>
          <w:color w:val="231F20"/>
          <w:sz w:val="23"/>
        </w:rPr>
        <w:t>billion;</w:t>
      </w:r>
      <w:r>
        <w:rPr>
          <w:color w:val="231F20"/>
          <w:spacing w:val="-9"/>
          <w:sz w:val="23"/>
        </w:rPr>
        <w:t> </w:t>
      </w:r>
      <w:r>
        <w:rPr>
          <w:color w:val="231F20"/>
          <w:sz w:val="23"/>
        </w:rPr>
        <w:t>other</w:t>
      </w:r>
      <w:r>
        <w:rPr>
          <w:color w:val="231F20"/>
          <w:spacing w:val="-9"/>
          <w:sz w:val="23"/>
        </w:rPr>
        <w:t> </w:t>
      </w:r>
      <w:r>
        <w:rPr>
          <w:color w:val="231F20"/>
          <w:sz w:val="23"/>
        </w:rPr>
        <w:t>MDAs including</w:t>
      </w:r>
      <w:r>
        <w:rPr>
          <w:color w:val="231F20"/>
          <w:spacing w:val="-34"/>
          <w:sz w:val="23"/>
        </w:rPr>
        <w:t> </w:t>
      </w:r>
      <w:r>
        <w:rPr>
          <w:color w:val="231F20"/>
          <w:sz w:val="23"/>
        </w:rPr>
        <w:t>TSA</w:t>
      </w:r>
      <w:r>
        <w:rPr>
          <w:color w:val="231F20"/>
          <w:spacing w:val="-34"/>
          <w:sz w:val="23"/>
        </w:rPr>
        <w:t> </w:t>
      </w:r>
      <w:r>
        <w:rPr>
          <w:color w:val="231F20"/>
          <w:sz w:val="23"/>
        </w:rPr>
        <w:t>agencies</w:t>
      </w:r>
      <w:r>
        <w:rPr>
          <w:color w:val="231F20"/>
          <w:spacing w:val="-34"/>
          <w:sz w:val="23"/>
        </w:rPr>
        <w:t> </w:t>
      </w:r>
      <w:r>
        <w:rPr>
          <w:color w:val="231F20"/>
          <w:sz w:val="23"/>
        </w:rPr>
        <w:t>collected</w:t>
      </w:r>
      <w:r>
        <w:rPr>
          <w:color w:val="231F20"/>
          <w:spacing w:val="-34"/>
          <w:sz w:val="23"/>
        </w:rPr>
        <w:t> </w:t>
      </w:r>
      <w:r>
        <w:rPr>
          <w:color w:val="231F20"/>
          <w:sz w:val="23"/>
        </w:rPr>
        <w:t>Le523</w:t>
      </w:r>
      <w:r>
        <w:rPr>
          <w:color w:val="231F20"/>
          <w:spacing w:val="-34"/>
          <w:sz w:val="23"/>
        </w:rPr>
        <w:t> </w:t>
      </w:r>
      <w:r>
        <w:rPr>
          <w:color w:val="231F20"/>
          <w:sz w:val="23"/>
        </w:rPr>
        <w:t>billion.</w:t>
      </w:r>
      <w:r>
        <w:rPr>
          <w:color w:val="231F20"/>
          <w:spacing w:val="-34"/>
          <w:sz w:val="23"/>
        </w:rPr>
        <w:t> </w:t>
      </w:r>
      <w:r>
        <w:rPr>
          <w:color w:val="231F20"/>
          <w:sz w:val="23"/>
        </w:rPr>
        <w:t>Road</w:t>
      </w:r>
      <w:r>
        <w:rPr>
          <w:color w:val="231F20"/>
          <w:spacing w:val="-34"/>
          <w:sz w:val="23"/>
        </w:rPr>
        <w:t> </w:t>
      </w:r>
      <w:r>
        <w:rPr>
          <w:color w:val="231F20"/>
          <w:sz w:val="23"/>
        </w:rPr>
        <w:t>User</w:t>
      </w:r>
      <w:r>
        <w:rPr>
          <w:color w:val="231F20"/>
          <w:spacing w:val="-34"/>
          <w:sz w:val="23"/>
        </w:rPr>
        <w:t> </w:t>
      </w:r>
      <w:r>
        <w:rPr>
          <w:color w:val="231F20"/>
          <w:sz w:val="23"/>
        </w:rPr>
        <w:t>charges</w:t>
      </w:r>
      <w:r>
        <w:rPr>
          <w:color w:val="231F20"/>
          <w:spacing w:val="-34"/>
          <w:sz w:val="23"/>
        </w:rPr>
        <w:t> </w:t>
      </w:r>
      <w:r>
        <w:rPr>
          <w:color w:val="231F20"/>
          <w:sz w:val="23"/>
        </w:rPr>
        <w:t>amounted</w:t>
      </w:r>
      <w:r>
        <w:rPr>
          <w:color w:val="231F20"/>
          <w:spacing w:val="-34"/>
          <w:sz w:val="23"/>
        </w:rPr>
        <w:t> </w:t>
      </w:r>
      <w:r>
        <w:rPr>
          <w:color w:val="231F20"/>
          <w:sz w:val="23"/>
        </w:rPr>
        <w:t>to</w:t>
      </w:r>
      <w:r>
        <w:rPr>
          <w:color w:val="231F20"/>
          <w:spacing w:val="-34"/>
          <w:sz w:val="23"/>
        </w:rPr>
        <w:t> </w:t>
      </w:r>
      <w:r>
        <w:rPr>
          <w:color w:val="231F20"/>
          <w:sz w:val="23"/>
        </w:rPr>
        <w:t>Le90.4 billion.</w:t>
      </w:r>
    </w:p>
    <w:p>
      <w:pPr>
        <w:pStyle w:val="BodyText"/>
        <w:spacing w:before="9"/>
        <w:rPr>
          <w:sz w:val="28"/>
        </w:rPr>
      </w:pPr>
    </w:p>
    <w:p>
      <w:pPr>
        <w:pStyle w:val="ListParagraph"/>
        <w:numPr>
          <w:ilvl w:val="0"/>
          <w:numId w:val="2"/>
        </w:numPr>
        <w:tabs>
          <w:tab w:pos="954" w:val="left" w:leader="none"/>
        </w:tabs>
        <w:spacing w:line="302" w:lineRule="auto" w:before="1" w:after="0"/>
        <w:ind w:left="103" w:right="119" w:firstLine="223"/>
        <w:jc w:val="both"/>
        <w:rPr>
          <w:sz w:val="23"/>
        </w:rPr>
      </w:pPr>
      <w:r>
        <w:rPr>
          <w:color w:val="231F20"/>
          <w:sz w:val="23"/>
        </w:rPr>
        <w:t>Mr.</w:t>
      </w:r>
      <w:r>
        <w:rPr>
          <w:color w:val="231F20"/>
          <w:spacing w:val="-51"/>
          <w:sz w:val="23"/>
        </w:rPr>
        <w:t> </w:t>
      </w:r>
      <w:r>
        <w:rPr>
          <w:color w:val="231F20"/>
          <w:sz w:val="23"/>
        </w:rPr>
        <w:t>Speaker,</w:t>
      </w:r>
      <w:r>
        <w:rPr>
          <w:color w:val="231F20"/>
          <w:spacing w:val="-50"/>
          <w:sz w:val="23"/>
        </w:rPr>
        <w:t> </w:t>
      </w:r>
      <w:r>
        <w:rPr>
          <w:color w:val="231F20"/>
          <w:sz w:val="23"/>
        </w:rPr>
        <w:t>Honourable</w:t>
      </w:r>
      <w:r>
        <w:rPr>
          <w:color w:val="231F20"/>
          <w:spacing w:val="-50"/>
          <w:sz w:val="23"/>
        </w:rPr>
        <w:t> </w:t>
      </w:r>
      <w:r>
        <w:rPr>
          <w:color w:val="231F20"/>
          <w:sz w:val="23"/>
        </w:rPr>
        <w:t>Members,</w:t>
      </w:r>
      <w:r>
        <w:rPr>
          <w:color w:val="231F20"/>
          <w:spacing w:val="-50"/>
          <w:sz w:val="23"/>
        </w:rPr>
        <w:t> </w:t>
      </w:r>
      <w:r>
        <w:rPr>
          <w:color w:val="231F20"/>
          <w:sz w:val="23"/>
        </w:rPr>
        <w:t>the</w:t>
      </w:r>
      <w:r>
        <w:rPr>
          <w:color w:val="231F20"/>
          <w:spacing w:val="-50"/>
          <w:sz w:val="23"/>
        </w:rPr>
        <w:t> </w:t>
      </w:r>
      <w:r>
        <w:rPr>
          <w:color w:val="231F20"/>
          <w:sz w:val="23"/>
        </w:rPr>
        <w:t>key</w:t>
      </w:r>
      <w:r>
        <w:rPr>
          <w:color w:val="231F20"/>
          <w:spacing w:val="-50"/>
          <w:sz w:val="23"/>
        </w:rPr>
        <w:t> </w:t>
      </w:r>
      <w:r>
        <w:rPr>
          <w:color w:val="231F20"/>
          <w:sz w:val="23"/>
        </w:rPr>
        <w:t>contributing</w:t>
      </w:r>
      <w:r>
        <w:rPr>
          <w:color w:val="231F20"/>
          <w:spacing w:val="-50"/>
          <w:sz w:val="23"/>
        </w:rPr>
        <w:t> </w:t>
      </w:r>
      <w:r>
        <w:rPr>
          <w:color w:val="231F20"/>
          <w:sz w:val="23"/>
        </w:rPr>
        <w:t>factors</w:t>
      </w:r>
      <w:r>
        <w:rPr>
          <w:color w:val="231F20"/>
          <w:spacing w:val="-50"/>
          <w:sz w:val="23"/>
        </w:rPr>
        <w:t> </w:t>
      </w:r>
      <w:r>
        <w:rPr>
          <w:color w:val="231F20"/>
          <w:sz w:val="23"/>
        </w:rPr>
        <w:t>to</w:t>
      </w:r>
      <w:r>
        <w:rPr>
          <w:color w:val="231F20"/>
          <w:spacing w:val="-50"/>
          <w:sz w:val="23"/>
        </w:rPr>
        <w:t> </w:t>
      </w:r>
      <w:r>
        <w:rPr>
          <w:color w:val="231F20"/>
          <w:sz w:val="23"/>
        </w:rPr>
        <w:t>the</w:t>
      </w:r>
      <w:r>
        <w:rPr>
          <w:color w:val="231F20"/>
          <w:spacing w:val="-50"/>
          <w:sz w:val="23"/>
        </w:rPr>
        <w:t> </w:t>
      </w:r>
      <w:r>
        <w:rPr>
          <w:color w:val="231F20"/>
          <w:sz w:val="23"/>
        </w:rPr>
        <w:t>improved revenue performance include: broadening of the Treasury Single Account; the continued</w:t>
      </w:r>
      <w:r>
        <w:rPr>
          <w:color w:val="231F20"/>
          <w:spacing w:val="-19"/>
          <w:sz w:val="23"/>
        </w:rPr>
        <w:t> </w:t>
      </w:r>
      <w:r>
        <w:rPr>
          <w:color w:val="231F20"/>
          <w:sz w:val="23"/>
        </w:rPr>
        <w:t>implementation</w:t>
      </w:r>
      <w:r>
        <w:rPr>
          <w:color w:val="231F20"/>
          <w:spacing w:val="-19"/>
          <w:sz w:val="23"/>
        </w:rPr>
        <w:t> </w:t>
      </w:r>
      <w:r>
        <w:rPr>
          <w:color w:val="231F20"/>
          <w:sz w:val="23"/>
        </w:rPr>
        <w:t>of</w:t>
      </w:r>
      <w:r>
        <w:rPr>
          <w:color w:val="231F20"/>
          <w:spacing w:val="-19"/>
          <w:sz w:val="23"/>
        </w:rPr>
        <w:t> </w:t>
      </w:r>
      <w:r>
        <w:rPr>
          <w:color w:val="231F20"/>
          <w:sz w:val="23"/>
        </w:rPr>
        <w:t>the</w:t>
      </w:r>
      <w:r>
        <w:rPr>
          <w:color w:val="231F20"/>
          <w:spacing w:val="-19"/>
          <w:sz w:val="23"/>
        </w:rPr>
        <w:t> </w:t>
      </w:r>
      <w:r>
        <w:rPr>
          <w:color w:val="231F20"/>
          <w:sz w:val="23"/>
        </w:rPr>
        <w:t>liberalised</w:t>
      </w:r>
      <w:r>
        <w:rPr>
          <w:color w:val="231F20"/>
          <w:spacing w:val="-19"/>
          <w:sz w:val="23"/>
        </w:rPr>
        <w:t> </w:t>
      </w:r>
      <w:r>
        <w:rPr>
          <w:color w:val="231F20"/>
          <w:sz w:val="23"/>
        </w:rPr>
        <w:t>petroleum</w:t>
      </w:r>
      <w:r>
        <w:rPr>
          <w:color w:val="231F20"/>
          <w:spacing w:val="-19"/>
          <w:sz w:val="23"/>
        </w:rPr>
        <w:t> </w:t>
      </w:r>
      <w:r>
        <w:rPr>
          <w:color w:val="231F20"/>
          <w:sz w:val="23"/>
        </w:rPr>
        <w:t>pricing</w:t>
      </w:r>
      <w:r>
        <w:rPr>
          <w:color w:val="231F20"/>
          <w:spacing w:val="-19"/>
          <w:sz w:val="23"/>
        </w:rPr>
        <w:t> </w:t>
      </w:r>
      <w:r>
        <w:rPr>
          <w:color w:val="231F20"/>
          <w:sz w:val="23"/>
        </w:rPr>
        <w:t>formula;</w:t>
      </w:r>
      <w:r>
        <w:rPr>
          <w:color w:val="231F20"/>
          <w:spacing w:val="-19"/>
          <w:sz w:val="23"/>
        </w:rPr>
        <w:t> </w:t>
      </w:r>
      <w:r>
        <w:rPr>
          <w:color w:val="231F20"/>
          <w:sz w:val="23"/>
        </w:rPr>
        <w:t>the</w:t>
      </w:r>
      <w:r>
        <w:rPr>
          <w:color w:val="231F20"/>
          <w:spacing w:val="-19"/>
          <w:sz w:val="23"/>
        </w:rPr>
        <w:t> </w:t>
      </w:r>
      <w:r>
        <w:rPr>
          <w:color w:val="231F20"/>
          <w:sz w:val="23"/>
        </w:rPr>
        <w:t>migration to ASYCUDA World; the adoption of the ECOWAS Common External Tariff (CET); improvement in tax enforcement by the National Revenue Authority (NRA); and intensive taxpayer education and trade</w:t>
      </w:r>
      <w:r>
        <w:rPr>
          <w:color w:val="231F20"/>
          <w:spacing w:val="55"/>
          <w:sz w:val="23"/>
        </w:rPr>
        <w:t> </w:t>
      </w:r>
      <w:r>
        <w:rPr>
          <w:color w:val="231F20"/>
          <w:sz w:val="23"/>
        </w:rPr>
        <w:t>facilitation.</w:t>
      </w:r>
    </w:p>
    <w:p>
      <w:pPr>
        <w:pStyle w:val="BodyText"/>
        <w:spacing w:before="8"/>
        <w:rPr>
          <w:sz w:val="28"/>
        </w:rPr>
      </w:pPr>
    </w:p>
    <w:p>
      <w:pPr>
        <w:pStyle w:val="ListParagraph"/>
        <w:numPr>
          <w:ilvl w:val="0"/>
          <w:numId w:val="2"/>
        </w:numPr>
        <w:tabs>
          <w:tab w:pos="953" w:val="left" w:leader="none"/>
          <w:tab w:pos="954" w:val="left" w:leader="none"/>
        </w:tabs>
        <w:spacing w:line="240" w:lineRule="auto" w:before="0" w:after="0"/>
        <w:ind w:left="953" w:right="0" w:hanging="627"/>
        <w:jc w:val="left"/>
        <w:rPr>
          <w:sz w:val="23"/>
        </w:rPr>
      </w:pPr>
      <w:r>
        <w:rPr>
          <w:color w:val="231F20"/>
          <w:sz w:val="23"/>
        </w:rPr>
        <w:t>Budget</w:t>
      </w:r>
      <w:r>
        <w:rPr>
          <w:color w:val="231F20"/>
          <w:spacing w:val="11"/>
          <w:sz w:val="23"/>
        </w:rPr>
        <w:t> </w:t>
      </w:r>
      <w:r>
        <w:rPr>
          <w:color w:val="231F20"/>
          <w:sz w:val="23"/>
        </w:rPr>
        <w:t>grants</w:t>
      </w:r>
      <w:r>
        <w:rPr>
          <w:color w:val="231F20"/>
          <w:spacing w:val="11"/>
          <w:sz w:val="23"/>
        </w:rPr>
        <w:t> </w:t>
      </w:r>
      <w:r>
        <w:rPr>
          <w:color w:val="231F20"/>
          <w:sz w:val="23"/>
        </w:rPr>
        <w:t>received</w:t>
      </w:r>
      <w:r>
        <w:rPr>
          <w:color w:val="231F20"/>
          <w:spacing w:val="11"/>
          <w:sz w:val="23"/>
        </w:rPr>
        <w:t> </w:t>
      </w:r>
      <w:r>
        <w:rPr>
          <w:color w:val="231F20"/>
          <w:sz w:val="23"/>
        </w:rPr>
        <w:t>during</w:t>
      </w:r>
      <w:r>
        <w:rPr>
          <w:color w:val="231F20"/>
          <w:spacing w:val="11"/>
          <w:sz w:val="23"/>
        </w:rPr>
        <w:t> </w:t>
      </w:r>
      <w:r>
        <w:rPr>
          <w:color w:val="231F20"/>
          <w:sz w:val="23"/>
        </w:rPr>
        <w:t>January</w:t>
      </w:r>
      <w:r>
        <w:rPr>
          <w:color w:val="231F20"/>
          <w:spacing w:val="11"/>
          <w:sz w:val="23"/>
        </w:rPr>
        <w:t> </w:t>
      </w:r>
      <w:r>
        <w:rPr>
          <w:color w:val="231F20"/>
          <w:sz w:val="23"/>
        </w:rPr>
        <w:t>to</w:t>
      </w:r>
      <w:r>
        <w:rPr>
          <w:color w:val="231F20"/>
          <w:spacing w:val="11"/>
          <w:sz w:val="23"/>
        </w:rPr>
        <w:t> </w:t>
      </w:r>
      <w:r>
        <w:rPr>
          <w:color w:val="231F20"/>
          <w:sz w:val="23"/>
        </w:rPr>
        <w:t>September</w:t>
      </w:r>
      <w:r>
        <w:rPr>
          <w:color w:val="231F20"/>
          <w:spacing w:val="11"/>
          <w:sz w:val="23"/>
        </w:rPr>
        <w:t> </w:t>
      </w:r>
      <w:r>
        <w:rPr>
          <w:color w:val="231F20"/>
          <w:sz w:val="23"/>
        </w:rPr>
        <w:t>2019</w:t>
      </w:r>
      <w:r>
        <w:rPr>
          <w:color w:val="231F20"/>
          <w:spacing w:val="11"/>
          <w:sz w:val="23"/>
        </w:rPr>
        <w:t> </w:t>
      </w:r>
      <w:r>
        <w:rPr>
          <w:color w:val="231F20"/>
          <w:sz w:val="23"/>
        </w:rPr>
        <w:t>amounted</w:t>
      </w:r>
      <w:r>
        <w:rPr>
          <w:color w:val="231F20"/>
          <w:spacing w:val="11"/>
          <w:sz w:val="23"/>
        </w:rPr>
        <w:t> </w:t>
      </w:r>
      <w:r>
        <w:rPr>
          <w:color w:val="231F20"/>
          <w:sz w:val="23"/>
        </w:rPr>
        <w:t>to</w:t>
      </w:r>
      <w:r>
        <w:rPr>
          <w:color w:val="231F20"/>
          <w:spacing w:val="11"/>
          <w:sz w:val="23"/>
        </w:rPr>
        <w:t> </w:t>
      </w:r>
      <w:r>
        <w:rPr>
          <w:color w:val="231F20"/>
          <w:sz w:val="23"/>
        </w:rPr>
        <w:t>Le</w:t>
      </w:r>
    </w:p>
    <w:p>
      <w:pPr>
        <w:pStyle w:val="BodyText"/>
        <w:spacing w:line="302" w:lineRule="auto" w:before="71"/>
        <w:ind w:left="103" w:right="122"/>
      </w:pPr>
      <w:r>
        <w:rPr>
          <w:color w:val="231F20"/>
        </w:rPr>
        <w:t>815.3</w:t>
      </w:r>
      <w:r>
        <w:rPr>
          <w:color w:val="231F20"/>
          <w:spacing w:val="-43"/>
        </w:rPr>
        <w:t> </w:t>
      </w:r>
      <w:r>
        <w:rPr>
          <w:color w:val="231F20"/>
        </w:rPr>
        <w:t>billion.</w:t>
      </w:r>
      <w:r>
        <w:rPr>
          <w:color w:val="231F20"/>
          <w:spacing w:val="-11"/>
        </w:rPr>
        <w:t> </w:t>
      </w:r>
      <w:r>
        <w:rPr>
          <w:color w:val="231F20"/>
        </w:rPr>
        <w:t>Of</w:t>
      </w:r>
      <w:r>
        <w:rPr>
          <w:color w:val="231F20"/>
          <w:spacing w:val="-43"/>
        </w:rPr>
        <w:t> </w:t>
      </w:r>
      <w:r>
        <w:rPr>
          <w:color w:val="231F20"/>
        </w:rPr>
        <w:t>this,</w:t>
      </w:r>
      <w:r>
        <w:rPr>
          <w:color w:val="231F20"/>
          <w:spacing w:val="-43"/>
        </w:rPr>
        <w:t> </w:t>
      </w:r>
      <w:r>
        <w:rPr>
          <w:color w:val="231F20"/>
        </w:rPr>
        <w:t>Le</w:t>
      </w:r>
      <w:r>
        <w:rPr>
          <w:color w:val="231F20"/>
          <w:spacing w:val="-43"/>
        </w:rPr>
        <w:t> </w:t>
      </w:r>
      <w:r>
        <w:rPr>
          <w:color w:val="231F20"/>
        </w:rPr>
        <w:t>521.3</w:t>
      </w:r>
      <w:r>
        <w:rPr>
          <w:color w:val="231F20"/>
          <w:spacing w:val="-42"/>
        </w:rPr>
        <w:t> </w:t>
      </w:r>
      <w:r>
        <w:rPr>
          <w:color w:val="231F20"/>
        </w:rPr>
        <w:t>billion</w:t>
      </w:r>
      <w:r>
        <w:rPr>
          <w:color w:val="231F20"/>
          <w:spacing w:val="-43"/>
        </w:rPr>
        <w:t> </w:t>
      </w:r>
      <w:r>
        <w:rPr>
          <w:color w:val="231F20"/>
        </w:rPr>
        <w:t>was</w:t>
      </w:r>
      <w:r>
        <w:rPr>
          <w:color w:val="231F20"/>
          <w:spacing w:val="-43"/>
        </w:rPr>
        <w:t> </w:t>
      </w:r>
      <w:r>
        <w:rPr>
          <w:color w:val="231F20"/>
        </w:rPr>
        <w:t>budget</w:t>
      </w:r>
      <w:r>
        <w:rPr>
          <w:color w:val="231F20"/>
          <w:spacing w:val="-43"/>
        </w:rPr>
        <w:t> </w:t>
      </w:r>
      <w:r>
        <w:rPr>
          <w:color w:val="231F20"/>
        </w:rPr>
        <w:t>support,</w:t>
      </w:r>
      <w:r>
        <w:rPr>
          <w:color w:val="231F20"/>
          <w:spacing w:val="-43"/>
        </w:rPr>
        <w:t> </w:t>
      </w:r>
      <w:r>
        <w:rPr>
          <w:color w:val="231F20"/>
        </w:rPr>
        <w:t>disbursed</w:t>
      </w:r>
      <w:r>
        <w:rPr>
          <w:color w:val="231F20"/>
          <w:spacing w:val="-43"/>
        </w:rPr>
        <w:t> </w:t>
      </w:r>
      <w:r>
        <w:rPr>
          <w:color w:val="231F20"/>
        </w:rPr>
        <w:t>by</w:t>
      </w:r>
      <w:r>
        <w:rPr>
          <w:color w:val="231F20"/>
          <w:spacing w:val="-42"/>
        </w:rPr>
        <w:t> </w:t>
      </w:r>
      <w:r>
        <w:rPr>
          <w:color w:val="231F20"/>
        </w:rPr>
        <w:t>the</w:t>
      </w:r>
      <w:r>
        <w:rPr>
          <w:color w:val="231F20"/>
          <w:spacing w:val="-43"/>
        </w:rPr>
        <w:t> </w:t>
      </w:r>
      <w:r>
        <w:rPr>
          <w:color w:val="231F20"/>
        </w:rPr>
        <w:t>World</w:t>
      </w:r>
      <w:r>
        <w:rPr>
          <w:color w:val="231F20"/>
          <w:spacing w:val="-43"/>
        </w:rPr>
        <w:t> </w:t>
      </w:r>
      <w:r>
        <w:rPr>
          <w:color w:val="231F20"/>
        </w:rPr>
        <w:t>Bank and the African Development Bank. Project grants amounted to Le287.1</w:t>
      </w:r>
      <w:r>
        <w:rPr>
          <w:color w:val="231F20"/>
          <w:spacing w:val="-30"/>
        </w:rPr>
        <w:t> </w:t>
      </w:r>
      <w:r>
        <w:rPr>
          <w:color w:val="231F20"/>
        </w:rPr>
        <w:t>billion.</w:t>
      </w:r>
    </w:p>
    <w:p>
      <w:pPr>
        <w:pStyle w:val="BodyText"/>
        <w:spacing w:before="11"/>
        <w:rPr>
          <w:sz w:val="28"/>
        </w:rPr>
      </w:pPr>
    </w:p>
    <w:p>
      <w:pPr>
        <w:pStyle w:val="ListParagraph"/>
        <w:numPr>
          <w:ilvl w:val="0"/>
          <w:numId w:val="2"/>
        </w:numPr>
        <w:tabs>
          <w:tab w:pos="954" w:val="left" w:leader="none"/>
        </w:tabs>
        <w:spacing w:line="302" w:lineRule="auto" w:before="0" w:after="0"/>
        <w:ind w:left="103" w:right="120" w:firstLine="223"/>
        <w:jc w:val="both"/>
        <w:rPr>
          <w:sz w:val="23"/>
        </w:rPr>
      </w:pPr>
      <w:r>
        <w:rPr>
          <w:color w:val="231F20"/>
          <w:sz w:val="23"/>
        </w:rPr>
        <w:t>Mr. Speaker, Honourable Members, total expenditure and net lending for January to September 2019 is estimated at Le5.9 trillion. Recurrent expenditures amounted to Le4.3 trillion, of which wages and salaries are Le1.8 trillion; subsidies and</w:t>
      </w:r>
      <w:r>
        <w:rPr>
          <w:color w:val="231F20"/>
          <w:spacing w:val="-46"/>
          <w:sz w:val="23"/>
        </w:rPr>
        <w:t> </w:t>
      </w:r>
      <w:r>
        <w:rPr>
          <w:color w:val="231F20"/>
          <w:sz w:val="23"/>
        </w:rPr>
        <w:t>transfers,</w:t>
      </w:r>
      <w:r>
        <w:rPr>
          <w:color w:val="231F20"/>
          <w:spacing w:val="-45"/>
          <w:sz w:val="23"/>
        </w:rPr>
        <w:t> </w:t>
      </w:r>
      <w:r>
        <w:rPr>
          <w:color w:val="231F20"/>
          <w:sz w:val="23"/>
        </w:rPr>
        <w:t>Le576.1</w:t>
      </w:r>
      <w:r>
        <w:rPr>
          <w:color w:val="231F20"/>
          <w:spacing w:val="-45"/>
          <w:sz w:val="23"/>
        </w:rPr>
        <w:t> </w:t>
      </w:r>
      <w:r>
        <w:rPr>
          <w:color w:val="231F20"/>
          <w:sz w:val="23"/>
        </w:rPr>
        <w:t>billion;</w:t>
      </w:r>
      <w:r>
        <w:rPr>
          <w:color w:val="231F20"/>
          <w:spacing w:val="-45"/>
          <w:sz w:val="23"/>
        </w:rPr>
        <w:t> </w:t>
      </w:r>
      <w:r>
        <w:rPr>
          <w:color w:val="231F20"/>
          <w:sz w:val="23"/>
        </w:rPr>
        <w:t>and</w:t>
      </w:r>
      <w:r>
        <w:rPr>
          <w:color w:val="231F20"/>
          <w:spacing w:val="-46"/>
          <w:sz w:val="23"/>
        </w:rPr>
        <w:t> </w:t>
      </w:r>
      <w:r>
        <w:rPr>
          <w:color w:val="231F20"/>
          <w:sz w:val="23"/>
        </w:rPr>
        <w:t>interest</w:t>
      </w:r>
      <w:r>
        <w:rPr>
          <w:color w:val="231F20"/>
          <w:spacing w:val="-45"/>
          <w:sz w:val="23"/>
        </w:rPr>
        <w:t> </w:t>
      </w:r>
      <w:r>
        <w:rPr>
          <w:color w:val="231F20"/>
          <w:sz w:val="23"/>
        </w:rPr>
        <w:t>payments,</w:t>
      </w:r>
      <w:r>
        <w:rPr>
          <w:color w:val="231F20"/>
          <w:spacing w:val="-45"/>
          <w:sz w:val="23"/>
        </w:rPr>
        <w:t> </w:t>
      </w:r>
      <w:r>
        <w:rPr>
          <w:color w:val="231F20"/>
          <w:sz w:val="23"/>
        </w:rPr>
        <w:t>Le891.3</w:t>
      </w:r>
      <w:r>
        <w:rPr>
          <w:color w:val="231F20"/>
          <w:spacing w:val="-45"/>
          <w:sz w:val="23"/>
        </w:rPr>
        <w:t> </w:t>
      </w:r>
      <w:r>
        <w:rPr>
          <w:color w:val="231F20"/>
          <w:sz w:val="23"/>
        </w:rPr>
        <w:t>billion.</w:t>
      </w:r>
      <w:r>
        <w:rPr>
          <w:color w:val="231F20"/>
          <w:spacing w:val="-46"/>
          <w:sz w:val="23"/>
        </w:rPr>
        <w:t> </w:t>
      </w:r>
      <w:r>
        <w:rPr>
          <w:color w:val="231F20"/>
          <w:sz w:val="23"/>
        </w:rPr>
        <w:t>Domestic</w:t>
      </w:r>
      <w:r>
        <w:rPr>
          <w:color w:val="231F20"/>
          <w:spacing w:val="-45"/>
          <w:sz w:val="23"/>
        </w:rPr>
        <w:t> </w:t>
      </w:r>
      <w:r>
        <w:rPr>
          <w:color w:val="231F20"/>
          <w:sz w:val="23"/>
        </w:rPr>
        <w:t>capital </w:t>
      </w:r>
      <w:r>
        <w:rPr>
          <w:color w:val="231F20"/>
          <w:spacing w:val="-3"/>
          <w:sz w:val="23"/>
        </w:rPr>
        <w:t>expenditure</w:t>
      </w:r>
      <w:r>
        <w:rPr>
          <w:color w:val="231F20"/>
          <w:spacing w:val="-41"/>
          <w:sz w:val="23"/>
        </w:rPr>
        <w:t> </w:t>
      </w:r>
      <w:r>
        <w:rPr>
          <w:color w:val="231F20"/>
          <w:spacing w:val="-3"/>
          <w:sz w:val="23"/>
        </w:rPr>
        <w:t>amounted</w:t>
      </w:r>
      <w:r>
        <w:rPr>
          <w:color w:val="231F20"/>
          <w:spacing w:val="-40"/>
          <w:sz w:val="23"/>
        </w:rPr>
        <w:t> </w:t>
      </w:r>
      <w:r>
        <w:rPr>
          <w:color w:val="231F20"/>
          <w:sz w:val="23"/>
        </w:rPr>
        <w:t>to</w:t>
      </w:r>
      <w:r>
        <w:rPr>
          <w:color w:val="231F20"/>
          <w:spacing w:val="-40"/>
          <w:sz w:val="23"/>
        </w:rPr>
        <w:t> </w:t>
      </w:r>
      <w:r>
        <w:rPr>
          <w:color w:val="231F20"/>
          <w:spacing w:val="-3"/>
          <w:sz w:val="23"/>
        </w:rPr>
        <w:t>Le708.0</w:t>
      </w:r>
      <w:r>
        <w:rPr>
          <w:color w:val="231F20"/>
          <w:spacing w:val="-40"/>
          <w:sz w:val="23"/>
        </w:rPr>
        <w:t> </w:t>
      </w:r>
      <w:r>
        <w:rPr>
          <w:color w:val="231F20"/>
          <w:spacing w:val="-3"/>
          <w:sz w:val="23"/>
        </w:rPr>
        <w:t>billion;</w:t>
      </w:r>
      <w:r>
        <w:rPr>
          <w:color w:val="231F20"/>
          <w:spacing w:val="-40"/>
          <w:sz w:val="23"/>
        </w:rPr>
        <w:t> </w:t>
      </w:r>
      <w:r>
        <w:rPr>
          <w:color w:val="231F20"/>
          <w:spacing w:val="-3"/>
          <w:sz w:val="23"/>
        </w:rPr>
        <w:t>foreign</w:t>
      </w:r>
      <w:r>
        <w:rPr>
          <w:color w:val="231F20"/>
          <w:spacing w:val="-40"/>
          <w:sz w:val="23"/>
        </w:rPr>
        <w:t> </w:t>
      </w:r>
      <w:r>
        <w:rPr>
          <w:color w:val="231F20"/>
          <w:spacing w:val="-3"/>
          <w:sz w:val="23"/>
        </w:rPr>
        <w:t>funded</w:t>
      </w:r>
      <w:r>
        <w:rPr>
          <w:color w:val="231F20"/>
          <w:spacing w:val="-40"/>
          <w:sz w:val="23"/>
        </w:rPr>
        <w:t> </w:t>
      </w:r>
      <w:r>
        <w:rPr>
          <w:color w:val="231F20"/>
          <w:spacing w:val="-3"/>
          <w:sz w:val="23"/>
        </w:rPr>
        <w:t>capital</w:t>
      </w:r>
      <w:r>
        <w:rPr>
          <w:color w:val="231F20"/>
          <w:spacing w:val="-40"/>
          <w:sz w:val="23"/>
        </w:rPr>
        <w:t> </w:t>
      </w:r>
      <w:r>
        <w:rPr>
          <w:color w:val="231F20"/>
          <w:spacing w:val="-3"/>
          <w:sz w:val="23"/>
        </w:rPr>
        <w:t>expenditures</w:t>
      </w:r>
      <w:r>
        <w:rPr>
          <w:color w:val="231F20"/>
          <w:spacing w:val="-40"/>
          <w:sz w:val="23"/>
        </w:rPr>
        <w:t> </w:t>
      </w:r>
      <w:r>
        <w:rPr>
          <w:color w:val="231F20"/>
          <w:spacing w:val="-3"/>
          <w:sz w:val="23"/>
        </w:rPr>
        <w:t>amounted </w:t>
      </w:r>
      <w:r>
        <w:rPr>
          <w:color w:val="231F20"/>
          <w:sz w:val="23"/>
        </w:rPr>
        <w:t>to Le639.6</w:t>
      </w:r>
      <w:r>
        <w:rPr>
          <w:color w:val="231F20"/>
          <w:spacing w:val="-32"/>
          <w:sz w:val="23"/>
        </w:rPr>
        <w:t> </w:t>
      </w:r>
      <w:r>
        <w:rPr>
          <w:color w:val="231F20"/>
          <w:sz w:val="23"/>
        </w:rPr>
        <w:t>billion.</w:t>
      </w:r>
    </w:p>
    <w:p>
      <w:pPr>
        <w:pStyle w:val="BodyText"/>
        <w:spacing w:before="11"/>
        <w:rPr>
          <w:sz w:val="28"/>
        </w:rPr>
      </w:pPr>
    </w:p>
    <w:p>
      <w:pPr>
        <w:pStyle w:val="ListParagraph"/>
        <w:numPr>
          <w:ilvl w:val="0"/>
          <w:numId w:val="2"/>
        </w:numPr>
        <w:tabs>
          <w:tab w:pos="954" w:val="left" w:leader="none"/>
        </w:tabs>
        <w:spacing w:line="302" w:lineRule="auto" w:before="0" w:after="0"/>
        <w:ind w:left="103" w:right="120" w:firstLine="223"/>
        <w:jc w:val="both"/>
        <w:rPr>
          <w:sz w:val="23"/>
        </w:rPr>
      </w:pPr>
      <w:r>
        <w:rPr>
          <w:color w:val="231F20"/>
          <w:sz w:val="23"/>
        </w:rPr>
        <w:t>The</w:t>
      </w:r>
      <w:r>
        <w:rPr>
          <w:color w:val="231F20"/>
          <w:spacing w:val="-9"/>
          <w:sz w:val="23"/>
        </w:rPr>
        <w:t> </w:t>
      </w:r>
      <w:r>
        <w:rPr>
          <w:color w:val="231F20"/>
          <w:sz w:val="23"/>
        </w:rPr>
        <w:t>overall</w:t>
      </w:r>
      <w:r>
        <w:rPr>
          <w:color w:val="231F20"/>
          <w:spacing w:val="-9"/>
          <w:sz w:val="23"/>
        </w:rPr>
        <w:t> </w:t>
      </w:r>
      <w:r>
        <w:rPr>
          <w:color w:val="231F20"/>
          <w:sz w:val="23"/>
        </w:rPr>
        <w:t>deficit,</w:t>
      </w:r>
      <w:r>
        <w:rPr>
          <w:color w:val="231F20"/>
          <w:spacing w:val="-9"/>
          <w:sz w:val="23"/>
        </w:rPr>
        <w:t> </w:t>
      </w:r>
      <w:r>
        <w:rPr>
          <w:color w:val="231F20"/>
          <w:sz w:val="23"/>
        </w:rPr>
        <w:t>including</w:t>
      </w:r>
      <w:r>
        <w:rPr>
          <w:color w:val="231F20"/>
          <w:spacing w:val="-9"/>
          <w:sz w:val="23"/>
        </w:rPr>
        <w:t> </w:t>
      </w:r>
      <w:r>
        <w:rPr>
          <w:color w:val="231F20"/>
          <w:sz w:val="23"/>
        </w:rPr>
        <w:t>grants</w:t>
      </w:r>
      <w:r>
        <w:rPr>
          <w:color w:val="231F20"/>
          <w:spacing w:val="-9"/>
          <w:sz w:val="23"/>
        </w:rPr>
        <w:t> </w:t>
      </w:r>
      <w:r>
        <w:rPr>
          <w:color w:val="231F20"/>
          <w:sz w:val="23"/>
        </w:rPr>
        <w:t>for</w:t>
      </w:r>
      <w:r>
        <w:rPr>
          <w:color w:val="231F20"/>
          <w:spacing w:val="-9"/>
          <w:sz w:val="23"/>
        </w:rPr>
        <w:t> </w:t>
      </w:r>
      <w:r>
        <w:rPr>
          <w:color w:val="231F20"/>
          <w:sz w:val="23"/>
        </w:rPr>
        <w:t>January</w:t>
      </w:r>
      <w:r>
        <w:rPr>
          <w:color w:val="231F20"/>
          <w:spacing w:val="-9"/>
          <w:sz w:val="23"/>
        </w:rPr>
        <w:t> </w:t>
      </w:r>
      <w:r>
        <w:rPr>
          <w:color w:val="231F20"/>
          <w:sz w:val="23"/>
        </w:rPr>
        <w:t>to</w:t>
      </w:r>
      <w:r>
        <w:rPr>
          <w:color w:val="231F20"/>
          <w:spacing w:val="-9"/>
          <w:sz w:val="23"/>
        </w:rPr>
        <w:t> </w:t>
      </w:r>
      <w:r>
        <w:rPr>
          <w:color w:val="231F20"/>
          <w:sz w:val="23"/>
        </w:rPr>
        <w:t>September</w:t>
      </w:r>
      <w:r>
        <w:rPr>
          <w:color w:val="231F20"/>
          <w:spacing w:val="-9"/>
          <w:sz w:val="23"/>
        </w:rPr>
        <w:t> </w:t>
      </w:r>
      <w:r>
        <w:rPr>
          <w:color w:val="231F20"/>
          <w:sz w:val="23"/>
        </w:rPr>
        <w:t>is</w:t>
      </w:r>
      <w:r>
        <w:rPr>
          <w:color w:val="231F20"/>
          <w:spacing w:val="-9"/>
          <w:sz w:val="23"/>
        </w:rPr>
        <w:t> </w:t>
      </w:r>
      <w:r>
        <w:rPr>
          <w:color w:val="231F20"/>
          <w:sz w:val="23"/>
        </w:rPr>
        <w:t>estimated</w:t>
      </w:r>
      <w:r>
        <w:rPr>
          <w:color w:val="231F20"/>
          <w:spacing w:val="-9"/>
          <w:sz w:val="23"/>
        </w:rPr>
        <w:t> </w:t>
      </w:r>
      <w:r>
        <w:rPr>
          <w:color w:val="231F20"/>
          <w:sz w:val="23"/>
        </w:rPr>
        <w:t>at Le1.6</w:t>
      </w:r>
      <w:r>
        <w:rPr>
          <w:color w:val="231F20"/>
          <w:spacing w:val="-18"/>
          <w:sz w:val="23"/>
        </w:rPr>
        <w:t> </w:t>
      </w:r>
      <w:r>
        <w:rPr>
          <w:color w:val="231F20"/>
          <w:sz w:val="23"/>
        </w:rPr>
        <w:t>trillion</w:t>
      </w:r>
      <w:r>
        <w:rPr>
          <w:color w:val="231F20"/>
          <w:spacing w:val="-18"/>
          <w:sz w:val="23"/>
        </w:rPr>
        <w:t> </w:t>
      </w:r>
      <w:r>
        <w:rPr>
          <w:color w:val="231F20"/>
          <w:sz w:val="23"/>
        </w:rPr>
        <w:t>(4.2</w:t>
      </w:r>
      <w:r>
        <w:rPr>
          <w:color w:val="231F20"/>
          <w:spacing w:val="-18"/>
          <w:sz w:val="23"/>
        </w:rPr>
        <w:t> </w:t>
      </w:r>
      <w:r>
        <w:rPr>
          <w:color w:val="231F20"/>
          <w:sz w:val="23"/>
        </w:rPr>
        <w:t>percent</w:t>
      </w:r>
      <w:r>
        <w:rPr>
          <w:color w:val="231F20"/>
          <w:spacing w:val="-18"/>
          <w:sz w:val="23"/>
        </w:rPr>
        <w:t> </w:t>
      </w:r>
      <w:r>
        <w:rPr>
          <w:color w:val="231F20"/>
          <w:sz w:val="23"/>
        </w:rPr>
        <w:t>of</w:t>
      </w:r>
      <w:r>
        <w:rPr>
          <w:color w:val="231F20"/>
          <w:spacing w:val="-18"/>
          <w:sz w:val="23"/>
        </w:rPr>
        <w:t> </w:t>
      </w:r>
      <w:r>
        <w:rPr>
          <w:color w:val="231F20"/>
          <w:sz w:val="23"/>
        </w:rPr>
        <w:t>GDP).</w:t>
      </w:r>
      <w:r>
        <w:rPr>
          <w:color w:val="231F20"/>
          <w:spacing w:val="-18"/>
          <w:sz w:val="23"/>
        </w:rPr>
        <w:t> </w:t>
      </w:r>
      <w:r>
        <w:rPr>
          <w:color w:val="231F20"/>
          <w:sz w:val="23"/>
        </w:rPr>
        <w:t>Including</w:t>
      </w:r>
      <w:r>
        <w:rPr>
          <w:color w:val="231F20"/>
          <w:spacing w:val="-18"/>
          <w:sz w:val="23"/>
        </w:rPr>
        <w:t> </w:t>
      </w:r>
      <w:r>
        <w:rPr>
          <w:color w:val="231F20"/>
          <w:sz w:val="23"/>
        </w:rPr>
        <w:t>grants,</w:t>
      </w:r>
      <w:r>
        <w:rPr>
          <w:color w:val="231F20"/>
          <w:spacing w:val="-18"/>
          <w:sz w:val="23"/>
        </w:rPr>
        <w:t> </w:t>
      </w:r>
      <w:r>
        <w:rPr>
          <w:color w:val="231F20"/>
          <w:sz w:val="23"/>
        </w:rPr>
        <w:t>the</w:t>
      </w:r>
      <w:r>
        <w:rPr>
          <w:color w:val="231F20"/>
          <w:spacing w:val="-18"/>
          <w:sz w:val="23"/>
        </w:rPr>
        <w:t> </w:t>
      </w:r>
      <w:r>
        <w:rPr>
          <w:color w:val="231F20"/>
          <w:sz w:val="23"/>
        </w:rPr>
        <w:t>deficit</w:t>
      </w:r>
      <w:r>
        <w:rPr>
          <w:color w:val="231F20"/>
          <w:spacing w:val="-18"/>
          <w:sz w:val="23"/>
        </w:rPr>
        <w:t> </w:t>
      </w:r>
      <w:r>
        <w:rPr>
          <w:color w:val="231F20"/>
          <w:sz w:val="23"/>
        </w:rPr>
        <w:t>is</w:t>
      </w:r>
      <w:r>
        <w:rPr>
          <w:color w:val="231F20"/>
          <w:spacing w:val="-18"/>
          <w:sz w:val="23"/>
        </w:rPr>
        <w:t> </w:t>
      </w:r>
      <w:r>
        <w:rPr>
          <w:color w:val="231F20"/>
          <w:sz w:val="23"/>
        </w:rPr>
        <w:t>Le.756.8</w:t>
      </w:r>
      <w:r>
        <w:rPr>
          <w:color w:val="231F20"/>
          <w:spacing w:val="-18"/>
          <w:sz w:val="23"/>
        </w:rPr>
        <w:t> </w:t>
      </w:r>
      <w:r>
        <w:rPr>
          <w:color w:val="231F20"/>
          <w:sz w:val="23"/>
        </w:rPr>
        <w:t>billion</w:t>
      </w:r>
      <w:r>
        <w:rPr>
          <w:color w:val="231F20"/>
          <w:spacing w:val="-18"/>
          <w:sz w:val="23"/>
        </w:rPr>
        <w:t> </w:t>
      </w:r>
      <w:r>
        <w:rPr>
          <w:color w:val="231F20"/>
          <w:sz w:val="23"/>
        </w:rPr>
        <w:t>(2.0 percent of</w:t>
      </w:r>
      <w:r>
        <w:rPr>
          <w:color w:val="231F20"/>
          <w:spacing w:val="-2"/>
          <w:sz w:val="23"/>
        </w:rPr>
        <w:t> </w:t>
      </w:r>
      <w:r>
        <w:rPr>
          <w:color w:val="231F20"/>
          <w:sz w:val="23"/>
        </w:rPr>
        <w:t>GDP).</w:t>
      </w:r>
    </w:p>
    <w:p>
      <w:pPr>
        <w:pStyle w:val="BodyText"/>
        <w:rPr>
          <w:sz w:val="20"/>
        </w:rPr>
      </w:pPr>
    </w:p>
    <w:p>
      <w:pPr>
        <w:pStyle w:val="BodyText"/>
        <w:rPr>
          <w:sz w:val="20"/>
        </w:rPr>
      </w:pPr>
    </w:p>
    <w:p>
      <w:pPr>
        <w:pStyle w:val="Heading1"/>
        <w:spacing w:before="251"/>
        <w:ind w:left="57" w:right="0"/>
      </w:pPr>
      <w:r>
        <w:rPr>
          <w:color w:val="231F20"/>
        </w:rPr>
        <w:t>8</w:t>
      </w:r>
    </w:p>
    <w:p>
      <w:pPr>
        <w:spacing w:after="0"/>
        <w:sectPr>
          <w:pgSz w:w="11900" w:h="16840"/>
          <w:pgMar w:top="1180" w:bottom="280" w:left="1140" w:right="1120"/>
        </w:sectPr>
      </w:pPr>
    </w:p>
    <w:p>
      <w:pPr>
        <w:pStyle w:val="Heading2"/>
        <w:spacing w:before="77"/>
      </w:pPr>
      <w:r>
        <w:rPr>
          <w:color w:val="231F20"/>
        </w:rPr>
        <w:t>Medium-Term-Economic Outlook: 2020-2022</w:t>
      </w:r>
    </w:p>
    <w:p>
      <w:pPr>
        <w:pStyle w:val="ListParagraph"/>
        <w:numPr>
          <w:ilvl w:val="0"/>
          <w:numId w:val="2"/>
        </w:numPr>
        <w:tabs>
          <w:tab w:pos="954" w:val="left" w:leader="none"/>
        </w:tabs>
        <w:spacing w:line="302" w:lineRule="auto" w:before="71" w:after="0"/>
        <w:ind w:left="103" w:right="123" w:firstLine="223"/>
        <w:jc w:val="both"/>
        <w:rPr>
          <w:sz w:val="23"/>
        </w:rPr>
      </w:pPr>
      <w:r>
        <w:rPr>
          <w:color w:val="231F20"/>
          <w:sz w:val="23"/>
        </w:rPr>
        <w:t>Mr. Speaker, Honourable Members, the medium-term economic outlook is favourable.</w:t>
      </w:r>
      <w:r>
        <w:rPr>
          <w:color w:val="231F20"/>
          <w:spacing w:val="-5"/>
          <w:sz w:val="23"/>
        </w:rPr>
        <w:t> </w:t>
      </w:r>
      <w:r>
        <w:rPr>
          <w:color w:val="231F20"/>
          <w:sz w:val="23"/>
        </w:rPr>
        <w:t>The</w:t>
      </w:r>
      <w:r>
        <w:rPr>
          <w:color w:val="231F20"/>
          <w:spacing w:val="-5"/>
          <w:sz w:val="23"/>
        </w:rPr>
        <w:t> </w:t>
      </w:r>
      <w:r>
        <w:rPr>
          <w:color w:val="231F20"/>
          <w:sz w:val="23"/>
        </w:rPr>
        <w:t>economy</w:t>
      </w:r>
      <w:r>
        <w:rPr>
          <w:color w:val="231F20"/>
          <w:spacing w:val="-5"/>
          <w:sz w:val="23"/>
        </w:rPr>
        <w:t> </w:t>
      </w:r>
      <w:r>
        <w:rPr>
          <w:color w:val="231F20"/>
          <w:sz w:val="23"/>
        </w:rPr>
        <w:t>is</w:t>
      </w:r>
      <w:r>
        <w:rPr>
          <w:color w:val="231F20"/>
          <w:spacing w:val="-5"/>
          <w:sz w:val="23"/>
        </w:rPr>
        <w:t> </w:t>
      </w:r>
      <w:r>
        <w:rPr>
          <w:color w:val="231F20"/>
          <w:sz w:val="23"/>
        </w:rPr>
        <w:t>projected</w:t>
      </w:r>
      <w:r>
        <w:rPr>
          <w:color w:val="231F20"/>
          <w:spacing w:val="-5"/>
          <w:sz w:val="23"/>
        </w:rPr>
        <w:t> </w:t>
      </w:r>
      <w:r>
        <w:rPr>
          <w:color w:val="231F20"/>
          <w:sz w:val="23"/>
        </w:rPr>
        <w:t>to</w:t>
      </w:r>
      <w:r>
        <w:rPr>
          <w:color w:val="231F20"/>
          <w:spacing w:val="-5"/>
          <w:sz w:val="23"/>
        </w:rPr>
        <w:t> </w:t>
      </w:r>
      <w:r>
        <w:rPr>
          <w:color w:val="231F20"/>
          <w:sz w:val="23"/>
        </w:rPr>
        <w:t>further</w:t>
      </w:r>
      <w:r>
        <w:rPr>
          <w:color w:val="231F20"/>
          <w:spacing w:val="-5"/>
          <w:sz w:val="23"/>
        </w:rPr>
        <w:t> </w:t>
      </w:r>
      <w:r>
        <w:rPr>
          <w:color w:val="231F20"/>
          <w:sz w:val="23"/>
        </w:rPr>
        <w:t>expand</w:t>
      </w:r>
      <w:r>
        <w:rPr>
          <w:color w:val="231F20"/>
          <w:spacing w:val="-5"/>
          <w:sz w:val="23"/>
        </w:rPr>
        <w:t> </w:t>
      </w:r>
      <w:r>
        <w:rPr>
          <w:color w:val="231F20"/>
          <w:sz w:val="23"/>
        </w:rPr>
        <w:t>by</w:t>
      </w:r>
      <w:r>
        <w:rPr>
          <w:color w:val="231F20"/>
          <w:spacing w:val="-5"/>
          <w:sz w:val="23"/>
        </w:rPr>
        <w:t> </w:t>
      </w:r>
      <w:r>
        <w:rPr>
          <w:color w:val="231F20"/>
          <w:sz w:val="23"/>
        </w:rPr>
        <w:t>an</w:t>
      </w:r>
      <w:r>
        <w:rPr>
          <w:color w:val="231F20"/>
          <w:spacing w:val="-5"/>
          <w:sz w:val="23"/>
        </w:rPr>
        <w:t> </w:t>
      </w:r>
      <w:r>
        <w:rPr>
          <w:color w:val="231F20"/>
          <w:sz w:val="23"/>
        </w:rPr>
        <w:t>average</w:t>
      </w:r>
      <w:r>
        <w:rPr>
          <w:color w:val="231F20"/>
          <w:spacing w:val="-5"/>
          <w:sz w:val="23"/>
        </w:rPr>
        <w:t> </w:t>
      </w:r>
      <w:r>
        <w:rPr>
          <w:color w:val="231F20"/>
          <w:sz w:val="23"/>
        </w:rPr>
        <w:t>of</w:t>
      </w:r>
      <w:r>
        <w:rPr>
          <w:color w:val="231F20"/>
          <w:spacing w:val="-5"/>
          <w:sz w:val="23"/>
        </w:rPr>
        <w:t> </w:t>
      </w:r>
      <w:r>
        <w:rPr>
          <w:color w:val="231F20"/>
          <w:sz w:val="23"/>
        </w:rPr>
        <w:t>4.7</w:t>
      </w:r>
      <w:r>
        <w:rPr>
          <w:color w:val="231F20"/>
          <w:spacing w:val="-5"/>
          <w:sz w:val="23"/>
        </w:rPr>
        <w:t> </w:t>
      </w:r>
      <w:r>
        <w:rPr>
          <w:color w:val="231F20"/>
          <w:sz w:val="23"/>
        </w:rPr>
        <w:t>percent during 2020 to 2022. The main sources of medium-term growth prospects</w:t>
      </w:r>
      <w:r>
        <w:rPr>
          <w:color w:val="231F20"/>
          <w:spacing w:val="1"/>
          <w:sz w:val="23"/>
        </w:rPr>
        <w:t> </w:t>
      </w:r>
      <w:r>
        <w:rPr>
          <w:color w:val="231F20"/>
          <w:sz w:val="23"/>
        </w:rPr>
        <w:t>are:</w:t>
      </w:r>
    </w:p>
    <w:p>
      <w:pPr>
        <w:pStyle w:val="BodyText"/>
        <w:spacing w:line="302" w:lineRule="auto"/>
        <w:ind w:left="103" w:right="118" w:firstLine="2"/>
        <w:jc w:val="both"/>
      </w:pPr>
      <w:r>
        <w:rPr>
          <w:color w:val="231F20"/>
        </w:rPr>
        <w:t>(i) sector reforms to enhance productivity an attract investment in agriculture, fisheries and tourism; (ii) scaled up Government investment in rice production; (iii) resumption</w:t>
      </w:r>
      <w:r>
        <w:rPr>
          <w:color w:val="231F20"/>
          <w:spacing w:val="-16"/>
        </w:rPr>
        <w:t> </w:t>
      </w:r>
      <w:r>
        <w:rPr>
          <w:color w:val="231F20"/>
        </w:rPr>
        <w:t>of</w:t>
      </w:r>
      <w:r>
        <w:rPr>
          <w:color w:val="231F20"/>
          <w:spacing w:val="-17"/>
        </w:rPr>
        <w:t> </w:t>
      </w:r>
      <w:r>
        <w:rPr>
          <w:color w:val="231F20"/>
        </w:rPr>
        <w:t>iron</w:t>
      </w:r>
      <w:r>
        <w:rPr>
          <w:color w:val="231F20"/>
          <w:spacing w:val="-16"/>
        </w:rPr>
        <w:t> </w:t>
      </w:r>
      <w:r>
        <w:rPr>
          <w:color w:val="231F20"/>
        </w:rPr>
        <w:t>ore</w:t>
      </w:r>
      <w:r>
        <w:rPr>
          <w:color w:val="231F20"/>
          <w:spacing w:val="-17"/>
        </w:rPr>
        <w:t> </w:t>
      </w:r>
      <w:r>
        <w:rPr>
          <w:color w:val="231F20"/>
        </w:rPr>
        <w:t>mining</w:t>
      </w:r>
      <w:r>
        <w:rPr>
          <w:color w:val="231F20"/>
          <w:spacing w:val="-16"/>
        </w:rPr>
        <w:t> </w:t>
      </w:r>
      <w:r>
        <w:rPr>
          <w:color w:val="231F20"/>
        </w:rPr>
        <w:t>and</w:t>
      </w:r>
      <w:r>
        <w:rPr>
          <w:color w:val="231F20"/>
          <w:spacing w:val="-17"/>
        </w:rPr>
        <w:t> </w:t>
      </w:r>
      <w:r>
        <w:rPr>
          <w:color w:val="231F20"/>
        </w:rPr>
        <w:t>expansion</w:t>
      </w:r>
      <w:r>
        <w:rPr>
          <w:color w:val="231F20"/>
          <w:spacing w:val="-17"/>
        </w:rPr>
        <w:t> </w:t>
      </w:r>
      <w:r>
        <w:rPr>
          <w:color w:val="231F20"/>
        </w:rPr>
        <w:t>in</w:t>
      </w:r>
      <w:r>
        <w:rPr>
          <w:color w:val="231F20"/>
          <w:spacing w:val="-16"/>
        </w:rPr>
        <w:t> </w:t>
      </w:r>
      <w:r>
        <w:rPr>
          <w:color w:val="231F20"/>
        </w:rPr>
        <w:t>other</w:t>
      </w:r>
      <w:r>
        <w:rPr>
          <w:color w:val="231F20"/>
          <w:spacing w:val="-17"/>
        </w:rPr>
        <w:t> </w:t>
      </w:r>
      <w:r>
        <w:rPr>
          <w:color w:val="231F20"/>
        </w:rPr>
        <w:t>mining</w:t>
      </w:r>
      <w:r>
        <w:rPr>
          <w:color w:val="231F20"/>
          <w:spacing w:val="-16"/>
        </w:rPr>
        <w:t> </w:t>
      </w:r>
      <w:r>
        <w:rPr>
          <w:color w:val="231F20"/>
        </w:rPr>
        <w:t>activities;</w:t>
      </w:r>
      <w:r>
        <w:rPr>
          <w:color w:val="231F20"/>
          <w:spacing w:val="-17"/>
        </w:rPr>
        <w:t> </w:t>
      </w:r>
      <w:r>
        <w:rPr>
          <w:color w:val="231F20"/>
        </w:rPr>
        <w:t>(iv)</w:t>
      </w:r>
      <w:r>
        <w:rPr>
          <w:color w:val="231F20"/>
          <w:spacing w:val="-16"/>
        </w:rPr>
        <w:t> </w:t>
      </w:r>
      <w:r>
        <w:rPr>
          <w:color w:val="231F20"/>
        </w:rPr>
        <w:t>increased public</w:t>
      </w:r>
      <w:r>
        <w:rPr>
          <w:color w:val="231F20"/>
          <w:spacing w:val="-22"/>
        </w:rPr>
        <w:t> </w:t>
      </w:r>
      <w:r>
        <w:rPr>
          <w:color w:val="231F20"/>
        </w:rPr>
        <w:t>and</w:t>
      </w:r>
      <w:r>
        <w:rPr>
          <w:color w:val="231F20"/>
          <w:spacing w:val="-22"/>
        </w:rPr>
        <w:t> </w:t>
      </w:r>
      <w:r>
        <w:rPr>
          <w:color w:val="231F20"/>
        </w:rPr>
        <w:t>private</w:t>
      </w:r>
      <w:r>
        <w:rPr>
          <w:color w:val="231F20"/>
          <w:spacing w:val="-22"/>
        </w:rPr>
        <w:t> </w:t>
      </w:r>
      <w:r>
        <w:rPr>
          <w:color w:val="231F20"/>
        </w:rPr>
        <w:t>investments</w:t>
      </w:r>
      <w:r>
        <w:rPr>
          <w:color w:val="231F20"/>
          <w:spacing w:val="-22"/>
        </w:rPr>
        <w:t> </w:t>
      </w:r>
      <w:r>
        <w:rPr>
          <w:color w:val="231F20"/>
        </w:rPr>
        <w:t>in</w:t>
      </w:r>
      <w:r>
        <w:rPr>
          <w:color w:val="231F20"/>
          <w:spacing w:val="-22"/>
        </w:rPr>
        <w:t> </w:t>
      </w:r>
      <w:r>
        <w:rPr>
          <w:color w:val="231F20"/>
        </w:rPr>
        <w:t>the</w:t>
      </w:r>
      <w:r>
        <w:rPr>
          <w:color w:val="231F20"/>
          <w:spacing w:val="-22"/>
        </w:rPr>
        <w:t> </w:t>
      </w:r>
      <w:r>
        <w:rPr>
          <w:color w:val="231F20"/>
        </w:rPr>
        <w:t>energy</w:t>
      </w:r>
      <w:r>
        <w:rPr>
          <w:color w:val="231F20"/>
          <w:spacing w:val="-22"/>
        </w:rPr>
        <w:t> </w:t>
      </w:r>
      <w:r>
        <w:rPr>
          <w:color w:val="231F20"/>
        </w:rPr>
        <w:t>sector;</w:t>
      </w:r>
      <w:r>
        <w:rPr>
          <w:color w:val="231F20"/>
          <w:spacing w:val="-22"/>
        </w:rPr>
        <w:t> </w:t>
      </w:r>
      <w:r>
        <w:rPr>
          <w:color w:val="231F20"/>
        </w:rPr>
        <w:t>(v)</w:t>
      </w:r>
      <w:r>
        <w:rPr>
          <w:color w:val="231F20"/>
          <w:spacing w:val="-22"/>
        </w:rPr>
        <w:t> </w:t>
      </w:r>
      <w:r>
        <w:rPr>
          <w:color w:val="231F20"/>
        </w:rPr>
        <w:t>scaling</w:t>
      </w:r>
      <w:r>
        <w:rPr>
          <w:color w:val="231F20"/>
          <w:spacing w:val="-22"/>
        </w:rPr>
        <w:t> </w:t>
      </w:r>
      <w:r>
        <w:rPr>
          <w:color w:val="231F20"/>
        </w:rPr>
        <w:t>up</w:t>
      </w:r>
      <w:r>
        <w:rPr>
          <w:color w:val="231F20"/>
          <w:spacing w:val="-22"/>
        </w:rPr>
        <w:t> </w:t>
      </w:r>
      <w:r>
        <w:rPr>
          <w:color w:val="231F20"/>
        </w:rPr>
        <w:t>of</w:t>
      </w:r>
      <w:r>
        <w:rPr>
          <w:color w:val="231F20"/>
          <w:spacing w:val="-22"/>
        </w:rPr>
        <w:t> </w:t>
      </w:r>
      <w:r>
        <w:rPr>
          <w:color w:val="231F20"/>
        </w:rPr>
        <w:t>construction</w:t>
      </w:r>
      <w:r>
        <w:rPr>
          <w:color w:val="231F20"/>
          <w:spacing w:val="-22"/>
        </w:rPr>
        <w:t> </w:t>
      </w:r>
      <w:r>
        <w:rPr>
          <w:color w:val="231F20"/>
        </w:rPr>
        <w:t>and rehabilitation of trunk, city and feeder roads; (vi) increasing investment in human </w:t>
      </w:r>
      <w:r>
        <w:rPr>
          <w:color w:val="231F20"/>
          <w:spacing w:val="-5"/>
        </w:rPr>
        <w:t>capital</w:t>
      </w:r>
      <w:r>
        <w:rPr>
          <w:color w:val="231F20"/>
          <w:spacing w:val="-44"/>
        </w:rPr>
        <w:t> </w:t>
      </w:r>
      <w:r>
        <w:rPr>
          <w:color w:val="231F20"/>
          <w:spacing w:val="-5"/>
        </w:rPr>
        <w:t>development</w:t>
      </w:r>
      <w:r>
        <w:rPr>
          <w:color w:val="231F20"/>
          <w:spacing w:val="-44"/>
        </w:rPr>
        <w:t> </w:t>
      </w:r>
      <w:r>
        <w:rPr>
          <w:color w:val="231F20"/>
          <w:spacing w:val="-4"/>
        </w:rPr>
        <w:t>with</w:t>
      </w:r>
      <w:r>
        <w:rPr>
          <w:color w:val="231F20"/>
          <w:spacing w:val="-44"/>
        </w:rPr>
        <w:t> </w:t>
      </w:r>
      <w:r>
        <w:rPr>
          <w:color w:val="231F20"/>
        </w:rPr>
        <w:t>a</w:t>
      </w:r>
      <w:r>
        <w:rPr>
          <w:color w:val="231F20"/>
          <w:spacing w:val="-44"/>
        </w:rPr>
        <w:t> </w:t>
      </w:r>
      <w:r>
        <w:rPr>
          <w:color w:val="231F20"/>
          <w:spacing w:val="-4"/>
        </w:rPr>
        <w:t>focus</w:t>
      </w:r>
      <w:r>
        <w:rPr>
          <w:color w:val="231F20"/>
          <w:spacing w:val="-44"/>
        </w:rPr>
        <w:t> </w:t>
      </w:r>
      <w:r>
        <w:rPr>
          <w:color w:val="231F20"/>
          <w:spacing w:val="-3"/>
        </w:rPr>
        <w:t>on</w:t>
      </w:r>
      <w:r>
        <w:rPr>
          <w:color w:val="231F20"/>
          <w:spacing w:val="-44"/>
        </w:rPr>
        <w:t> </w:t>
      </w:r>
      <w:r>
        <w:rPr>
          <w:color w:val="231F20"/>
          <w:spacing w:val="-5"/>
        </w:rPr>
        <w:t>vocational</w:t>
      </w:r>
      <w:r>
        <w:rPr>
          <w:color w:val="231F20"/>
          <w:spacing w:val="-44"/>
        </w:rPr>
        <w:t> </w:t>
      </w:r>
      <w:r>
        <w:rPr>
          <w:color w:val="231F20"/>
          <w:spacing w:val="-4"/>
        </w:rPr>
        <w:t>and</w:t>
      </w:r>
      <w:r>
        <w:rPr>
          <w:color w:val="231F20"/>
          <w:spacing w:val="-44"/>
        </w:rPr>
        <w:t> </w:t>
      </w:r>
      <w:r>
        <w:rPr>
          <w:color w:val="231F20"/>
          <w:spacing w:val="-5"/>
        </w:rPr>
        <w:t>technical</w:t>
      </w:r>
      <w:r>
        <w:rPr>
          <w:color w:val="231F20"/>
          <w:spacing w:val="-44"/>
        </w:rPr>
        <w:t> </w:t>
      </w:r>
      <w:r>
        <w:rPr>
          <w:color w:val="231F20"/>
          <w:spacing w:val="-5"/>
        </w:rPr>
        <w:t>training;</w:t>
      </w:r>
      <w:r>
        <w:rPr>
          <w:color w:val="231F20"/>
          <w:spacing w:val="-44"/>
        </w:rPr>
        <w:t> </w:t>
      </w:r>
      <w:r>
        <w:rPr>
          <w:color w:val="231F20"/>
          <w:spacing w:val="-4"/>
        </w:rPr>
        <w:t>(vii)</w:t>
      </w:r>
      <w:r>
        <w:rPr>
          <w:color w:val="231F20"/>
          <w:spacing w:val="-44"/>
        </w:rPr>
        <w:t> </w:t>
      </w:r>
      <w:r>
        <w:rPr>
          <w:color w:val="231F20"/>
          <w:spacing w:val="-5"/>
        </w:rPr>
        <w:t>implementation </w:t>
      </w:r>
      <w:r>
        <w:rPr>
          <w:color w:val="231F20"/>
        </w:rPr>
        <w:t>of regulatory and financial sector reforms to improve the ease of doing business including</w:t>
      </w:r>
      <w:r>
        <w:rPr>
          <w:color w:val="231F20"/>
          <w:spacing w:val="-26"/>
        </w:rPr>
        <w:t> </w:t>
      </w:r>
      <w:r>
        <w:rPr>
          <w:color w:val="231F20"/>
        </w:rPr>
        <w:t>the</w:t>
      </w:r>
      <w:r>
        <w:rPr>
          <w:color w:val="231F20"/>
          <w:spacing w:val="-26"/>
        </w:rPr>
        <w:t> </w:t>
      </w:r>
      <w:r>
        <w:rPr>
          <w:color w:val="231F20"/>
        </w:rPr>
        <w:t>establishment</w:t>
      </w:r>
      <w:r>
        <w:rPr>
          <w:color w:val="231F20"/>
          <w:spacing w:val="-26"/>
        </w:rPr>
        <w:t> </w:t>
      </w:r>
      <w:r>
        <w:rPr>
          <w:color w:val="231F20"/>
        </w:rPr>
        <w:t>of</w:t>
      </w:r>
      <w:r>
        <w:rPr>
          <w:color w:val="231F20"/>
          <w:spacing w:val="-26"/>
        </w:rPr>
        <w:t> </w:t>
      </w:r>
      <w:r>
        <w:rPr>
          <w:color w:val="231F20"/>
        </w:rPr>
        <w:t>the</w:t>
      </w:r>
      <w:r>
        <w:rPr>
          <w:color w:val="231F20"/>
          <w:spacing w:val="-26"/>
        </w:rPr>
        <w:t> </w:t>
      </w:r>
      <w:r>
        <w:rPr>
          <w:color w:val="231F20"/>
        </w:rPr>
        <w:t>National</w:t>
      </w:r>
      <w:r>
        <w:rPr>
          <w:color w:val="231F20"/>
          <w:spacing w:val="-26"/>
        </w:rPr>
        <w:t> </w:t>
      </w:r>
      <w:r>
        <w:rPr>
          <w:color w:val="231F20"/>
        </w:rPr>
        <w:t>Investment</w:t>
      </w:r>
      <w:r>
        <w:rPr>
          <w:color w:val="231F20"/>
          <w:spacing w:val="-26"/>
        </w:rPr>
        <w:t> </w:t>
      </w:r>
      <w:r>
        <w:rPr>
          <w:color w:val="231F20"/>
        </w:rPr>
        <w:t>Board;</w:t>
      </w:r>
      <w:r>
        <w:rPr>
          <w:color w:val="231F20"/>
          <w:spacing w:val="-26"/>
        </w:rPr>
        <w:t> </w:t>
      </w:r>
      <w:r>
        <w:rPr>
          <w:color w:val="231F20"/>
        </w:rPr>
        <w:t>(viii)</w:t>
      </w:r>
      <w:r>
        <w:rPr>
          <w:color w:val="231F20"/>
          <w:spacing w:val="-26"/>
        </w:rPr>
        <w:t> </w:t>
      </w:r>
      <w:r>
        <w:rPr>
          <w:color w:val="231F20"/>
        </w:rPr>
        <w:t>increased</w:t>
      </w:r>
      <w:r>
        <w:rPr>
          <w:color w:val="231F20"/>
          <w:spacing w:val="-26"/>
        </w:rPr>
        <w:t> </w:t>
      </w:r>
      <w:r>
        <w:rPr>
          <w:color w:val="231F20"/>
        </w:rPr>
        <w:t>support to</w:t>
      </w:r>
      <w:r>
        <w:rPr>
          <w:color w:val="231F20"/>
          <w:spacing w:val="-10"/>
        </w:rPr>
        <w:t> </w:t>
      </w:r>
      <w:r>
        <w:rPr>
          <w:color w:val="231F20"/>
        </w:rPr>
        <w:t>Small</w:t>
      </w:r>
      <w:r>
        <w:rPr>
          <w:color w:val="231F20"/>
          <w:spacing w:val="-10"/>
        </w:rPr>
        <w:t> </w:t>
      </w:r>
      <w:r>
        <w:rPr>
          <w:color w:val="231F20"/>
        </w:rPr>
        <w:t>and</w:t>
      </w:r>
      <w:r>
        <w:rPr>
          <w:color w:val="231F20"/>
          <w:spacing w:val="-10"/>
        </w:rPr>
        <w:t> </w:t>
      </w:r>
      <w:r>
        <w:rPr>
          <w:color w:val="231F20"/>
        </w:rPr>
        <w:t>Medium</w:t>
      </w:r>
      <w:r>
        <w:rPr>
          <w:color w:val="231F20"/>
          <w:spacing w:val="-10"/>
        </w:rPr>
        <w:t> </w:t>
      </w:r>
      <w:r>
        <w:rPr>
          <w:color w:val="231F20"/>
        </w:rPr>
        <w:t>Enterprises;</w:t>
      </w:r>
      <w:r>
        <w:rPr>
          <w:color w:val="231F20"/>
          <w:spacing w:val="-10"/>
        </w:rPr>
        <w:t> </w:t>
      </w:r>
      <w:r>
        <w:rPr>
          <w:color w:val="231F20"/>
        </w:rPr>
        <w:t>(ix)</w:t>
      </w:r>
      <w:r>
        <w:rPr>
          <w:color w:val="231F20"/>
          <w:spacing w:val="-10"/>
        </w:rPr>
        <w:t> </w:t>
      </w:r>
      <w:r>
        <w:rPr>
          <w:color w:val="231F20"/>
        </w:rPr>
        <w:t>establishment</w:t>
      </w:r>
      <w:r>
        <w:rPr>
          <w:color w:val="231F20"/>
          <w:spacing w:val="-10"/>
        </w:rPr>
        <w:t> </w:t>
      </w:r>
      <w:r>
        <w:rPr>
          <w:color w:val="231F20"/>
        </w:rPr>
        <w:t>of</w:t>
      </w:r>
      <w:r>
        <w:rPr>
          <w:color w:val="231F20"/>
          <w:spacing w:val="-10"/>
        </w:rPr>
        <w:t> </w:t>
      </w:r>
      <w:r>
        <w:rPr>
          <w:color w:val="231F20"/>
        </w:rPr>
        <w:t>Special</w:t>
      </w:r>
      <w:r>
        <w:rPr>
          <w:color w:val="231F20"/>
          <w:spacing w:val="-10"/>
        </w:rPr>
        <w:t> </w:t>
      </w:r>
      <w:r>
        <w:rPr>
          <w:color w:val="231F20"/>
        </w:rPr>
        <w:t>Economic</w:t>
      </w:r>
      <w:r>
        <w:rPr>
          <w:color w:val="231F20"/>
          <w:spacing w:val="-10"/>
        </w:rPr>
        <w:t> </w:t>
      </w:r>
      <w:r>
        <w:rPr>
          <w:color w:val="231F20"/>
        </w:rPr>
        <w:t>Zones</w:t>
      </w:r>
      <w:r>
        <w:rPr>
          <w:color w:val="231F20"/>
          <w:spacing w:val="-10"/>
        </w:rPr>
        <w:t> </w:t>
      </w:r>
      <w:r>
        <w:rPr>
          <w:color w:val="231F20"/>
        </w:rPr>
        <w:t>and</w:t>
      </w:r>
    </w:p>
    <w:p>
      <w:pPr>
        <w:pStyle w:val="BodyText"/>
        <w:spacing w:line="302" w:lineRule="auto"/>
        <w:ind w:left="103" w:right="118"/>
        <w:jc w:val="both"/>
      </w:pPr>
      <w:r>
        <w:rPr>
          <w:color w:val="231F20"/>
        </w:rPr>
        <w:t>(x) continued efforts to improve governance including the implementation of public financial management reforms and intensifying the fight against</w:t>
      </w:r>
      <w:r>
        <w:rPr>
          <w:color w:val="231F20"/>
          <w:spacing w:val="64"/>
        </w:rPr>
        <w:t> </w:t>
      </w:r>
      <w:r>
        <w:rPr>
          <w:color w:val="231F20"/>
        </w:rPr>
        <w:t>corruption.</w:t>
      </w:r>
    </w:p>
    <w:p>
      <w:pPr>
        <w:pStyle w:val="BodyText"/>
        <w:spacing w:before="9"/>
        <w:rPr>
          <w:sz w:val="28"/>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Over</w:t>
      </w:r>
      <w:r>
        <w:rPr>
          <w:color w:val="231F20"/>
          <w:spacing w:val="-12"/>
          <w:sz w:val="23"/>
        </w:rPr>
        <w:t> </w:t>
      </w:r>
      <w:r>
        <w:rPr>
          <w:color w:val="231F20"/>
          <w:sz w:val="23"/>
        </w:rPr>
        <w:t>the</w:t>
      </w:r>
      <w:r>
        <w:rPr>
          <w:color w:val="231F20"/>
          <w:spacing w:val="-12"/>
          <w:sz w:val="23"/>
        </w:rPr>
        <w:t> </w:t>
      </w:r>
      <w:r>
        <w:rPr>
          <w:color w:val="231F20"/>
          <w:sz w:val="23"/>
        </w:rPr>
        <w:t>medium-term,</w:t>
      </w:r>
      <w:r>
        <w:rPr>
          <w:color w:val="231F20"/>
          <w:spacing w:val="-12"/>
          <w:sz w:val="23"/>
        </w:rPr>
        <w:t> </w:t>
      </w:r>
      <w:r>
        <w:rPr>
          <w:color w:val="231F20"/>
          <w:sz w:val="23"/>
        </w:rPr>
        <w:t>inflation</w:t>
      </w:r>
      <w:r>
        <w:rPr>
          <w:color w:val="231F20"/>
          <w:spacing w:val="-12"/>
          <w:sz w:val="23"/>
        </w:rPr>
        <w:t> </w:t>
      </w:r>
      <w:r>
        <w:rPr>
          <w:color w:val="231F20"/>
          <w:sz w:val="23"/>
        </w:rPr>
        <w:t>is</w:t>
      </w:r>
      <w:r>
        <w:rPr>
          <w:color w:val="231F20"/>
          <w:spacing w:val="-12"/>
          <w:sz w:val="23"/>
        </w:rPr>
        <w:t> </w:t>
      </w:r>
      <w:r>
        <w:rPr>
          <w:color w:val="231F20"/>
          <w:sz w:val="23"/>
        </w:rPr>
        <w:t>expected</w:t>
      </w:r>
      <w:r>
        <w:rPr>
          <w:color w:val="231F20"/>
          <w:spacing w:val="-12"/>
          <w:sz w:val="23"/>
        </w:rPr>
        <w:t> </w:t>
      </w:r>
      <w:r>
        <w:rPr>
          <w:color w:val="231F20"/>
          <w:sz w:val="23"/>
        </w:rPr>
        <w:t>to</w:t>
      </w:r>
      <w:r>
        <w:rPr>
          <w:color w:val="231F20"/>
          <w:spacing w:val="-12"/>
          <w:sz w:val="23"/>
        </w:rPr>
        <w:t> </w:t>
      </w:r>
      <w:r>
        <w:rPr>
          <w:color w:val="231F20"/>
          <w:sz w:val="23"/>
        </w:rPr>
        <w:t>moderate</w:t>
      </w:r>
      <w:r>
        <w:rPr>
          <w:color w:val="231F20"/>
          <w:spacing w:val="-12"/>
          <w:sz w:val="23"/>
        </w:rPr>
        <w:t> </w:t>
      </w:r>
      <w:r>
        <w:rPr>
          <w:color w:val="231F20"/>
          <w:sz w:val="23"/>
        </w:rPr>
        <w:t>and</w:t>
      </w:r>
      <w:r>
        <w:rPr>
          <w:color w:val="231F20"/>
          <w:spacing w:val="-12"/>
          <w:sz w:val="23"/>
        </w:rPr>
        <w:t> </w:t>
      </w:r>
      <w:r>
        <w:rPr>
          <w:color w:val="231F20"/>
          <w:sz w:val="23"/>
        </w:rPr>
        <w:t>return</w:t>
      </w:r>
      <w:r>
        <w:rPr>
          <w:color w:val="231F20"/>
          <w:spacing w:val="-12"/>
          <w:sz w:val="23"/>
        </w:rPr>
        <w:t> </w:t>
      </w:r>
      <w:r>
        <w:rPr>
          <w:color w:val="231F20"/>
          <w:sz w:val="23"/>
        </w:rPr>
        <w:t>to</w:t>
      </w:r>
      <w:r>
        <w:rPr>
          <w:color w:val="231F20"/>
          <w:spacing w:val="-12"/>
          <w:sz w:val="23"/>
        </w:rPr>
        <w:t> </w:t>
      </w:r>
      <w:r>
        <w:rPr>
          <w:color w:val="231F20"/>
          <w:sz w:val="23"/>
        </w:rPr>
        <w:t>single digits</w:t>
      </w:r>
      <w:r>
        <w:rPr>
          <w:color w:val="231F20"/>
          <w:spacing w:val="-35"/>
          <w:sz w:val="23"/>
        </w:rPr>
        <w:t> </w:t>
      </w:r>
      <w:r>
        <w:rPr>
          <w:color w:val="231F20"/>
          <w:sz w:val="23"/>
        </w:rPr>
        <w:t>in</w:t>
      </w:r>
      <w:r>
        <w:rPr>
          <w:color w:val="231F20"/>
          <w:spacing w:val="-35"/>
          <w:sz w:val="23"/>
        </w:rPr>
        <w:t> </w:t>
      </w:r>
      <w:r>
        <w:rPr>
          <w:color w:val="231F20"/>
          <w:sz w:val="23"/>
        </w:rPr>
        <w:t>2021.</w:t>
      </w:r>
      <w:r>
        <w:rPr>
          <w:color w:val="231F20"/>
          <w:spacing w:val="-35"/>
          <w:sz w:val="23"/>
        </w:rPr>
        <w:t> </w:t>
      </w:r>
      <w:r>
        <w:rPr>
          <w:color w:val="231F20"/>
          <w:sz w:val="23"/>
        </w:rPr>
        <w:t>This</w:t>
      </w:r>
      <w:r>
        <w:rPr>
          <w:color w:val="231F20"/>
          <w:spacing w:val="-35"/>
          <w:sz w:val="23"/>
        </w:rPr>
        <w:t> </w:t>
      </w:r>
      <w:r>
        <w:rPr>
          <w:color w:val="231F20"/>
          <w:sz w:val="23"/>
        </w:rPr>
        <w:t>will</w:t>
      </w:r>
      <w:r>
        <w:rPr>
          <w:color w:val="231F20"/>
          <w:spacing w:val="-35"/>
          <w:sz w:val="23"/>
        </w:rPr>
        <w:t> </w:t>
      </w:r>
      <w:r>
        <w:rPr>
          <w:color w:val="231F20"/>
          <w:sz w:val="23"/>
        </w:rPr>
        <w:t>be</w:t>
      </w:r>
      <w:r>
        <w:rPr>
          <w:color w:val="231F20"/>
          <w:spacing w:val="-35"/>
          <w:sz w:val="23"/>
        </w:rPr>
        <w:t> </w:t>
      </w:r>
      <w:r>
        <w:rPr>
          <w:color w:val="231F20"/>
          <w:sz w:val="23"/>
        </w:rPr>
        <w:t>driven</w:t>
      </w:r>
      <w:r>
        <w:rPr>
          <w:color w:val="231F20"/>
          <w:spacing w:val="-35"/>
          <w:sz w:val="23"/>
        </w:rPr>
        <w:t> </w:t>
      </w:r>
      <w:r>
        <w:rPr>
          <w:color w:val="231F20"/>
          <w:sz w:val="23"/>
        </w:rPr>
        <w:t>by</w:t>
      </w:r>
      <w:r>
        <w:rPr>
          <w:color w:val="231F20"/>
          <w:spacing w:val="-35"/>
          <w:sz w:val="23"/>
        </w:rPr>
        <w:t> </w:t>
      </w:r>
      <w:r>
        <w:rPr>
          <w:color w:val="231F20"/>
          <w:sz w:val="23"/>
        </w:rPr>
        <w:t>the</w:t>
      </w:r>
      <w:r>
        <w:rPr>
          <w:color w:val="231F20"/>
          <w:spacing w:val="-35"/>
          <w:sz w:val="23"/>
        </w:rPr>
        <w:t> </w:t>
      </w:r>
      <w:r>
        <w:rPr>
          <w:color w:val="231F20"/>
          <w:sz w:val="23"/>
        </w:rPr>
        <w:t>expected</w:t>
      </w:r>
      <w:r>
        <w:rPr>
          <w:color w:val="231F20"/>
          <w:spacing w:val="-35"/>
          <w:sz w:val="23"/>
        </w:rPr>
        <w:t> </w:t>
      </w:r>
      <w:r>
        <w:rPr>
          <w:color w:val="231F20"/>
          <w:sz w:val="23"/>
        </w:rPr>
        <w:t>increase</w:t>
      </w:r>
      <w:r>
        <w:rPr>
          <w:color w:val="231F20"/>
          <w:spacing w:val="-35"/>
          <w:sz w:val="23"/>
        </w:rPr>
        <w:t> </w:t>
      </w:r>
      <w:r>
        <w:rPr>
          <w:color w:val="231F20"/>
          <w:sz w:val="23"/>
        </w:rPr>
        <w:t>in</w:t>
      </w:r>
      <w:r>
        <w:rPr>
          <w:color w:val="231F20"/>
          <w:spacing w:val="-35"/>
          <w:sz w:val="23"/>
        </w:rPr>
        <w:t> </w:t>
      </w:r>
      <w:r>
        <w:rPr>
          <w:color w:val="231F20"/>
          <w:sz w:val="23"/>
        </w:rPr>
        <w:t>domestic</w:t>
      </w:r>
      <w:r>
        <w:rPr>
          <w:color w:val="231F20"/>
          <w:spacing w:val="-35"/>
          <w:sz w:val="23"/>
        </w:rPr>
        <w:t> </w:t>
      </w:r>
      <w:r>
        <w:rPr>
          <w:color w:val="231F20"/>
          <w:sz w:val="23"/>
        </w:rPr>
        <w:t>food</w:t>
      </w:r>
      <w:r>
        <w:rPr>
          <w:color w:val="231F20"/>
          <w:spacing w:val="-35"/>
          <w:sz w:val="23"/>
        </w:rPr>
        <w:t> </w:t>
      </w:r>
      <w:r>
        <w:rPr>
          <w:color w:val="231F20"/>
          <w:sz w:val="23"/>
        </w:rPr>
        <w:t>production, stabilisation in the exchange rate, and proactive monetary policy combined with prudent fiscal</w:t>
      </w:r>
      <w:r>
        <w:rPr>
          <w:color w:val="231F20"/>
          <w:spacing w:val="-24"/>
          <w:sz w:val="23"/>
        </w:rPr>
        <w:t> </w:t>
      </w:r>
      <w:r>
        <w:rPr>
          <w:color w:val="231F20"/>
          <w:sz w:val="23"/>
        </w:rPr>
        <w:t>policy.</w:t>
      </w:r>
    </w:p>
    <w:p>
      <w:pPr>
        <w:pStyle w:val="BodyText"/>
        <w:spacing w:before="10"/>
        <w:rPr>
          <w:sz w:val="28"/>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The implementation of donor-funded projects is also anticipated to increase foreign</w:t>
      </w:r>
      <w:r>
        <w:rPr>
          <w:color w:val="231F20"/>
          <w:spacing w:val="-11"/>
          <w:sz w:val="23"/>
        </w:rPr>
        <w:t> </w:t>
      </w:r>
      <w:r>
        <w:rPr>
          <w:color w:val="231F20"/>
          <w:sz w:val="23"/>
        </w:rPr>
        <w:t>exchange</w:t>
      </w:r>
      <w:r>
        <w:rPr>
          <w:color w:val="231F20"/>
          <w:spacing w:val="-11"/>
          <w:sz w:val="23"/>
        </w:rPr>
        <w:t> </w:t>
      </w:r>
      <w:r>
        <w:rPr>
          <w:color w:val="231F20"/>
          <w:sz w:val="23"/>
        </w:rPr>
        <w:t>inflows,</w:t>
      </w:r>
      <w:r>
        <w:rPr>
          <w:color w:val="231F20"/>
          <w:spacing w:val="-11"/>
          <w:sz w:val="23"/>
        </w:rPr>
        <w:t> </w:t>
      </w:r>
      <w:r>
        <w:rPr>
          <w:color w:val="231F20"/>
          <w:sz w:val="23"/>
        </w:rPr>
        <w:t>create</w:t>
      </w:r>
      <w:r>
        <w:rPr>
          <w:color w:val="231F20"/>
          <w:spacing w:val="-11"/>
          <w:sz w:val="23"/>
        </w:rPr>
        <w:t> </w:t>
      </w:r>
      <w:r>
        <w:rPr>
          <w:color w:val="231F20"/>
          <w:sz w:val="23"/>
        </w:rPr>
        <w:t>jobs</w:t>
      </w:r>
      <w:r>
        <w:rPr>
          <w:color w:val="231F20"/>
          <w:spacing w:val="-11"/>
          <w:sz w:val="23"/>
        </w:rPr>
        <w:t> </w:t>
      </w:r>
      <w:r>
        <w:rPr>
          <w:color w:val="231F20"/>
          <w:sz w:val="23"/>
        </w:rPr>
        <w:t>and</w:t>
      </w:r>
      <w:r>
        <w:rPr>
          <w:color w:val="231F20"/>
          <w:spacing w:val="-11"/>
          <w:sz w:val="23"/>
        </w:rPr>
        <w:t> </w:t>
      </w:r>
      <w:r>
        <w:rPr>
          <w:color w:val="231F20"/>
          <w:sz w:val="23"/>
        </w:rPr>
        <w:t>increase</w:t>
      </w:r>
      <w:r>
        <w:rPr>
          <w:color w:val="231F20"/>
          <w:spacing w:val="-11"/>
          <w:sz w:val="23"/>
        </w:rPr>
        <w:t> </w:t>
      </w:r>
      <w:r>
        <w:rPr>
          <w:color w:val="231F20"/>
          <w:sz w:val="23"/>
        </w:rPr>
        <w:t>private</w:t>
      </w:r>
      <w:r>
        <w:rPr>
          <w:color w:val="231F20"/>
          <w:spacing w:val="-11"/>
          <w:sz w:val="23"/>
        </w:rPr>
        <w:t> </w:t>
      </w:r>
      <w:r>
        <w:rPr>
          <w:color w:val="231F20"/>
          <w:sz w:val="23"/>
        </w:rPr>
        <w:t>consumption</w:t>
      </w:r>
      <w:r>
        <w:rPr>
          <w:color w:val="231F20"/>
          <w:spacing w:val="-11"/>
          <w:sz w:val="23"/>
        </w:rPr>
        <w:t> </w:t>
      </w:r>
      <w:r>
        <w:rPr>
          <w:color w:val="231F20"/>
          <w:sz w:val="23"/>
        </w:rPr>
        <w:t>with</w:t>
      </w:r>
      <w:r>
        <w:rPr>
          <w:color w:val="231F20"/>
          <w:spacing w:val="-11"/>
          <w:sz w:val="23"/>
        </w:rPr>
        <w:t> </w:t>
      </w:r>
      <w:r>
        <w:rPr>
          <w:color w:val="231F20"/>
          <w:sz w:val="23"/>
        </w:rPr>
        <w:t>positive impact on economic</w:t>
      </w:r>
      <w:r>
        <w:rPr>
          <w:color w:val="231F20"/>
          <w:spacing w:val="-39"/>
          <w:sz w:val="23"/>
        </w:rPr>
        <w:t> </w:t>
      </w:r>
      <w:r>
        <w:rPr>
          <w:color w:val="231F20"/>
          <w:sz w:val="23"/>
        </w:rPr>
        <w:t>growth.</w:t>
      </w:r>
    </w:p>
    <w:p>
      <w:pPr>
        <w:pStyle w:val="BodyText"/>
        <w:spacing w:before="11"/>
        <w:rPr>
          <w:sz w:val="28"/>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The sustenance of fiscal consolidation efforts will lead to a reduction in the overall</w:t>
      </w:r>
      <w:r>
        <w:rPr>
          <w:color w:val="231F20"/>
          <w:spacing w:val="-44"/>
          <w:sz w:val="23"/>
        </w:rPr>
        <w:t> </w:t>
      </w:r>
      <w:r>
        <w:rPr>
          <w:color w:val="231F20"/>
          <w:sz w:val="23"/>
        </w:rPr>
        <w:t>budget</w:t>
      </w:r>
      <w:r>
        <w:rPr>
          <w:color w:val="231F20"/>
          <w:spacing w:val="-43"/>
          <w:sz w:val="23"/>
        </w:rPr>
        <w:t> </w:t>
      </w:r>
      <w:r>
        <w:rPr>
          <w:color w:val="231F20"/>
          <w:sz w:val="23"/>
        </w:rPr>
        <w:t>deficit</w:t>
      </w:r>
      <w:r>
        <w:rPr>
          <w:color w:val="231F20"/>
          <w:spacing w:val="-43"/>
          <w:sz w:val="23"/>
        </w:rPr>
        <w:t> </w:t>
      </w:r>
      <w:r>
        <w:rPr>
          <w:color w:val="231F20"/>
          <w:sz w:val="23"/>
        </w:rPr>
        <w:t>to</w:t>
      </w:r>
      <w:r>
        <w:rPr>
          <w:color w:val="231F20"/>
          <w:spacing w:val="-43"/>
          <w:sz w:val="23"/>
        </w:rPr>
        <w:t> </w:t>
      </w:r>
      <w:r>
        <w:rPr>
          <w:color w:val="231F20"/>
          <w:sz w:val="23"/>
        </w:rPr>
        <w:t>an</w:t>
      </w:r>
      <w:r>
        <w:rPr>
          <w:color w:val="231F20"/>
          <w:spacing w:val="-43"/>
          <w:sz w:val="23"/>
        </w:rPr>
        <w:t> </w:t>
      </w:r>
      <w:r>
        <w:rPr>
          <w:color w:val="231F20"/>
          <w:sz w:val="23"/>
        </w:rPr>
        <w:t>average</w:t>
      </w:r>
      <w:r>
        <w:rPr>
          <w:color w:val="231F20"/>
          <w:spacing w:val="-43"/>
          <w:sz w:val="23"/>
        </w:rPr>
        <w:t> </w:t>
      </w:r>
      <w:r>
        <w:rPr>
          <w:color w:val="231F20"/>
          <w:sz w:val="23"/>
        </w:rPr>
        <w:t>of</w:t>
      </w:r>
      <w:r>
        <w:rPr>
          <w:color w:val="231F20"/>
          <w:spacing w:val="-43"/>
          <w:sz w:val="23"/>
        </w:rPr>
        <w:t> </w:t>
      </w:r>
      <w:r>
        <w:rPr>
          <w:color w:val="231F20"/>
          <w:sz w:val="23"/>
        </w:rPr>
        <w:t>3.0</w:t>
      </w:r>
      <w:r>
        <w:rPr>
          <w:color w:val="231F20"/>
          <w:spacing w:val="-43"/>
          <w:sz w:val="23"/>
        </w:rPr>
        <w:t> </w:t>
      </w:r>
      <w:r>
        <w:rPr>
          <w:color w:val="231F20"/>
          <w:sz w:val="23"/>
        </w:rPr>
        <w:t>percent</w:t>
      </w:r>
      <w:r>
        <w:rPr>
          <w:color w:val="231F20"/>
          <w:spacing w:val="-43"/>
          <w:sz w:val="23"/>
        </w:rPr>
        <w:t> </w:t>
      </w:r>
      <w:r>
        <w:rPr>
          <w:color w:val="231F20"/>
          <w:sz w:val="23"/>
        </w:rPr>
        <w:t>of</w:t>
      </w:r>
      <w:r>
        <w:rPr>
          <w:color w:val="231F20"/>
          <w:spacing w:val="-43"/>
          <w:sz w:val="23"/>
        </w:rPr>
        <w:t> </w:t>
      </w:r>
      <w:r>
        <w:rPr>
          <w:color w:val="231F20"/>
          <w:sz w:val="23"/>
        </w:rPr>
        <w:t>GDP</w:t>
      </w:r>
      <w:r>
        <w:rPr>
          <w:color w:val="231F20"/>
          <w:spacing w:val="-43"/>
          <w:sz w:val="23"/>
        </w:rPr>
        <w:t> </w:t>
      </w:r>
      <w:r>
        <w:rPr>
          <w:color w:val="231F20"/>
          <w:sz w:val="23"/>
        </w:rPr>
        <w:t>during</w:t>
      </w:r>
      <w:r>
        <w:rPr>
          <w:color w:val="231F20"/>
          <w:spacing w:val="-43"/>
          <w:sz w:val="23"/>
        </w:rPr>
        <w:t> </w:t>
      </w:r>
      <w:r>
        <w:rPr>
          <w:color w:val="231F20"/>
          <w:sz w:val="23"/>
        </w:rPr>
        <w:t>2020-2023.</w:t>
      </w:r>
      <w:r>
        <w:rPr>
          <w:color w:val="231F20"/>
          <w:spacing w:val="-43"/>
          <w:sz w:val="23"/>
        </w:rPr>
        <w:t> </w:t>
      </w:r>
      <w:r>
        <w:rPr>
          <w:color w:val="231F20"/>
          <w:sz w:val="23"/>
        </w:rPr>
        <w:t>The</w:t>
      </w:r>
      <w:r>
        <w:rPr>
          <w:color w:val="231F20"/>
          <w:spacing w:val="-43"/>
          <w:sz w:val="23"/>
        </w:rPr>
        <w:t> </w:t>
      </w:r>
      <w:r>
        <w:rPr>
          <w:color w:val="231F20"/>
          <w:sz w:val="23"/>
        </w:rPr>
        <w:t>current account</w:t>
      </w:r>
      <w:r>
        <w:rPr>
          <w:color w:val="231F20"/>
          <w:spacing w:val="-11"/>
          <w:sz w:val="23"/>
        </w:rPr>
        <w:t> </w:t>
      </w:r>
      <w:r>
        <w:rPr>
          <w:color w:val="231F20"/>
          <w:sz w:val="23"/>
        </w:rPr>
        <w:t>deficit</w:t>
      </w:r>
      <w:r>
        <w:rPr>
          <w:color w:val="231F20"/>
          <w:spacing w:val="-11"/>
          <w:sz w:val="23"/>
        </w:rPr>
        <w:t> </w:t>
      </w:r>
      <w:r>
        <w:rPr>
          <w:color w:val="231F20"/>
          <w:sz w:val="23"/>
        </w:rPr>
        <w:t>will</w:t>
      </w:r>
      <w:r>
        <w:rPr>
          <w:color w:val="231F20"/>
          <w:spacing w:val="-11"/>
          <w:sz w:val="23"/>
        </w:rPr>
        <w:t> </w:t>
      </w:r>
      <w:r>
        <w:rPr>
          <w:color w:val="231F20"/>
          <w:sz w:val="23"/>
        </w:rPr>
        <w:t>narrow</w:t>
      </w:r>
      <w:r>
        <w:rPr>
          <w:color w:val="231F20"/>
          <w:spacing w:val="-11"/>
          <w:sz w:val="23"/>
        </w:rPr>
        <w:t> </w:t>
      </w:r>
      <w:r>
        <w:rPr>
          <w:color w:val="231F20"/>
          <w:sz w:val="23"/>
        </w:rPr>
        <w:t>down</w:t>
      </w:r>
      <w:r>
        <w:rPr>
          <w:color w:val="231F20"/>
          <w:spacing w:val="-11"/>
          <w:sz w:val="23"/>
        </w:rPr>
        <w:t> </w:t>
      </w:r>
      <w:r>
        <w:rPr>
          <w:color w:val="231F20"/>
          <w:sz w:val="23"/>
        </w:rPr>
        <w:t>to</w:t>
      </w:r>
      <w:r>
        <w:rPr>
          <w:color w:val="231F20"/>
          <w:spacing w:val="-11"/>
          <w:sz w:val="23"/>
        </w:rPr>
        <w:t> </w:t>
      </w:r>
      <w:r>
        <w:rPr>
          <w:color w:val="231F20"/>
          <w:sz w:val="23"/>
        </w:rPr>
        <w:t>10.2</w:t>
      </w:r>
      <w:r>
        <w:rPr>
          <w:color w:val="231F20"/>
          <w:spacing w:val="-11"/>
          <w:sz w:val="23"/>
        </w:rPr>
        <w:t> </w:t>
      </w:r>
      <w:r>
        <w:rPr>
          <w:color w:val="231F20"/>
          <w:sz w:val="23"/>
        </w:rPr>
        <w:t>percent</w:t>
      </w:r>
      <w:r>
        <w:rPr>
          <w:color w:val="231F20"/>
          <w:spacing w:val="-11"/>
          <w:sz w:val="23"/>
        </w:rPr>
        <w:t> </w:t>
      </w:r>
      <w:r>
        <w:rPr>
          <w:color w:val="231F20"/>
          <w:sz w:val="23"/>
        </w:rPr>
        <w:t>of</w:t>
      </w:r>
      <w:r>
        <w:rPr>
          <w:color w:val="231F20"/>
          <w:spacing w:val="-11"/>
          <w:sz w:val="23"/>
        </w:rPr>
        <w:t> </w:t>
      </w:r>
      <w:r>
        <w:rPr>
          <w:color w:val="231F20"/>
          <w:sz w:val="23"/>
        </w:rPr>
        <w:t>GDP</w:t>
      </w:r>
      <w:r>
        <w:rPr>
          <w:color w:val="231F20"/>
          <w:spacing w:val="-11"/>
          <w:sz w:val="23"/>
        </w:rPr>
        <w:t> </w:t>
      </w:r>
      <w:r>
        <w:rPr>
          <w:color w:val="231F20"/>
          <w:sz w:val="23"/>
        </w:rPr>
        <w:t>in</w:t>
      </w:r>
      <w:r>
        <w:rPr>
          <w:color w:val="231F20"/>
          <w:spacing w:val="-11"/>
          <w:sz w:val="23"/>
        </w:rPr>
        <w:t> </w:t>
      </w:r>
      <w:r>
        <w:rPr>
          <w:color w:val="231F20"/>
          <w:sz w:val="23"/>
        </w:rPr>
        <w:t>2020</w:t>
      </w:r>
      <w:r>
        <w:rPr>
          <w:color w:val="231F20"/>
          <w:spacing w:val="-11"/>
          <w:sz w:val="23"/>
        </w:rPr>
        <w:t> </w:t>
      </w:r>
      <w:r>
        <w:rPr>
          <w:color w:val="231F20"/>
          <w:sz w:val="23"/>
        </w:rPr>
        <w:t>and</w:t>
      </w:r>
      <w:r>
        <w:rPr>
          <w:color w:val="231F20"/>
          <w:spacing w:val="-11"/>
          <w:sz w:val="23"/>
        </w:rPr>
        <w:t> </w:t>
      </w:r>
      <w:r>
        <w:rPr>
          <w:color w:val="231F20"/>
          <w:sz w:val="23"/>
        </w:rPr>
        <w:t>further</w:t>
      </w:r>
      <w:r>
        <w:rPr>
          <w:color w:val="231F20"/>
          <w:spacing w:val="-11"/>
          <w:sz w:val="23"/>
        </w:rPr>
        <w:t> </w:t>
      </w:r>
      <w:r>
        <w:rPr>
          <w:color w:val="231F20"/>
          <w:sz w:val="23"/>
        </w:rPr>
        <w:t>down</w:t>
      </w:r>
      <w:r>
        <w:rPr>
          <w:color w:val="231F20"/>
          <w:spacing w:val="-11"/>
          <w:sz w:val="23"/>
        </w:rPr>
        <w:t> </w:t>
      </w:r>
      <w:r>
        <w:rPr>
          <w:color w:val="231F20"/>
          <w:sz w:val="23"/>
        </w:rPr>
        <w:t>to</w:t>
      </w:r>
    </w:p>
    <w:p>
      <w:pPr>
        <w:pStyle w:val="BodyText"/>
        <w:spacing w:line="302" w:lineRule="auto"/>
        <w:ind w:left="103" w:right="121"/>
        <w:jc w:val="both"/>
      </w:pPr>
      <w:r>
        <w:rPr>
          <w:color w:val="231F20"/>
        </w:rPr>
        <w:t>8.9</w:t>
      </w:r>
      <w:r>
        <w:rPr>
          <w:color w:val="231F20"/>
          <w:spacing w:val="-8"/>
        </w:rPr>
        <w:t> </w:t>
      </w:r>
      <w:r>
        <w:rPr>
          <w:color w:val="231F20"/>
        </w:rPr>
        <w:t>percent</w:t>
      </w:r>
      <w:r>
        <w:rPr>
          <w:color w:val="231F20"/>
          <w:spacing w:val="-8"/>
        </w:rPr>
        <w:t> </w:t>
      </w:r>
      <w:r>
        <w:rPr>
          <w:color w:val="231F20"/>
        </w:rPr>
        <w:t>in</w:t>
      </w:r>
      <w:r>
        <w:rPr>
          <w:color w:val="231F20"/>
          <w:spacing w:val="-8"/>
        </w:rPr>
        <w:t> </w:t>
      </w:r>
      <w:r>
        <w:rPr>
          <w:color w:val="231F20"/>
        </w:rPr>
        <w:t>2022,</w:t>
      </w:r>
      <w:r>
        <w:rPr>
          <w:color w:val="231F20"/>
          <w:spacing w:val="-8"/>
        </w:rPr>
        <w:t> </w:t>
      </w:r>
      <w:r>
        <w:rPr>
          <w:color w:val="231F20"/>
        </w:rPr>
        <w:t>as</w:t>
      </w:r>
      <w:r>
        <w:rPr>
          <w:color w:val="231F20"/>
          <w:spacing w:val="-8"/>
        </w:rPr>
        <w:t> </w:t>
      </w:r>
      <w:r>
        <w:rPr>
          <w:color w:val="231F20"/>
        </w:rPr>
        <w:t>exports</w:t>
      </w:r>
      <w:r>
        <w:rPr>
          <w:color w:val="231F20"/>
          <w:spacing w:val="-8"/>
        </w:rPr>
        <w:t> </w:t>
      </w:r>
      <w:r>
        <w:rPr>
          <w:color w:val="231F20"/>
        </w:rPr>
        <w:t>increase</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medium-term.</w:t>
      </w:r>
      <w:r>
        <w:rPr>
          <w:color w:val="231F20"/>
          <w:spacing w:val="-8"/>
        </w:rPr>
        <w:t> </w:t>
      </w:r>
      <w:r>
        <w:rPr>
          <w:color w:val="231F20"/>
        </w:rPr>
        <w:t>Gross</w:t>
      </w:r>
      <w:r>
        <w:rPr>
          <w:color w:val="231F20"/>
          <w:spacing w:val="-8"/>
        </w:rPr>
        <w:t> </w:t>
      </w:r>
      <w:r>
        <w:rPr>
          <w:color w:val="231F20"/>
        </w:rPr>
        <w:t>foreign</w:t>
      </w:r>
      <w:r>
        <w:rPr>
          <w:color w:val="231F20"/>
          <w:spacing w:val="-8"/>
        </w:rPr>
        <w:t> </w:t>
      </w:r>
      <w:r>
        <w:rPr>
          <w:color w:val="231F20"/>
        </w:rPr>
        <w:t>reserves will remain above three months of import</w:t>
      </w:r>
      <w:r>
        <w:rPr>
          <w:color w:val="231F20"/>
          <w:spacing w:val="-5"/>
        </w:rPr>
        <w:t> </w:t>
      </w:r>
      <w:r>
        <w:rPr>
          <w:color w:val="231F20"/>
        </w:rPr>
        <w:t>cover.</w:t>
      </w:r>
    </w:p>
    <w:p>
      <w:pPr>
        <w:pStyle w:val="BodyText"/>
        <w:spacing w:before="11"/>
        <w:rPr>
          <w:sz w:val="28"/>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The favourable outlook of the economy will enable us to make significant progress</w:t>
      </w:r>
      <w:r>
        <w:rPr>
          <w:color w:val="231F20"/>
          <w:spacing w:val="-38"/>
          <w:sz w:val="23"/>
        </w:rPr>
        <w:t> </w:t>
      </w:r>
      <w:r>
        <w:rPr>
          <w:color w:val="231F20"/>
          <w:sz w:val="23"/>
        </w:rPr>
        <w:t>towards</w:t>
      </w:r>
      <w:r>
        <w:rPr>
          <w:color w:val="231F20"/>
          <w:spacing w:val="-38"/>
          <w:sz w:val="23"/>
        </w:rPr>
        <w:t> </w:t>
      </w:r>
      <w:r>
        <w:rPr>
          <w:color w:val="231F20"/>
          <w:sz w:val="23"/>
        </w:rPr>
        <w:t>meeting</w:t>
      </w:r>
      <w:r>
        <w:rPr>
          <w:color w:val="231F20"/>
          <w:spacing w:val="-38"/>
          <w:sz w:val="23"/>
        </w:rPr>
        <w:t> </w:t>
      </w:r>
      <w:r>
        <w:rPr>
          <w:color w:val="231F20"/>
          <w:sz w:val="23"/>
        </w:rPr>
        <w:t>the</w:t>
      </w:r>
      <w:r>
        <w:rPr>
          <w:color w:val="231F20"/>
          <w:spacing w:val="-37"/>
          <w:sz w:val="23"/>
        </w:rPr>
        <w:t> </w:t>
      </w:r>
      <w:r>
        <w:rPr>
          <w:color w:val="231F20"/>
          <w:sz w:val="23"/>
        </w:rPr>
        <w:t>macroeconomic</w:t>
      </w:r>
      <w:r>
        <w:rPr>
          <w:color w:val="231F20"/>
          <w:spacing w:val="-38"/>
          <w:sz w:val="23"/>
        </w:rPr>
        <w:t> </w:t>
      </w:r>
      <w:r>
        <w:rPr>
          <w:color w:val="231F20"/>
          <w:sz w:val="23"/>
        </w:rPr>
        <w:t>convergence</w:t>
      </w:r>
      <w:r>
        <w:rPr>
          <w:color w:val="231F20"/>
          <w:spacing w:val="-38"/>
          <w:sz w:val="23"/>
        </w:rPr>
        <w:t> </w:t>
      </w:r>
      <w:r>
        <w:rPr>
          <w:color w:val="231F20"/>
          <w:sz w:val="23"/>
        </w:rPr>
        <w:t>criteria</w:t>
      </w:r>
      <w:r>
        <w:rPr>
          <w:color w:val="231F20"/>
          <w:spacing w:val="-38"/>
          <w:sz w:val="23"/>
        </w:rPr>
        <w:t> </w:t>
      </w:r>
      <w:r>
        <w:rPr>
          <w:color w:val="231F20"/>
          <w:sz w:val="23"/>
        </w:rPr>
        <w:t>for</w:t>
      </w:r>
      <w:r>
        <w:rPr>
          <w:color w:val="231F20"/>
          <w:spacing w:val="-37"/>
          <w:sz w:val="23"/>
        </w:rPr>
        <w:t> </w:t>
      </w:r>
      <w:r>
        <w:rPr>
          <w:color w:val="231F20"/>
          <w:sz w:val="23"/>
        </w:rPr>
        <w:t>the</w:t>
      </w:r>
      <w:r>
        <w:rPr>
          <w:color w:val="231F20"/>
          <w:spacing w:val="-38"/>
          <w:sz w:val="23"/>
        </w:rPr>
        <w:t> </w:t>
      </w:r>
      <w:r>
        <w:rPr>
          <w:color w:val="231F20"/>
          <w:sz w:val="23"/>
        </w:rPr>
        <w:t>introduction of the single currency in West Africa in 2020. Sierra Leone will benefit from a larger regional</w:t>
      </w:r>
      <w:r>
        <w:rPr>
          <w:color w:val="231F20"/>
          <w:spacing w:val="-44"/>
          <w:sz w:val="23"/>
        </w:rPr>
        <w:t> </w:t>
      </w:r>
      <w:r>
        <w:rPr>
          <w:color w:val="231F20"/>
          <w:sz w:val="23"/>
        </w:rPr>
        <w:t>market,</w:t>
      </w:r>
      <w:r>
        <w:rPr>
          <w:color w:val="231F20"/>
          <w:spacing w:val="-43"/>
          <w:sz w:val="23"/>
        </w:rPr>
        <w:t> </w:t>
      </w:r>
      <w:r>
        <w:rPr>
          <w:color w:val="231F20"/>
          <w:sz w:val="23"/>
        </w:rPr>
        <w:t>which</w:t>
      </w:r>
      <w:r>
        <w:rPr>
          <w:color w:val="231F20"/>
          <w:spacing w:val="-43"/>
          <w:sz w:val="23"/>
        </w:rPr>
        <w:t> </w:t>
      </w:r>
      <w:r>
        <w:rPr>
          <w:color w:val="231F20"/>
          <w:sz w:val="23"/>
        </w:rPr>
        <w:t>will</w:t>
      </w:r>
      <w:r>
        <w:rPr>
          <w:color w:val="231F20"/>
          <w:spacing w:val="-43"/>
          <w:sz w:val="23"/>
        </w:rPr>
        <w:t> </w:t>
      </w:r>
      <w:r>
        <w:rPr>
          <w:color w:val="231F20"/>
          <w:sz w:val="23"/>
        </w:rPr>
        <w:t>attract</w:t>
      </w:r>
      <w:r>
        <w:rPr>
          <w:color w:val="231F20"/>
          <w:spacing w:val="-43"/>
          <w:sz w:val="23"/>
        </w:rPr>
        <w:t> </w:t>
      </w:r>
      <w:r>
        <w:rPr>
          <w:color w:val="231F20"/>
          <w:sz w:val="23"/>
        </w:rPr>
        <w:t>investment</w:t>
      </w:r>
      <w:r>
        <w:rPr>
          <w:color w:val="231F20"/>
          <w:spacing w:val="-43"/>
          <w:sz w:val="23"/>
        </w:rPr>
        <w:t> </w:t>
      </w:r>
      <w:r>
        <w:rPr>
          <w:color w:val="231F20"/>
          <w:sz w:val="23"/>
        </w:rPr>
        <w:t>to</w:t>
      </w:r>
      <w:r>
        <w:rPr>
          <w:color w:val="231F20"/>
          <w:spacing w:val="-43"/>
          <w:sz w:val="23"/>
        </w:rPr>
        <w:t> </w:t>
      </w:r>
      <w:r>
        <w:rPr>
          <w:color w:val="231F20"/>
          <w:sz w:val="23"/>
        </w:rPr>
        <w:t>the</w:t>
      </w:r>
      <w:r>
        <w:rPr>
          <w:color w:val="231F20"/>
          <w:spacing w:val="-43"/>
          <w:sz w:val="23"/>
        </w:rPr>
        <w:t> </w:t>
      </w:r>
      <w:r>
        <w:rPr>
          <w:color w:val="231F20"/>
          <w:sz w:val="23"/>
        </w:rPr>
        <w:t>country</w:t>
      </w:r>
      <w:r>
        <w:rPr>
          <w:color w:val="231F20"/>
          <w:spacing w:val="-43"/>
          <w:sz w:val="23"/>
        </w:rPr>
        <w:t> </w:t>
      </w:r>
      <w:r>
        <w:rPr>
          <w:color w:val="231F20"/>
          <w:sz w:val="23"/>
        </w:rPr>
        <w:t>thereby</w:t>
      </w:r>
      <w:r>
        <w:rPr>
          <w:color w:val="231F20"/>
          <w:spacing w:val="-44"/>
          <w:sz w:val="23"/>
        </w:rPr>
        <w:t> </w:t>
      </w:r>
      <w:r>
        <w:rPr>
          <w:color w:val="231F20"/>
          <w:sz w:val="23"/>
        </w:rPr>
        <w:t>promoting</w:t>
      </w:r>
      <w:r>
        <w:rPr>
          <w:color w:val="231F20"/>
          <w:spacing w:val="-43"/>
          <w:sz w:val="23"/>
        </w:rPr>
        <w:t> </w:t>
      </w:r>
      <w:r>
        <w:rPr>
          <w:color w:val="231F20"/>
          <w:sz w:val="23"/>
        </w:rPr>
        <w:t>growth and</w:t>
      </w:r>
      <w:r>
        <w:rPr>
          <w:color w:val="231F20"/>
          <w:spacing w:val="-6"/>
          <w:sz w:val="23"/>
        </w:rPr>
        <w:t> </w:t>
      </w:r>
      <w:r>
        <w:rPr>
          <w:color w:val="231F20"/>
          <w:sz w:val="23"/>
        </w:rPr>
        <w:t>creating</w:t>
      </w:r>
      <w:r>
        <w:rPr>
          <w:color w:val="231F20"/>
          <w:spacing w:val="-6"/>
          <w:sz w:val="23"/>
        </w:rPr>
        <w:t> </w:t>
      </w:r>
      <w:r>
        <w:rPr>
          <w:color w:val="231F20"/>
          <w:sz w:val="23"/>
        </w:rPr>
        <w:t>job</w:t>
      </w:r>
      <w:r>
        <w:rPr>
          <w:color w:val="231F20"/>
          <w:spacing w:val="-6"/>
          <w:sz w:val="23"/>
        </w:rPr>
        <w:t> </w:t>
      </w:r>
      <w:r>
        <w:rPr>
          <w:color w:val="231F20"/>
          <w:sz w:val="23"/>
        </w:rPr>
        <w:t>opportunities.</w:t>
      </w:r>
      <w:r>
        <w:rPr>
          <w:color w:val="231F20"/>
          <w:spacing w:val="-6"/>
          <w:sz w:val="23"/>
        </w:rPr>
        <w:t> </w:t>
      </w:r>
      <w:r>
        <w:rPr>
          <w:color w:val="231F20"/>
          <w:sz w:val="23"/>
        </w:rPr>
        <w:t>To</w:t>
      </w:r>
      <w:r>
        <w:rPr>
          <w:color w:val="231F20"/>
          <w:spacing w:val="-6"/>
          <w:sz w:val="23"/>
        </w:rPr>
        <w:t> </w:t>
      </w:r>
      <w:r>
        <w:rPr>
          <w:color w:val="231F20"/>
          <w:sz w:val="23"/>
        </w:rPr>
        <w:t>this</w:t>
      </w:r>
      <w:r>
        <w:rPr>
          <w:color w:val="231F20"/>
          <w:spacing w:val="-6"/>
          <w:sz w:val="23"/>
        </w:rPr>
        <w:t> </w:t>
      </w:r>
      <w:r>
        <w:rPr>
          <w:color w:val="231F20"/>
          <w:sz w:val="23"/>
        </w:rPr>
        <w:t>end,</w:t>
      </w:r>
      <w:r>
        <w:rPr>
          <w:color w:val="231F20"/>
          <w:spacing w:val="-6"/>
          <w:sz w:val="23"/>
        </w:rPr>
        <w:t> </w:t>
      </w:r>
      <w:r>
        <w:rPr>
          <w:color w:val="231F20"/>
          <w:sz w:val="23"/>
        </w:rPr>
        <w:t>the</w:t>
      </w:r>
      <w:r>
        <w:rPr>
          <w:color w:val="231F20"/>
          <w:spacing w:val="-6"/>
          <w:sz w:val="23"/>
        </w:rPr>
        <w:t> </w:t>
      </w:r>
      <w:r>
        <w:rPr>
          <w:color w:val="231F20"/>
          <w:sz w:val="23"/>
        </w:rPr>
        <w:t>Ministry</w:t>
      </w:r>
      <w:r>
        <w:rPr>
          <w:color w:val="231F20"/>
          <w:spacing w:val="-6"/>
          <w:sz w:val="23"/>
        </w:rPr>
        <w:t> </w:t>
      </w:r>
      <w:r>
        <w:rPr>
          <w:color w:val="231F20"/>
          <w:sz w:val="23"/>
        </w:rPr>
        <w:t>of</w:t>
      </w:r>
      <w:r>
        <w:rPr>
          <w:color w:val="231F20"/>
          <w:spacing w:val="-6"/>
          <w:sz w:val="23"/>
        </w:rPr>
        <w:t> </w:t>
      </w:r>
      <w:r>
        <w:rPr>
          <w:color w:val="231F20"/>
          <w:sz w:val="23"/>
        </w:rPr>
        <w:t>Finance,</w:t>
      </w:r>
      <w:r>
        <w:rPr>
          <w:color w:val="231F20"/>
          <w:spacing w:val="-6"/>
          <w:sz w:val="23"/>
        </w:rPr>
        <w:t> </w:t>
      </w:r>
      <w:r>
        <w:rPr>
          <w:color w:val="231F20"/>
          <w:sz w:val="23"/>
        </w:rPr>
        <w:t>in</w:t>
      </w:r>
      <w:r>
        <w:rPr>
          <w:color w:val="231F20"/>
          <w:spacing w:val="-6"/>
          <w:sz w:val="23"/>
        </w:rPr>
        <w:t> </w:t>
      </w:r>
      <w:r>
        <w:rPr>
          <w:color w:val="231F20"/>
          <w:sz w:val="23"/>
        </w:rPr>
        <w:t>collaboration with the Bank of Sierra Leone, will continue to implement prudent macroeconomic policies</w:t>
      </w:r>
      <w:r>
        <w:rPr>
          <w:color w:val="231F20"/>
          <w:spacing w:val="18"/>
          <w:sz w:val="23"/>
        </w:rPr>
        <w:t> </w:t>
      </w:r>
      <w:r>
        <w:rPr>
          <w:color w:val="231F20"/>
          <w:sz w:val="23"/>
        </w:rPr>
        <w:t>to</w:t>
      </w:r>
      <w:r>
        <w:rPr>
          <w:color w:val="231F20"/>
          <w:spacing w:val="18"/>
          <w:sz w:val="23"/>
        </w:rPr>
        <w:t> </w:t>
      </w:r>
      <w:r>
        <w:rPr>
          <w:color w:val="231F20"/>
          <w:sz w:val="23"/>
        </w:rPr>
        <w:t>ensure</w:t>
      </w:r>
      <w:r>
        <w:rPr>
          <w:color w:val="231F20"/>
          <w:spacing w:val="18"/>
          <w:sz w:val="23"/>
        </w:rPr>
        <w:t> </w:t>
      </w:r>
      <w:r>
        <w:rPr>
          <w:color w:val="231F20"/>
          <w:sz w:val="23"/>
        </w:rPr>
        <w:t>the</w:t>
      </w:r>
      <w:r>
        <w:rPr>
          <w:color w:val="231F20"/>
          <w:spacing w:val="18"/>
          <w:sz w:val="23"/>
        </w:rPr>
        <w:t> </w:t>
      </w:r>
      <w:r>
        <w:rPr>
          <w:color w:val="231F20"/>
          <w:sz w:val="23"/>
        </w:rPr>
        <w:t>achievement</w:t>
      </w:r>
      <w:r>
        <w:rPr>
          <w:color w:val="231F20"/>
          <w:spacing w:val="18"/>
          <w:sz w:val="23"/>
        </w:rPr>
        <w:t> </w:t>
      </w:r>
      <w:r>
        <w:rPr>
          <w:color w:val="231F20"/>
          <w:sz w:val="23"/>
        </w:rPr>
        <w:t>of</w:t>
      </w:r>
      <w:r>
        <w:rPr>
          <w:color w:val="231F20"/>
          <w:spacing w:val="18"/>
          <w:sz w:val="23"/>
        </w:rPr>
        <w:t> </w:t>
      </w:r>
      <w:r>
        <w:rPr>
          <w:color w:val="231F20"/>
          <w:sz w:val="23"/>
        </w:rPr>
        <w:t>the</w:t>
      </w:r>
      <w:r>
        <w:rPr>
          <w:color w:val="231F20"/>
          <w:spacing w:val="18"/>
          <w:sz w:val="23"/>
        </w:rPr>
        <w:t> </w:t>
      </w:r>
      <w:r>
        <w:rPr>
          <w:color w:val="231F20"/>
          <w:sz w:val="23"/>
        </w:rPr>
        <w:t>convergence</w:t>
      </w:r>
      <w:r>
        <w:rPr>
          <w:color w:val="231F20"/>
          <w:spacing w:val="18"/>
          <w:sz w:val="23"/>
        </w:rPr>
        <w:t> </w:t>
      </w:r>
      <w:r>
        <w:rPr>
          <w:color w:val="231F20"/>
          <w:sz w:val="23"/>
        </w:rPr>
        <w:t>criteria.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pStyle w:val="Heading1"/>
        <w:ind w:left="57" w:right="0"/>
      </w:pPr>
      <w:r>
        <w:rPr>
          <w:color w:val="231F20"/>
        </w:rPr>
        <w:t>9</w:t>
      </w:r>
    </w:p>
    <w:p>
      <w:pPr>
        <w:spacing w:after="0"/>
        <w:sectPr>
          <w:pgSz w:w="11900" w:h="16840"/>
          <w:pgMar w:top="1180" w:bottom="280" w:left="1140" w:right="1120"/>
        </w:sectPr>
      </w:pPr>
    </w:p>
    <w:p>
      <w:pPr>
        <w:pStyle w:val="Heading2"/>
        <w:spacing w:before="83"/>
        <w:rPr>
          <w:b w:val="0"/>
        </w:rPr>
      </w:pPr>
      <w:r>
        <w:rPr>
          <w:color w:val="231F20"/>
        </w:rPr>
        <w:t>Risks to the Outlook of the Sierra Leone Econom</w:t>
      </w:r>
      <w:r>
        <w:rPr>
          <w:b w:val="0"/>
          <w:color w:val="231F20"/>
        </w:rPr>
        <w:t>y</w:t>
      </w:r>
    </w:p>
    <w:p>
      <w:pPr>
        <w:pStyle w:val="ListParagraph"/>
        <w:numPr>
          <w:ilvl w:val="0"/>
          <w:numId w:val="2"/>
        </w:numPr>
        <w:tabs>
          <w:tab w:pos="954" w:val="left" w:leader="none"/>
        </w:tabs>
        <w:spacing w:line="283" w:lineRule="auto" w:before="52" w:after="0"/>
        <w:ind w:left="103" w:right="122" w:firstLine="223"/>
        <w:jc w:val="both"/>
        <w:rPr>
          <w:sz w:val="23"/>
        </w:rPr>
      </w:pPr>
      <w:r>
        <w:rPr>
          <w:color w:val="231F20"/>
          <w:sz w:val="23"/>
        </w:rPr>
        <w:t>Mr. Speaker, Honourable Members, while the medium-term prospects of</w:t>
      </w:r>
      <w:r>
        <w:rPr>
          <w:color w:val="231F20"/>
          <w:spacing w:val="-27"/>
          <w:sz w:val="23"/>
        </w:rPr>
        <w:t> </w:t>
      </w:r>
      <w:r>
        <w:rPr>
          <w:color w:val="231F20"/>
          <w:sz w:val="23"/>
        </w:rPr>
        <w:t>the economy are bright, they are subject to downside risks which</w:t>
      </w:r>
      <w:r>
        <w:rPr>
          <w:color w:val="231F20"/>
          <w:spacing w:val="30"/>
          <w:sz w:val="23"/>
        </w:rPr>
        <w:t> </w:t>
      </w:r>
      <w:r>
        <w:rPr>
          <w:color w:val="231F20"/>
          <w:sz w:val="23"/>
        </w:rPr>
        <w:t>include:</w:t>
      </w:r>
    </w:p>
    <w:p>
      <w:pPr>
        <w:pStyle w:val="BodyText"/>
        <w:spacing w:before="5"/>
        <w:rPr>
          <w:sz w:val="27"/>
        </w:rPr>
      </w:pPr>
    </w:p>
    <w:p>
      <w:pPr>
        <w:pStyle w:val="ListParagraph"/>
        <w:numPr>
          <w:ilvl w:val="0"/>
          <w:numId w:val="3"/>
        </w:numPr>
        <w:tabs>
          <w:tab w:pos="1523" w:val="left" w:leader="none"/>
        </w:tabs>
        <w:spacing w:line="283" w:lineRule="auto" w:before="1" w:after="0"/>
        <w:ind w:left="1522" w:right="120" w:hanging="435"/>
        <w:jc w:val="both"/>
        <w:rPr>
          <w:sz w:val="23"/>
        </w:rPr>
      </w:pPr>
      <w:r>
        <w:rPr>
          <w:color w:val="231F20"/>
          <w:sz w:val="23"/>
        </w:rPr>
        <w:t>Continued</w:t>
      </w:r>
      <w:r>
        <w:rPr>
          <w:color w:val="231F20"/>
          <w:spacing w:val="-31"/>
          <w:sz w:val="23"/>
        </w:rPr>
        <w:t> </w:t>
      </w:r>
      <w:r>
        <w:rPr>
          <w:color w:val="231F20"/>
          <w:sz w:val="23"/>
        </w:rPr>
        <w:t>closure</w:t>
      </w:r>
      <w:r>
        <w:rPr>
          <w:color w:val="231F20"/>
          <w:spacing w:val="-31"/>
          <w:sz w:val="23"/>
        </w:rPr>
        <w:t> </w:t>
      </w:r>
      <w:r>
        <w:rPr>
          <w:color w:val="231F20"/>
          <w:sz w:val="23"/>
        </w:rPr>
        <w:t>of</w:t>
      </w:r>
      <w:r>
        <w:rPr>
          <w:color w:val="231F20"/>
          <w:spacing w:val="-31"/>
          <w:sz w:val="23"/>
        </w:rPr>
        <w:t> </w:t>
      </w:r>
      <w:r>
        <w:rPr>
          <w:color w:val="231F20"/>
          <w:sz w:val="23"/>
        </w:rPr>
        <w:t>the</w:t>
      </w:r>
      <w:r>
        <w:rPr>
          <w:color w:val="231F20"/>
          <w:spacing w:val="-31"/>
          <w:sz w:val="23"/>
        </w:rPr>
        <w:t> </w:t>
      </w:r>
      <w:r>
        <w:rPr>
          <w:color w:val="231F20"/>
          <w:sz w:val="23"/>
        </w:rPr>
        <w:t>iron</w:t>
      </w:r>
      <w:r>
        <w:rPr>
          <w:color w:val="231F20"/>
          <w:spacing w:val="-31"/>
          <w:sz w:val="23"/>
        </w:rPr>
        <w:t> </w:t>
      </w:r>
      <w:r>
        <w:rPr>
          <w:color w:val="231F20"/>
          <w:sz w:val="23"/>
        </w:rPr>
        <w:t>ore</w:t>
      </w:r>
      <w:r>
        <w:rPr>
          <w:color w:val="231F20"/>
          <w:spacing w:val="-31"/>
          <w:sz w:val="23"/>
        </w:rPr>
        <w:t> </w:t>
      </w:r>
      <w:r>
        <w:rPr>
          <w:color w:val="231F20"/>
          <w:sz w:val="23"/>
        </w:rPr>
        <w:t>mines</w:t>
      </w:r>
      <w:r>
        <w:rPr>
          <w:color w:val="231F20"/>
          <w:spacing w:val="-31"/>
          <w:sz w:val="23"/>
        </w:rPr>
        <w:t> </w:t>
      </w:r>
      <w:r>
        <w:rPr>
          <w:color w:val="231F20"/>
          <w:sz w:val="23"/>
        </w:rPr>
        <w:t>and</w:t>
      </w:r>
      <w:r>
        <w:rPr>
          <w:color w:val="231F20"/>
          <w:spacing w:val="-31"/>
          <w:sz w:val="23"/>
        </w:rPr>
        <w:t> </w:t>
      </w:r>
      <w:r>
        <w:rPr>
          <w:color w:val="231F20"/>
          <w:sz w:val="23"/>
        </w:rPr>
        <w:t>its</w:t>
      </w:r>
      <w:r>
        <w:rPr>
          <w:color w:val="231F20"/>
          <w:spacing w:val="-31"/>
          <w:sz w:val="23"/>
        </w:rPr>
        <w:t> </w:t>
      </w:r>
      <w:r>
        <w:rPr>
          <w:color w:val="231F20"/>
          <w:sz w:val="23"/>
        </w:rPr>
        <w:t>attendant</w:t>
      </w:r>
      <w:r>
        <w:rPr>
          <w:color w:val="231F20"/>
          <w:spacing w:val="-31"/>
          <w:sz w:val="23"/>
        </w:rPr>
        <w:t> </w:t>
      </w:r>
      <w:r>
        <w:rPr>
          <w:color w:val="231F20"/>
          <w:sz w:val="23"/>
        </w:rPr>
        <w:t>negative</w:t>
      </w:r>
      <w:r>
        <w:rPr>
          <w:color w:val="231F20"/>
          <w:spacing w:val="-32"/>
          <w:sz w:val="23"/>
        </w:rPr>
        <w:t> </w:t>
      </w:r>
      <w:r>
        <w:rPr>
          <w:color w:val="231F20"/>
          <w:sz w:val="23"/>
        </w:rPr>
        <w:t>impact on growth, revenues, foreign exchange and</w:t>
      </w:r>
      <w:r>
        <w:rPr>
          <w:color w:val="231F20"/>
          <w:spacing w:val="44"/>
          <w:sz w:val="23"/>
        </w:rPr>
        <w:t> </w:t>
      </w:r>
      <w:r>
        <w:rPr>
          <w:color w:val="231F20"/>
          <w:sz w:val="23"/>
        </w:rPr>
        <w:t>inflation;</w:t>
      </w:r>
    </w:p>
    <w:p>
      <w:pPr>
        <w:pStyle w:val="BodyText"/>
        <w:spacing w:before="5"/>
        <w:rPr>
          <w:sz w:val="27"/>
        </w:rPr>
      </w:pPr>
    </w:p>
    <w:p>
      <w:pPr>
        <w:pStyle w:val="ListParagraph"/>
        <w:numPr>
          <w:ilvl w:val="0"/>
          <w:numId w:val="3"/>
        </w:numPr>
        <w:tabs>
          <w:tab w:pos="1523" w:val="left" w:leader="none"/>
        </w:tabs>
        <w:spacing w:line="283" w:lineRule="auto" w:before="1" w:after="0"/>
        <w:ind w:left="1522" w:right="116" w:hanging="509"/>
        <w:jc w:val="both"/>
        <w:rPr>
          <w:sz w:val="23"/>
        </w:rPr>
      </w:pPr>
      <w:r>
        <w:rPr>
          <w:color w:val="231F20"/>
          <w:sz w:val="23"/>
        </w:rPr>
        <w:t>Higher-than-expected</w:t>
      </w:r>
      <w:r>
        <w:rPr>
          <w:color w:val="231F20"/>
          <w:spacing w:val="-23"/>
          <w:sz w:val="23"/>
        </w:rPr>
        <w:t> </w:t>
      </w:r>
      <w:r>
        <w:rPr>
          <w:color w:val="231F20"/>
          <w:sz w:val="23"/>
        </w:rPr>
        <w:t>rise</w:t>
      </w:r>
      <w:r>
        <w:rPr>
          <w:color w:val="231F20"/>
          <w:spacing w:val="-23"/>
          <w:sz w:val="23"/>
        </w:rPr>
        <w:t> </w:t>
      </w:r>
      <w:r>
        <w:rPr>
          <w:color w:val="231F20"/>
          <w:sz w:val="23"/>
        </w:rPr>
        <w:t>in</w:t>
      </w:r>
      <w:r>
        <w:rPr>
          <w:color w:val="231F20"/>
          <w:spacing w:val="-23"/>
          <w:sz w:val="23"/>
        </w:rPr>
        <w:t> </w:t>
      </w:r>
      <w:r>
        <w:rPr>
          <w:color w:val="231F20"/>
          <w:sz w:val="23"/>
        </w:rPr>
        <w:t>international</w:t>
      </w:r>
      <w:r>
        <w:rPr>
          <w:color w:val="231F20"/>
          <w:spacing w:val="-23"/>
          <w:sz w:val="23"/>
        </w:rPr>
        <w:t> </w:t>
      </w:r>
      <w:r>
        <w:rPr>
          <w:color w:val="231F20"/>
          <w:sz w:val="23"/>
        </w:rPr>
        <w:t>fuel</w:t>
      </w:r>
      <w:r>
        <w:rPr>
          <w:color w:val="231F20"/>
          <w:spacing w:val="-23"/>
          <w:sz w:val="23"/>
        </w:rPr>
        <w:t> </w:t>
      </w:r>
      <w:r>
        <w:rPr>
          <w:color w:val="231F20"/>
          <w:sz w:val="23"/>
        </w:rPr>
        <w:t>prices</w:t>
      </w:r>
      <w:r>
        <w:rPr>
          <w:color w:val="231F20"/>
          <w:spacing w:val="-23"/>
          <w:sz w:val="23"/>
        </w:rPr>
        <w:t> </w:t>
      </w:r>
      <w:r>
        <w:rPr>
          <w:color w:val="231F20"/>
          <w:sz w:val="23"/>
        </w:rPr>
        <w:t>would</w:t>
      </w:r>
      <w:r>
        <w:rPr>
          <w:color w:val="231F20"/>
          <w:spacing w:val="-23"/>
          <w:sz w:val="23"/>
        </w:rPr>
        <w:t> </w:t>
      </w:r>
      <w:r>
        <w:rPr>
          <w:color w:val="231F20"/>
          <w:sz w:val="23"/>
        </w:rPr>
        <w:t>increase</w:t>
      </w:r>
      <w:r>
        <w:rPr>
          <w:color w:val="231F20"/>
          <w:spacing w:val="-23"/>
          <w:sz w:val="23"/>
        </w:rPr>
        <w:t> </w:t>
      </w:r>
      <w:r>
        <w:rPr>
          <w:color w:val="231F20"/>
          <w:sz w:val="23"/>
        </w:rPr>
        <w:t>the import bill and negatively impact foreign reserves, exchange rate, and inflation;</w:t>
      </w:r>
    </w:p>
    <w:p>
      <w:pPr>
        <w:pStyle w:val="BodyText"/>
        <w:spacing w:before="6"/>
        <w:rPr>
          <w:sz w:val="27"/>
        </w:rPr>
      </w:pPr>
    </w:p>
    <w:p>
      <w:pPr>
        <w:pStyle w:val="ListParagraph"/>
        <w:numPr>
          <w:ilvl w:val="0"/>
          <w:numId w:val="3"/>
        </w:numPr>
        <w:tabs>
          <w:tab w:pos="1523" w:val="left" w:leader="none"/>
        </w:tabs>
        <w:spacing w:line="285" w:lineRule="auto" w:before="0" w:after="0"/>
        <w:ind w:left="1522" w:right="122" w:hanging="584"/>
        <w:jc w:val="both"/>
        <w:rPr>
          <w:sz w:val="23"/>
        </w:rPr>
      </w:pPr>
      <w:r>
        <w:rPr>
          <w:color w:val="231F20"/>
          <w:sz w:val="23"/>
        </w:rPr>
        <w:t>Delays</w:t>
      </w:r>
      <w:r>
        <w:rPr>
          <w:color w:val="231F20"/>
          <w:spacing w:val="-33"/>
          <w:sz w:val="23"/>
        </w:rPr>
        <w:t> </w:t>
      </w:r>
      <w:r>
        <w:rPr>
          <w:color w:val="231F20"/>
          <w:sz w:val="23"/>
        </w:rPr>
        <w:t>or</w:t>
      </w:r>
      <w:r>
        <w:rPr>
          <w:color w:val="231F20"/>
          <w:spacing w:val="-33"/>
          <w:sz w:val="23"/>
        </w:rPr>
        <w:t> </w:t>
      </w:r>
      <w:r>
        <w:rPr>
          <w:color w:val="231F20"/>
          <w:sz w:val="23"/>
        </w:rPr>
        <w:t>non-disbursement</w:t>
      </w:r>
      <w:r>
        <w:rPr>
          <w:color w:val="231F20"/>
          <w:spacing w:val="-33"/>
          <w:sz w:val="23"/>
        </w:rPr>
        <w:t> </w:t>
      </w:r>
      <w:r>
        <w:rPr>
          <w:color w:val="231F20"/>
          <w:sz w:val="23"/>
        </w:rPr>
        <w:t>of</w:t>
      </w:r>
      <w:r>
        <w:rPr>
          <w:color w:val="231F20"/>
          <w:spacing w:val="-33"/>
          <w:sz w:val="23"/>
        </w:rPr>
        <w:t> </w:t>
      </w:r>
      <w:r>
        <w:rPr>
          <w:color w:val="231F20"/>
          <w:sz w:val="23"/>
        </w:rPr>
        <w:t>budget</w:t>
      </w:r>
      <w:r>
        <w:rPr>
          <w:color w:val="231F20"/>
          <w:spacing w:val="-33"/>
          <w:sz w:val="23"/>
        </w:rPr>
        <w:t> </w:t>
      </w:r>
      <w:r>
        <w:rPr>
          <w:color w:val="231F20"/>
          <w:sz w:val="23"/>
        </w:rPr>
        <w:t>support</w:t>
      </w:r>
      <w:r>
        <w:rPr>
          <w:color w:val="231F20"/>
          <w:spacing w:val="-33"/>
          <w:sz w:val="23"/>
        </w:rPr>
        <w:t> </w:t>
      </w:r>
      <w:r>
        <w:rPr>
          <w:color w:val="231F20"/>
          <w:sz w:val="23"/>
        </w:rPr>
        <w:t>and</w:t>
      </w:r>
      <w:r>
        <w:rPr>
          <w:color w:val="231F20"/>
          <w:spacing w:val="-33"/>
          <w:sz w:val="23"/>
        </w:rPr>
        <w:t> </w:t>
      </w:r>
      <w:r>
        <w:rPr>
          <w:color w:val="231F20"/>
          <w:sz w:val="23"/>
        </w:rPr>
        <w:t>other</w:t>
      </w:r>
      <w:r>
        <w:rPr>
          <w:color w:val="231F20"/>
          <w:spacing w:val="-33"/>
          <w:sz w:val="23"/>
        </w:rPr>
        <w:t> </w:t>
      </w:r>
      <w:r>
        <w:rPr>
          <w:color w:val="231F20"/>
          <w:sz w:val="23"/>
        </w:rPr>
        <w:t>donor</w:t>
      </w:r>
      <w:r>
        <w:rPr>
          <w:color w:val="231F20"/>
          <w:spacing w:val="-33"/>
          <w:sz w:val="23"/>
        </w:rPr>
        <w:t> </w:t>
      </w:r>
      <w:r>
        <w:rPr>
          <w:color w:val="231F20"/>
          <w:sz w:val="23"/>
        </w:rPr>
        <w:t>financing </w:t>
      </w:r>
      <w:r>
        <w:rPr>
          <w:color w:val="231F20"/>
          <w:spacing w:val="-4"/>
          <w:sz w:val="23"/>
        </w:rPr>
        <w:t>would</w:t>
      </w:r>
      <w:r>
        <w:rPr>
          <w:color w:val="231F20"/>
          <w:spacing w:val="-43"/>
          <w:sz w:val="23"/>
        </w:rPr>
        <w:t> </w:t>
      </w:r>
      <w:r>
        <w:rPr>
          <w:color w:val="231F20"/>
          <w:spacing w:val="-5"/>
          <w:sz w:val="23"/>
        </w:rPr>
        <w:t>constrain</w:t>
      </w:r>
      <w:r>
        <w:rPr>
          <w:color w:val="231F20"/>
          <w:spacing w:val="-43"/>
          <w:sz w:val="23"/>
        </w:rPr>
        <w:t> </w:t>
      </w:r>
      <w:r>
        <w:rPr>
          <w:color w:val="231F20"/>
          <w:spacing w:val="-5"/>
          <w:sz w:val="23"/>
        </w:rPr>
        <w:t>government</w:t>
      </w:r>
      <w:r>
        <w:rPr>
          <w:color w:val="231F20"/>
          <w:spacing w:val="-43"/>
          <w:sz w:val="23"/>
        </w:rPr>
        <w:t> </w:t>
      </w:r>
      <w:r>
        <w:rPr>
          <w:color w:val="231F20"/>
          <w:spacing w:val="-5"/>
          <w:sz w:val="23"/>
        </w:rPr>
        <w:t>spending</w:t>
      </w:r>
      <w:r>
        <w:rPr>
          <w:color w:val="231F20"/>
          <w:spacing w:val="-43"/>
          <w:sz w:val="23"/>
        </w:rPr>
        <w:t> </w:t>
      </w:r>
      <w:r>
        <w:rPr>
          <w:color w:val="231F20"/>
          <w:spacing w:val="-3"/>
          <w:sz w:val="23"/>
        </w:rPr>
        <w:t>on</w:t>
      </w:r>
      <w:r>
        <w:rPr>
          <w:color w:val="231F20"/>
          <w:spacing w:val="-43"/>
          <w:sz w:val="23"/>
        </w:rPr>
        <w:t> </w:t>
      </w:r>
      <w:r>
        <w:rPr>
          <w:color w:val="231F20"/>
          <w:spacing w:val="-5"/>
          <w:sz w:val="23"/>
        </w:rPr>
        <w:t>priority</w:t>
      </w:r>
      <w:r>
        <w:rPr>
          <w:color w:val="231F20"/>
          <w:spacing w:val="-43"/>
          <w:sz w:val="23"/>
        </w:rPr>
        <w:t> </w:t>
      </w:r>
      <w:r>
        <w:rPr>
          <w:color w:val="231F20"/>
          <w:spacing w:val="-5"/>
          <w:sz w:val="23"/>
        </w:rPr>
        <w:t>sectors</w:t>
      </w:r>
      <w:r>
        <w:rPr>
          <w:color w:val="231F20"/>
          <w:spacing w:val="-43"/>
          <w:sz w:val="23"/>
        </w:rPr>
        <w:t> </w:t>
      </w:r>
      <w:r>
        <w:rPr>
          <w:color w:val="231F20"/>
          <w:spacing w:val="-4"/>
          <w:sz w:val="23"/>
        </w:rPr>
        <w:t>such</w:t>
      </w:r>
      <w:r>
        <w:rPr>
          <w:color w:val="231F20"/>
          <w:spacing w:val="-44"/>
          <w:sz w:val="23"/>
        </w:rPr>
        <w:t> </w:t>
      </w:r>
      <w:r>
        <w:rPr>
          <w:color w:val="231F20"/>
          <w:spacing w:val="-3"/>
          <w:sz w:val="23"/>
        </w:rPr>
        <w:t>as</w:t>
      </w:r>
      <w:r>
        <w:rPr>
          <w:color w:val="231F20"/>
          <w:spacing w:val="-43"/>
          <w:sz w:val="23"/>
        </w:rPr>
        <w:t> </w:t>
      </w:r>
      <w:r>
        <w:rPr>
          <w:color w:val="231F20"/>
          <w:spacing w:val="-5"/>
          <w:sz w:val="23"/>
        </w:rPr>
        <w:t>education, </w:t>
      </w:r>
      <w:r>
        <w:rPr>
          <w:color w:val="231F20"/>
          <w:sz w:val="23"/>
        </w:rPr>
        <w:t>health, infrastructure, and social</w:t>
      </w:r>
      <w:r>
        <w:rPr>
          <w:color w:val="231F20"/>
          <w:spacing w:val="40"/>
          <w:sz w:val="23"/>
        </w:rPr>
        <w:t> </w:t>
      </w:r>
      <w:r>
        <w:rPr>
          <w:color w:val="231F20"/>
          <w:sz w:val="23"/>
        </w:rPr>
        <w:t>protection;</w:t>
      </w:r>
    </w:p>
    <w:p>
      <w:pPr>
        <w:pStyle w:val="BodyText"/>
        <w:spacing w:before="10"/>
        <w:rPr>
          <w:sz w:val="26"/>
        </w:rPr>
      </w:pPr>
    </w:p>
    <w:p>
      <w:pPr>
        <w:pStyle w:val="ListParagraph"/>
        <w:numPr>
          <w:ilvl w:val="0"/>
          <w:numId w:val="3"/>
        </w:numPr>
        <w:tabs>
          <w:tab w:pos="1521" w:val="left" w:leader="none"/>
        </w:tabs>
        <w:spacing w:line="285" w:lineRule="auto" w:before="0" w:after="0"/>
        <w:ind w:left="1522" w:right="120" w:hanging="600"/>
        <w:jc w:val="both"/>
        <w:rPr>
          <w:sz w:val="23"/>
        </w:rPr>
      </w:pPr>
      <w:r>
        <w:rPr>
          <w:color w:val="231F20"/>
          <w:sz w:val="23"/>
        </w:rPr>
        <w:t>Non-payment</w:t>
      </w:r>
      <w:r>
        <w:rPr>
          <w:color w:val="231F20"/>
          <w:spacing w:val="-30"/>
          <w:sz w:val="23"/>
        </w:rPr>
        <w:t> </w:t>
      </w:r>
      <w:r>
        <w:rPr>
          <w:color w:val="231F20"/>
          <w:sz w:val="23"/>
        </w:rPr>
        <w:t>of</w:t>
      </w:r>
      <w:r>
        <w:rPr>
          <w:color w:val="231F20"/>
          <w:spacing w:val="-30"/>
          <w:sz w:val="23"/>
        </w:rPr>
        <w:t> </w:t>
      </w:r>
      <w:r>
        <w:rPr>
          <w:color w:val="231F20"/>
          <w:sz w:val="23"/>
        </w:rPr>
        <w:t>domestic</w:t>
      </w:r>
      <w:r>
        <w:rPr>
          <w:color w:val="231F20"/>
          <w:spacing w:val="-30"/>
          <w:sz w:val="23"/>
        </w:rPr>
        <w:t> </w:t>
      </w:r>
      <w:r>
        <w:rPr>
          <w:color w:val="231F20"/>
          <w:sz w:val="23"/>
        </w:rPr>
        <w:t>arrears</w:t>
      </w:r>
      <w:r>
        <w:rPr>
          <w:color w:val="231F20"/>
          <w:spacing w:val="-30"/>
          <w:sz w:val="23"/>
        </w:rPr>
        <w:t> </w:t>
      </w:r>
      <w:r>
        <w:rPr>
          <w:color w:val="231F20"/>
          <w:sz w:val="23"/>
        </w:rPr>
        <w:t>would</w:t>
      </w:r>
      <w:r>
        <w:rPr>
          <w:color w:val="231F20"/>
          <w:spacing w:val="-30"/>
          <w:sz w:val="23"/>
        </w:rPr>
        <w:t> </w:t>
      </w:r>
      <w:r>
        <w:rPr>
          <w:color w:val="231F20"/>
          <w:sz w:val="23"/>
        </w:rPr>
        <w:t>affect</w:t>
      </w:r>
      <w:r>
        <w:rPr>
          <w:color w:val="231F20"/>
          <w:spacing w:val="-30"/>
          <w:sz w:val="23"/>
        </w:rPr>
        <w:t> </w:t>
      </w:r>
      <w:r>
        <w:rPr>
          <w:color w:val="231F20"/>
          <w:sz w:val="23"/>
        </w:rPr>
        <w:t>the</w:t>
      </w:r>
      <w:r>
        <w:rPr>
          <w:color w:val="231F20"/>
          <w:spacing w:val="-30"/>
          <w:sz w:val="23"/>
        </w:rPr>
        <w:t> </w:t>
      </w:r>
      <w:r>
        <w:rPr>
          <w:color w:val="231F20"/>
          <w:sz w:val="23"/>
        </w:rPr>
        <w:t>stability</w:t>
      </w:r>
      <w:r>
        <w:rPr>
          <w:color w:val="231F20"/>
          <w:spacing w:val="-30"/>
          <w:sz w:val="23"/>
        </w:rPr>
        <w:t> </w:t>
      </w:r>
      <w:r>
        <w:rPr>
          <w:color w:val="231F20"/>
          <w:sz w:val="23"/>
        </w:rPr>
        <w:t>of</w:t>
      </w:r>
      <w:r>
        <w:rPr>
          <w:color w:val="231F20"/>
          <w:spacing w:val="-30"/>
          <w:sz w:val="23"/>
        </w:rPr>
        <w:t> </w:t>
      </w:r>
      <w:r>
        <w:rPr>
          <w:color w:val="231F20"/>
          <w:sz w:val="23"/>
        </w:rPr>
        <w:t>the</w:t>
      </w:r>
      <w:r>
        <w:rPr>
          <w:color w:val="231F20"/>
          <w:spacing w:val="-30"/>
          <w:sz w:val="23"/>
        </w:rPr>
        <w:t> </w:t>
      </w:r>
      <w:r>
        <w:rPr>
          <w:color w:val="231F20"/>
          <w:sz w:val="23"/>
        </w:rPr>
        <w:t>banking system,</w:t>
      </w:r>
      <w:r>
        <w:rPr>
          <w:color w:val="231F20"/>
          <w:spacing w:val="-37"/>
          <w:sz w:val="23"/>
        </w:rPr>
        <w:t> </w:t>
      </w:r>
      <w:r>
        <w:rPr>
          <w:color w:val="231F20"/>
          <w:sz w:val="23"/>
        </w:rPr>
        <w:t>hence</w:t>
      </w:r>
      <w:r>
        <w:rPr>
          <w:color w:val="231F20"/>
          <w:spacing w:val="-37"/>
          <w:sz w:val="23"/>
        </w:rPr>
        <w:t> </w:t>
      </w:r>
      <w:r>
        <w:rPr>
          <w:color w:val="231F20"/>
          <w:sz w:val="23"/>
        </w:rPr>
        <w:t>its</w:t>
      </w:r>
      <w:r>
        <w:rPr>
          <w:color w:val="231F20"/>
          <w:spacing w:val="-37"/>
          <w:sz w:val="23"/>
        </w:rPr>
        <w:t> </w:t>
      </w:r>
      <w:r>
        <w:rPr>
          <w:color w:val="231F20"/>
          <w:sz w:val="23"/>
        </w:rPr>
        <w:t>ability</w:t>
      </w:r>
      <w:r>
        <w:rPr>
          <w:color w:val="231F20"/>
          <w:spacing w:val="-37"/>
          <w:sz w:val="23"/>
        </w:rPr>
        <w:t> </w:t>
      </w:r>
      <w:r>
        <w:rPr>
          <w:color w:val="231F20"/>
          <w:sz w:val="23"/>
        </w:rPr>
        <w:t>to</w:t>
      </w:r>
      <w:r>
        <w:rPr>
          <w:color w:val="231F20"/>
          <w:spacing w:val="-37"/>
          <w:sz w:val="23"/>
        </w:rPr>
        <w:t> </w:t>
      </w:r>
      <w:r>
        <w:rPr>
          <w:color w:val="231F20"/>
          <w:sz w:val="23"/>
        </w:rPr>
        <w:t>provide</w:t>
      </w:r>
      <w:r>
        <w:rPr>
          <w:color w:val="231F20"/>
          <w:spacing w:val="-37"/>
          <w:sz w:val="23"/>
        </w:rPr>
        <w:t> </w:t>
      </w:r>
      <w:r>
        <w:rPr>
          <w:color w:val="231F20"/>
          <w:sz w:val="23"/>
        </w:rPr>
        <w:t>credit</w:t>
      </w:r>
      <w:r>
        <w:rPr>
          <w:color w:val="231F20"/>
          <w:spacing w:val="-37"/>
          <w:sz w:val="23"/>
        </w:rPr>
        <w:t> </w:t>
      </w:r>
      <w:r>
        <w:rPr>
          <w:color w:val="231F20"/>
          <w:sz w:val="23"/>
        </w:rPr>
        <w:t>to</w:t>
      </w:r>
      <w:r>
        <w:rPr>
          <w:color w:val="231F20"/>
          <w:spacing w:val="-37"/>
          <w:sz w:val="23"/>
        </w:rPr>
        <w:t> </w:t>
      </w:r>
      <w:r>
        <w:rPr>
          <w:color w:val="231F20"/>
          <w:sz w:val="23"/>
        </w:rPr>
        <w:t>the</w:t>
      </w:r>
      <w:r>
        <w:rPr>
          <w:color w:val="231F20"/>
          <w:spacing w:val="-37"/>
          <w:sz w:val="23"/>
        </w:rPr>
        <w:t> </w:t>
      </w:r>
      <w:r>
        <w:rPr>
          <w:color w:val="231F20"/>
          <w:sz w:val="23"/>
        </w:rPr>
        <w:t>private</w:t>
      </w:r>
      <w:r>
        <w:rPr>
          <w:color w:val="231F20"/>
          <w:spacing w:val="-37"/>
          <w:sz w:val="23"/>
        </w:rPr>
        <w:t> </w:t>
      </w:r>
      <w:r>
        <w:rPr>
          <w:color w:val="231F20"/>
          <w:sz w:val="23"/>
        </w:rPr>
        <w:t>sector</w:t>
      </w:r>
      <w:r>
        <w:rPr>
          <w:color w:val="231F20"/>
          <w:spacing w:val="-37"/>
          <w:sz w:val="23"/>
        </w:rPr>
        <w:t> </w:t>
      </w:r>
      <w:r>
        <w:rPr>
          <w:color w:val="231F20"/>
          <w:sz w:val="23"/>
        </w:rPr>
        <w:t>with</w:t>
      </w:r>
      <w:r>
        <w:rPr>
          <w:color w:val="231F20"/>
          <w:spacing w:val="-37"/>
          <w:sz w:val="23"/>
        </w:rPr>
        <w:t> </w:t>
      </w:r>
      <w:r>
        <w:rPr>
          <w:color w:val="231F20"/>
          <w:sz w:val="23"/>
        </w:rPr>
        <w:t>adverse implications for growth and employment;</w:t>
      </w:r>
      <w:r>
        <w:rPr>
          <w:color w:val="231F20"/>
          <w:spacing w:val="-45"/>
          <w:sz w:val="23"/>
        </w:rPr>
        <w:t> </w:t>
      </w:r>
      <w:r>
        <w:rPr>
          <w:color w:val="231F20"/>
          <w:sz w:val="23"/>
        </w:rPr>
        <w:t>and</w:t>
      </w:r>
    </w:p>
    <w:p>
      <w:pPr>
        <w:pStyle w:val="BodyText"/>
        <w:spacing w:before="1"/>
        <w:rPr>
          <w:sz w:val="27"/>
        </w:rPr>
      </w:pPr>
    </w:p>
    <w:p>
      <w:pPr>
        <w:pStyle w:val="ListParagraph"/>
        <w:numPr>
          <w:ilvl w:val="0"/>
          <w:numId w:val="3"/>
        </w:numPr>
        <w:tabs>
          <w:tab w:pos="1523" w:val="left" w:leader="none"/>
        </w:tabs>
        <w:spacing w:line="283" w:lineRule="auto" w:before="0" w:after="0"/>
        <w:ind w:left="1522" w:right="119" w:hanging="524"/>
        <w:jc w:val="both"/>
        <w:rPr>
          <w:sz w:val="23"/>
        </w:rPr>
      </w:pPr>
      <w:r>
        <w:rPr>
          <w:color w:val="231F20"/>
          <w:sz w:val="23"/>
        </w:rPr>
        <w:t>Failure to maintain the current momentum in the implementation of policy</w:t>
      </w:r>
      <w:r>
        <w:rPr>
          <w:color w:val="231F20"/>
          <w:spacing w:val="-24"/>
          <w:sz w:val="23"/>
        </w:rPr>
        <w:t> </w:t>
      </w:r>
      <w:r>
        <w:rPr>
          <w:color w:val="231F20"/>
          <w:sz w:val="23"/>
        </w:rPr>
        <w:t>reform</w:t>
      </w:r>
      <w:r>
        <w:rPr>
          <w:color w:val="231F20"/>
          <w:spacing w:val="-24"/>
          <w:sz w:val="23"/>
        </w:rPr>
        <w:t> </w:t>
      </w:r>
      <w:r>
        <w:rPr>
          <w:color w:val="231F20"/>
          <w:sz w:val="23"/>
        </w:rPr>
        <w:t>efforts</w:t>
      </w:r>
      <w:r>
        <w:rPr>
          <w:color w:val="231F20"/>
          <w:spacing w:val="-24"/>
          <w:sz w:val="23"/>
        </w:rPr>
        <w:t> </w:t>
      </w:r>
      <w:r>
        <w:rPr>
          <w:color w:val="231F20"/>
          <w:sz w:val="23"/>
        </w:rPr>
        <w:t>would</w:t>
      </w:r>
      <w:r>
        <w:rPr>
          <w:color w:val="231F20"/>
          <w:spacing w:val="-24"/>
          <w:sz w:val="23"/>
        </w:rPr>
        <w:t> </w:t>
      </w:r>
      <w:r>
        <w:rPr>
          <w:color w:val="231F20"/>
          <w:sz w:val="23"/>
        </w:rPr>
        <w:t>eventually</w:t>
      </w:r>
      <w:r>
        <w:rPr>
          <w:color w:val="231F20"/>
          <w:spacing w:val="-24"/>
          <w:sz w:val="23"/>
        </w:rPr>
        <w:t> </w:t>
      </w:r>
      <w:r>
        <w:rPr>
          <w:color w:val="231F20"/>
          <w:sz w:val="23"/>
        </w:rPr>
        <w:t>lead</w:t>
      </w:r>
      <w:r>
        <w:rPr>
          <w:color w:val="231F20"/>
          <w:spacing w:val="-24"/>
          <w:sz w:val="23"/>
        </w:rPr>
        <w:t> </w:t>
      </w:r>
      <w:r>
        <w:rPr>
          <w:color w:val="231F20"/>
          <w:sz w:val="23"/>
        </w:rPr>
        <w:t>to</w:t>
      </w:r>
      <w:r>
        <w:rPr>
          <w:color w:val="231F20"/>
          <w:spacing w:val="-24"/>
          <w:sz w:val="23"/>
        </w:rPr>
        <w:t> </w:t>
      </w:r>
      <w:r>
        <w:rPr>
          <w:color w:val="231F20"/>
          <w:sz w:val="23"/>
        </w:rPr>
        <w:t>loss</w:t>
      </w:r>
      <w:r>
        <w:rPr>
          <w:color w:val="231F20"/>
          <w:spacing w:val="-24"/>
          <w:sz w:val="23"/>
        </w:rPr>
        <w:t> </w:t>
      </w:r>
      <w:r>
        <w:rPr>
          <w:color w:val="231F20"/>
          <w:sz w:val="23"/>
        </w:rPr>
        <w:t>of</w:t>
      </w:r>
      <w:r>
        <w:rPr>
          <w:color w:val="231F20"/>
          <w:spacing w:val="-24"/>
          <w:sz w:val="23"/>
        </w:rPr>
        <w:t> </w:t>
      </w:r>
      <w:r>
        <w:rPr>
          <w:color w:val="231F20"/>
          <w:sz w:val="23"/>
        </w:rPr>
        <w:t>policy</w:t>
      </w:r>
      <w:r>
        <w:rPr>
          <w:color w:val="231F20"/>
          <w:spacing w:val="-24"/>
          <w:sz w:val="23"/>
        </w:rPr>
        <w:t> </w:t>
      </w:r>
      <w:r>
        <w:rPr>
          <w:color w:val="231F20"/>
          <w:sz w:val="23"/>
        </w:rPr>
        <w:t>credibility</w:t>
      </w:r>
      <w:r>
        <w:rPr>
          <w:color w:val="231F20"/>
          <w:spacing w:val="-24"/>
          <w:sz w:val="23"/>
        </w:rPr>
        <w:t> </w:t>
      </w:r>
      <w:r>
        <w:rPr>
          <w:color w:val="231F20"/>
          <w:sz w:val="23"/>
        </w:rPr>
        <w:t>and weaken investor and donor confidence in the</w:t>
      </w:r>
      <w:r>
        <w:rPr>
          <w:color w:val="231F20"/>
          <w:spacing w:val="21"/>
          <w:sz w:val="23"/>
        </w:rPr>
        <w:t> </w:t>
      </w:r>
      <w:r>
        <w:rPr>
          <w:color w:val="231F20"/>
          <w:sz w:val="23"/>
        </w:rPr>
        <w:t>economy.</w:t>
      </w:r>
    </w:p>
    <w:p>
      <w:pPr>
        <w:pStyle w:val="BodyText"/>
        <w:spacing w:before="6"/>
        <w:rPr>
          <w:sz w:val="27"/>
        </w:rPr>
      </w:pPr>
    </w:p>
    <w:p>
      <w:pPr>
        <w:pStyle w:val="Heading2"/>
        <w:spacing w:before="1"/>
      </w:pPr>
      <w:r>
        <w:rPr>
          <w:color w:val="231F20"/>
        </w:rPr>
        <w:t>IV. Macroeconomic Policies for Job creation</w:t>
      </w:r>
    </w:p>
    <w:p>
      <w:pPr>
        <w:pStyle w:val="ListParagraph"/>
        <w:numPr>
          <w:ilvl w:val="0"/>
          <w:numId w:val="2"/>
        </w:numPr>
        <w:tabs>
          <w:tab w:pos="954" w:val="left" w:leader="none"/>
        </w:tabs>
        <w:spacing w:line="285" w:lineRule="auto" w:before="49" w:after="0"/>
        <w:ind w:left="103" w:right="120" w:firstLine="223"/>
        <w:jc w:val="both"/>
        <w:rPr>
          <w:sz w:val="23"/>
        </w:rPr>
      </w:pPr>
      <w:r>
        <w:rPr>
          <w:color w:val="231F20"/>
          <w:sz w:val="23"/>
        </w:rPr>
        <w:t>Mr. Speaker, Honourable Members, youth unemployment is currently high. Therefore, it is imperative that employment creation be central to economic policy formulation</w:t>
      </w:r>
      <w:r>
        <w:rPr>
          <w:color w:val="231F20"/>
          <w:spacing w:val="-52"/>
          <w:sz w:val="23"/>
        </w:rPr>
        <w:t> </w:t>
      </w:r>
      <w:r>
        <w:rPr>
          <w:color w:val="231F20"/>
          <w:sz w:val="23"/>
        </w:rPr>
        <w:t>in</w:t>
      </w:r>
      <w:r>
        <w:rPr>
          <w:color w:val="231F20"/>
          <w:spacing w:val="-51"/>
          <w:sz w:val="23"/>
        </w:rPr>
        <w:t> </w:t>
      </w:r>
      <w:r>
        <w:rPr>
          <w:color w:val="231F20"/>
          <w:sz w:val="23"/>
        </w:rPr>
        <w:t>the</w:t>
      </w:r>
      <w:r>
        <w:rPr>
          <w:color w:val="231F20"/>
          <w:spacing w:val="-51"/>
          <w:sz w:val="23"/>
        </w:rPr>
        <w:t> </w:t>
      </w:r>
      <w:r>
        <w:rPr>
          <w:color w:val="231F20"/>
          <w:sz w:val="23"/>
        </w:rPr>
        <w:t>short</w:t>
      </w:r>
      <w:r>
        <w:rPr>
          <w:color w:val="231F20"/>
          <w:spacing w:val="-51"/>
          <w:sz w:val="23"/>
        </w:rPr>
        <w:t> </w:t>
      </w:r>
      <w:r>
        <w:rPr>
          <w:color w:val="231F20"/>
          <w:sz w:val="23"/>
        </w:rPr>
        <w:t>to</w:t>
      </w:r>
      <w:r>
        <w:rPr>
          <w:color w:val="231F20"/>
          <w:spacing w:val="-51"/>
          <w:sz w:val="23"/>
        </w:rPr>
        <w:t> </w:t>
      </w:r>
      <w:r>
        <w:rPr>
          <w:color w:val="231F20"/>
          <w:sz w:val="23"/>
        </w:rPr>
        <w:t>medium-term.</w:t>
      </w:r>
      <w:r>
        <w:rPr>
          <w:color w:val="231F20"/>
          <w:spacing w:val="-52"/>
          <w:sz w:val="23"/>
        </w:rPr>
        <w:t> </w:t>
      </w:r>
      <w:r>
        <w:rPr>
          <w:color w:val="231F20"/>
          <w:sz w:val="23"/>
        </w:rPr>
        <w:t>In</w:t>
      </w:r>
      <w:r>
        <w:rPr>
          <w:color w:val="231F20"/>
          <w:spacing w:val="-51"/>
          <w:sz w:val="23"/>
        </w:rPr>
        <w:t> </w:t>
      </w:r>
      <w:r>
        <w:rPr>
          <w:color w:val="231F20"/>
          <w:sz w:val="23"/>
        </w:rPr>
        <w:t>this</w:t>
      </w:r>
      <w:r>
        <w:rPr>
          <w:color w:val="231F20"/>
          <w:spacing w:val="-51"/>
          <w:sz w:val="23"/>
        </w:rPr>
        <w:t> </w:t>
      </w:r>
      <w:r>
        <w:rPr>
          <w:color w:val="231F20"/>
          <w:sz w:val="23"/>
        </w:rPr>
        <w:t>context,</w:t>
      </w:r>
      <w:r>
        <w:rPr>
          <w:color w:val="231F20"/>
          <w:spacing w:val="-51"/>
          <w:sz w:val="23"/>
        </w:rPr>
        <w:t> </w:t>
      </w:r>
      <w:r>
        <w:rPr>
          <w:color w:val="231F20"/>
          <w:sz w:val="23"/>
        </w:rPr>
        <w:t>the</w:t>
      </w:r>
      <w:r>
        <w:rPr>
          <w:color w:val="231F20"/>
          <w:spacing w:val="-51"/>
          <w:sz w:val="23"/>
        </w:rPr>
        <w:t> </w:t>
      </w:r>
      <w:r>
        <w:rPr>
          <w:color w:val="231F20"/>
          <w:sz w:val="23"/>
        </w:rPr>
        <w:t>design</w:t>
      </w:r>
      <w:r>
        <w:rPr>
          <w:color w:val="231F20"/>
          <w:spacing w:val="-51"/>
          <w:sz w:val="23"/>
        </w:rPr>
        <w:t> </w:t>
      </w:r>
      <w:r>
        <w:rPr>
          <w:color w:val="231F20"/>
          <w:sz w:val="23"/>
        </w:rPr>
        <w:t>and</w:t>
      </w:r>
      <w:r>
        <w:rPr>
          <w:color w:val="231F20"/>
          <w:spacing w:val="-52"/>
          <w:sz w:val="23"/>
        </w:rPr>
        <w:t> </w:t>
      </w:r>
      <w:r>
        <w:rPr>
          <w:color w:val="231F20"/>
          <w:sz w:val="23"/>
        </w:rPr>
        <w:t>implementation of</w:t>
      </w:r>
      <w:r>
        <w:rPr>
          <w:color w:val="231F20"/>
          <w:spacing w:val="-6"/>
          <w:sz w:val="23"/>
        </w:rPr>
        <w:t> </w:t>
      </w:r>
      <w:r>
        <w:rPr>
          <w:color w:val="231F20"/>
          <w:sz w:val="23"/>
        </w:rPr>
        <w:t>macroeconomic</w:t>
      </w:r>
      <w:r>
        <w:rPr>
          <w:color w:val="231F20"/>
          <w:spacing w:val="-6"/>
          <w:sz w:val="23"/>
        </w:rPr>
        <w:t> </w:t>
      </w:r>
      <w:r>
        <w:rPr>
          <w:color w:val="231F20"/>
          <w:sz w:val="23"/>
        </w:rPr>
        <w:t>policies</w:t>
      </w:r>
      <w:r>
        <w:rPr>
          <w:color w:val="231F20"/>
          <w:spacing w:val="-6"/>
          <w:sz w:val="23"/>
        </w:rPr>
        <w:t> </w:t>
      </w:r>
      <w:r>
        <w:rPr>
          <w:color w:val="231F20"/>
          <w:sz w:val="23"/>
        </w:rPr>
        <w:t>in</w:t>
      </w:r>
      <w:r>
        <w:rPr>
          <w:color w:val="231F20"/>
          <w:spacing w:val="-6"/>
          <w:sz w:val="23"/>
        </w:rPr>
        <w:t> </w:t>
      </w:r>
      <w:r>
        <w:rPr>
          <w:color w:val="231F20"/>
          <w:sz w:val="23"/>
        </w:rPr>
        <w:t>2020</w:t>
      </w:r>
      <w:r>
        <w:rPr>
          <w:color w:val="231F20"/>
          <w:spacing w:val="-6"/>
          <w:sz w:val="23"/>
        </w:rPr>
        <w:t> </w:t>
      </w:r>
      <w:r>
        <w:rPr>
          <w:color w:val="231F20"/>
          <w:sz w:val="23"/>
        </w:rPr>
        <w:t>will</w:t>
      </w:r>
      <w:r>
        <w:rPr>
          <w:color w:val="231F20"/>
          <w:spacing w:val="-6"/>
          <w:sz w:val="23"/>
        </w:rPr>
        <w:t> </w:t>
      </w:r>
      <w:r>
        <w:rPr>
          <w:color w:val="231F20"/>
          <w:sz w:val="23"/>
        </w:rPr>
        <w:t>not</w:t>
      </w:r>
      <w:r>
        <w:rPr>
          <w:color w:val="231F20"/>
          <w:spacing w:val="-6"/>
          <w:sz w:val="23"/>
        </w:rPr>
        <w:t> </w:t>
      </w:r>
      <w:r>
        <w:rPr>
          <w:color w:val="231F20"/>
          <w:sz w:val="23"/>
        </w:rPr>
        <w:t>only</w:t>
      </w:r>
      <w:r>
        <w:rPr>
          <w:color w:val="231F20"/>
          <w:spacing w:val="-6"/>
          <w:sz w:val="23"/>
        </w:rPr>
        <w:t> </w:t>
      </w:r>
      <w:r>
        <w:rPr>
          <w:color w:val="231F20"/>
          <w:sz w:val="23"/>
        </w:rPr>
        <w:t>aim</w:t>
      </w:r>
      <w:r>
        <w:rPr>
          <w:color w:val="231F20"/>
          <w:spacing w:val="-6"/>
          <w:sz w:val="23"/>
        </w:rPr>
        <w:t> </w:t>
      </w:r>
      <w:r>
        <w:rPr>
          <w:color w:val="231F20"/>
          <w:sz w:val="23"/>
        </w:rPr>
        <w:t>at</w:t>
      </w:r>
      <w:r>
        <w:rPr>
          <w:color w:val="231F20"/>
          <w:spacing w:val="-6"/>
          <w:sz w:val="23"/>
        </w:rPr>
        <w:t> </w:t>
      </w:r>
      <w:r>
        <w:rPr>
          <w:color w:val="231F20"/>
          <w:sz w:val="23"/>
        </w:rPr>
        <w:t>safeguarding</w:t>
      </w:r>
      <w:r>
        <w:rPr>
          <w:color w:val="231F20"/>
          <w:spacing w:val="-6"/>
          <w:sz w:val="23"/>
        </w:rPr>
        <w:t> </w:t>
      </w:r>
      <w:r>
        <w:rPr>
          <w:color w:val="231F20"/>
          <w:sz w:val="23"/>
        </w:rPr>
        <w:t>macroeconomic stability</w:t>
      </w:r>
      <w:r>
        <w:rPr>
          <w:color w:val="231F20"/>
          <w:spacing w:val="-30"/>
          <w:sz w:val="23"/>
        </w:rPr>
        <w:t> </w:t>
      </w:r>
      <w:r>
        <w:rPr>
          <w:color w:val="231F20"/>
          <w:sz w:val="23"/>
        </w:rPr>
        <w:t>but</w:t>
      </w:r>
      <w:r>
        <w:rPr>
          <w:color w:val="231F20"/>
          <w:spacing w:val="-30"/>
          <w:sz w:val="23"/>
        </w:rPr>
        <w:t> </w:t>
      </w:r>
      <w:r>
        <w:rPr>
          <w:color w:val="231F20"/>
          <w:sz w:val="23"/>
        </w:rPr>
        <w:t>also</w:t>
      </w:r>
      <w:r>
        <w:rPr>
          <w:color w:val="231F20"/>
          <w:spacing w:val="-30"/>
          <w:sz w:val="23"/>
        </w:rPr>
        <w:t> </w:t>
      </w:r>
      <w:r>
        <w:rPr>
          <w:color w:val="231F20"/>
          <w:sz w:val="23"/>
        </w:rPr>
        <w:t>focus</w:t>
      </w:r>
      <w:r>
        <w:rPr>
          <w:color w:val="231F20"/>
          <w:spacing w:val="-30"/>
          <w:sz w:val="23"/>
        </w:rPr>
        <w:t> </w:t>
      </w:r>
      <w:r>
        <w:rPr>
          <w:color w:val="231F20"/>
          <w:sz w:val="23"/>
        </w:rPr>
        <w:t>on</w:t>
      </w:r>
      <w:r>
        <w:rPr>
          <w:color w:val="231F20"/>
          <w:spacing w:val="-30"/>
          <w:sz w:val="23"/>
        </w:rPr>
        <w:t> </w:t>
      </w:r>
      <w:r>
        <w:rPr>
          <w:color w:val="231F20"/>
          <w:sz w:val="23"/>
        </w:rPr>
        <w:t>creating</w:t>
      </w:r>
      <w:r>
        <w:rPr>
          <w:color w:val="231F20"/>
          <w:spacing w:val="-30"/>
          <w:sz w:val="23"/>
        </w:rPr>
        <w:t> </w:t>
      </w:r>
      <w:r>
        <w:rPr>
          <w:color w:val="231F20"/>
          <w:sz w:val="23"/>
        </w:rPr>
        <w:t>a</w:t>
      </w:r>
      <w:r>
        <w:rPr>
          <w:color w:val="231F20"/>
          <w:spacing w:val="-30"/>
          <w:sz w:val="23"/>
        </w:rPr>
        <w:t> </w:t>
      </w:r>
      <w:r>
        <w:rPr>
          <w:color w:val="231F20"/>
          <w:sz w:val="23"/>
        </w:rPr>
        <w:t>supportive</w:t>
      </w:r>
      <w:r>
        <w:rPr>
          <w:color w:val="231F20"/>
          <w:spacing w:val="-30"/>
          <w:sz w:val="23"/>
        </w:rPr>
        <w:t> </w:t>
      </w:r>
      <w:r>
        <w:rPr>
          <w:color w:val="231F20"/>
          <w:sz w:val="23"/>
        </w:rPr>
        <w:t>environment</w:t>
      </w:r>
      <w:r>
        <w:rPr>
          <w:color w:val="231F20"/>
          <w:spacing w:val="-30"/>
          <w:sz w:val="23"/>
        </w:rPr>
        <w:t> </w:t>
      </w:r>
      <w:r>
        <w:rPr>
          <w:color w:val="231F20"/>
          <w:sz w:val="23"/>
        </w:rPr>
        <w:t>for</w:t>
      </w:r>
      <w:r>
        <w:rPr>
          <w:color w:val="231F20"/>
          <w:spacing w:val="-30"/>
          <w:sz w:val="23"/>
        </w:rPr>
        <w:t> </w:t>
      </w:r>
      <w:r>
        <w:rPr>
          <w:color w:val="231F20"/>
          <w:sz w:val="23"/>
        </w:rPr>
        <w:t>employment</w:t>
      </w:r>
      <w:r>
        <w:rPr>
          <w:color w:val="231F20"/>
          <w:spacing w:val="-30"/>
          <w:sz w:val="23"/>
        </w:rPr>
        <w:t> </w:t>
      </w:r>
      <w:r>
        <w:rPr>
          <w:color w:val="231F20"/>
          <w:sz w:val="23"/>
        </w:rPr>
        <w:t>creation. Fiscal,</w:t>
      </w:r>
      <w:r>
        <w:rPr>
          <w:color w:val="231F20"/>
          <w:spacing w:val="-7"/>
          <w:sz w:val="23"/>
        </w:rPr>
        <w:t> </w:t>
      </w:r>
      <w:r>
        <w:rPr>
          <w:color w:val="231F20"/>
          <w:sz w:val="23"/>
        </w:rPr>
        <w:t>monetary,</w:t>
      </w:r>
      <w:r>
        <w:rPr>
          <w:color w:val="231F20"/>
          <w:spacing w:val="-7"/>
          <w:sz w:val="23"/>
        </w:rPr>
        <w:t> </w:t>
      </w:r>
      <w:r>
        <w:rPr>
          <w:color w:val="231F20"/>
          <w:sz w:val="23"/>
        </w:rPr>
        <w:t>exchange</w:t>
      </w:r>
      <w:r>
        <w:rPr>
          <w:color w:val="231F20"/>
          <w:spacing w:val="-7"/>
          <w:sz w:val="23"/>
        </w:rPr>
        <w:t> </w:t>
      </w:r>
      <w:r>
        <w:rPr>
          <w:color w:val="231F20"/>
          <w:sz w:val="23"/>
        </w:rPr>
        <w:t>rate</w:t>
      </w:r>
      <w:r>
        <w:rPr>
          <w:color w:val="231F20"/>
          <w:spacing w:val="-7"/>
          <w:sz w:val="23"/>
        </w:rPr>
        <w:t> </w:t>
      </w:r>
      <w:r>
        <w:rPr>
          <w:color w:val="231F20"/>
          <w:sz w:val="23"/>
        </w:rPr>
        <w:t>and</w:t>
      </w:r>
      <w:r>
        <w:rPr>
          <w:color w:val="231F20"/>
          <w:spacing w:val="-7"/>
          <w:sz w:val="23"/>
        </w:rPr>
        <w:t> </w:t>
      </w:r>
      <w:r>
        <w:rPr>
          <w:color w:val="231F20"/>
          <w:sz w:val="23"/>
        </w:rPr>
        <w:t>debt</w:t>
      </w:r>
      <w:r>
        <w:rPr>
          <w:color w:val="231F20"/>
          <w:spacing w:val="-7"/>
          <w:sz w:val="23"/>
        </w:rPr>
        <w:t> </w:t>
      </w:r>
      <w:r>
        <w:rPr>
          <w:color w:val="231F20"/>
          <w:sz w:val="23"/>
        </w:rPr>
        <w:t>management</w:t>
      </w:r>
      <w:r>
        <w:rPr>
          <w:color w:val="231F20"/>
          <w:spacing w:val="-7"/>
          <w:sz w:val="23"/>
        </w:rPr>
        <w:t> </w:t>
      </w:r>
      <w:r>
        <w:rPr>
          <w:color w:val="231F20"/>
          <w:sz w:val="23"/>
        </w:rPr>
        <w:t>policies</w:t>
      </w:r>
      <w:r>
        <w:rPr>
          <w:color w:val="231F20"/>
          <w:spacing w:val="-7"/>
          <w:sz w:val="23"/>
        </w:rPr>
        <w:t> </w:t>
      </w:r>
      <w:r>
        <w:rPr>
          <w:color w:val="231F20"/>
          <w:sz w:val="23"/>
        </w:rPr>
        <w:t>will</w:t>
      </w:r>
      <w:r>
        <w:rPr>
          <w:color w:val="231F20"/>
          <w:spacing w:val="-7"/>
          <w:sz w:val="23"/>
        </w:rPr>
        <w:t> </w:t>
      </w:r>
      <w:r>
        <w:rPr>
          <w:color w:val="231F20"/>
          <w:sz w:val="23"/>
        </w:rPr>
        <w:t>be</w:t>
      </w:r>
      <w:r>
        <w:rPr>
          <w:color w:val="231F20"/>
          <w:spacing w:val="-7"/>
          <w:sz w:val="23"/>
        </w:rPr>
        <w:t> </w:t>
      </w:r>
      <w:r>
        <w:rPr>
          <w:color w:val="231F20"/>
          <w:sz w:val="23"/>
        </w:rPr>
        <w:t>re-oriented</w:t>
      </w:r>
      <w:r>
        <w:rPr>
          <w:color w:val="231F20"/>
          <w:spacing w:val="-7"/>
          <w:sz w:val="23"/>
        </w:rPr>
        <w:t> </w:t>
      </w:r>
      <w:r>
        <w:rPr>
          <w:color w:val="231F20"/>
          <w:sz w:val="23"/>
        </w:rPr>
        <w:t>to achieve employment growth, poverty reduction and macroeconomic</w:t>
      </w:r>
      <w:r>
        <w:rPr>
          <w:color w:val="231F20"/>
          <w:spacing w:val="-42"/>
          <w:sz w:val="23"/>
        </w:rPr>
        <w:t> </w:t>
      </w:r>
      <w:r>
        <w:rPr>
          <w:color w:val="231F20"/>
          <w:sz w:val="23"/>
        </w:rPr>
        <w:t>stability.</w:t>
      </w:r>
    </w:p>
    <w:p>
      <w:pPr>
        <w:pStyle w:val="BodyText"/>
        <w:spacing w:before="6"/>
        <w:rPr>
          <w:sz w:val="26"/>
        </w:rPr>
      </w:pPr>
    </w:p>
    <w:p>
      <w:pPr>
        <w:pStyle w:val="Heading2"/>
      </w:pPr>
      <w:r>
        <w:rPr>
          <w:color w:val="231F20"/>
        </w:rPr>
        <w:t>Fiscal</w:t>
      </w:r>
      <w:r>
        <w:rPr>
          <w:color w:val="231F20"/>
          <w:spacing w:val="-51"/>
        </w:rPr>
        <w:t> </w:t>
      </w:r>
      <w:r>
        <w:rPr>
          <w:color w:val="231F20"/>
        </w:rPr>
        <w:t>Policy</w:t>
      </w:r>
    </w:p>
    <w:p>
      <w:pPr>
        <w:pStyle w:val="ListParagraph"/>
        <w:numPr>
          <w:ilvl w:val="0"/>
          <w:numId w:val="2"/>
        </w:numPr>
        <w:tabs>
          <w:tab w:pos="954" w:val="left" w:leader="none"/>
        </w:tabs>
        <w:spacing w:line="285" w:lineRule="auto" w:before="50" w:after="0"/>
        <w:ind w:left="103" w:right="119" w:firstLine="223"/>
        <w:jc w:val="both"/>
        <w:rPr>
          <w:sz w:val="23"/>
        </w:rPr>
      </w:pPr>
      <w:r>
        <w:rPr>
          <w:color w:val="231F20"/>
          <w:sz w:val="23"/>
        </w:rPr>
        <w:t>Mr.</w:t>
      </w:r>
      <w:r>
        <w:rPr>
          <w:color w:val="231F20"/>
          <w:spacing w:val="-15"/>
          <w:sz w:val="23"/>
        </w:rPr>
        <w:t> </w:t>
      </w:r>
      <w:r>
        <w:rPr>
          <w:color w:val="231F20"/>
          <w:sz w:val="23"/>
        </w:rPr>
        <w:t>Speaker,</w:t>
      </w:r>
      <w:r>
        <w:rPr>
          <w:color w:val="231F20"/>
          <w:spacing w:val="-15"/>
          <w:sz w:val="23"/>
        </w:rPr>
        <w:t> </w:t>
      </w:r>
      <w:r>
        <w:rPr>
          <w:color w:val="231F20"/>
          <w:sz w:val="23"/>
        </w:rPr>
        <w:t>Honourable</w:t>
      </w:r>
      <w:r>
        <w:rPr>
          <w:color w:val="231F20"/>
          <w:spacing w:val="-15"/>
          <w:sz w:val="23"/>
        </w:rPr>
        <w:t> </w:t>
      </w:r>
      <w:r>
        <w:rPr>
          <w:color w:val="231F20"/>
          <w:sz w:val="23"/>
        </w:rPr>
        <w:t>Members,</w:t>
      </w:r>
      <w:r>
        <w:rPr>
          <w:color w:val="231F20"/>
          <w:spacing w:val="-15"/>
          <w:sz w:val="23"/>
        </w:rPr>
        <w:t> </w:t>
      </w:r>
      <w:r>
        <w:rPr>
          <w:color w:val="231F20"/>
          <w:sz w:val="23"/>
        </w:rPr>
        <w:t>fiscal</w:t>
      </w:r>
      <w:r>
        <w:rPr>
          <w:color w:val="231F20"/>
          <w:spacing w:val="-15"/>
          <w:sz w:val="23"/>
        </w:rPr>
        <w:t> </w:t>
      </w:r>
      <w:r>
        <w:rPr>
          <w:color w:val="231F20"/>
          <w:sz w:val="23"/>
        </w:rPr>
        <w:t>policy</w:t>
      </w:r>
      <w:r>
        <w:rPr>
          <w:color w:val="231F20"/>
          <w:spacing w:val="-15"/>
          <w:sz w:val="23"/>
        </w:rPr>
        <w:t> </w:t>
      </w:r>
      <w:r>
        <w:rPr>
          <w:color w:val="231F20"/>
          <w:sz w:val="23"/>
        </w:rPr>
        <w:t>in</w:t>
      </w:r>
      <w:r>
        <w:rPr>
          <w:color w:val="231F20"/>
          <w:spacing w:val="-15"/>
          <w:sz w:val="23"/>
        </w:rPr>
        <w:t> </w:t>
      </w:r>
      <w:r>
        <w:rPr>
          <w:color w:val="231F20"/>
          <w:sz w:val="23"/>
        </w:rPr>
        <w:t>2020</w:t>
      </w:r>
      <w:r>
        <w:rPr>
          <w:color w:val="231F20"/>
          <w:spacing w:val="-15"/>
          <w:sz w:val="23"/>
        </w:rPr>
        <w:t> </w:t>
      </w:r>
      <w:r>
        <w:rPr>
          <w:color w:val="231F20"/>
          <w:sz w:val="23"/>
        </w:rPr>
        <w:t>will</w:t>
      </w:r>
      <w:r>
        <w:rPr>
          <w:color w:val="231F20"/>
          <w:spacing w:val="-15"/>
          <w:sz w:val="23"/>
        </w:rPr>
        <w:t> </w:t>
      </w:r>
      <w:r>
        <w:rPr>
          <w:color w:val="231F20"/>
          <w:sz w:val="23"/>
        </w:rPr>
        <w:t>seek</w:t>
      </w:r>
      <w:r>
        <w:rPr>
          <w:color w:val="231F20"/>
          <w:spacing w:val="-15"/>
          <w:sz w:val="23"/>
        </w:rPr>
        <w:t> </w:t>
      </w:r>
      <w:r>
        <w:rPr>
          <w:color w:val="231F20"/>
          <w:sz w:val="23"/>
        </w:rPr>
        <w:t>to</w:t>
      </w:r>
      <w:r>
        <w:rPr>
          <w:color w:val="231F20"/>
          <w:spacing w:val="-15"/>
          <w:sz w:val="23"/>
        </w:rPr>
        <w:t> </w:t>
      </w:r>
      <w:r>
        <w:rPr>
          <w:color w:val="231F20"/>
          <w:sz w:val="23"/>
        </w:rPr>
        <w:t>strike</w:t>
      </w:r>
      <w:r>
        <w:rPr>
          <w:color w:val="231F20"/>
          <w:spacing w:val="-15"/>
          <w:sz w:val="23"/>
        </w:rPr>
        <w:t> </w:t>
      </w:r>
      <w:r>
        <w:rPr>
          <w:color w:val="231F20"/>
          <w:sz w:val="23"/>
        </w:rPr>
        <w:t>an appropriate</w:t>
      </w:r>
      <w:r>
        <w:rPr>
          <w:color w:val="231F20"/>
          <w:spacing w:val="-45"/>
          <w:sz w:val="23"/>
        </w:rPr>
        <w:t> </w:t>
      </w:r>
      <w:r>
        <w:rPr>
          <w:color w:val="231F20"/>
          <w:sz w:val="23"/>
        </w:rPr>
        <w:t>balance</w:t>
      </w:r>
      <w:r>
        <w:rPr>
          <w:color w:val="231F20"/>
          <w:spacing w:val="-45"/>
          <w:sz w:val="23"/>
        </w:rPr>
        <w:t> </w:t>
      </w:r>
      <w:r>
        <w:rPr>
          <w:color w:val="231F20"/>
          <w:sz w:val="23"/>
        </w:rPr>
        <w:t>between</w:t>
      </w:r>
      <w:r>
        <w:rPr>
          <w:color w:val="231F20"/>
          <w:spacing w:val="-44"/>
          <w:sz w:val="23"/>
        </w:rPr>
        <w:t> </w:t>
      </w:r>
      <w:r>
        <w:rPr>
          <w:color w:val="231F20"/>
          <w:sz w:val="23"/>
        </w:rPr>
        <w:t>revenue</w:t>
      </w:r>
      <w:r>
        <w:rPr>
          <w:color w:val="231F20"/>
          <w:spacing w:val="-45"/>
          <w:sz w:val="23"/>
        </w:rPr>
        <w:t> </w:t>
      </w:r>
      <w:r>
        <w:rPr>
          <w:color w:val="231F20"/>
          <w:sz w:val="23"/>
        </w:rPr>
        <w:t>mobilisation,</w:t>
      </w:r>
      <w:r>
        <w:rPr>
          <w:color w:val="231F20"/>
          <w:spacing w:val="-45"/>
          <w:sz w:val="23"/>
        </w:rPr>
        <w:t> </w:t>
      </w:r>
      <w:r>
        <w:rPr>
          <w:color w:val="231F20"/>
          <w:sz w:val="23"/>
        </w:rPr>
        <w:t>trade</w:t>
      </w:r>
      <w:r>
        <w:rPr>
          <w:color w:val="231F20"/>
          <w:spacing w:val="-44"/>
          <w:sz w:val="23"/>
        </w:rPr>
        <w:t> </w:t>
      </w:r>
      <w:r>
        <w:rPr>
          <w:color w:val="231F20"/>
          <w:sz w:val="23"/>
        </w:rPr>
        <w:t>facilitation</w:t>
      </w:r>
      <w:r>
        <w:rPr>
          <w:color w:val="231F20"/>
          <w:spacing w:val="-45"/>
          <w:sz w:val="23"/>
        </w:rPr>
        <w:t> </w:t>
      </w:r>
      <w:r>
        <w:rPr>
          <w:color w:val="231F20"/>
          <w:sz w:val="23"/>
        </w:rPr>
        <w:t>and</w:t>
      </w:r>
      <w:r>
        <w:rPr>
          <w:color w:val="231F20"/>
          <w:spacing w:val="-45"/>
          <w:sz w:val="23"/>
        </w:rPr>
        <w:t> </w:t>
      </w:r>
      <w:r>
        <w:rPr>
          <w:color w:val="231F20"/>
          <w:sz w:val="23"/>
        </w:rPr>
        <w:t>improving</w:t>
      </w:r>
      <w:r>
        <w:rPr>
          <w:color w:val="231F20"/>
          <w:spacing w:val="-44"/>
          <w:sz w:val="23"/>
        </w:rPr>
        <w:t> </w:t>
      </w:r>
      <w:r>
        <w:rPr>
          <w:color w:val="231F20"/>
          <w:sz w:val="23"/>
        </w:rPr>
        <w:t>the ease</w:t>
      </w:r>
      <w:r>
        <w:rPr>
          <w:color w:val="231F20"/>
          <w:spacing w:val="-42"/>
          <w:sz w:val="23"/>
        </w:rPr>
        <w:t> </w:t>
      </w:r>
      <w:r>
        <w:rPr>
          <w:color w:val="231F20"/>
          <w:sz w:val="23"/>
        </w:rPr>
        <w:t>of</w:t>
      </w:r>
      <w:r>
        <w:rPr>
          <w:color w:val="231F20"/>
          <w:spacing w:val="-41"/>
          <w:sz w:val="23"/>
        </w:rPr>
        <w:t> </w:t>
      </w:r>
      <w:r>
        <w:rPr>
          <w:color w:val="231F20"/>
          <w:sz w:val="23"/>
        </w:rPr>
        <w:t>doing</w:t>
      </w:r>
      <w:r>
        <w:rPr>
          <w:color w:val="231F20"/>
          <w:spacing w:val="-42"/>
          <w:sz w:val="23"/>
        </w:rPr>
        <w:t> </w:t>
      </w:r>
      <w:r>
        <w:rPr>
          <w:color w:val="231F20"/>
          <w:sz w:val="23"/>
        </w:rPr>
        <w:t>business,</w:t>
      </w:r>
      <w:r>
        <w:rPr>
          <w:color w:val="231F20"/>
          <w:spacing w:val="-42"/>
          <w:sz w:val="23"/>
        </w:rPr>
        <w:t> </w:t>
      </w:r>
      <w:r>
        <w:rPr>
          <w:color w:val="231F20"/>
          <w:sz w:val="23"/>
        </w:rPr>
        <w:t>in</w:t>
      </w:r>
      <w:r>
        <w:rPr>
          <w:color w:val="231F20"/>
          <w:spacing w:val="-41"/>
          <w:sz w:val="23"/>
        </w:rPr>
        <w:t> </w:t>
      </w:r>
      <w:r>
        <w:rPr>
          <w:color w:val="231F20"/>
          <w:sz w:val="23"/>
        </w:rPr>
        <w:t>order</w:t>
      </w:r>
      <w:r>
        <w:rPr>
          <w:color w:val="231F20"/>
          <w:spacing w:val="-42"/>
          <w:sz w:val="23"/>
        </w:rPr>
        <w:t> </w:t>
      </w:r>
      <w:r>
        <w:rPr>
          <w:color w:val="231F20"/>
          <w:sz w:val="23"/>
        </w:rPr>
        <w:t>to</w:t>
      </w:r>
      <w:r>
        <w:rPr>
          <w:color w:val="231F20"/>
          <w:spacing w:val="-41"/>
          <w:sz w:val="23"/>
        </w:rPr>
        <w:t> </w:t>
      </w:r>
      <w:r>
        <w:rPr>
          <w:color w:val="231F20"/>
          <w:sz w:val="23"/>
        </w:rPr>
        <w:t>achieve</w:t>
      </w:r>
      <w:r>
        <w:rPr>
          <w:color w:val="231F20"/>
          <w:spacing w:val="-42"/>
          <w:sz w:val="23"/>
        </w:rPr>
        <w:t> </w:t>
      </w:r>
      <w:r>
        <w:rPr>
          <w:color w:val="231F20"/>
          <w:sz w:val="23"/>
        </w:rPr>
        <w:t>the</w:t>
      </w:r>
      <w:r>
        <w:rPr>
          <w:color w:val="231F20"/>
          <w:spacing w:val="-41"/>
          <w:sz w:val="23"/>
        </w:rPr>
        <w:t> </w:t>
      </w:r>
      <w:r>
        <w:rPr>
          <w:color w:val="231F20"/>
          <w:sz w:val="23"/>
        </w:rPr>
        <w:t>twin</w:t>
      </w:r>
      <w:r>
        <w:rPr>
          <w:color w:val="231F20"/>
          <w:spacing w:val="-42"/>
          <w:sz w:val="23"/>
        </w:rPr>
        <w:t> </w:t>
      </w:r>
      <w:r>
        <w:rPr>
          <w:color w:val="231F20"/>
          <w:sz w:val="23"/>
        </w:rPr>
        <w:t>objectives</w:t>
      </w:r>
      <w:r>
        <w:rPr>
          <w:color w:val="231F20"/>
          <w:spacing w:val="-41"/>
          <w:sz w:val="23"/>
        </w:rPr>
        <w:t> </w:t>
      </w:r>
      <w:r>
        <w:rPr>
          <w:color w:val="231F20"/>
          <w:sz w:val="23"/>
        </w:rPr>
        <w:t>of</w:t>
      </w:r>
      <w:r>
        <w:rPr>
          <w:color w:val="231F20"/>
          <w:spacing w:val="-42"/>
          <w:sz w:val="23"/>
        </w:rPr>
        <w:t> </w:t>
      </w:r>
      <w:r>
        <w:rPr>
          <w:color w:val="231F20"/>
          <w:sz w:val="23"/>
        </w:rPr>
        <w:t>job</w:t>
      </w:r>
      <w:r>
        <w:rPr>
          <w:color w:val="231F20"/>
          <w:spacing w:val="-41"/>
          <w:sz w:val="23"/>
        </w:rPr>
        <w:t> </w:t>
      </w:r>
      <w:r>
        <w:rPr>
          <w:color w:val="231F20"/>
          <w:sz w:val="23"/>
        </w:rPr>
        <w:t>creation</w:t>
      </w:r>
      <w:r>
        <w:rPr>
          <w:color w:val="231F20"/>
          <w:spacing w:val="-42"/>
          <w:sz w:val="23"/>
        </w:rPr>
        <w:t> </w:t>
      </w:r>
      <w:r>
        <w:rPr>
          <w:color w:val="231F20"/>
          <w:sz w:val="23"/>
        </w:rPr>
        <w:t>and</w:t>
      </w:r>
      <w:r>
        <w:rPr>
          <w:color w:val="231F20"/>
          <w:spacing w:val="-41"/>
          <w:sz w:val="23"/>
        </w:rPr>
        <w:t> </w:t>
      </w:r>
      <w:r>
        <w:rPr>
          <w:color w:val="231F20"/>
          <w:sz w:val="23"/>
        </w:rPr>
        <w:t>human capital</w:t>
      </w:r>
      <w:r>
        <w:rPr>
          <w:color w:val="231F20"/>
          <w:spacing w:val="-11"/>
          <w:sz w:val="23"/>
        </w:rPr>
        <w:t> </w:t>
      </w:r>
      <w:r>
        <w:rPr>
          <w:color w:val="231F20"/>
          <w:sz w:val="23"/>
        </w:rPr>
        <w:t>development.</w:t>
      </w:r>
    </w:p>
    <w:p>
      <w:pPr>
        <w:pStyle w:val="BodyText"/>
        <w:spacing w:before="10"/>
        <w:rPr>
          <w:sz w:val="26"/>
        </w:rPr>
      </w:pPr>
    </w:p>
    <w:p>
      <w:pPr>
        <w:pStyle w:val="Heading2"/>
      </w:pPr>
      <w:r>
        <w:rPr>
          <w:color w:val="231F20"/>
        </w:rPr>
        <w:t>Domestic Revenue Mobilisation Measures</w:t>
      </w:r>
    </w:p>
    <w:p>
      <w:pPr>
        <w:pStyle w:val="ListParagraph"/>
        <w:numPr>
          <w:ilvl w:val="0"/>
          <w:numId w:val="4"/>
        </w:numPr>
        <w:tabs>
          <w:tab w:pos="527" w:val="left" w:leader="none"/>
        </w:tabs>
        <w:spacing w:line="240" w:lineRule="auto" w:before="49" w:after="0"/>
        <w:ind w:left="526" w:right="0" w:hanging="420"/>
        <w:jc w:val="left"/>
        <w:rPr>
          <w:b/>
          <w:sz w:val="23"/>
        </w:rPr>
      </w:pPr>
      <w:r>
        <w:rPr>
          <w:b/>
          <w:color w:val="231F20"/>
          <w:sz w:val="23"/>
        </w:rPr>
        <w:t>Investment-friendly Tax</w:t>
      </w:r>
      <w:r>
        <w:rPr>
          <w:b/>
          <w:color w:val="231F20"/>
          <w:spacing w:val="-50"/>
          <w:sz w:val="23"/>
        </w:rPr>
        <w:t> </w:t>
      </w:r>
      <w:r>
        <w:rPr>
          <w:b/>
          <w:color w:val="231F20"/>
          <w:sz w:val="23"/>
        </w:rPr>
        <w:t>Policies</w:t>
      </w:r>
    </w:p>
    <w:p>
      <w:pPr>
        <w:pStyle w:val="ListParagraph"/>
        <w:numPr>
          <w:ilvl w:val="0"/>
          <w:numId w:val="2"/>
        </w:numPr>
        <w:tabs>
          <w:tab w:pos="954" w:val="left" w:leader="none"/>
        </w:tabs>
        <w:spacing w:line="288" w:lineRule="auto" w:before="52" w:after="0"/>
        <w:ind w:left="103" w:right="119" w:firstLine="223"/>
        <w:jc w:val="both"/>
        <w:rPr>
          <w:sz w:val="23"/>
        </w:rPr>
      </w:pPr>
      <w:r>
        <w:rPr>
          <w:color w:val="231F20"/>
          <w:sz w:val="23"/>
        </w:rPr>
        <w:t>Mr.</w:t>
      </w:r>
      <w:r>
        <w:rPr>
          <w:color w:val="231F20"/>
          <w:spacing w:val="-14"/>
          <w:sz w:val="23"/>
        </w:rPr>
        <w:t> </w:t>
      </w:r>
      <w:r>
        <w:rPr>
          <w:color w:val="231F20"/>
          <w:sz w:val="23"/>
        </w:rPr>
        <w:t>Speaker,</w:t>
      </w:r>
      <w:r>
        <w:rPr>
          <w:color w:val="231F20"/>
          <w:spacing w:val="-14"/>
          <w:sz w:val="23"/>
        </w:rPr>
        <w:t> </w:t>
      </w:r>
      <w:r>
        <w:rPr>
          <w:color w:val="231F20"/>
          <w:sz w:val="23"/>
        </w:rPr>
        <w:t>Honourable</w:t>
      </w:r>
      <w:r>
        <w:rPr>
          <w:color w:val="231F20"/>
          <w:spacing w:val="-14"/>
          <w:sz w:val="23"/>
        </w:rPr>
        <w:t> </w:t>
      </w:r>
      <w:r>
        <w:rPr>
          <w:color w:val="231F20"/>
          <w:sz w:val="23"/>
        </w:rPr>
        <w:t>Members,</w:t>
      </w:r>
      <w:r>
        <w:rPr>
          <w:color w:val="231F20"/>
          <w:spacing w:val="-14"/>
          <w:sz w:val="23"/>
        </w:rPr>
        <w:t> </w:t>
      </w:r>
      <w:r>
        <w:rPr>
          <w:color w:val="231F20"/>
          <w:sz w:val="23"/>
        </w:rPr>
        <w:t>the</w:t>
      </w:r>
      <w:r>
        <w:rPr>
          <w:color w:val="231F20"/>
          <w:spacing w:val="-14"/>
          <w:sz w:val="23"/>
        </w:rPr>
        <w:t> </w:t>
      </w:r>
      <w:r>
        <w:rPr>
          <w:color w:val="231F20"/>
          <w:sz w:val="23"/>
        </w:rPr>
        <w:t>2020</w:t>
      </w:r>
      <w:r>
        <w:rPr>
          <w:color w:val="231F20"/>
          <w:spacing w:val="-14"/>
          <w:sz w:val="23"/>
        </w:rPr>
        <w:t> </w:t>
      </w:r>
      <w:r>
        <w:rPr>
          <w:color w:val="231F20"/>
          <w:sz w:val="23"/>
        </w:rPr>
        <w:t>Finance</w:t>
      </w:r>
      <w:r>
        <w:rPr>
          <w:color w:val="231F20"/>
          <w:spacing w:val="-14"/>
          <w:sz w:val="23"/>
        </w:rPr>
        <w:t> </w:t>
      </w:r>
      <w:r>
        <w:rPr>
          <w:color w:val="231F20"/>
          <w:sz w:val="23"/>
        </w:rPr>
        <w:t>Bill,</w:t>
      </w:r>
      <w:r>
        <w:rPr>
          <w:color w:val="231F20"/>
          <w:spacing w:val="-14"/>
          <w:sz w:val="23"/>
        </w:rPr>
        <w:t> </w:t>
      </w:r>
      <w:r>
        <w:rPr>
          <w:color w:val="231F20"/>
          <w:sz w:val="23"/>
        </w:rPr>
        <w:t>which</w:t>
      </w:r>
      <w:r>
        <w:rPr>
          <w:color w:val="231F20"/>
          <w:spacing w:val="-14"/>
          <w:sz w:val="23"/>
        </w:rPr>
        <w:t> </w:t>
      </w:r>
      <w:r>
        <w:rPr>
          <w:color w:val="231F20"/>
          <w:sz w:val="23"/>
        </w:rPr>
        <w:t>I</w:t>
      </w:r>
      <w:r>
        <w:rPr>
          <w:color w:val="231F20"/>
          <w:spacing w:val="-14"/>
          <w:sz w:val="23"/>
        </w:rPr>
        <w:t> </w:t>
      </w:r>
      <w:r>
        <w:rPr>
          <w:color w:val="231F20"/>
          <w:sz w:val="23"/>
        </w:rPr>
        <w:t>will</w:t>
      </w:r>
      <w:r>
        <w:rPr>
          <w:color w:val="231F20"/>
          <w:spacing w:val="-14"/>
          <w:sz w:val="23"/>
        </w:rPr>
        <w:t> </w:t>
      </w:r>
      <w:r>
        <w:rPr>
          <w:color w:val="231F20"/>
          <w:sz w:val="23"/>
        </w:rPr>
        <w:t>lay</w:t>
      </w:r>
      <w:r>
        <w:rPr>
          <w:color w:val="231F20"/>
          <w:spacing w:val="-14"/>
          <w:sz w:val="23"/>
        </w:rPr>
        <w:t> </w:t>
      </w:r>
      <w:r>
        <w:rPr>
          <w:color w:val="231F20"/>
          <w:sz w:val="23"/>
        </w:rPr>
        <w:t>for enactment by this Honourable House, proposes several policy measures to increase revenue</w:t>
      </w:r>
      <w:r>
        <w:rPr>
          <w:color w:val="231F20"/>
          <w:spacing w:val="-27"/>
          <w:sz w:val="23"/>
        </w:rPr>
        <w:t> </w:t>
      </w:r>
      <w:r>
        <w:rPr>
          <w:color w:val="231F20"/>
          <w:sz w:val="23"/>
        </w:rPr>
        <w:t>and</w:t>
      </w:r>
      <w:r>
        <w:rPr>
          <w:color w:val="231F20"/>
          <w:spacing w:val="-28"/>
          <w:sz w:val="23"/>
        </w:rPr>
        <w:t> </w:t>
      </w:r>
      <w:r>
        <w:rPr>
          <w:color w:val="231F20"/>
          <w:sz w:val="23"/>
        </w:rPr>
        <w:t>at</w:t>
      </w:r>
      <w:r>
        <w:rPr>
          <w:color w:val="231F20"/>
          <w:spacing w:val="-28"/>
          <w:sz w:val="23"/>
        </w:rPr>
        <w:t> </w:t>
      </w:r>
      <w:r>
        <w:rPr>
          <w:color w:val="231F20"/>
          <w:sz w:val="23"/>
        </w:rPr>
        <w:t>the</w:t>
      </w:r>
      <w:r>
        <w:rPr>
          <w:color w:val="231F20"/>
          <w:spacing w:val="-27"/>
          <w:sz w:val="23"/>
        </w:rPr>
        <w:t> </w:t>
      </w:r>
      <w:r>
        <w:rPr>
          <w:color w:val="231F20"/>
          <w:sz w:val="23"/>
        </w:rPr>
        <w:t>same</w:t>
      </w:r>
      <w:r>
        <w:rPr>
          <w:color w:val="231F20"/>
          <w:spacing w:val="-28"/>
          <w:sz w:val="23"/>
        </w:rPr>
        <w:t> </w:t>
      </w:r>
      <w:r>
        <w:rPr>
          <w:color w:val="231F20"/>
          <w:sz w:val="23"/>
        </w:rPr>
        <w:t>time</w:t>
      </w:r>
      <w:r>
        <w:rPr>
          <w:color w:val="231F20"/>
          <w:spacing w:val="-27"/>
          <w:sz w:val="23"/>
        </w:rPr>
        <w:t> </w:t>
      </w:r>
      <w:r>
        <w:rPr>
          <w:color w:val="231F20"/>
          <w:sz w:val="23"/>
        </w:rPr>
        <w:t>create</w:t>
      </w:r>
      <w:r>
        <w:rPr>
          <w:color w:val="231F20"/>
          <w:spacing w:val="-28"/>
          <w:sz w:val="23"/>
        </w:rPr>
        <w:t> </w:t>
      </w:r>
      <w:r>
        <w:rPr>
          <w:color w:val="231F20"/>
          <w:sz w:val="23"/>
        </w:rPr>
        <w:t>the</w:t>
      </w:r>
      <w:r>
        <w:rPr>
          <w:color w:val="231F20"/>
          <w:spacing w:val="-27"/>
          <w:sz w:val="23"/>
        </w:rPr>
        <w:t> </w:t>
      </w:r>
      <w:r>
        <w:rPr>
          <w:color w:val="231F20"/>
          <w:sz w:val="23"/>
        </w:rPr>
        <w:t>enabling</w:t>
      </w:r>
      <w:r>
        <w:rPr>
          <w:color w:val="231F20"/>
          <w:spacing w:val="-28"/>
          <w:sz w:val="23"/>
        </w:rPr>
        <w:t> </w:t>
      </w:r>
      <w:r>
        <w:rPr>
          <w:color w:val="231F20"/>
          <w:sz w:val="23"/>
        </w:rPr>
        <w:t>environment</w:t>
      </w:r>
      <w:r>
        <w:rPr>
          <w:color w:val="231F20"/>
          <w:spacing w:val="-28"/>
          <w:sz w:val="23"/>
        </w:rPr>
        <w:t> </w:t>
      </w:r>
      <w:r>
        <w:rPr>
          <w:color w:val="231F20"/>
          <w:sz w:val="23"/>
        </w:rPr>
        <w:t>for</w:t>
      </w:r>
      <w:r>
        <w:rPr>
          <w:color w:val="231F20"/>
          <w:spacing w:val="-27"/>
          <w:sz w:val="23"/>
        </w:rPr>
        <w:t> </w:t>
      </w:r>
      <w:r>
        <w:rPr>
          <w:color w:val="231F20"/>
          <w:sz w:val="23"/>
        </w:rPr>
        <w:t>businesses</w:t>
      </w:r>
      <w:r>
        <w:rPr>
          <w:color w:val="231F20"/>
          <w:spacing w:val="-28"/>
          <w:sz w:val="23"/>
        </w:rPr>
        <w:t> </w:t>
      </w:r>
      <w:r>
        <w:rPr>
          <w:color w:val="231F20"/>
          <w:sz w:val="23"/>
        </w:rPr>
        <w:t>to</w:t>
      </w:r>
      <w:r>
        <w:rPr>
          <w:color w:val="231F20"/>
          <w:spacing w:val="-27"/>
          <w:sz w:val="23"/>
        </w:rPr>
        <w:t> </w:t>
      </w:r>
      <w:r>
        <w:rPr>
          <w:color w:val="231F20"/>
          <w:sz w:val="23"/>
        </w:rPr>
        <w:t>thrive and create employment opportunities. These</w:t>
      </w:r>
      <w:r>
        <w:rPr>
          <w:color w:val="231F20"/>
          <w:spacing w:val="24"/>
          <w:sz w:val="23"/>
        </w:rPr>
        <w:t> </w:t>
      </w:r>
      <w:r>
        <w:rPr>
          <w:color w:val="231F20"/>
          <w:sz w:val="23"/>
        </w:rPr>
        <w:t>include:</w:t>
      </w:r>
    </w:p>
    <w:p>
      <w:pPr>
        <w:pStyle w:val="BodyText"/>
        <w:rPr>
          <w:sz w:val="20"/>
        </w:rPr>
      </w:pPr>
    </w:p>
    <w:p>
      <w:pPr>
        <w:pStyle w:val="BodyText"/>
        <w:spacing w:before="10"/>
        <w:rPr>
          <w:sz w:val="20"/>
        </w:rPr>
      </w:pPr>
    </w:p>
    <w:p>
      <w:pPr>
        <w:pStyle w:val="Heading1"/>
      </w:pPr>
      <w:r>
        <w:rPr>
          <w:color w:val="231F20"/>
        </w:rPr>
        <w:t>10</w:t>
      </w:r>
    </w:p>
    <w:p>
      <w:pPr>
        <w:spacing w:after="0"/>
        <w:sectPr>
          <w:pgSz w:w="11900" w:h="16840"/>
          <w:pgMar w:top="1160" w:bottom="280" w:left="1140" w:right="1120"/>
        </w:sectPr>
      </w:pPr>
    </w:p>
    <w:p>
      <w:pPr>
        <w:pStyle w:val="ListParagraph"/>
        <w:numPr>
          <w:ilvl w:val="1"/>
          <w:numId w:val="2"/>
        </w:numPr>
        <w:tabs>
          <w:tab w:pos="1523" w:val="left" w:leader="none"/>
        </w:tabs>
        <w:spacing w:line="285" w:lineRule="auto" w:before="77" w:after="0"/>
        <w:ind w:left="1522" w:right="119" w:hanging="435"/>
        <w:jc w:val="both"/>
        <w:rPr>
          <w:sz w:val="23"/>
        </w:rPr>
      </w:pPr>
      <w:r>
        <w:rPr>
          <w:color w:val="231F20"/>
          <w:sz w:val="23"/>
        </w:rPr>
        <w:t>Reduction</w:t>
      </w:r>
      <w:r>
        <w:rPr>
          <w:color w:val="231F20"/>
          <w:spacing w:val="-46"/>
          <w:sz w:val="23"/>
        </w:rPr>
        <w:t> </w:t>
      </w:r>
      <w:r>
        <w:rPr>
          <w:color w:val="231F20"/>
          <w:sz w:val="23"/>
        </w:rPr>
        <w:t>in</w:t>
      </w:r>
      <w:r>
        <w:rPr>
          <w:color w:val="231F20"/>
          <w:spacing w:val="-45"/>
          <w:sz w:val="23"/>
        </w:rPr>
        <w:t> </w:t>
      </w:r>
      <w:r>
        <w:rPr>
          <w:color w:val="231F20"/>
          <w:sz w:val="23"/>
        </w:rPr>
        <w:t>the</w:t>
      </w:r>
      <w:r>
        <w:rPr>
          <w:color w:val="231F20"/>
          <w:spacing w:val="-45"/>
          <w:sz w:val="23"/>
        </w:rPr>
        <w:t> </w:t>
      </w:r>
      <w:r>
        <w:rPr>
          <w:color w:val="231F20"/>
          <w:sz w:val="23"/>
        </w:rPr>
        <w:t>Corporate</w:t>
      </w:r>
      <w:r>
        <w:rPr>
          <w:color w:val="231F20"/>
          <w:spacing w:val="-45"/>
          <w:sz w:val="23"/>
        </w:rPr>
        <w:t> </w:t>
      </w:r>
      <w:r>
        <w:rPr>
          <w:color w:val="231F20"/>
          <w:sz w:val="23"/>
        </w:rPr>
        <w:t>Income</w:t>
      </w:r>
      <w:r>
        <w:rPr>
          <w:color w:val="231F20"/>
          <w:spacing w:val="-45"/>
          <w:sz w:val="23"/>
        </w:rPr>
        <w:t> </w:t>
      </w:r>
      <w:r>
        <w:rPr>
          <w:color w:val="231F20"/>
          <w:sz w:val="23"/>
        </w:rPr>
        <w:t>Tax</w:t>
      </w:r>
      <w:r>
        <w:rPr>
          <w:color w:val="231F20"/>
          <w:spacing w:val="-45"/>
          <w:sz w:val="23"/>
        </w:rPr>
        <w:t> </w:t>
      </w:r>
      <w:r>
        <w:rPr>
          <w:color w:val="231F20"/>
          <w:sz w:val="23"/>
        </w:rPr>
        <w:t>Rate</w:t>
      </w:r>
      <w:r>
        <w:rPr>
          <w:color w:val="231F20"/>
          <w:spacing w:val="-46"/>
          <w:sz w:val="23"/>
        </w:rPr>
        <w:t> </w:t>
      </w:r>
      <w:r>
        <w:rPr>
          <w:color w:val="231F20"/>
          <w:sz w:val="23"/>
        </w:rPr>
        <w:t>from</w:t>
      </w:r>
      <w:r>
        <w:rPr>
          <w:color w:val="231F20"/>
          <w:spacing w:val="-45"/>
          <w:sz w:val="23"/>
        </w:rPr>
        <w:t> </w:t>
      </w:r>
      <w:r>
        <w:rPr>
          <w:color w:val="231F20"/>
          <w:sz w:val="23"/>
        </w:rPr>
        <w:t>30</w:t>
      </w:r>
      <w:r>
        <w:rPr>
          <w:color w:val="231F20"/>
          <w:spacing w:val="-44"/>
          <w:sz w:val="23"/>
        </w:rPr>
        <w:t> </w:t>
      </w:r>
      <w:r>
        <w:rPr>
          <w:color w:val="231F20"/>
          <w:sz w:val="23"/>
        </w:rPr>
        <w:t>percent</w:t>
      </w:r>
      <w:r>
        <w:rPr>
          <w:color w:val="231F20"/>
          <w:spacing w:val="-45"/>
          <w:sz w:val="23"/>
        </w:rPr>
        <w:t> </w:t>
      </w:r>
      <w:r>
        <w:rPr>
          <w:color w:val="231F20"/>
          <w:sz w:val="23"/>
        </w:rPr>
        <w:t>to</w:t>
      </w:r>
      <w:r>
        <w:rPr>
          <w:color w:val="231F20"/>
          <w:spacing w:val="-45"/>
          <w:sz w:val="23"/>
        </w:rPr>
        <w:t> </w:t>
      </w:r>
      <w:r>
        <w:rPr>
          <w:color w:val="231F20"/>
          <w:sz w:val="23"/>
        </w:rPr>
        <w:t>25</w:t>
      </w:r>
      <w:r>
        <w:rPr>
          <w:color w:val="231F20"/>
          <w:spacing w:val="-45"/>
          <w:sz w:val="23"/>
        </w:rPr>
        <w:t> </w:t>
      </w:r>
      <w:r>
        <w:rPr>
          <w:color w:val="231F20"/>
          <w:sz w:val="23"/>
        </w:rPr>
        <w:t>percent</w:t>
      </w:r>
      <w:r>
        <w:rPr>
          <w:b/>
          <w:color w:val="231F20"/>
          <w:sz w:val="23"/>
        </w:rPr>
        <w:t>. </w:t>
      </w:r>
      <w:r>
        <w:rPr>
          <w:color w:val="231F20"/>
          <w:sz w:val="23"/>
        </w:rPr>
        <w:t>This</w:t>
      </w:r>
      <w:r>
        <w:rPr>
          <w:color w:val="231F20"/>
          <w:spacing w:val="-42"/>
          <w:sz w:val="23"/>
        </w:rPr>
        <w:t> </w:t>
      </w:r>
      <w:r>
        <w:rPr>
          <w:color w:val="231F20"/>
          <w:sz w:val="23"/>
        </w:rPr>
        <w:t>will</w:t>
      </w:r>
      <w:r>
        <w:rPr>
          <w:color w:val="231F20"/>
          <w:spacing w:val="-41"/>
          <w:sz w:val="23"/>
        </w:rPr>
        <w:t> </w:t>
      </w:r>
      <w:r>
        <w:rPr>
          <w:color w:val="231F20"/>
          <w:sz w:val="23"/>
        </w:rPr>
        <w:t>not</w:t>
      </w:r>
      <w:r>
        <w:rPr>
          <w:color w:val="231F20"/>
          <w:spacing w:val="-42"/>
          <w:sz w:val="23"/>
        </w:rPr>
        <w:t> </w:t>
      </w:r>
      <w:r>
        <w:rPr>
          <w:color w:val="231F20"/>
          <w:sz w:val="23"/>
        </w:rPr>
        <w:t>only</w:t>
      </w:r>
      <w:r>
        <w:rPr>
          <w:color w:val="231F20"/>
          <w:spacing w:val="-41"/>
          <w:sz w:val="23"/>
        </w:rPr>
        <w:t> </w:t>
      </w:r>
      <w:r>
        <w:rPr>
          <w:color w:val="231F20"/>
          <w:sz w:val="23"/>
        </w:rPr>
        <w:t>strengthen</w:t>
      </w:r>
      <w:r>
        <w:rPr>
          <w:color w:val="231F20"/>
          <w:spacing w:val="-42"/>
          <w:sz w:val="23"/>
        </w:rPr>
        <w:t> </w:t>
      </w:r>
      <w:r>
        <w:rPr>
          <w:color w:val="231F20"/>
          <w:sz w:val="23"/>
        </w:rPr>
        <w:t>tax</w:t>
      </w:r>
      <w:r>
        <w:rPr>
          <w:color w:val="231F20"/>
          <w:spacing w:val="-41"/>
          <w:sz w:val="23"/>
        </w:rPr>
        <w:t> </w:t>
      </w:r>
      <w:r>
        <w:rPr>
          <w:color w:val="231F20"/>
          <w:sz w:val="23"/>
        </w:rPr>
        <w:t>compliance</w:t>
      </w:r>
      <w:r>
        <w:rPr>
          <w:color w:val="231F20"/>
          <w:spacing w:val="-42"/>
          <w:sz w:val="23"/>
        </w:rPr>
        <w:t> </w:t>
      </w:r>
      <w:r>
        <w:rPr>
          <w:color w:val="231F20"/>
          <w:sz w:val="23"/>
        </w:rPr>
        <w:t>but</w:t>
      </w:r>
      <w:r>
        <w:rPr>
          <w:color w:val="231F20"/>
          <w:spacing w:val="-41"/>
          <w:sz w:val="23"/>
        </w:rPr>
        <w:t> </w:t>
      </w:r>
      <w:r>
        <w:rPr>
          <w:color w:val="231F20"/>
          <w:sz w:val="23"/>
        </w:rPr>
        <w:t>also</w:t>
      </w:r>
      <w:r>
        <w:rPr>
          <w:color w:val="231F20"/>
          <w:spacing w:val="-42"/>
          <w:sz w:val="23"/>
        </w:rPr>
        <w:t> </w:t>
      </w:r>
      <w:r>
        <w:rPr>
          <w:color w:val="231F20"/>
          <w:sz w:val="23"/>
        </w:rPr>
        <w:t>enable</w:t>
      </w:r>
      <w:r>
        <w:rPr>
          <w:color w:val="231F20"/>
          <w:spacing w:val="-41"/>
          <w:sz w:val="23"/>
        </w:rPr>
        <w:t> </w:t>
      </w:r>
      <w:r>
        <w:rPr>
          <w:color w:val="231F20"/>
          <w:sz w:val="23"/>
        </w:rPr>
        <w:t>SMEs</w:t>
      </w:r>
      <w:r>
        <w:rPr>
          <w:color w:val="231F20"/>
          <w:spacing w:val="-42"/>
          <w:sz w:val="23"/>
        </w:rPr>
        <w:t> </w:t>
      </w:r>
      <w:r>
        <w:rPr>
          <w:color w:val="231F20"/>
          <w:sz w:val="23"/>
        </w:rPr>
        <w:t>to</w:t>
      </w:r>
      <w:r>
        <w:rPr>
          <w:color w:val="231F20"/>
          <w:spacing w:val="-41"/>
          <w:sz w:val="23"/>
        </w:rPr>
        <w:t> </w:t>
      </w:r>
      <w:r>
        <w:rPr>
          <w:color w:val="231F20"/>
          <w:sz w:val="23"/>
        </w:rPr>
        <w:t>enter the</w:t>
      </w:r>
      <w:r>
        <w:rPr>
          <w:color w:val="231F20"/>
          <w:spacing w:val="-15"/>
          <w:sz w:val="23"/>
        </w:rPr>
        <w:t> </w:t>
      </w:r>
      <w:r>
        <w:rPr>
          <w:color w:val="231F20"/>
          <w:sz w:val="23"/>
        </w:rPr>
        <w:t>formal</w:t>
      </w:r>
      <w:r>
        <w:rPr>
          <w:color w:val="231F20"/>
          <w:spacing w:val="-15"/>
          <w:sz w:val="23"/>
        </w:rPr>
        <w:t> </w:t>
      </w:r>
      <w:r>
        <w:rPr>
          <w:color w:val="231F20"/>
          <w:sz w:val="23"/>
        </w:rPr>
        <w:t>sector</w:t>
      </w:r>
      <w:r>
        <w:rPr>
          <w:color w:val="231F20"/>
          <w:spacing w:val="-15"/>
          <w:sz w:val="23"/>
        </w:rPr>
        <w:t> </w:t>
      </w:r>
      <w:r>
        <w:rPr>
          <w:color w:val="231F20"/>
          <w:sz w:val="23"/>
        </w:rPr>
        <w:t>and</w:t>
      </w:r>
      <w:r>
        <w:rPr>
          <w:color w:val="231F20"/>
          <w:spacing w:val="-15"/>
          <w:sz w:val="23"/>
        </w:rPr>
        <w:t> </w:t>
      </w:r>
      <w:r>
        <w:rPr>
          <w:color w:val="231F20"/>
          <w:sz w:val="23"/>
        </w:rPr>
        <w:t>big</w:t>
      </w:r>
      <w:r>
        <w:rPr>
          <w:color w:val="231F20"/>
          <w:spacing w:val="-15"/>
          <w:sz w:val="23"/>
        </w:rPr>
        <w:t> </w:t>
      </w:r>
      <w:r>
        <w:rPr>
          <w:color w:val="231F20"/>
          <w:sz w:val="23"/>
        </w:rPr>
        <w:t>businesses</w:t>
      </w:r>
      <w:r>
        <w:rPr>
          <w:color w:val="231F20"/>
          <w:spacing w:val="-15"/>
          <w:sz w:val="23"/>
        </w:rPr>
        <w:t> </w:t>
      </w:r>
      <w:r>
        <w:rPr>
          <w:color w:val="231F20"/>
          <w:sz w:val="23"/>
        </w:rPr>
        <w:t>to</w:t>
      </w:r>
      <w:r>
        <w:rPr>
          <w:color w:val="231F20"/>
          <w:spacing w:val="-15"/>
          <w:sz w:val="23"/>
        </w:rPr>
        <w:t> </w:t>
      </w:r>
      <w:r>
        <w:rPr>
          <w:color w:val="231F20"/>
          <w:sz w:val="23"/>
        </w:rPr>
        <w:t>expand</w:t>
      </w:r>
      <w:r>
        <w:rPr>
          <w:color w:val="231F20"/>
          <w:spacing w:val="-15"/>
          <w:sz w:val="23"/>
        </w:rPr>
        <w:t> </w:t>
      </w:r>
      <w:r>
        <w:rPr>
          <w:color w:val="231F20"/>
          <w:sz w:val="23"/>
        </w:rPr>
        <w:t>investment</w:t>
      </w:r>
      <w:r>
        <w:rPr>
          <w:color w:val="231F20"/>
          <w:spacing w:val="-15"/>
          <w:sz w:val="23"/>
        </w:rPr>
        <w:t> </w:t>
      </w:r>
      <w:r>
        <w:rPr>
          <w:color w:val="231F20"/>
          <w:sz w:val="23"/>
        </w:rPr>
        <w:t>and</w:t>
      </w:r>
      <w:r>
        <w:rPr>
          <w:color w:val="231F20"/>
          <w:spacing w:val="-15"/>
          <w:sz w:val="23"/>
        </w:rPr>
        <w:t> </w:t>
      </w:r>
      <w:r>
        <w:rPr>
          <w:color w:val="231F20"/>
          <w:sz w:val="23"/>
        </w:rPr>
        <w:t>increase productivity,</w:t>
      </w:r>
      <w:r>
        <w:rPr>
          <w:color w:val="231F20"/>
          <w:spacing w:val="-17"/>
          <w:sz w:val="23"/>
        </w:rPr>
        <w:t> </w:t>
      </w:r>
      <w:r>
        <w:rPr>
          <w:color w:val="231F20"/>
          <w:sz w:val="23"/>
        </w:rPr>
        <w:t>thereby</w:t>
      </w:r>
      <w:r>
        <w:rPr>
          <w:color w:val="231F20"/>
          <w:spacing w:val="-17"/>
          <w:sz w:val="23"/>
        </w:rPr>
        <w:t> </w:t>
      </w:r>
      <w:r>
        <w:rPr>
          <w:color w:val="231F20"/>
          <w:sz w:val="23"/>
        </w:rPr>
        <w:t>creating</w:t>
      </w:r>
      <w:r>
        <w:rPr>
          <w:color w:val="231F20"/>
          <w:spacing w:val="-17"/>
          <w:sz w:val="23"/>
        </w:rPr>
        <w:t> </w:t>
      </w:r>
      <w:r>
        <w:rPr>
          <w:color w:val="231F20"/>
          <w:sz w:val="23"/>
        </w:rPr>
        <w:t>job</w:t>
      </w:r>
      <w:r>
        <w:rPr>
          <w:color w:val="231F20"/>
          <w:spacing w:val="-17"/>
          <w:sz w:val="23"/>
        </w:rPr>
        <w:t> </w:t>
      </w:r>
      <w:r>
        <w:rPr>
          <w:color w:val="231F20"/>
          <w:sz w:val="23"/>
        </w:rPr>
        <w:t>opportunities;</w:t>
      </w:r>
    </w:p>
    <w:p>
      <w:pPr>
        <w:pStyle w:val="BodyText"/>
        <w:spacing w:before="4"/>
        <w:rPr>
          <w:sz w:val="27"/>
        </w:rPr>
      </w:pPr>
    </w:p>
    <w:p>
      <w:pPr>
        <w:pStyle w:val="ListParagraph"/>
        <w:numPr>
          <w:ilvl w:val="1"/>
          <w:numId w:val="2"/>
        </w:numPr>
        <w:tabs>
          <w:tab w:pos="1523" w:val="left" w:leader="none"/>
        </w:tabs>
        <w:spacing w:line="285" w:lineRule="auto" w:before="0" w:after="0"/>
        <w:ind w:left="1522" w:right="121" w:hanging="509"/>
        <w:jc w:val="both"/>
        <w:rPr>
          <w:sz w:val="23"/>
        </w:rPr>
      </w:pPr>
      <w:r>
        <w:rPr>
          <w:color w:val="231F20"/>
          <w:sz w:val="23"/>
        </w:rPr>
        <w:t>All</w:t>
      </w:r>
      <w:r>
        <w:rPr>
          <w:color w:val="231F20"/>
          <w:spacing w:val="-46"/>
          <w:sz w:val="23"/>
        </w:rPr>
        <w:t> </w:t>
      </w:r>
      <w:r>
        <w:rPr>
          <w:color w:val="231F20"/>
          <w:sz w:val="23"/>
        </w:rPr>
        <w:t>raw</w:t>
      </w:r>
      <w:r>
        <w:rPr>
          <w:color w:val="231F20"/>
          <w:spacing w:val="-46"/>
          <w:sz w:val="23"/>
        </w:rPr>
        <w:t> </w:t>
      </w:r>
      <w:r>
        <w:rPr>
          <w:color w:val="231F20"/>
          <w:sz w:val="23"/>
        </w:rPr>
        <w:t>materials,</w:t>
      </w:r>
      <w:r>
        <w:rPr>
          <w:color w:val="231F20"/>
          <w:spacing w:val="-45"/>
          <w:sz w:val="23"/>
        </w:rPr>
        <w:t> </w:t>
      </w:r>
      <w:r>
        <w:rPr>
          <w:color w:val="231F20"/>
          <w:sz w:val="23"/>
        </w:rPr>
        <w:t>semi-processed</w:t>
      </w:r>
      <w:r>
        <w:rPr>
          <w:color w:val="231F20"/>
          <w:spacing w:val="-46"/>
          <w:sz w:val="23"/>
        </w:rPr>
        <w:t> </w:t>
      </w:r>
      <w:r>
        <w:rPr>
          <w:color w:val="231F20"/>
          <w:sz w:val="23"/>
        </w:rPr>
        <w:t>and</w:t>
      </w:r>
      <w:r>
        <w:rPr>
          <w:color w:val="231F20"/>
          <w:spacing w:val="-45"/>
          <w:sz w:val="23"/>
        </w:rPr>
        <w:t> </w:t>
      </w:r>
      <w:r>
        <w:rPr>
          <w:color w:val="231F20"/>
          <w:sz w:val="23"/>
        </w:rPr>
        <w:t>finished</w:t>
      </w:r>
      <w:r>
        <w:rPr>
          <w:color w:val="231F20"/>
          <w:spacing w:val="-46"/>
          <w:sz w:val="23"/>
        </w:rPr>
        <w:t> </w:t>
      </w:r>
      <w:r>
        <w:rPr>
          <w:color w:val="231F20"/>
          <w:sz w:val="23"/>
        </w:rPr>
        <w:t>products,</w:t>
      </w:r>
      <w:r>
        <w:rPr>
          <w:color w:val="231F20"/>
          <w:spacing w:val="-46"/>
          <w:sz w:val="23"/>
        </w:rPr>
        <w:t> </w:t>
      </w:r>
      <w:r>
        <w:rPr>
          <w:color w:val="231F20"/>
          <w:sz w:val="23"/>
        </w:rPr>
        <w:t>properly</w:t>
      </w:r>
      <w:r>
        <w:rPr>
          <w:color w:val="231F20"/>
          <w:spacing w:val="-45"/>
          <w:sz w:val="23"/>
        </w:rPr>
        <w:t> </w:t>
      </w:r>
      <w:r>
        <w:rPr>
          <w:color w:val="231F20"/>
          <w:sz w:val="23"/>
        </w:rPr>
        <w:t>labelled for</w:t>
      </w:r>
      <w:r>
        <w:rPr>
          <w:color w:val="231F20"/>
          <w:spacing w:val="-36"/>
          <w:sz w:val="23"/>
        </w:rPr>
        <w:t> </w:t>
      </w:r>
      <w:r>
        <w:rPr>
          <w:color w:val="231F20"/>
          <w:sz w:val="23"/>
        </w:rPr>
        <w:t>use</w:t>
      </w:r>
      <w:r>
        <w:rPr>
          <w:color w:val="231F20"/>
          <w:spacing w:val="-36"/>
          <w:sz w:val="23"/>
        </w:rPr>
        <w:t> </w:t>
      </w:r>
      <w:r>
        <w:rPr>
          <w:color w:val="231F20"/>
          <w:sz w:val="23"/>
        </w:rPr>
        <w:t>as</w:t>
      </w:r>
      <w:r>
        <w:rPr>
          <w:color w:val="231F20"/>
          <w:spacing w:val="-36"/>
          <w:sz w:val="23"/>
        </w:rPr>
        <w:t> </w:t>
      </w:r>
      <w:r>
        <w:rPr>
          <w:color w:val="231F20"/>
          <w:sz w:val="23"/>
        </w:rPr>
        <w:t>input</w:t>
      </w:r>
      <w:r>
        <w:rPr>
          <w:color w:val="231F20"/>
          <w:spacing w:val="-36"/>
          <w:sz w:val="23"/>
        </w:rPr>
        <w:t> </w:t>
      </w:r>
      <w:r>
        <w:rPr>
          <w:color w:val="231F20"/>
          <w:sz w:val="23"/>
        </w:rPr>
        <w:t>into</w:t>
      </w:r>
      <w:r>
        <w:rPr>
          <w:color w:val="231F20"/>
          <w:spacing w:val="-36"/>
          <w:sz w:val="23"/>
        </w:rPr>
        <w:t> </w:t>
      </w:r>
      <w:r>
        <w:rPr>
          <w:color w:val="231F20"/>
          <w:sz w:val="23"/>
        </w:rPr>
        <w:t>the</w:t>
      </w:r>
      <w:r>
        <w:rPr>
          <w:color w:val="231F20"/>
          <w:spacing w:val="-36"/>
          <w:sz w:val="23"/>
        </w:rPr>
        <w:t> </w:t>
      </w:r>
      <w:r>
        <w:rPr>
          <w:color w:val="231F20"/>
          <w:sz w:val="23"/>
        </w:rPr>
        <w:t>production</w:t>
      </w:r>
      <w:r>
        <w:rPr>
          <w:color w:val="231F20"/>
          <w:spacing w:val="-36"/>
          <w:sz w:val="23"/>
        </w:rPr>
        <w:t> </w:t>
      </w:r>
      <w:r>
        <w:rPr>
          <w:color w:val="231F20"/>
          <w:sz w:val="23"/>
        </w:rPr>
        <w:t>of</w:t>
      </w:r>
      <w:r>
        <w:rPr>
          <w:color w:val="231F20"/>
          <w:spacing w:val="-36"/>
          <w:sz w:val="23"/>
        </w:rPr>
        <w:t> </w:t>
      </w:r>
      <w:r>
        <w:rPr>
          <w:color w:val="231F20"/>
          <w:sz w:val="23"/>
        </w:rPr>
        <w:t>goods</w:t>
      </w:r>
      <w:r>
        <w:rPr>
          <w:color w:val="231F20"/>
          <w:spacing w:val="-36"/>
          <w:sz w:val="23"/>
        </w:rPr>
        <w:t> </w:t>
      </w:r>
      <w:r>
        <w:rPr>
          <w:color w:val="231F20"/>
          <w:sz w:val="23"/>
        </w:rPr>
        <w:t>by</w:t>
      </w:r>
      <w:r>
        <w:rPr>
          <w:color w:val="231F20"/>
          <w:spacing w:val="-36"/>
          <w:sz w:val="23"/>
        </w:rPr>
        <w:t> </w:t>
      </w:r>
      <w:r>
        <w:rPr>
          <w:color w:val="231F20"/>
          <w:sz w:val="23"/>
        </w:rPr>
        <w:t>manufacturing</w:t>
      </w:r>
      <w:r>
        <w:rPr>
          <w:color w:val="231F20"/>
          <w:spacing w:val="-36"/>
          <w:sz w:val="23"/>
        </w:rPr>
        <w:t> </w:t>
      </w:r>
      <w:r>
        <w:rPr>
          <w:color w:val="231F20"/>
          <w:sz w:val="23"/>
        </w:rPr>
        <w:t>companies will attract an import duty of 5 percent instead of 20</w:t>
      </w:r>
      <w:r>
        <w:rPr>
          <w:color w:val="231F20"/>
          <w:spacing w:val="3"/>
          <w:sz w:val="23"/>
        </w:rPr>
        <w:t> </w:t>
      </w:r>
      <w:r>
        <w:rPr>
          <w:color w:val="231F20"/>
          <w:sz w:val="23"/>
        </w:rPr>
        <w:t>percent;</w:t>
      </w:r>
    </w:p>
    <w:p>
      <w:pPr>
        <w:pStyle w:val="BodyText"/>
        <w:spacing w:before="1"/>
        <w:rPr>
          <w:sz w:val="27"/>
        </w:rPr>
      </w:pPr>
    </w:p>
    <w:p>
      <w:pPr>
        <w:pStyle w:val="ListParagraph"/>
        <w:numPr>
          <w:ilvl w:val="1"/>
          <w:numId w:val="2"/>
        </w:numPr>
        <w:tabs>
          <w:tab w:pos="1522" w:val="left" w:leader="none"/>
        </w:tabs>
        <w:spacing w:line="283" w:lineRule="auto" w:before="0" w:after="0"/>
        <w:ind w:left="1522" w:right="120" w:hanging="584"/>
        <w:jc w:val="both"/>
        <w:rPr>
          <w:sz w:val="23"/>
        </w:rPr>
      </w:pPr>
      <w:r>
        <w:rPr>
          <w:color w:val="231F20"/>
          <w:sz w:val="23"/>
        </w:rPr>
        <w:t>Products</w:t>
      </w:r>
      <w:r>
        <w:rPr>
          <w:color w:val="231F20"/>
          <w:spacing w:val="-19"/>
          <w:sz w:val="23"/>
        </w:rPr>
        <w:t> </w:t>
      </w:r>
      <w:r>
        <w:rPr>
          <w:color w:val="231F20"/>
          <w:sz w:val="23"/>
        </w:rPr>
        <w:t>imported</w:t>
      </w:r>
      <w:r>
        <w:rPr>
          <w:color w:val="231F20"/>
          <w:spacing w:val="-19"/>
          <w:sz w:val="23"/>
        </w:rPr>
        <w:t> </w:t>
      </w:r>
      <w:r>
        <w:rPr>
          <w:color w:val="231F20"/>
          <w:sz w:val="23"/>
        </w:rPr>
        <w:t>by</w:t>
      </w:r>
      <w:r>
        <w:rPr>
          <w:color w:val="231F20"/>
          <w:spacing w:val="-19"/>
          <w:sz w:val="23"/>
        </w:rPr>
        <w:t> </w:t>
      </w:r>
      <w:r>
        <w:rPr>
          <w:color w:val="231F20"/>
          <w:sz w:val="23"/>
        </w:rPr>
        <w:t>Packaging</w:t>
      </w:r>
      <w:r>
        <w:rPr>
          <w:color w:val="231F20"/>
          <w:spacing w:val="-19"/>
          <w:sz w:val="23"/>
        </w:rPr>
        <w:t> </w:t>
      </w:r>
      <w:r>
        <w:rPr>
          <w:color w:val="231F20"/>
          <w:sz w:val="23"/>
        </w:rPr>
        <w:t>Industries</w:t>
      </w:r>
      <w:r>
        <w:rPr>
          <w:color w:val="231F20"/>
          <w:spacing w:val="-19"/>
          <w:sz w:val="23"/>
        </w:rPr>
        <w:t> </w:t>
      </w:r>
      <w:r>
        <w:rPr>
          <w:color w:val="231F20"/>
          <w:sz w:val="23"/>
        </w:rPr>
        <w:t>will</w:t>
      </w:r>
      <w:r>
        <w:rPr>
          <w:color w:val="231F20"/>
          <w:spacing w:val="-19"/>
          <w:sz w:val="23"/>
        </w:rPr>
        <w:t> </w:t>
      </w:r>
      <w:r>
        <w:rPr>
          <w:color w:val="231F20"/>
          <w:sz w:val="23"/>
        </w:rPr>
        <w:t>attract</w:t>
      </w:r>
      <w:r>
        <w:rPr>
          <w:color w:val="231F20"/>
          <w:spacing w:val="-19"/>
          <w:sz w:val="23"/>
        </w:rPr>
        <w:t> </w:t>
      </w:r>
      <w:r>
        <w:rPr>
          <w:color w:val="231F20"/>
          <w:sz w:val="23"/>
        </w:rPr>
        <w:t>an</w:t>
      </w:r>
      <w:r>
        <w:rPr>
          <w:color w:val="231F20"/>
          <w:spacing w:val="-19"/>
          <w:sz w:val="23"/>
        </w:rPr>
        <w:t> </w:t>
      </w:r>
      <w:r>
        <w:rPr>
          <w:color w:val="231F20"/>
          <w:sz w:val="23"/>
        </w:rPr>
        <w:t>import</w:t>
      </w:r>
      <w:r>
        <w:rPr>
          <w:color w:val="231F20"/>
          <w:spacing w:val="-19"/>
          <w:sz w:val="23"/>
        </w:rPr>
        <w:t> </w:t>
      </w:r>
      <w:r>
        <w:rPr>
          <w:color w:val="231F20"/>
          <w:sz w:val="23"/>
        </w:rPr>
        <w:t>duty</w:t>
      </w:r>
      <w:r>
        <w:rPr>
          <w:color w:val="231F20"/>
          <w:spacing w:val="-19"/>
          <w:sz w:val="23"/>
        </w:rPr>
        <w:t> </w:t>
      </w:r>
      <w:r>
        <w:rPr>
          <w:color w:val="231F20"/>
          <w:sz w:val="23"/>
        </w:rPr>
        <w:t>of 10</w:t>
      </w:r>
      <w:r>
        <w:rPr>
          <w:color w:val="231F20"/>
          <w:spacing w:val="-2"/>
          <w:sz w:val="23"/>
        </w:rPr>
        <w:t> </w:t>
      </w:r>
      <w:r>
        <w:rPr>
          <w:color w:val="231F20"/>
          <w:sz w:val="23"/>
        </w:rPr>
        <w:t>percent;</w:t>
      </w:r>
    </w:p>
    <w:p>
      <w:pPr>
        <w:pStyle w:val="BodyText"/>
        <w:spacing w:before="6"/>
        <w:rPr>
          <w:sz w:val="27"/>
        </w:rPr>
      </w:pPr>
    </w:p>
    <w:p>
      <w:pPr>
        <w:pStyle w:val="ListParagraph"/>
        <w:numPr>
          <w:ilvl w:val="1"/>
          <w:numId w:val="2"/>
        </w:numPr>
        <w:tabs>
          <w:tab w:pos="1523" w:val="left" w:leader="none"/>
        </w:tabs>
        <w:spacing w:line="283" w:lineRule="auto" w:before="0" w:after="0"/>
        <w:ind w:left="1522" w:right="121" w:hanging="540"/>
        <w:jc w:val="both"/>
        <w:rPr>
          <w:sz w:val="23"/>
        </w:rPr>
      </w:pPr>
      <w:r>
        <w:rPr>
          <w:color w:val="231F20"/>
          <w:sz w:val="23"/>
        </w:rPr>
        <w:t>All</w:t>
      </w:r>
      <w:r>
        <w:rPr>
          <w:color w:val="231F20"/>
          <w:spacing w:val="-37"/>
          <w:sz w:val="23"/>
        </w:rPr>
        <w:t> </w:t>
      </w:r>
      <w:r>
        <w:rPr>
          <w:color w:val="231F20"/>
          <w:sz w:val="23"/>
        </w:rPr>
        <w:t>aviation</w:t>
      </w:r>
      <w:r>
        <w:rPr>
          <w:color w:val="231F20"/>
          <w:spacing w:val="-37"/>
          <w:sz w:val="23"/>
        </w:rPr>
        <w:t> </w:t>
      </w:r>
      <w:r>
        <w:rPr>
          <w:color w:val="231F20"/>
          <w:sz w:val="23"/>
        </w:rPr>
        <w:t>related</w:t>
      </w:r>
      <w:r>
        <w:rPr>
          <w:color w:val="231F20"/>
          <w:spacing w:val="-37"/>
          <w:sz w:val="23"/>
        </w:rPr>
        <w:t> </w:t>
      </w:r>
      <w:r>
        <w:rPr>
          <w:color w:val="231F20"/>
          <w:sz w:val="23"/>
        </w:rPr>
        <w:t>charges</w:t>
      </w:r>
      <w:r>
        <w:rPr>
          <w:color w:val="231F20"/>
          <w:spacing w:val="-37"/>
          <w:sz w:val="23"/>
        </w:rPr>
        <w:t> </w:t>
      </w:r>
      <w:r>
        <w:rPr>
          <w:color w:val="231F20"/>
          <w:sz w:val="23"/>
        </w:rPr>
        <w:t>will</w:t>
      </w:r>
      <w:r>
        <w:rPr>
          <w:color w:val="231F20"/>
          <w:spacing w:val="-37"/>
          <w:sz w:val="23"/>
        </w:rPr>
        <w:t> </w:t>
      </w:r>
      <w:r>
        <w:rPr>
          <w:color w:val="231F20"/>
          <w:sz w:val="23"/>
        </w:rPr>
        <w:t>be</w:t>
      </w:r>
      <w:r>
        <w:rPr>
          <w:color w:val="231F20"/>
          <w:spacing w:val="-37"/>
          <w:sz w:val="23"/>
        </w:rPr>
        <w:t> </w:t>
      </w:r>
      <w:r>
        <w:rPr>
          <w:color w:val="231F20"/>
          <w:sz w:val="23"/>
        </w:rPr>
        <w:t>exempt</w:t>
      </w:r>
      <w:r>
        <w:rPr>
          <w:color w:val="231F20"/>
          <w:spacing w:val="-37"/>
          <w:sz w:val="23"/>
        </w:rPr>
        <w:t> </w:t>
      </w:r>
      <w:r>
        <w:rPr>
          <w:color w:val="231F20"/>
          <w:sz w:val="23"/>
        </w:rPr>
        <w:t>from</w:t>
      </w:r>
      <w:r>
        <w:rPr>
          <w:color w:val="231F20"/>
          <w:spacing w:val="-37"/>
          <w:sz w:val="23"/>
        </w:rPr>
        <w:t> </w:t>
      </w:r>
      <w:r>
        <w:rPr>
          <w:color w:val="231F20"/>
          <w:sz w:val="23"/>
        </w:rPr>
        <w:t>the</w:t>
      </w:r>
      <w:r>
        <w:rPr>
          <w:color w:val="231F20"/>
          <w:spacing w:val="-37"/>
          <w:sz w:val="23"/>
        </w:rPr>
        <w:t> </w:t>
      </w:r>
      <w:r>
        <w:rPr>
          <w:color w:val="231F20"/>
          <w:sz w:val="23"/>
        </w:rPr>
        <w:t>payment</w:t>
      </w:r>
      <w:r>
        <w:rPr>
          <w:color w:val="231F20"/>
          <w:spacing w:val="-37"/>
          <w:sz w:val="23"/>
        </w:rPr>
        <w:t> </w:t>
      </w:r>
      <w:r>
        <w:rPr>
          <w:color w:val="231F20"/>
          <w:sz w:val="23"/>
        </w:rPr>
        <w:t>of</w:t>
      </w:r>
      <w:r>
        <w:rPr>
          <w:color w:val="231F20"/>
          <w:spacing w:val="-37"/>
          <w:sz w:val="23"/>
        </w:rPr>
        <w:t> </w:t>
      </w:r>
      <w:r>
        <w:rPr>
          <w:color w:val="231F20"/>
          <w:sz w:val="23"/>
        </w:rPr>
        <w:t>GST.</w:t>
      </w:r>
      <w:r>
        <w:rPr>
          <w:color w:val="231F20"/>
          <w:spacing w:val="-37"/>
          <w:sz w:val="23"/>
        </w:rPr>
        <w:t> </w:t>
      </w:r>
      <w:r>
        <w:rPr>
          <w:color w:val="231F20"/>
          <w:spacing w:val="-3"/>
          <w:sz w:val="23"/>
        </w:rPr>
        <w:t>These </w:t>
      </w:r>
      <w:r>
        <w:rPr>
          <w:color w:val="231F20"/>
          <w:sz w:val="23"/>
        </w:rPr>
        <w:t>include landing and parking fees, aircraft towing, aircraft cleaning, baggage handling, aircraft security as well as aircraft fuelling. The objective is to reduce the cost of travel to Sierra Leone in order to</w:t>
      </w:r>
      <w:r>
        <w:rPr>
          <w:color w:val="231F20"/>
          <w:spacing w:val="-28"/>
          <w:sz w:val="23"/>
        </w:rPr>
        <w:t> </w:t>
      </w:r>
      <w:r>
        <w:rPr>
          <w:color w:val="231F20"/>
          <w:sz w:val="23"/>
        </w:rPr>
        <w:t>boost tourism and create job</w:t>
      </w:r>
      <w:r>
        <w:rPr>
          <w:color w:val="231F20"/>
          <w:spacing w:val="-35"/>
          <w:sz w:val="23"/>
        </w:rPr>
        <w:t> </w:t>
      </w:r>
      <w:r>
        <w:rPr>
          <w:color w:val="231F20"/>
          <w:sz w:val="23"/>
        </w:rPr>
        <w:t>opportunities;</w:t>
      </w:r>
    </w:p>
    <w:p>
      <w:pPr>
        <w:pStyle w:val="BodyText"/>
        <w:spacing w:before="10"/>
        <w:rPr>
          <w:sz w:val="27"/>
        </w:rPr>
      </w:pPr>
    </w:p>
    <w:p>
      <w:pPr>
        <w:pStyle w:val="ListParagraph"/>
        <w:numPr>
          <w:ilvl w:val="1"/>
          <w:numId w:val="2"/>
        </w:numPr>
        <w:tabs>
          <w:tab w:pos="1523" w:val="left" w:leader="none"/>
        </w:tabs>
        <w:spacing w:line="283" w:lineRule="auto" w:before="0" w:after="0"/>
        <w:ind w:left="1522" w:right="121" w:hanging="464"/>
        <w:jc w:val="both"/>
        <w:rPr>
          <w:sz w:val="23"/>
        </w:rPr>
      </w:pPr>
      <w:r>
        <w:rPr>
          <w:color w:val="231F20"/>
          <w:sz w:val="23"/>
        </w:rPr>
        <w:t>Exemption</w:t>
      </w:r>
      <w:r>
        <w:rPr>
          <w:color w:val="231F20"/>
          <w:spacing w:val="-13"/>
          <w:sz w:val="23"/>
        </w:rPr>
        <w:t> </w:t>
      </w:r>
      <w:r>
        <w:rPr>
          <w:color w:val="231F20"/>
          <w:sz w:val="23"/>
        </w:rPr>
        <w:t>of</w:t>
      </w:r>
      <w:r>
        <w:rPr>
          <w:color w:val="231F20"/>
          <w:spacing w:val="-13"/>
          <w:sz w:val="23"/>
        </w:rPr>
        <w:t> </w:t>
      </w:r>
      <w:r>
        <w:rPr>
          <w:color w:val="231F20"/>
          <w:sz w:val="23"/>
        </w:rPr>
        <w:t>GST</w:t>
      </w:r>
      <w:r>
        <w:rPr>
          <w:color w:val="231F20"/>
          <w:spacing w:val="-12"/>
          <w:sz w:val="23"/>
        </w:rPr>
        <w:t> </w:t>
      </w:r>
      <w:r>
        <w:rPr>
          <w:color w:val="231F20"/>
          <w:sz w:val="23"/>
        </w:rPr>
        <w:t>on</w:t>
      </w:r>
      <w:r>
        <w:rPr>
          <w:color w:val="231F20"/>
          <w:spacing w:val="-13"/>
          <w:sz w:val="23"/>
        </w:rPr>
        <w:t> </w:t>
      </w:r>
      <w:r>
        <w:rPr>
          <w:color w:val="231F20"/>
          <w:sz w:val="23"/>
        </w:rPr>
        <w:t>free</w:t>
      </w:r>
      <w:r>
        <w:rPr>
          <w:color w:val="231F20"/>
          <w:spacing w:val="-12"/>
          <w:sz w:val="23"/>
        </w:rPr>
        <w:t> </w:t>
      </w:r>
      <w:r>
        <w:rPr>
          <w:color w:val="231F20"/>
          <w:sz w:val="23"/>
        </w:rPr>
        <w:t>and</w:t>
      </w:r>
      <w:r>
        <w:rPr>
          <w:color w:val="231F20"/>
          <w:spacing w:val="-13"/>
          <w:sz w:val="23"/>
        </w:rPr>
        <w:t> </w:t>
      </w:r>
      <w:r>
        <w:rPr>
          <w:color w:val="231F20"/>
          <w:sz w:val="23"/>
        </w:rPr>
        <w:t>promotional</w:t>
      </w:r>
      <w:r>
        <w:rPr>
          <w:color w:val="231F20"/>
          <w:spacing w:val="-13"/>
          <w:sz w:val="23"/>
        </w:rPr>
        <w:t> </w:t>
      </w:r>
      <w:r>
        <w:rPr>
          <w:color w:val="231F20"/>
          <w:sz w:val="23"/>
        </w:rPr>
        <w:t>calls</w:t>
      </w:r>
      <w:r>
        <w:rPr>
          <w:color w:val="231F20"/>
          <w:spacing w:val="-13"/>
          <w:sz w:val="23"/>
        </w:rPr>
        <w:t> </w:t>
      </w:r>
      <w:r>
        <w:rPr>
          <w:color w:val="231F20"/>
          <w:sz w:val="23"/>
        </w:rPr>
        <w:t>and</w:t>
      </w:r>
      <w:r>
        <w:rPr>
          <w:color w:val="231F20"/>
          <w:spacing w:val="-13"/>
          <w:sz w:val="23"/>
        </w:rPr>
        <w:t> </w:t>
      </w:r>
      <w:r>
        <w:rPr>
          <w:color w:val="231F20"/>
          <w:sz w:val="23"/>
        </w:rPr>
        <w:t>free</w:t>
      </w:r>
      <w:r>
        <w:rPr>
          <w:color w:val="231F20"/>
          <w:spacing w:val="-12"/>
          <w:sz w:val="23"/>
        </w:rPr>
        <w:t> </w:t>
      </w:r>
      <w:r>
        <w:rPr>
          <w:color w:val="231F20"/>
          <w:sz w:val="23"/>
        </w:rPr>
        <w:t>data</w:t>
      </w:r>
      <w:r>
        <w:rPr>
          <w:color w:val="231F20"/>
          <w:spacing w:val="-13"/>
          <w:sz w:val="23"/>
        </w:rPr>
        <w:t> </w:t>
      </w:r>
      <w:r>
        <w:rPr>
          <w:color w:val="231F20"/>
          <w:sz w:val="23"/>
        </w:rPr>
        <w:t>use</w:t>
      </w:r>
      <w:r>
        <w:rPr>
          <w:color w:val="231F20"/>
          <w:spacing w:val="-13"/>
          <w:sz w:val="23"/>
        </w:rPr>
        <w:t> </w:t>
      </w:r>
      <w:r>
        <w:rPr>
          <w:color w:val="231F20"/>
          <w:sz w:val="23"/>
        </w:rPr>
        <w:t>to</w:t>
      </w:r>
      <w:r>
        <w:rPr>
          <w:color w:val="231F20"/>
          <w:spacing w:val="-12"/>
          <w:sz w:val="23"/>
        </w:rPr>
        <w:t> </w:t>
      </w:r>
      <w:r>
        <w:rPr>
          <w:color w:val="231F20"/>
          <w:sz w:val="23"/>
        </w:rPr>
        <w:t>the extent</w:t>
      </w:r>
      <w:r>
        <w:rPr>
          <w:color w:val="231F20"/>
          <w:spacing w:val="-35"/>
          <w:sz w:val="23"/>
        </w:rPr>
        <w:t> </w:t>
      </w:r>
      <w:r>
        <w:rPr>
          <w:color w:val="231F20"/>
          <w:sz w:val="23"/>
        </w:rPr>
        <w:t>that</w:t>
      </w:r>
      <w:r>
        <w:rPr>
          <w:color w:val="231F20"/>
          <w:spacing w:val="-35"/>
          <w:sz w:val="23"/>
        </w:rPr>
        <w:t> </w:t>
      </w:r>
      <w:r>
        <w:rPr>
          <w:color w:val="231F20"/>
          <w:sz w:val="23"/>
        </w:rPr>
        <w:t>the</w:t>
      </w:r>
      <w:r>
        <w:rPr>
          <w:color w:val="231F20"/>
          <w:spacing w:val="-35"/>
          <w:sz w:val="23"/>
        </w:rPr>
        <w:t> </w:t>
      </w:r>
      <w:r>
        <w:rPr>
          <w:color w:val="231F20"/>
          <w:sz w:val="23"/>
        </w:rPr>
        <w:t>value</w:t>
      </w:r>
      <w:r>
        <w:rPr>
          <w:color w:val="231F20"/>
          <w:spacing w:val="-35"/>
          <w:sz w:val="23"/>
        </w:rPr>
        <w:t> </w:t>
      </w:r>
      <w:r>
        <w:rPr>
          <w:color w:val="231F20"/>
          <w:sz w:val="23"/>
        </w:rPr>
        <w:t>of</w:t>
      </w:r>
      <w:r>
        <w:rPr>
          <w:color w:val="231F20"/>
          <w:spacing w:val="-35"/>
          <w:sz w:val="23"/>
        </w:rPr>
        <w:t> </w:t>
      </w:r>
      <w:r>
        <w:rPr>
          <w:color w:val="231F20"/>
          <w:sz w:val="23"/>
        </w:rPr>
        <w:t>such</w:t>
      </w:r>
      <w:r>
        <w:rPr>
          <w:color w:val="231F20"/>
          <w:spacing w:val="-35"/>
          <w:sz w:val="23"/>
        </w:rPr>
        <w:t> </w:t>
      </w:r>
      <w:r>
        <w:rPr>
          <w:color w:val="231F20"/>
          <w:sz w:val="23"/>
        </w:rPr>
        <w:t>supply</w:t>
      </w:r>
      <w:r>
        <w:rPr>
          <w:color w:val="231F20"/>
          <w:spacing w:val="-35"/>
          <w:sz w:val="23"/>
        </w:rPr>
        <w:t> </w:t>
      </w:r>
      <w:r>
        <w:rPr>
          <w:color w:val="231F20"/>
          <w:sz w:val="23"/>
        </w:rPr>
        <w:t>does</w:t>
      </w:r>
      <w:r>
        <w:rPr>
          <w:color w:val="231F20"/>
          <w:spacing w:val="-35"/>
          <w:sz w:val="23"/>
        </w:rPr>
        <w:t> </w:t>
      </w:r>
      <w:r>
        <w:rPr>
          <w:color w:val="231F20"/>
          <w:sz w:val="23"/>
        </w:rPr>
        <w:t>not</w:t>
      </w:r>
      <w:r>
        <w:rPr>
          <w:color w:val="231F20"/>
          <w:spacing w:val="-35"/>
          <w:sz w:val="23"/>
        </w:rPr>
        <w:t> </w:t>
      </w:r>
      <w:r>
        <w:rPr>
          <w:color w:val="231F20"/>
          <w:sz w:val="23"/>
        </w:rPr>
        <w:t>exceed</w:t>
      </w:r>
      <w:r>
        <w:rPr>
          <w:color w:val="231F20"/>
          <w:spacing w:val="-35"/>
          <w:sz w:val="23"/>
        </w:rPr>
        <w:t> </w:t>
      </w:r>
      <w:r>
        <w:rPr>
          <w:color w:val="231F20"/>
          <w:sz w:val="23"/>
        </w:rPr>
        <w:t>10</w:t>
      </w:r>
      <w:r>
        <w:rPr>
          <w:color w:val="231F20"/>
          <w:spacing w:val="-35"/>
          <w:sz w:val="23"/>
        </w:rPr>
        <w:t> </w:t>
      </w:r>
      <w:r>
        <w:rPr>
          <w:color w:val="231F20"/>
          <w:sz w:val="23"/>
        </w:rPr>
        <w:t>percent</w:t>
      </w:r>
      <w:r>
        <w:rPr>
          <w:color w:val="231F20"/>
          <w:spacing w:val="-35"/>
          <w:sz w:val="23"/>
        </w:rPr>
        <w:t> </w:t>
      </w:r>
      <w:r>
        <w:rPr>
          <w:color w:val="231F20"/>
          <w:sz w:val="23"/>
        </w:rPr>
        <w:t>of</w:t>
      </w:r>
      <w:r>
        <w:rPr>
          <w:color w:val="231F20"/>
          <w:spacing w:val="-35"/>
          <w:sz w:val="23"/>
        </w:rPr>
        <w:t> </w:t>
      </w:r>
      <w:r>
        <w:rPr>
          <w:color w:val="231F20"/>
          <w:sz w:val="23"/>
        </w:rPr>
        <w:t>the</w:t>
      </w:r>
      <w:r>
        <w:rPr>
          <w:color w:val="231F20"/>
          <w:spacing w:val="-35"/>
          <w:sz w:val="23"/>
        </w:rPr>
        <w:t> </w:t>
      </w:r>
      <w:r>
        <w:rPr>
          <w:color w:val="231F20"/>
          <w:sz w:val="23"/>
        </w:rPr>
        <w:t>total calls and data use in that</w:t>
      </w:r>
      <w:r>
        <w:rPr>
          <w:color w:val="231F20"/>
          <w:spacing w:val="11"/>
          <w:sz w:val="23"/>
        </w:rPr>
        <w:t> </w:t>
      </w:r>
      <w:r>
        <w:rPr>
          <w:color w:val="231F20"/>
          <w:sz w:val="23"/>
        </w:rPr>
        <w:t>period;</w:t>
      </w:r>
    </w:p>
    <w:p>
      <w:pPr>
        <w:pStyle w:val="BodyText"/>
        <w:spacing w:before="6"/>
        <w:rPr>
          <w:sz w:val="27"/>
        </w:rPr>
      </w:pPr>
    </w:p>
    <w:p>
      <w:pPr>
        <w:pStyle w:val="ListParagraph"/>
        <w:numPr>
          <w:ilvl w:val="1"/>
          <w:numId w:val="2"/>
        </w:numPr>
        <w:tabs>
          <w:tab w:pos="1523" w:val="left" w:leader="none"/>
        </w:tabs>
        <w:spacing w:line="283" w:lineRule="auto" w:before="0" w:after="0"/>
        <w:ind w:left="1522" w:right="119" w:hanging="540"/>
        <w:jc w:val="both"/>
        <w:rPr>
          <w:sz w:val="23"/>
        </w:rPr>
      </w:pPr>
      <w:r>
        <w:rPr>
          <w:color w:val="231F20"/>
          <w:sz w:val="23"/>
        </w:rPr>
        <w:t>Exemption of GST on financial services administered by Commercial Banks,</w:t>
      </w:r>
      <w:r>
        <w:rPr>
          <w:color w:val="231F20"/>
          <w:spacing w:val="-46"/>
          <w:sz w:val="23"/>
        </w:rPr>
        <w:t> </w:t>
      </w:r>
      <w:r>
        <w:rPr>
          <w:color w:val="231F20"/>
          <w:sz w:val="23"/>
        </w:rPr>
        <w:t>Community</w:t>
      </w:r>
      <w:r>
        <w:rPr>
          <w:color w:val="231F20"/>
          <w:spacing w:val="-46"/>
          <w:sz w:val="23"/>
        </w:rPr>
        <w:t> </w:t>
      </w:r>
      <w:r>
        <w:rPr>
          <w:color w:val="231F20"/>
          <w:sz w:val="23"/>
        </w:rPr>
        <w:t>Banks,</w:t>
      </w:r>
      <w:r>
        <w:rPr>
          <w:color w:val="231F20"/>
          <w:spacing w:val="-46"/>
          <w:sz w:val="23"/>
        </w:rPr>
        <w:t> </w:t>
      </w:r>
      <w:r>
        <w:rPr>
          <w:color w:val="231F20"/>
          <w:sz w:val="23"/>
        </w:rPr>
        <w:t>Micro</w:t>
      </w:r>
      <w:r>
        <w:rPr>
          <w:color w:val="231F20"/>
          <w:spacing w:val="-47"/>
          <w:sz w:val="23"/>
        </w:rPr>
        <w:t> </w:t>
      </w:r>
      <w:r>
        <w:rPr>
          <w:color w:val="231F20"/>
          <w:sz w:val="23"/>
        </w:rPr>
        <w:t>Finance</w:t>
      </w:r>
      <w:r>
        <w:rPr>
          <w:color w:val="231F20"/>
          <w:spacing w:val="-47"/>
          <w:sz w:val="23"/>
        </w:rPr>
        <w:t> </w:t>
      </w:r>
      <w:r>
        <w:rPr>
          <w:color w:val="231F20"/>
          <w:sz w:val="23"/>
        </w:rPr>
        <w:t>Institutions</w:t>
      </w:r>
      <w:r>
        <w:rPr>
          <w:color w:val="231F20"/>
          <w:spacing w:val="-47"/>
          <w:sz w:val="23"/>
        </w:rPr>
        <w:t> </w:t>
      </w:r>
      <w:r>
        <w:rPr>
          <w:color w:val="231F20"/>
          <w:sz w:val="23"/>
        </w:rPr>
        <w:t>and</w:t>
      </w:r>
      <w:r>
        <w:rPr>
          <w:color w:val="231F20"/>
          <w:spacing w:val="-46"/>
          <w:sz w:val="23"/>
        </w:rPr>
        <w:t> </w:t>
      </w:r>
      <w:r>
        <w:rPr>
          <w:color w:val="231F20"/>
          <w:sz w:val="23"/>
        </w:rPr>
        <w:t>the</w:t>
      </w:r>
      <w:r>
        <w:rPr>
          <w:color w:val="231F20"/>
          <w:spacing w:val="-47"/>
          <w:sz w:val="23"/>
        </w:rPr>
        <w:t> </w:t>
      </w:r>
      <w:r>
        <w:rPr>
          <w:color w:val="231F20"/>
          <w:sz w:val="23"/>
        </w:rPr>
        <w:t>Apex</w:t>
      </w:r>
      <w:r>
        <w:rPr>
          <w:color w:val="231F20"/>
          <w:spacing w:val="-47"/>
          <w:sz w:val="23"/>
        </w:rPr>
        <w:t> </w:t>
      </w:r>
      <w:r>
        <w:rPr>
          <w:color w:val="231F20"/>
          <w:sz w:val="23"/>
        </w:rPr>
        <w:t>Bank.</w:t>
      </w:r>
    </w:p>
    <w:p>
      <w:pPr>
        <w:pStyle w:val="BodyText"/>
        <w:spacing w:before="6"/>
        <w:rPr>
          <w:sz w:val="27"/>
        </w:rPr>
      </w:pPr>
    </w:p>
    <w:p>
      <w:pPr>
        <w:pStyle w:val="ListParagraph"/>
        <w:numPr>
          <w:ilvl w:val="1"/>
          <w:numId w:val="2"/>
        </w:numPr>
        <w:tabs>
          <w:tab w:pos="1525" w:val="left" w:leader="none"/>
        </w:tabs>
        <w:spacing w:line="285" w:lineRule="auto" w:before="0" w:after="0"/>
        <w:ind w:left="1522" w:right="121" w:hanging="615"/>
        <w:jc w:val="both"/>
        <w:rPr>
          <w:sz w:val="23"/>
        </w:rPr>
      </w:pPr>
      <w:r>
        <w:rPr>
          <w:color w:val="231F20"/>
          <w:sz w:val="23"/>
        </w:rPr>
        <w:t>Introduction</w:t>
      </w:r>
      <w:r>
        <w:rPr>
          <w:color w:val="231F20"/>
          <w:spacing w:val="-15"/>
          <w:sz w:val="23"/>
        </w:rPr>
        <w:t> </w:t>
      </w:r>
      <w:r>
        <w:rPr>
          <w:color w:val="231F20"/>
          <w:sz w:val="23"/>
        </w:rPr>
        <w:t>of</w:t>
      </w:r>
      <w:r>
        <w:rPr>
          <w:color w:val="231F20"/>
          <w:spacing w:val="-15"/>
          <w:sz w:val="23"/>
        </w:rPr>
        <w:t> </w:t>
      </w:r>
      <w:r>
        <w:rPr>
          <w:color w:val="231F20"/>
          <w:sz w:val="23"/>
        </w:rPr>
        <w:t>credit</w:t>
      </w:r>
      <w:r>
        <w:rPr>
          <w:color w:val="231F20"/>
          <w:spacing w:val="-15"/>
          <w:sz w:val="23"/>
        </w:rPr>
        <w:t> </w:t>
      </w:r>
      <w:r>
        <w:rPr>
          <w:color w:val="231F20"/>
          <w:sz w:val="23"/>
        </w:rPr>
        <w:t>relief</w:t>
      </w:r>
      <w:r>
        <w:rPr>
          <w:color w:val="231F20"/>
          <w:spacing w:val="-15"/>
          <w:sz w:val="23"/>
        </w:rPr>
        <w:t> </w:t>
      </w:r>
      <w:r>
        <w:rPr>
          <w:color w:val="231F20"/>
          <w:sz w:val="23"/>
        </w:rPr>
        <w:t>utilisation</w:t>
      </w:r>
      <w:r>
        <w:rPr>
          <w:color w:val="231F20"/>
          <w:spacing w:val="-15"/>
          <w:sz w:val="23"/>
        </w:rPr>
        <w:t> </w:t>
      </w:r>
      <w:r>
        <w:rPr>
          <w:color w:val="231F20"/>
          <w:sz w:val="23"/>
        </w:rPr>
        <w:t>for</w:t>
      </w:r>
      <w:r>
        <w:rPr>
          <w:color w:val="231F20"/>
          <w:spacing w:val="-15"/>
          <w:sz w:val="23"/>
        </w:rPr>
        <w:t> </w:t>
      </w:r>
      <w:r>
        <w:rPr>
          <w:color w:val="231F20"/>
          <w:sz w:val="23"/>
        </w:rPr>
        <w:t>group</w:t>
      </w:r>
      <w:r>
        <w:rPr>
          <w:color w:val="231F20"/>
          <w:spacing w:val="-15"/>
          <w:sz w:val="23"/>
        </w:rPr>
        <w:t> </w:t>
      </w:r>
      <w:r>
        <w:rPr>
          <w:color w:val="231F20"/>
          <w:sz w:val="23"/>
        </w:rPr>
        <w:t>of</w:t>
      </w:r>
      <w:r>
        <w:rPr>
          <w:color w:val="231F20"/>
          <w:spacing w:val="-15"/>
          <w:sz w:val="23"/>
        </w:rPr>
        <w:t> </w:t>
      </w:r>
      <w:r>
        <w:rPr>
          <w:color w:val="231F20"/>
          <w:sz w:val="23"/>
        </w:rPr>
        <w:t>companies</w:t>
      </w:r>
      <w:r>
        <w:rPr>
          <w:color w:val="231F20"/>
          <w:spacing w:val="-14"/>
          <w:sz w:val="23"/>
        </w:rPr>
        <w:t> </w:t>
      </w:r>
      <w:r>
        <w:rPr>
          <w:color w:val="231F20"/>
          <w:sz w:val="23"/>
        </w:rPr>
        <w:t>in</w:t>
      </w:r>
      <w:r>
        <w:rPr>
          <w:color w:val="231F20"/>
          <w:spacing w:val="-15"/>
          <w:sz w:val="23"/>
        </w:rPr>
        <w:t> </w:t>
      </w:r>
      <w:r>
        <w:rPr>
          <w:color w:val="231F20"/>
          <w:sz w:val="23"/>
        </w:rPr>
        <w:t>order</w:t>
      </w:r>
      <w:r>
        <w:rPr>
          <w:color w:val="231F20"/>
          <w:spacing w:val="-15"/>
          <w:sz w:val="23"/>
        </w:rPr>
        <w:t> </w:t>
      </w:r>
      <w:r>
        <w:rPr>
          <w:color w:val="231F20"/>
          <w:sz w:val="23"/>
        </w:rPr>
        <w:t>to ensure</w:t>
      </w:r>
      <w:r>
        <w:rPr>
          <w:color w:val="231F20"/>
          <w:spacing w:val="-22"/>
          <w:sz w:val="23"/>
        </w:rPr>
        <w:t> </w:t>
      </w:r>
      <w:r>
        <w:rPr>
          <w:color w:val="231F20"/>
          <w:sz w:val="23"/>
        </w:rPr>
        <w:t>fast</w:t>
      </w:r>
      <w:r>
        <w:rPr>
          <w:color w:val="231F20"/>
          <w:spacing w:val="-22"/>
          <w:sz w:val="23"/>
        </w:rPr>
        <w:t> </w:t>
      </w:r>
      <w:r>
        <w:rPr>
          <w:color w:val="231F20"/>
          <w:sz w:val="23"/>
        </w:rPr>
        <w:t>utilisation</w:t>
      </w:r>
      <w:r>
        <w:rPr>
          <w:color w:val="231F20"/>
          <w:spacing w:val="-22"/>
          <w:sz w:val="23"/>
        </w:rPr>
        <w:t> </w:t>
      </w:r>
      <w:r>
        <w:rPr>
          <w:color w:val="231F20"/>
          <w:sz w:val="23"/>
        </w:rPr>
        <w:t>of</w:t>
      </w:r>
      <w:r>
        <w:rPr>
          <w:color w:val="231F20"/>
          <w:spacing w:val="-22"/>
          <w:sz w:val="23"/>
        </w:rPr>
        <w:t> </w:t>
      </w:r>
      <w:r>
        <w:rPr>
          <w:color w:val="231F20"/>
          <w:sz w:val="23"/>
        </w:rPr>
        <w:t>tax</w:t>
      </w:r>
      <w:r>
        <w:rPr>
          <w:color w:val="231F20"/>
          <w:spacing w:val="-22"/>
          <w:sz w:val="23"/>
        </w:rPr>
        <w:t> </w:t>
      </w:r>
      <w:r>
        <w:rPr>
          <w:color w:val="231F20"/>
          <w:sz w:val="23"/>
        </w:rPr>
        <w:t>credits</w:t>
      </w:r>
      <w:r>
        <w:rPr>
          <w:color w:val="231F20"/>
          <w:spacing w:val="-22"/>
          <w:sz w:val="23"/>
        </w:rPr>
        <w:t> </w:t>
      </w:r>
      <w:r>
        <w:rPr>
          <w:color w:val="231F20"/>
          <w:sz w:val="23"/>
        </w:rPr>
        <w:t>and</w:t>
      </w:r>
      <w:r>
        <w:rPr>
          <w:color w:val="231F20"/>
          <w:spacing w:val="-22"/>
          <w:sz w:val="23"/>
        </w:rPr>
        <w:t> </w:t>
      </w:r>
      <w:r>
        <w:rPr>
          <w:color w:val="231F20"/>
          <w:sz w:val="23"/>
        </w:rPr>
        <w:t>reduce</w:t>
      </w:r>
      <w:r>
        <w:rPr>
          <w:color w:val="231F20"/>
          <w:spacing w:val="-22"/>
          <w:sz w:val="23"/>
        </w:rPr>
        <w:t> </w:t>
      </w:r>
      <w:r>
        <w:rPr>
          <w:color w:val="231F20"/>
          <w:sz w:val="23"/>
        </w:rPr>
        <w:t>the</w:t>
      </w:r>
      <w:r>
        <w:rPr>
          <w:color w:val="231F20"/>
          <w:spacing w:val="-22"/>
          <w:sz w:val="23"/>
        </w:rPr>
        <w:t> </w:t>
      </w:r>
      <w:r>
        <w:rPr>
          <w:color w:val="231F20"/>
          <w:sz w:val="23"/>
        </w:rPr>
        <w:t>overall</w:t>
      </w:r>
      <w:r>
        <w:rPr>
          <w:color w:val="231F20"/>
          <w:spacing w:val="-22"/>
          <w:sz w:val="23"/>
        </w:rPr>
        <w:t> </w:t>
      </w:r>
      <w:r>
        <w:rPr>
          <w:color w:val="231F20"/>
          <w:sz w:val="23"/>
        </w:rPr>
        <w:t>tax</w:t>
      </w:r>
      <w:r>
        <w:rPr>
          <w:color w:val="231F20"/>
          <w:spacing w:val="-22"/>
          <w:sz w:val="23"/>
        </w:rPr>
        <w:t> </w:t>
      </w:r>
      <w:r>
        <w:rPr>
          <w:color w:val="231F20"/>
          <w:sz w:val="23"/>
        </w:rPr>
        <w:t>burden</w:t>
      </w:r>
      <w:r>
        <w:rPr>
          <w:color w:val="231F20"/>
          <w:spacing w:val="-22"/>
          <w:sz w:val="23"/>
        </w:rPr>
        <w:t> </w:t>
      </w:r>
      <w:r>
        <w:rPr>
          <w:color w:val="231F20"/>
          <w:sz w:val="23"/>
        </w:rPr>
        <w:t>on group</w:t>
      </w:r>
      <w:r>
        <w:rPr>
          <w:color w:val="231F20"/>
          <w:spacing w:val="-23"/>
          <w:sz w:val="23"/>
        </w:rPr>
        <w:t> </w:t>
      </w:r>
      <w:r>
        <w:rPr>
          <w:color w:val="231F20"/>
          <w:sz w:val="23"/>
        </w:rPr>
        <w:t>of</w:t>
      </w:r>
      <w:r>
        <w:rPr>
          <w:color w:val="231F20"/>
          <w:spacing w:val="-23"/>
          <w:sz w:val="23"/>
        </w:rPr>
        <w:t> </w:t>
      </w:r>
      <w:r>
        <w:rPr>
          <w:color w:val="231F20"/>
          <w:sz w:val="23"/>
        </w:rPr>
        <w:t>companies;</w:t>
      </w:r>
      <w:r>
        <w:rPr>
          <w:color w:val="231F20"/>
          <w:spacing w:val="-23"/>
          <w:sz w:val="23"/>
        </w:rPr>
        <w:t> </w:t>
      </w:r>
      <w:r>
        <w:rPr>
          <w:color w:val="231F20"/>
          <w:sz w:val="23"/>
        </w:rPr>
        <w:t>and</w:t>
      </w:r>
    </w:p>
    <w:p>
      <w:pPr>
        <w:pStyle w:val="BodyText"/>
        <w:spacing w:before="10"/>
        <w:rPr>
          <w:sz w:val="26"/>
        </w:rPr>
      </w:pPr>
    </w:p>
    <w:p>
      <w:pPr>
        <w:pStyle w:val="ListParagraph"/>
        <w:numPr>
          <w:ilvl w:val="1"/>
          <w:numId w:val="2"/>
        </w:numPr>
        <w:tabs>
          <w:tab w:pos="1522" w:val="left" w:leader="none"/>
        </w:tabs>
        <w:spacing w:line="285" w:lineRule="auto" w:before="1" w:after="0"/>
        <w:ind w:left="1522" w:right="119" w:hanging="689"/>
        <w:jc w:val="both"/>
        <w:rPr>
          <w:sz w:val="23"/>
        </w:rPr>
      </w:pPr>
      <w:r>
        <w:rPr>
          <w:color w:val="231F20"/>
          <w:sz w:val="23"/>
        </w:rPr>
        <w:t>Introduction of a rebate or refund system for personal income tax filers paying excess of the actual assessed tax</w:t>
      </w:r>
      <w:r>
        <w:rPr>
          <w:color w:val="231F20"/>
          <w:spacing w:val="44"/>
          <w:sz w:val="23"/>
        </w:rPr>
        <w:t> </w:t>
      </w:r>
      <w:r>
        <w:rPr>
          <w:color w:val="231F20"/>
          <w:sz w:val="23"/>
        </w:rPr>
        <w:t>liability.</w:t>
      </w:r>
    </w:p>
    <w:p>
      <w:pPr>
        <w:pStyle w:val="BodyText"/>
        <w:rPr>
          <w:sz w:val="27"/>
        </w:rPr>
      </w:pPr>
    </w:p>
    <w:p>
      <w:pPr>
        <w:pStyle w:val="Heading2"/>
        <w:numPr>
          <w:ilvl w:val="0"/>
          <w:numId w:val="4"/>
        </w:numPr>
        <w:tabs>
          <w:tab w:pos="614" w:val="left" w:leader="none"/>
        </w:tabs>
        <w:spacing w:line="240" w:lineRule="auto" w:before="0" w:after="0"/>
        <w:ind w:left="613" w:right="0" w:hanging="510"/>
        <w:jc w:val="left"/>
      </w:pPr>
      <w:r>
        <w:rPr>
          <w:color w:val="231F20"/>
        </w:rPr>
        <w:t>Revenue Enhancing Tax</w:t>
      </w:r>
      <w:r>
        <w:rPr>
          <w:color w:val="231F20"/>
          <w:spacing w:val="-40"/>
        </w:rPr>
        <w:t> </w:t>
      </w:r>
      <w:r>
        <w:rPr>
          <w:color w:val="231F20"/>
        </w:rPr>
        <w:t>Policies</w:t>
      </w:r>
    </w:p>
    <w:p>
      <w:pPr>
        <w:pStyle w:val="ListParagraph"/>
        <w:numPr>
          <w:ilvl w:val="0"/>
          <w:numId w:val="2"/>
        </w:numPr>
        <w:tabs>
          <w:tab w:pos="953" w:val="left" w:leader="none"/>
          <w:tab w:pos="954" w:val="left" w:leader="none"/>
        </w:tabs>
        <w:spacing w:line="240" w:lineRule="auto" w:before="52" w:after="0"/>
        <w:ind w:left="953" w:right="0" w:hanging="627"/>
        <w:jc w:val="left"/>
        <w:rPr>
          <w:sz w:val="23"/>
        </w:rPr>
      </w:pPr>
      <w:r>
        <w:rPr>
          <w:color w:val="231F20"/>
          <w:sz w:val="23"/>
        </w:rPr>
        <w:t>The 2020 Finance Bill is also proposing the following revenue</w:t>
      </w:r>
      <w:r>
        <w:rPr>
          <w:color w:val="231F20"/>
          <w:spacing w:val="30"/>
          <w:sz w:val="23"/>
        </w:rPr>
        <w:t> </w:t>
      </w:r>
      <w:r>
        <w:rPr>
          <w:color w:val="231F20"/>
          <w:sz w:val="23"/>
        </w:rPr>
        <w:t>measures:</w:t>
      </w:r>
    </w:p>
    <w:p>
      <w:pPr>
        <w:pStyle w:val="BodyText"/>
        <w:spacing w:before="4"/>
        <w:rPr>
          <w:sz w:val="31"/>
        </w:rPr>
      </w:pPr>
    </w:p>
    <w:p>
      <w:pPr>
        <w:pStyle w:val="ListParagraph"/>
        <w:numPr>
          <w:ilvl w:val="1"/>
          <w:numId w:val="2"/>
        </w:numPr>
        <w:tabs>
          <w:tab w:pos="1523" w:val="left" w:leader="none"/>
        </w:tabs>
        <w:spacing w:line="285" w:lineRule="auto" w:before="0" w:after="0"/>
        <w:ind w:left="1521" w:right="114" w:hanging="434"/>
        <w:jc w:val="both"/>
        <w:rPr>
          <w:sz w:val="23"/>
        </w:rPr>
      </w:pPr>
      <w:r>
        <w:rPr>
          <w:color w:val="231F20"/>
          <w:spacing w:val="3"/>
          <w:sz w:val="23"/>
        </w:rPr>
        <w:t>Introduce transfer pricing legislation </w:t>
      </w:r>
      <w:r>
        <w:rPr>
          <w:color w:val="231F20"/>
          <w:sz w:val="23"/>
        </w:rPr>
        <w:t>to </w:t>
      </w:r>
      <w:r>
        <w:rPr>
          <w:color w:val="231F20"/>
          <w:spacing w:val="3"/>
          <w:sz w:val="23"/>
        </w:rPr>
        <w:t>ensure consistency </w:t>
      </w:r>
      <w:r>
        <w:rPr>
          <w:color w:val="231F20"/>
          <w:spacing w:val="4"/>
          <w:sz w:val="23"/>
        </w:rPr>
        <w:t>with </w:t>
      </w:r>
      <w:r>
        <w:rPr>
          <w:color w:val="231F20"/>
          <w:sz w:val="23"/>
        </w:rPr>
        <w:t>international</w:t>
      </w:r>
      <w:r>
        <w:rPr>
          <w:color w:val="231F20"/>
          <w:spacing w:val="-33"/>
          <w:sz w:val="23"/>
        </w:rPr>
        <w:t> </w:t>
      </w:r>
      <w:r>
        <w:rPr>
          <w:color w:val="231F20"/>
          <w:sz w:val="23"/>
        </w:rPr>
        <w:t>best</w:t>
      </w:r>
      <w:r>
        <w:rPr>
          <w:color w:val="231F20"/>
          <w:spacing w:val="-33"/>
          <w:sz w:val="23"/>
        </w:rPr>
        <w:t> </w:t>
      </w:r>
      <w:r>
        <w:rPr>
          <w:color w:val="231F20"/>
          <w:sz w:val="23"/>
        </w:rPr>
        <w:t>practice</w:t>
      </w:r>
      <w:r>
        <w:rPr>
          <w:color w:val="231F20"/>
          <w:spacing w:val="-33"/>
          <w:sz w:val="23"/>
        </w:rPr>
        <w:t> </w:t>
      </w:r>
      <w:r>
        <w:rPr>
          <w:color w:val="231F20"/>
          <w:sz w:val="23"/>
        </w:rPr>
        <w:t>and</w:t>
      </w:r>
      <w:r>
        <w:rPr>
          <w:color w:val="231F20"/>
          <w:spacing w:val="-33"/>
          <w:sz w:val="23"/>
        </w:rPr>
        <w:t> </w:t>
      </w:r>
      <w:r>
        <w:rPr>
          <w:color w:val="231F20"/>
          <w:sz w:val="23"/>
        </w:rPr>
        <w:t>minimise</w:t>
      </w:r>
      <w:r>
        <w:rPr>
          <w:color w:val="231F20"/>
          <w:spacing w:val="-33"/>
          <w:sz w:val="23"/>
        </w:rPr>
        <w:t> </w:t>
      </w:r>
      <w:r>
        <w:rPr>
          <w:color w:val="231F20"/>
          <w:sz w:val="23"/>
        </w:rPr>
        <w:t>transfer</w:t>
      </w:r>
      <w:r>
        <w:rPr>
          <w:color w:val="231F20"/>
          <w:spacing w:val="-33"/>
          <w:sz w:val="23"/>
        </w:rPr>
        <w:t> </w:t>
      </w:r>
      <w:r>
        <w:rPr>
          <w:color w:val="231F20"/>
          <w:sz w:val="23"/>
        </w:rPr>
        <w:t>mispricing</w:t>
      </w:r>
      <w:r>
        <w:rPr>
          <w:color w:val="231F20"/>
          <w:spacing w:val="-33"/>
          <w:sz w:val="23"/>
        </w:rPr>
        <w:t> </w:t>
      </w:r>
      <w:r>
        <w:rPr>
          <w:color w:val="231F20"/>
          <w:sz w:val="23"/>
        </w:rPr>
        <w:t>and</w:t>
      </w:r>
      <w:r>
        <w:rPr>
          <w:color w:val="231F20"/>
          <w:spacing w:val="-33"/>
          <w:sz w:val="23"/>
        </w:rPr>
        <w:t> </w:t>
      </w:r>
      <w:r>
        <w:rPr>
          <w:color w:val="231F20"/>
          <w:sz w:val="23"/>
        </w:rPr>
        <w:t>revenue loss from related party</w:t>
      </w:r>
      <w:r>
        <w:rPr>
          <w:color w:val="231F20"/>
          <w:spacing w:val="16"/>
          <w:sz w:val="23"/>
        </w:rPr>
        <w:t> </w:t>
      </w:r>
      <w:r>
        <w:rPr>
          <w:color w:val="231F20"/>
          <w:sz w:val="23"/>
        </w:rPr>
        <w:t>transactions;</w:t>
      </w:r>
    </w:p>
    <w:p>
      <w:pPr>
        <w:pStyle w:val="BodyText"/>
        <w:spacing w:before="1"/>
        <w:rPr>
          <w:sz w:val="27"/>
        </w:rPr>
      </w:pPr>
    </w:p>
    <w:p>
      <w:pPr>
        <w:pStyle w:val="ListParagraph"/>
        <w:numPr>
          <w:ilvl w:val="1"/>
          <w:numId w:val="2"/>
        </w:numPr>
        <w:tabs>
          <w:tab w:pos="1523" w:val="left" w:leader="none"/>
        </w:tabs>
        <w:spacing w:line="283" w:lineRule="auto" w:before="0" w:after="0"/>
        <w:ind w:left="1521" w:right="120" w:hanging="508"/>
        <w:jc w:val="both"/>
        <w:rPr>
          <w:sz w:val="23"/>
        </w:rPr>
      </w:pPr>
      <w:r>
        <w:rPr>
          <w:color w:val="231F20"/>
          <w:sz w:val="23"/>
        </w:rPr>
        <w:t>Section 2 of the Customs Act 2011 has been revised to clarify what constitutes</w:t>
      </w:r>
      <w:r>
        <w:rPr>
          <w:color w:val="231F20"/>
          <w:spacing w:val="-22"/>
          <w:sz w:val="23"/>
        </w:rPr>
        <w:t> </w:t>
      </w:r>
      <w:r>
        <w:rPr>
          <w:color w:val="231F20"/>
          <w:sz w:val="23"/>
        </w:rPr>
        <w:t>raw</w:t>
      </w:r>
      <w:r>
        <w:rPr>
          <w:color w:val="231F20"/>
          <w:spacing w:val="-21"/>
          <w:sz w:val="23"/>
        </w:rPr>
        <w:t> </w:t>
      </w:r>
      <w:r>
        <w:rPr>
          <w:color w:val="231F20"/>
          <w:sz w:val="23"/>
        </w:rPr>
        <w:t>materials,</w:t>
      </w:r>
      <w:r>
        <w:rPr>
          <w:color w:val="231F20"/>
          <w:spacing w:val="-22"/>
          <w:sz w:val="23"/>
        </w:rPr>
        <w:t> </w:t>
      </w:r>
      <w:r>
        <w:rPr>
          <w:color w:val="231F20"/>
          <w:sz w:val="23"/>
        </w:rPr>
        <w:t>intermediate</w:t>
      </w:r>
      <w:r>
        <w:rPr>
          <w:color w:val="231F20"/>
          <w:spacing w:val="-21"/>
          <w:sz w:val="23"/>
        </w:rPr>
        <w:t> </w:t>
      </w:r>
      <w:r>
        <w:rPr>
          <w:color w:val="231F20"/>
          <w:sz w:val="23"/>
        </w:rPr>
        <w:t>inputs</w:t>
      </w:r>
      <w:r>
        <w:rPr>
          <w:color w:val="231F20"/>
          <w:spacing w:val="-21"/>
          <w:sz w:val="23"/>
        </w:rPr>
        <w:t> </w:t>
      </w:r>
      <w:r>
        <w:rPr>
          <w:color w:val="231F20"/>
          <w:sz w:val="23"/>
        </w:rPr>
        <w:t>and</w:t>
      </w:r>
      <w:r>
        <w:rPr>
          <w:color w:val="231F20"/>
          <w:spacing w:val="-22"/>
          <w:sz w:val="23"/>
        </w:rPr>
        <w:t> </w:t>
      </w:r>
      <w:r>
        <w:rPr>
          <w:color w:val="231F20"/>
          <w:sz w:val="23"/>
        </w:rPr>
        <w:t>packaging</w:t>
      </w:r>
      <w:r>
        <w:rPr>
          <w:color w:val="231F20"/>
          <w:spacing w:val="-21"/>
          <w:sz w:val="23"/>
        </w:rPr>
        <w:t> </w:t>
      </w:r>
      <w:r>
        <w:rPr>
          <w:color w:val="231F20"/>
          <w:sz w:val="23"/>
        </w:rPr>
        <w:t>materials; </w:t>
      </w:r>
      <w:r>
        <w:rPr>
          <w:color w:val="231F20"/>
          <w:spacing w:val="-4"/>
          <w:sz w:val="23"/>
        </w:rPr>
        <w:t>and</w:t>
      </w:r>
    </w:p>
    <w:p>
      <w:pPr>
        <w:pStyle w:val="BodyText"/>
        <w:spacing w:before="9"/>
        <w:rPr>
          <w:sz w:val="28"/>
        </w:rPr>
      </w:pPr>
    </w:p>
    <w:p>
      <w:pPr>
        <w:pStyle w:val="ListParagraph"/>
        <w:numPr>
          <w:ilvl w:val="1"/>
          <w:numId w:val="2"/>
        </w:numPr>
        <w:tabs>
          <w:tab w:pos="1522" w:val="left" w:leader="none"/>
          <w:tab w:pos="1523" w:val="left" w:leader="none"/>
        </w:tabs>
        <w:spacing w:line="240" w:lineRule="auto" w:before="0" w:after="0"/>
        <w:ind w:left="1522" w:right="0" w:hanging="584"/>
        <w:jc w:val="left"/>
        <w:rPr>
          <w:sz w:val="23"/>
        </w:rPr>
      </w:pPr>
      <w:r>
        <w:rPr>
          <w:color w:val="231F20"/>
          <w:sz w:val="23"/>
        </w:rPr>
        <w:t>Introduce a specific provision for addressing misuse on duty</w:t>
      </w:r>
      <w:r>
        <w:rPr>
          <w:color w:val="231F20"/>
          <w:spacing w:val="-37"/>
          <w:sz w:val="23"/>
        </w:rPr>
        <w:t> </w:t>
      </w:r>
      <w:r>
        <w:rPr>
          <w:color w:val="231F20"/>
          <w:sz w:val="23"/>
        </w:rPr>
        <w:t>waivers.</w:t>
      </w:r>
    </w:p>
    <w:p>
      <w:pPr>
        <w:pStyle w:val="BodyText"/>
        <w:rPr>
          <w:sz w:val="20"/>
        </w:rPr>
      </w:pPr>
    </w:p>
    <w:p>
      <w:pPr>
        <w:pStyle w:val="BodyText"/>
        <w:spacing w:before="7"/>
      </w:pPr>
    </w:p>
    <w:p>
      <w:pPr>
        <w:pStyle w:val="Heading1"/>
      </w:pPr>
      <w:r>
        <w:rPr>
          <w:color w:val="231F20"/>
        </w:rPr>
        <w:t>11</w:t>
      </w:r>
    </w:p>
    <w:p>
      <w:pPr>
        <w:spacing w:after="0"/>
        <w:sectPr>
          <w:pgSz w:w="11900" w:h="16840"/>
          <w:pgMar w:top="1180" w:bottom="280" w:left="1140" w:right="1120"/>
        </w:sectPr>
      </w:pPr>
    </w:p>
    <w:p>
      <w:pPr>
        <w:pStyle w:val="Heading2"/>
        <w:numPr>
          <w:ilvl w:val="0"/>
          <w:numId w:val="4"/>
        </w:numPr>
        <w:tabs>
          <w:tab w:pos="625" w:val="left" w:leader="none"/>
          <w:tab w:pos="626" w:val="left" w:leader="none"/>
        </w:tabs>
        <w:spacing w:line="240" w:lineRule="auto" w:before="77" w:after="0"/>
        <w:ind w:left="625" w:right="0" w:hanging="519"/>
        <w:jc w:val="left"/>
      </w:pPr>
      <w:r>
        <w:rPr>
          <w:color w:val="231F20"/>
        </w:rPr>
        <w:t>Duty and Tax Waiver</w:t>
      </w:r>
      <w:r>
        <w:rPr>
          <w:color w:val="231F20"/>
          <w:spacing w:val="-44"/>
        </w:rPr>
        <w:t> </w:t>
      </w:r>
      <w:r>
        <w:rPr>
          <w:color w:val="231F20"/>
        </w:rPr>
        <w:t>Policy</w:t>
      </w:r>
    </w:p>
    <w:p>
      <w:pPr>
        <w:pStyle w:val="ListParagraph"/>
        <w:numPr>
          <w:ilvl w:val="0"/>
          <w:numId w:val="2"/>
        </w:numPr>
        <w:tabs>
          <w:tab w:pos="954" w:val="left" w:leader="none"/>
        </w:tabs>
        <w:spacing w:line="283" w:lineRule="auto" w:before="57" w:after="0"/>
        <w:ind w:left="103" w:right="119" w:firstLine="223"/>
        <w:jc w:val="both"/>
        <w:rPr>
          <w:sz w:val="23"/>
        </w:rPr>
      </w:pPr>
      <w:r>
        <w:rPr>
          <w:color w:val="231F20"/>
          <w:sz w:val="23"/>
        </w:rPr>
        <w:t>Mr.</w:t>
      </w:r>
      <w:r>
        <w:rPr>
          <w:color w:val="231F20"/>
          <w:spacing w:val="-21"/>
          <w:sz w:val="23"/>
        </w:rPr>
        <w:t> </w:t>
      </w:r>
      <w:r>
        <w:rPr>
          <w:color w:val="231F20"/>
          <w:sz w:val="23"/>
        </w:rPr>
        <w:t>Speaker,</w:t>
      </w:r>
      <w:r>
        <w:rPr>
          <w:color w:val="231F20"/>
          <w:spacing w:val="-21"/>
          <w:sz w:val="23"/>
        </w:rPr>
        <w:t> </w:t>
      </w:r>
      <w:r>
        <w:rPr>
          <w:color w:val="231F20"/>
          <w:sz w:val="23"/>
        </w:rPr>
        <w:t>Honourable</w:t>
      </w:r>
      <w:r>
        <w:rPr>
          <w:color w:val="231F20"/>
          <w:spacing w:val="-21"/>
          <w:sz w:val="23"/>
        </w:rPr>
        <w:t> </w:t>
      </w:r>
      <w:r>
        <w:rPr>
          <w:color w:val="231F20"/>
          <w:sz w:val="23"/>
        </w:rPr>
        <w:t>Members,</w:t>
      </w:r>
      <w:r>
        <w:rPr>
          <w:color w:val="231F20"/>
          <w:spacing w:val="-21"/>
          <w:sz w:val="23"/>
        </w:rPr>
        <w:t> </w:t>
      </w:r>
      <w:r>
        <w:rPr>
          <w:color w:val="231F20"/>
          <w:sz w:val="23"/>
        </w:rPr>
        <w:t>every</w:t>
      </w:r>
      <w:r>
        <w:rPr>
          <w:color w:val="231F20"/>
          <w:spacing w:val="-21"/>
          <w:sz w:val="23"/>
        </w:rPr>
        <w:t> </w:t>
      </w:r>
      <w:r>
        <w:rPr>
          <w:color w:val="231F20"/>
          <w:sz w:val="23"/>
        </w:rPr>
        <w:t>year,</w:t>
      </w:r>
      <w:r>
        <w:rPr>
          <w:color w:val="231F20"/>
          <w:spacing w:val="-21"/>
          <w:sz w:val="23"/>
        </w:rPr>
        <w:t> </w:t>
      </w:r>
      <w:r>
        <w:rPr>
          <w:color w:val="231F20"/>
          <w:sz w:val="23"/>
        </w:rPr>
        <w:t>Government</w:t>
      </w:r>
      <w:r>
        <w:rPr>
          <w:color w:val="231F20"/>
          <w:spacing w:val="-21"/>
          <w:sz w:val="23"/>
        </w:rPr>
        <w:t> </w:t>
      </w:r>
      <w:r>
        <w:rPr>
          <w:color w:val="231F20"/>
          <w:sz w:val="23"/>
        </w:rPr>
        <w:t>loses</w:t>
      </w:r>
      <w:r>
        <w:rPr>
          <w:color w:val="231F20"/>
          <w:spacing w:val="-21"/>
          <w:sz w:val="23"/>
        </w:rPr>
        <w:t> </w:t>
      </w:r>
      <w:r>
        <w:rPr>
          <w:color w:val="231F20"/>
          <w:sz w:val="23"/>
        </w:rPr>
        <w:t>substantial revenues from tax and duty exemptions. For the first three quarters of 2019 alone, revenue</w:t>
      </w:r>
      <w:r>
        <w:rPr>
          <w:color w:val="231F20"/>
          <w:spacing w:val="-15"/>
          <w:sz w:val="23"/>
        </w:rPr>
        <w:t> </w:t>
      </w:r>
      <w:r>
        <w:rPr>
          <w:color w:val="231F20"/>
          <w:sz w:val="23"/>
        </w:rPr>
        <w:t>lost</w:t>
      </w:r>
      <w:r>
        <w:rPr>
          <w:color w:val="231F20"/>
          <w:spacing w:val="-15"/>
          <w:sz w:val="23"/>
        </w:rPr>
        <w:t> </w:t>
      </w:r>
      <w:r>
        <w:rPr>
          <w:color w:val="231F20"/>
          <w:sz w:val="23"/>
        </w:rPr>
        <w:t>to</w:t>
      </w:r>
      <w:r>
        <w:rPr>
          <w:color w:val="231F20"/>
          <w:spacing w:val="-15"/>
          <w:sz w:val="23"/>
        </w:rPr>
        <w:t> </w:t>
      </w:r>
      <w:r>
        <w:rPr>
          <w:color w:val="231F20"/>
          <w:sz w:val="23"/>
        </w:rPr>
        <w:t>import</w:t>
      </w:r>
      <w:r>
        <w:rPr>
          <w:color w:val="231F20"/>
          <w:spacing w:val="-15"/>
          <w:sz w:val="23"/>
        </w:rPr>
        <w:t> </w:t>
      </w:r>
      <w:r>
        <w:rPr>
          <w:color w:val="231F20"/>
          <w:sz w:val="23"/>
        </w:rPr>
        <w:t>GST</w:t>
      </w:r>
      <w:r>
        <w:rPr>
          <w:color w:val="231F20"/>
          <w:spacing w:val="-15"/>
          <w:sz w:val="23"/>
        </w:rPr>
        <w:t> </w:t>
      </w:r>
      <w:r>
        <w:rPr>
          <w:color w:val="231F20"/>
          <w:sz w:val="23"/>
        </w:rPr>
        <w:t>and</w:t>
      </w:r>
      <w:r>
        <w:rPr>
          <w:color w:val="231F20"/>
          <w:spacing w:val="-16"/>
          <w:sz w:val="23"/>
        </w:rPr>
        <w:t> </w:t>
      </w:r>
      <w:r>
        <w:rPr>
          <w:color w:val="231F20"/>
          <w:sz w:val="23"/>
        </w:rPr>
        <w:t>customs</w:t>
      </w:r>
      <w:r>
        <w:rPr>
          <w:color w:val="231F20"/>
          <w:spacing w:val="-15"/>
          <w:sz w:val="23"/>
        </w:rPr>
        <w:t> </w:t>
      </w:r>
      <w:r>
        <w:rPr>
          <w:color w:val="231F20"/>
          <w:sz w:val="23"/>
        </w:rPr>
        <w:t>duty</w:t>
      </w:r>
      <w:r>
        <w:rPr>
          <w:color w:val="231F20"/>
          <w:spacing w:val="-16"/>
          <w:sz w:val="23"/>
        </w:rPr>
        <w:t> </w:t>
      </w:r>
      <w:r>
        <w:rPr>
          <w:color w:val="231F20"/>
          <w:sz w:val="23"/>
        </w:rPr>
        <w:t>waivers</w:t>
      </w:r>
      <w:r>
        <w:rPr>
          <w:color w:val="231F20"/>
          <w:spacing w:val="-15"/>
          <w:sz w:val="23"/>
        </w:rPr>
        <w:t> </w:t>
      </w:r>
      <w:r>
        <w:rPr>
          <w:color w:val="231F20"/>
          <w:sz w:val="23"/>
        </w:rPr>
        <w:t>amounted</w:t>
      </w:r>
      <w:r>
        <w:rPr>
          <w:color w:val="231F20"/>
          <w:spacing w:val="-16"/>
          <w:sz w:val="23"/>
        </w:rPr>
        <w:t> </w:t>
      </w:r>
      <w:r>
        <w:rPr>
          <w:color w:val="231F20"/>
          <w:sz w:val="23"/>
        </w:rPr>
        <w:t>to</w:t>
      </w:r>
      <w:r>
        <w:rPr>
          <w:color w:val="231F20"/>
          <w:spacing w:val="-15"/>
          <w:sz w:val="23"/>
        </w:rPr>
        <w:t> </w:t>
      </w:r>
      <w:r>
        <w:rPr>
          <w:color w:val="231F20"/>
          <w:sz w:val="23"/>
        </w:rPr>
        <w:t>more</w:t>
      </w:r>
      <w:r>
        <w:rPr>
          <w:color w:val="231F20"/>
          <w:spacing w:val="-15"/>
          <w:sz w:val="23"/>
        </w:rPr>
        <w:t> </w:t>
      </w:r>
      <w:r>
        <w:rPr>
          <w:color w:val="231F20"/>
          <w:sz w:val="23"/>
        </w:rPr>
        <w:t>than</w:t>
      </w:r>
      <w:r>
        <w:rPr>
          <w:color w:val="231F20"/>
          <w:spacing w:val="-15"/>
          <w:sz w:val="23"/>
        </w:rPr>
        <w:t> </w:t>
      </w:r>
      <w:r>
        <w:rPr>
          <w:color w:val="231F20"/>
          <w:sz w:val="23"/>
        </w:rPr>
        <w:t>Le</w:t>
      </w:r>
      <w:r>
        <w:rPr>
          <w:color w:val="231F20"/>
          <w:spacing w:val="-16"/>
          <w:sz w:val="23"/>
        </w:rPr>
        <w:t> </w:t>
      </w:r>
      <w:r>
        <w:rPr>
          <w:color w:val="231F20"/>
          <w:sz w:val="23"/>
        </w:rPr>
        <w:t>500 billion. Of this, 40.3 percent were those granted to international organisations,</w:t>
      </w:r>
      <w:r>
        <w:rPr>
          <w:color w:val="231F20"/>
          <w:spacing w:val="-33"/>
          <w:sz w:val="23"/>
        </w:rPr>
        <w:t> </w:t>
      </w:r>
      <w:r>
        <w:rPr>
          <w:color w:val="231F20"/>
          <w:sz w:val="23"/>
        </w:rPr>
        <w:t>23.5 percent</w:t>
      </w:r>
      <w:r>
        <w:rPr>
          <w:color w:val="231F20"/>
          <w:spacing w:val="-6"/>
          <w:sz w:val="23"/>
        </w:rPr>
        <w:t> </w:t>
      </w:r>
      <w:r>
        <w:rPr>
          <w:color w:val="231F20"/>
          <w:sz w:val="23"/>
        </w:rPr>
        <w:t>to</w:t>
      </w:r>
      <w:r>
        <w:rPr>
          <w:color w:val="231F20"/>
          <w:spacing w:val="-6"/>
          <w:sz w:val="23"/>
        </w:rPr>
        <w:t> </w:t>
      </w:r>
      <w:r>
        <w:rPr>
          <w:color w:val="231F20"/>
          <w:sz w:val="23"/>
        </w:rPr>
        <w:t>donor-funded</w:t>
      </w:r>
      <w:r>
        <w:rPr>
          <w:color w:val="231F20"/>
          <w:spacing w:val="-6"/>
          <w:sz w:val="23"/>
        </w:rPr>
        <w:t> </w:t>
      </w:r>
      <w:r>
        <w:rPr>
          <w:color w:val="231F20"/>
          <w:sz w:val="23"/>
        </w:rPr>
        <w:t>projects</w:t>
      </w:r>
      <w:r>
        <w:rPr>
          <w:color w:val="231F20"/>
          <w:spacing w:val="-6"/>
          <w:sz w:val="23"/>
        </w:rPr>
        <w:t> </w:t>
      </w:r>
      <w:r>
        <w:rPr>
          <w:color w:val="231F20"/>
          <w:sz w:val="23"/>
        </w:rPr>
        <w:t>and</w:t>
      </w:r>
      <w:r>
        <w:rPr>
          <w:color w:val="231F20"/>
          <w:spacing w:val="-6"/>
          <w:sz w:val="23"/>
        </w:rPr>
        <w:t> </w:t>
      </w:r>
      <w:r>
        <w:rPr>
          <w:color w:val="231F20"/>
          <w:sz w:val="23"/>
        </w:rPr>
        <w:t>16.5</w:t>
      </w:r>
      <w:r>
        <w:rPr>
          <w:color w:val="231F20"/>
          <w:spacing w:val="-6"/>
          <w:sz w:val="23"/>
        </w:rPr>
        <w:t> </w:t>
      </w:r>
      <w:r>
        <w:rPr>
          <w:color w:val="231F20"/>
          <w:sz w:val="23"/>
        </w:rPr>
        <w:t>percent</w:t>
      </w:r>
      <w:r>
        <w:rPr>
          <w:color w:val="231F20"/>
          <w:spacing w:val="-6"/>
          <w:sz w:val="23"/>
        </w:rPr>
        <w:t> </w:t>
      </w:r>
      <w:r>
        <w:rPr>
          <w:color w:val="231F20"/>
          <w:sz w:val="23"/>
        </w:rPr>
        <w:t>to</w:t>
      </w:r>
      <w:r>
        <w:rPr>
          <w:color w:val="231F20"/>
          <w:spacing w:val="-6"/>
          <w:sz w:val="23"/>
        </w:rPr>
        <w:t> </w:t>
      </w:r>
      <w:r>
        <w:rPr>
          <w:color w:val="231F20"/>
          <w:sz w:val="23"/>
        </w:rPr>
        <w:t>private</w:t>
      </w:r>
      <w:r>
        <w:rPr>
          <w:color w:val="231F20"/>
          <w:spacing w:val="-6"/>
          <w:sz w:val="23"/>
        </w:rPr>
        <w:t> </w:t>
      </w:r>
      <w:r>
        <w:rPr>
          <w:color w:val="231F20"/>
          <w:sz w:val="23"/>
        </w:rPr>
        <w:t>investors.</w:t>
      </w:r>
    </w:p>
    <w:p>
      <w:pPr>
        <w:pStyle w:val="BodyText"/>
        <w:spacing w:before="10"/>
        <w:rPr>
          <w:sz w:val="27"/>
        </w:rPr>
      </w:pPr>
    </w:p>
    <w:p>
      <w:pPr>
        <w:pStyle w:val="ListParagraph"/>
        <w:numPr>
          <w:ilvl w:val="0"/>
          <w:numId w:val="2"/>
        </w:numPr>
        <w:tabs>
          <w:tab w:pos="954" w:val="left" w:leader="none"/>
        </w:tabs>
        <w:spacing w:line="285" w:lineRule="auto" w:before="0" w:after="0"/>
        <w:ind w:left="103" w:right="115" w:firstLine="223"/>
        <w:jc w:val="both"/>
        <w:rPr>
          <w:sz w:val="23"/>
        </w:rPr>
      </w:pPr>
      <w:r>
        <w:rPr>
          <w:color w:val="231F20"/>
          <w:sz w:val="23"/>
        </w:rPr>
        <w:t>In line with recommendations of the Review Committee on Duty and Tax Exemptions,</w:t>
      </w:r>
      <w:r>
        <w:rPr>
          <w:color w:val="231F20"/>
          <w:spacing w:val="-12"/>
          <w:sz w:val="23"/>
        </w:rPr>
        <w:t> </w:t>
      </w:r>
      <w:r>
        <w:rPr>
          <w:color w:val="231F20"/>
          <w:sz w:val="23"/>
        </w:rPr>
        <w:t>a</w:t>
      </w:r>
      <w:r>
        <w:rPr>
          <w:color w:val="231F20"/>
          <w:spacing w:val="-12"/>
          <w:sz w:val="23"/>
        </w:rPr>
        <w:t> </w:t>
      </w:r>
      <w:r>
        <w:rPr>
          <w:color w:val="231F20"/>
          <w:sz w:val="23"/>
        </w:rPr>
        <w:t>Duty</w:t>
      </w:r>
      <w:r>
        <w:rPr>
          <w:color w:val="231F20"/>
          <w:spacing w:val="-12"/>
          <w:sz w:val="23"/>
        </w:rPr>
        <w:t> </w:t>
      </w:r>
      <w:r>
        <w:rPr>
          <w:color w:val="231F20"/>
          <w:sz w:val="23"/>
        </w:rPr>
        <w:t>and</w:t>
      </w:r>
      <w:r>
        <w:rPr>
          <w:color w:val="231F20"/>
          <w:spacing w:val="-12"/>
          <w:sz w:val="23"/>
        </w:rPr>
        <w:t> </w:t>
      </w:r>
      <w:r>
        <w:rPr>
          <w:color w:val="231F20"/>
          <w:sz w:val="23"/>
        </w:rPr>
        <w:t>Tax</w:t>
      </w:r>
      <w:r>
        <w:rPr>
          <w:color w:val="231F20"/>
          <w:spacing w:val="-12"/>
          <w:sz w:val="23"/>
        </w:rPr>
        <w:t> </w:t>
      </w:r>
      <w:r>
        <w:rPr>
          <w:color w:val="231F20"/>
          <w:sz w:val="23"/>
        </w:rPr>
        <w:t>Waiver</w:t>
      </w:r>
      <w:r>
        <w:rPr>
          <w:color w:val="231F20"/>
          <w:spacing w:val="-12"/>
          <w:sz w:val="23"/>
        </w:rPr>
        <w:t> </w:t>
      </w:r>
      <w:r>
        <w:rPr>
          <w:color w:val="231F20"/>
          <w:sz w:val="23"/>
        </w:rPr>
        <w:t>Policy</w:t>
      </w:r>
      <w:r>
        <w:rPr>
          <w:color w:val="231F20"/>
          <w:spacing w:val="-12"/>
          <w:sz w:val="23"/>
        </w:rPr>
        <w:t> </w:t>
      </w:r>
      <w:r>
        <w:rPr>
          <w:color w:val="231F20"/>
          <w:sz w:val="23"/>
        </w:rPr>
        <w:t>has</w:t>
      </w:r>
      <w:r>
        <w:rPr>
          <w:color w:val="231F20"/>
          <w:spacing w:val="-12"/>
          <w:sz w:val="23"/>
        </w:rPr>
        <w:t> </w:t>
      </w:r>
      <w:r>
        <w:rPr>
          <w:color w:val="231F20"/>
          <w:sz w:val="23"/>
        </w:rPr>
        <w:t>been</w:t>
      </w:r>
      <w:r>
        <w:rPr>
          <w:color w:val="231F20"/>
          <w:spacing w:val="-12"/>
          <w:sz w:val="23"/>
        </w:rPr>
        <w:t> </w:t>
      </w:r>
      <w:r>
        <w:rPr>
          <w:color w:val="231F20"/>
          <w:sz w:val="23"/>
        </w:rPr>
        <w:t>developed</w:t>
      </w:r>
      <w:r>
        <w:rPr>
          <w:color w:val="231F20"/>
          <w:spacing w:val="-12"/>
          <w:sz w:val="23"/>
        </w:rPr>
        <w:t> </w:t>
      </w:r>
      <w:r>
        <w:rPr>
          <w:color w:val="231F20"/>
          <w:sz w:val="23"/>
        </w:rPr>
        <w:t>and</w:t>
      </w:r>
      <w:r>
        <w:rPr>
          <w:color w:val="231F20"/>
          <w:spacing w:val="-12"/>
          <w:sz w:val="23"/>
        </w:rPr>
        <w:t> </w:t>
      </w:r>
      <w:r>
        <w:rPr>
          <w:color w:val="231F20"/>
          <w:sz w:val="23"/>
        </w:rPr>
        <w:t>will</w:t>
      </w:r>
      <w:r>
        <w:rPr>
          <w:color w:val="231F20"/>
          <w:spacing w:val="-12"/>
          <w:sz w:val="23"/>
        </w:rPr>
        <w:t> </w:t>
      </w:r>
      <w:r>
        <w:rPr>
          <w:color w:val="231F20"/>
          <w:sz w:val="23"/>
        </w:rPr>
        <w:t>be</w:t>
      </w:r>
      <w:r>
        <w:rPr>
          <w:color w:val="231F20"/>
          <w:spacing w:val="-12"/>
          <w:sz w:val="23"/>
        </w:rPr>
        <w:t> </w:t>
      </w:r>
      <w:r>
        <w:rPr>
          <w:color w:val="231F20"/>
          <w:sz w:val="23"/>
        </w:rPr>
        <w:t>submitted to</w:t>
      </w:r>
      <w:r>
        <w:rPr>
          <w:color w:val="231F20"/>
          <w:spacing w:val="-35"/>
          <w:sz w:val="23"/>
        </w:rPr>
        <w:t> </w:t>
      </w:r>
      <w:r>
        <w:rPr>
          <w:color w:val="231F20"/>
          <w:sz w:val="23"/>
        </w:rPr>
        <w:t>Cabinet</w:t>
      </w:r>
      <w:r>
        <w:rPr>
          <w:color w:val="231F20"/>
          <w:spacing w:val="-35"/>
          <w:sz w:val="23"/>
        </w:rPr>
        <w:t> </w:t>
      </w:r>
      <w:r>
        <w:rPr>
          <w:color w:val="231F20"/>
          <w:sz w:val="23"/>
        </w:rPr>
        <w:t>for</w:t>
      </w:r>
      <w:r>
        <w:rPr>
          <w:color w:val="231F20"/>
          <w:spacing w:val="-35"/>
          <w:sz w:val="23"/>
        </w:rPr>
        <w:t> </w:t>
      </w:r>
      <w:r>
        <w:rPr>
          <w:color w:val="231F20"/>
          <w:sz w:val="23"/>
        </w:rPr>
        <w:t>approval</w:t>
      </w:r>
      <w:r>
        <w:rPr>
          <w:color w:val="231F20"/>
          <w:spacing w:val="-35"/>
          <w:sz w:val="23"/>
        </w:rPr>
        <w:t> </w:t>
      </w:r>
      <w:r>
        <w:rPr>
          <w:color w:val="231F20"/>
          <w:sz w:val="23"/>
        </w:rPr>
        <w:t>and</w:t>
      </w:r>
      <w:r>
        <w:rPr>
          <w:color w:val="231F20"/>
          <w:spacing w:val="-35"/>
          <w:sz w:val="23"/>
        </w:rPr>
        <w:t> </w:t>
      </w:r>
      <w:r>
        <w:rPr>
          <w:color w:val="231F20"/>
          <w:sz w:val="23"/>
        </w:rPr>
        <w:t>subsequently</w:t>
      </w:r>
      <w:r>
        <w:rPr>
          <w:color w:val="231F20"/>
          <w:spacing w:val="-35"/>
          <w:sz w:val="23"/>
        </w:rPr>
        <w:t> </w:t>
      </w:r>
      <w:r>
        <w:rPr>
          <w:color w:val="231F20"/>
          <w:sz w:val="23"/>
        </w:rPr>
        <w:t>a</w:t>
      </w:r>
      <w:r>
        <w:rPr>
          <w:color w:val="231F20"/>
          <w:spacing w:val="-35"/>
          <w:sz w:val="23"/>
        </w:rPr>
        <w:t> </w:t>
      </w:r>
      <w:r>
        <w:rPr>
          <w:color w:val="231F20"/>
          <w:sz w:val="23"/>
        </w:rPr>
        <w:t>Duty</w:t>
      </w:r>
      <w:r>
        <w:rPr>
          <w:color w:val="231F20"/>
          <w:spacing w:val="-35"/>
          <w:sz w:val="23"/>
        </w:rPr>
        <w:t> </w:t>
      </w:r>
      <w:r>
        <w:rPr>
          <w:color w:val="231F20"/>
          <w:sz w:val="23"/>
        </w:rPr>
        <w:t>and</w:t>
      </w:r>
      <w:r>
        <w:rPr>
          <w:color w:val="231F20"/>
          <w:spacing w:val="-35"/>
          <w:sz w:val="23"/>
        </w:rPr>
        <w:t> </w:t>
      </w:r>
      <w:r>
        <w:rPr>
          <w:color w:val="231F20"/>
          <w:sz w:val="23"/>
        </w:rPr>
        <w:t>Tax</w:t>
      </w:r>
      <w:r>
        <w:rPr>
          <w:color w:val="231F20"/>
          <w:spacing w:val="-35"/>
          <w:sz w:val="23"/>
        </w:rPr>
        <w:t> </w:t>
      </w:r>
      <w:r>
        <w:rPr>
          <w:color w:val="231F20"/>
          <w:sz w:val="23"/>
        </w:rPr>
        <w:t>Exemptions</w:t>
      </w:r>
      <w:r>
        <w:rPr>
          <w:color w:val="231F20"/>
          <w:spacing w:val="-35"/>
          <w:sz w:val="23"/>
        </w:rPr>
        <w:t> </w:t>
      </w:r>
      <w:r>
        <w:rPr>
          <w:color w:val="231F20"/>
          <w:sz w:val="23"/>
        </w:rPr>
        <w:t>Bill</w:t>
      </w:r>
      <w:r>
        <w:rPr>
          <w:color w:val="231F20"/>
          <w:spacing w:val="-35"/>
          <w:sz w:val="23"/>
        </w:rPr>
        <w:t> </w:t>
      </w:r>
      <w:r>
        <w:rPr>
          <w:color w:val="231F20"/>
          <w:sz w:val="23"/>
        </w:rPr>
        <w:t>will</w:t>
      </w:r>
      <w:r>
        <w:rPr>
          <w:color w:val="231F20"/>
          <w:spacing w:val="-35"/>
          <w:sz w:val="23"/>
        </w:rPr>
        <w:t> </w:t>
      </w:r>
      <w:r>
        <w:rPr>
          <w:color w:val="231F20"/>
          <w:sz w:val="23"/>
        </w:rPr>
        <w:t>be</w:t>
      </w:r>
      <w:r>
        <w:rPr>
          <w:color w:val="231F20"/>
          <w:spacing w:val="-35"/>
          <w:sz w:val="23"/>
        </w:rPr>
        <w:t> </w:t>
      </w:r>
      <w:r>
        <w:rPr>
          <w:color w:val="231F20"/>
          <w:sz w:val="23"/>
        </w:rPr>
        <w:t>tabled before</w:t>
      </w:r>
      <w:r>
        <w:rPr>
          <w:color w:val="231F20"/>
          <w:spacing w:val="-18"/>
          <w:sz w:val="23"/>
        </w:rPr>
        <w:t> </w:t>
      </w:r>
      <w:r>
        <w:rPr>
          <w:color w:val="231F20"/>
          <w:sz w:val="23"/>
        </w:rPr>
        <w:t>Parliament</w:t>
      </w:r>
      <w:r>
        <w:rPr>
          <w:color w:val="231F20"/>
          <w:spacing w:val="-18"/>
          <w:sz w:val="23"/>
        </w:rPr>
        <w:t> </w:t>
      </w:r>
      <w:r>
        <w:rPr>
          <w:color w:val="231F20"/>
          <w:sz w:val="23"/>
        </w:rPr>
        <w:t>for</w:t>
      </w:r>
      <w:r>
        <w:rPr>
          <w:color w:val="231F20"/>
          <w:spacing w:val="-18"/>
          <w:sz w:val="23"/>
        </w:rPr>
        <w:t> </w:t>
      </w:r>
      <w:r>
        <w:rPr>
          <w:color w:val="231F20"/>
          <w:sz w:val="23"/>
        </w:rPr>
        <w:t>enactment.</w:t>
      </w:r>
      <w:r>
        <w:rPr>
          <w:color w:val="231F20"/>
          <w:spacing w:val="-18"/>
          <w:sz w:val="23"/>
        </w:rPr>
        <w:t> </w:t>
      </w:r>
      <w:r>
        <w:rPr>
          <w:color w:val="231F20"/>
          <w:sz w:val="23"/>
        </w:rPr>
        <w:t>The</w:t>
      </w:r>
      <w:r>
        <w:rPr>
          <w:color w:val="231F20"/>
          <w:spacing w:val="-18"/>
          <w:sz w:val="23"/>
        </w:rPr>
        <w:t> </w:t>
      </w:r>
      <w:r>
        <w:rPr>
          <w:color w:val="231F20"/>
          <w:sz w:val="23"/>
        </w:rPr>
        <w:t>aim</w:t>
      </w:r>
      <w:r>
        <w:rPr>
          <w:color w:val="231F20"/>
          <w:spacing w:val="-18"/>
          <w:sz w:val="23"/>
        </w:rPr>
        <w:t> </w:t>
      </w:r>
      <w:r>
        <w:rPr>
          <w:color w:val="231F20"/>
          <w:sz w:val="23"/>
        </w:rPr>
        <w:t>is</w:t>
      </w:r>
      <w:r>
        <w:rPr>
          <w:color w:val="231F20"/>
          <w:spacing w:val="-18"/>
          <w:sz w:val="23"/>
        </w:rPr>
        <w:t> </w:t>
      </w:r>
      <w:r>
        <w:rPr>
          <w:color w:val="231F20"/>
          <w:sz w:val="23"/>
        </w:rPr>
        <w:t>to</w:t>
      </w:r>
      <w:r>
        <w:rPr>
          <w:color w:val="231F20"/>
          <w:spacing w:val="-18"/>
          <w:sz w:val="23"/>
        </w:rPr>
        <w:t> </w:t>
      </w:r>
      <w:r>
        <w:rPr>
          <w:color w:val="231F20"/>
          <w:sz w:val="23"/>
        </w:rPr>
        <w:t>rationalise</w:t>
      </w:r>
      <w:r>
        <w:rPr>
          <w:color w:val="231F20"/>
          <w:spacing w:val="-18"/>
          <w:sz w:val="23"/>
        </w:rPr>
        <w:t> </w:t>
      </w:r>
      <w:r>
        <w:rPr>
          <w:color w:val="231F20"/>
          <w:sz w:val="23"/>
        </w:rPr>
        <w:t>and</w:t>
      </w:r>
      <w:r>
        <w:rPr>
          <w:color w:val="231F20"/>
          <w:spacing w:val="-18"/>
          <w:sz w:val="23"/>
        </w:rPr>
        <w:t> </w:t>
      </w:r>
      <w:r>
        <w:rPr>
          <w:color w:val="231F20"/>
          <w:sz w:val="23"/>
        </w:rPr>
        <w:t>harmonise</w:t>
      </w:r>
      <w:r>
        <w:rPr>
          <w:color w:val="231F20"/>
          <w:spacing w:val="-18"/>
          <w:sz w:val="23"/>
        </w:rPr>
        <w:t> </w:t>
      </w:r>
      <w:r>
        <w:rPr>
          <w:color w:val="231F20"/>
          <w:sz w:val="23"/>
        </w:rPr>
        <w:t>exemptions in order to to minimise revenue loss and create a level playing field going forward. Consistent with this framework, Government will institute a review of the fiscal regimes</w:t>
      </w:r>
      <w:r>
        <w:rPr>
          <w:color w:val="231F20"/>
          <w:spacing w:val="-28"/>
          <w:sz w:val="23"/>
        </w:rPr>
        <w:t> </w:t>
      </w:r>
      <w:r>
        <w:rPr>
          <w:color w:val="231F20"/>
          <w:sz w:val="23"/>
        </w:rPr>
        <w:t>in</w:t>
      </w:r>
      <w:r>
        <w:rPr>
          <w:color w:val="231F20"/>
          <w:spacing w:val="-28"/>
          <w:sz w:val="23"/>
        </w:rPr>
        <w:t> </w:t>
      </w:r>
      <w:r>
        <w:rPr>
          <w:color w:val="231F20"/>
          <w:sz w:val="23"/>
        </w:rPr>
        <w:t>all</w:t>
      </w:r>
      <w:r>
        <w:rPr>
          <w:color w:val="231F20"/>
          <w:spacing w:val="-28"/>
          <w:sz w:val="23"/>
        </w:rPr>
        <w:t> </w:t>
      </w:r>
      <w:r>
        <w:rPr>
          <w:color w:val="231F20"/>
          <w:sz w:val="23"/>
        </w:rPr>
        <w:t>existing</w:t>
      </w:r>
      <w:r>
        <w:rPr>
          <w:color w:val="231F20"/>
          <w:spacing w:val="-28"/>
          <w:sz w:val="23"/>
        </w:rPr>
        <w:t> </w:t>
      </w:r>
      <w:r>
        <w:rPr>
          <w:color w:val="231F20"/>
          <w:sz w:val="23"/>
        </w:rPr>
        <w:t>agreements.</w:t>
      </w:r>
      <w:r>
        <w:rPr>
          <w:color w:val="231F20"/>
          <w:spacing w:val="-28"/>
          <w:sz w:val="23"/>
        </w:rPr>
        <w:t> </w:t>
      </w:r>
      <w:r>
        <w:rPr>
          <w:color w:val="231F20"/>
          <w:sz w:val="23"/>
        </w:rPr>
        <w:t>In</w:t>
      </w:r>
      <w:r>
        <w:rPr>
          <w:color w:val="231F20"/>
          <w:spacing w:val="-28"/>
          <w:sz w:val="23"/>
        </w:rPr>
        <w:t> </w:t>
      </w:r>
      <w:r>
        <w:rPr>
          <w:color w:val="231F20"/>
          <w:sz w:val="23"/>
        </w:rPr>
        <w:t>addition,</w:t>
      </w:r>
      <w:r>
        <w:rPr>
          <w:color w:val="231F20"/>
          <w:spacing w:val="-28"/>
          <w:sz w:val="23"/>
        </w:rPr>
        <w:t> </w:t>
      </w:r>
      <w:r>
        <w:rPr>
          <w:color w:val="231F20"/>
          <w:sz w:val="23"/>
        </w:rPr>
        <w:t>we</w:t>
      </w:r>
      <w:r>
        <w:rPr>
          <w:color w:val="231F20"/>
          <w:spacing w:val="-28"/>
          <w:sz w:val="23"/>
        </w:rPr>
        <w:t> </w:t>
      </w:r>
      <w:r>
        <w:rPr>
          <w:color w:val="231F20"/>
          <w:sz w:val="23"/>
        </w:rPr>
        <w:t>will</w:t>
      </w:r>
      <w:r>
        <w:rPr>
          <w:color w:val="231F20"/>
          <w:spacing w:val="-28"/>
          <w:sz w:val="23"/>
        </w:rPr>
        <w:t> </w:t>
      </w:r>
      <w:r>
        <w:rPr>
          <w:color w:val="231F20"/>
          <w:sz w:val="23"/>
        </w:rPr>
        <w:t>soon</w:t>
      </w:r>
      <w:r>
        <w:rPr>
          <w:color w:val="231F20"/>
          <w:spacing w:val="-28"/>
          <w:sz w:val="23"/>
        </w:rPr>
        <w:t> </w:t>
      </w:r>
      <w:r>
        <w:rPr>
          <w:color w:val="231F20"/>
          <w:sz w:val="23"/>
        </w:rPr>
        <w:t>conclude</w:t>
      </w:r>
      <w:r>
        <w:rPr>
          <w:color w:val="231F20"/>
          <w:spacing w:val="-28"/>
          <w:sz w:val="23"/>
        </w:rPr>
        <w:t> </w:t>
      </w:r>
      <w:r>
        <w:rPr>
          <w:color w:val="231F20"/>
          <w:sz w:val="23"/>
        </w:rPr>
        <w:t>discussions</w:t>
      </w:r>
      <w:r>
        <w:rPr>
          <w:color w:val="231F20"/>
          <w:spacing w:val="-28"/>
          <w:sz w:val="23"/>
        </w:rPr>
        <w:t> </w:t>
      </w:r>
      <w:r>
        <w:rPr>
          <w:color w:val="231F20"/>
          <w:sz w:val="23"/>
        </w:rPr>
        <w:t>with development partners on eliminating Duty and Tax Exemptions on all</w:t>
      </w:r>
      <w:r>
        <w:rPr>
          <w:color w:val="231F20"/>
          <w:spacing w:val="-50"/>
          <w:sz w:val="23"/>
        </w:rPr>
        <w:t> </w:t>
      </w:r>
      <w:r>
        <w:rPr>
          <w:color w:val="231F20"/>
          <w:sz w:val="23"/>
        </w:rPr>
        <w:t>donor-funded projects.</w:t>
      </w:r>
    </w:p>
    <w:p>
      <w:pPr>
        <w:pStyle w:val="BodyText"/>
        <w:spacing w:before="2"/>
        <w:rPr>
          <w:sz w:val="26"/>
        </w:rPr>
      </w:pPr>
    </w:p>
    <w:p>
      <w:pPr>
        <w:pStyle w:val="Heading2"/>
        <w:numPr>
          <w:ilvl w:val="0"/>
          <w:numId w:val="4"/>
        </w:numPr>
        <w:tabs>
          <w:tab w:pos="585" w:val="left" w:leader="none"/>
        </w:tabs>
        <w:spacing w:line="240" w:lineRule="auto" w:before="1" w:after="0"/>
        <w:ind w:left="584" w:right="0" w:hanging="481"/>
        <w:jc w:val="left"/>
      </w:pPr>
      <w:r>
        <w:rPr>
          <w:color w:val="231F20"/>
        </w:rPr>
        <w:t>Improving Tax</w:t>
      </w:r>
      <w:r>
        <w:rPr>
          <w:color w:val="231F20"/>
          <w:spacing w:val="-54"/>
        </w:rPr>
        <w:t> </w:t>
      </w:r>
      <w:r>
        <w:rPr>
          <w:color w:val="231F20"/>
        </w:rPr>
        <w:t>Administration</w:t>
      </w:r>
    </w:p>
    <w:p>
      <w:pPr>
        <w:pStyle w:val="BodyText"/>
        <w:spacing w:before="6"/>
        <w:rPr>
          <w:b/>
          <w:sz w:val="31"/>
        </w:rPr>
      </w:pPr>
    </w:p>
    <w:p>
      <w:pPr>
        <w:pStyle w:val="ListParagraph"/>
        <w:numPr>
          <w:ilvl w:val="0"/>
          <w:numId w:val="2"/>
        </w:numPr>
        <w:tabs>
          <w:tab w:pos="954" w:val="left" w:leader="none"/>
        </w:tabs>
        <w:spacing w:line="285" w:lineRule="auto" w:before="1" w:after="0"/>
        <w:ind w:left="103" w:right="121" w:firstLine="223"/>
        <w:jc w:val="both"/>
        <w:rPr>
          <w:sz w:val="23"/>
        </w:rPr>
      </w:pPr>
      <w:r>
        <w:rPr>
          <w:color w:val="231F20"/>
          <w:sz w:val="23"/>
        </w:rPr>
        <w:t>Mr. Speaker, Honourable Members, in addition to the above policies, the National</w:t>
      </w:r>
      <w:r>
        <w:rPr>
          <w:color w:val="231F20"/>
          <w:spacing w:val="-13"/>
          <w:sz w:val="23"/>
        </w:rPr>
        <w:t> </w:t>
      </w:r>
      <w:r>
        <w:rPr>
          <w:color w:val="231F20"/>
          <w:sz w:val="23"/>
        </w:rPr>
        <w:t>Revenue</w:t>
      </w:r>
      <w:r>
        <w:rPr>
          <w:color w:val="231F20"/>
          <w:spacing w:val="-13"/>
          <w:sz w:val="23"/>
        </w:rPr>
        <w:t> </w:t>
      </w:r>
      <w:r>
        <w:rPr>
          <w:color w:val="231F20"/>
          <w:sz w:val="23"/>
        </w:rPr>
        <w:t>Authority</w:t>
      </w:r>
      <w:r>
        <w:rPr>
          <w:color w:val="231F20"/>
          <w:spacing w:val="-14"/>
          <w:sz w:val="23"/>
        </w:rPr>
        <w:t> </w:t>
      </w:r>
      <w:r>
        <w:rPr>
          <w:color w:val="231F20"/>
          <w:sz w:val="23"/>
        </w:rPr>
        <w:t>will</w:t>
      </w:r>
      <w:r>
        <w:rPr>
          <w:color w:val="231F20"/>
          <w:spacing w:val="-12"/>
          <w:sz w:val="23"/>
        </w:rPr>
        <w:t> </w:t>
      </w:r>
      <w:r>
        <w:rPr>
          <w:color w:val="231F20"/>
          <w:sz w:val="23"/>
        </w:rPr>
        <w:t>be</w:t>
      </w:r>
      <w:r>
        <w:rPr>
          <w:color w:val="231F20"/>
          <w:spacing w:val="-14"/>
          <w:sz w:val="23"/>
        </w:rPr>
        <w:t> </w:t>
      </w:r>
      <w:r>
        <w:rPr>
          <w:color w:val="231F20"/>
          <w:sz w:val="23"/>
        </w:rPr>
        <w:t>implementing</w:t>
      </w:r>
      <w:r>
        <w:rPr>
          <w:color w:val="231F20"/>
          <w:spacing w:val="-12"/>
          <w:sz w:val="23"/>
        </w:rPr>
        <w:t> </w:t>
      </w:r>
      <w:r>
        <w:rPr>
          <w:color w:val="231F20"/>
          <w:sz w:val="23"/>
        </w:rPr>
        <w:t>several</w:t>
      </w:r>
      <w:r>
        <w:rPr>
          <w:color w:val="231F20"/>
          <w:spacing w:val="-14"/>
          <w:sz w:val="23"/>
        </w:rPr>
        <w:t> </w:t>
      </w:r>
      <w:r>
        <w:rPr>
          <w:color w:val="231F20"/>
          <w:sz w:val="23"/>
        </w:rPr>
        <w:t>administrative</w:t>
      </w:r>
      <w:r>
        <w:rPr>
          <w:color w:val="231F20"/>
          <w:spacing w:val="-13"/>
          <w:sz w:val="23"/>
        </w:rPr>
        <w:t> </w:t>
      </w:r>
      <w:r>
        <w:rPr>
          <w:color w:val="231F20"/>
          <w:sz w:val="23"/>
        </w:rPr>
        <w:t>measures</w:t>
      </w:r>
      <w:r>
        <w:rPr>
          <w:color w:val="231F20"/>
          <w:spacing w:val="-14"/>
          <w:sz w:val="23"/>
        </w:rPr>
        <w:t> </w:t>
      </w:r>
      <w:r>
        <w:rPr>
          <w:color w:val="231F20"/>
          <w:sz w:val="23"/>
        </w:rPr>
        <w:t>to boost revenue collection and promote trade</w:t>
      </w:r>
      <w:r>
        <w:rPr>
          <w:color w:val="231F20"/>
          <w:spacing w:val="18"/>
          <w:sz w:val="23"/>
        </w:rPr>
        <w:t> </w:t>
      </w:r>
      <w:r>
        <w:rPr>
          <w:color w:val="231F20"/>
          <w:sz w:val="23"/>
        </w:rPr>
        <w:t>facilitation:</w:t>
      </w:r>
    </w:p>
    <w:p>
      <w:pPr>
        <w:pStyle w:val="BodyText"/>
        <w:spacing w:before="10"/>
        <w:rPr>
          <w:sz w:val="26"/>
        </w:rPr>
      </w:pPr>
    </w:p>
    <w:p>
      <w:pPr>
        <w:pStyle w:val="Heading2"/>
        <w:numPr>
          <w:ilvl w:val="0"/>
          <w:numId w:val="5"/>
        </w:numPr>
        <w:tabs>
          <w:tab w:pos="953" w:val="left" w:leader="none"/>
          <w:tab w:pos="954" w:val="left" w:leader="none"/>
        </w:tabs>
        <w:spacing w:line="240" w:lineRule="auto" w:before="0" w:after="0"/>
        <w:ind w:left="953" w:right="0" w:hanging="447"/>
        <w:jc w:val="left"/>
      </w:pPr>
      <w:r>
        <w:rPr>
          <w:color w:val="231F20"/>
        </w:rPr>
        <w:t>Digitising</w:t>
      </w:r>
      <w:r>
        <w:rPr>
          <w:color w:val="231F20"/>
          <w:spacing w:val="-41"/>
        </w:rPr>
        <w:t> </w:t>
      </w:r>
      <w:r>
        <w:rPr>
          <w:color w:val="231F20"/>
        </w:rPr>
        <w:t>Tax</w:t>
      </w:r>
      <w:r>
        <w:rPr>
          <w:color w:val="231F20"/>
          <w:spacing w:val="-41"/>
        </w:rPr>
        <w:t> </w:t>
      </w:r>
      <w:r>
        <w:rPr>
          <w:color w:val="231F20"/>
        </w:rPr>
        <w:t>Collection</w:t>
      </w:r>
    </w:p>
    <w:p>
      <w:pPr>
        <w:pStyle w:val="ListParagraph"/>
        <w:numPr>
          <w:ilvl w:val="0"/>
          <w:numId w:val="2"/>
        </w:numPr>
        <w:tabs>
          <w:tab w:pos="954" w:val="left" w:leader="none"/>
        </w:tabs>
        <w:spacing w:line="283" w:lineRule="auto" w:before="51" w:after="0"/>
        <w:ind w:left="103" w:right="120" w:firstLine="223"/>
        <w:jc w:val="both"/>
        <w:rPr>
          <w:sz w:val="23"/>
        </w:rPr>
      </w:pPr>
      <w:r>
        <w:rPr>
          <w:color w:val="231F20"/>
          <w:sz w:val="23"/>
        </w:rPr>
        <w:t>Mr. Speaker, Honourable Members, currently, most of the tax collection processes are largely manual and unintegrated. To improve the administration of domestic</w:t>
      </w:r>
      <w:r>
        <w:rPr>
          <w:color w:val="231F20"/>
          <w:spacing w:val="-31"/>
          <w:sz w:val="23"/>
        </w:rPr>
        <w:t> </w:t>
      </w:r>
      <w:r>
        <w:rPr>
          <w:color w:val="231F20"/>
          <w:sz w:val="23"/>
        </w:rPr>
        <w:t>taxes</w:t>
      </w:r>
      <w:r>
        <w:rPr>
          <w:color w:val="231F20"/>
          <w:spacing w:val="-31"/>
          <w:sz w:val="23"/>
        </w:rPr>
        <w:t> </w:t>
      </w:r>
      <w:r>
        <w:rPr>
          <w:color w:val="231F20"/>
          <w:sz w:val="23"/>
        </w:rPr>
        <w:t>and</w:t>
      </w:r>
      <w:r>
        <w:rPr>
          <w:color w:val="231F20"/>
          <w:spacing w:val="-31"/>
          <w:sz w:val="23"/>
        </w:rPr>
        <w:t> </w:t>
      </w:r>
      <w:r>
        <w:rPr>
          <w:color w:val="231F20"/>
          <w:sz w:val="23"/>
        </w:rPr>
        <w:t>boost</w:t>
      </w:r>
      <w:r>
        <w:rPr>
          <w:color w:val="231F20"/>
          <w:spacing w:val="-31"/>
          <w:sz w:val="23"/>
        </w:rPr>
        <w:t> </w:t>
      </w:r>
      <w:r>
        <w:rPr>
          <w:color w:val="231F20"/>
          <w:sz w:val="23"/>
        </w:rPr>
        <w:t>domestic</w:t>
      </w:r>
      <w:r>
        <w:rPr>
          <w:color w:val="231F20"/>
          <w:spacing w:val="-31"/>
          <w:sz w:val="23"/>
        </w:rPr>
        <w:t> </w:t>
      </w:r>
      <w:r>
        <w:rPr>
          <w:color w:val="231F20"/>
          <w:sz w:val="23"/>
        </w:rPr>
        <w:t>revenue</w:t>
      </w:r>
      <w:r>
        <w:rPr>
          <w:color w:val="231F20"/>
          <w:spacing w:val="-31"/>
          <w:sz w:val="23"/>
        </w:rPr>
        <w:t> </w:t>
      </w:r>
      <w:r>
        <w:rPr>
          <w:color w:val="231F20"/>
          <w:sz w:val="23"/>
        </w:rPr>
        <w:t>collection,</w:t>
      </w:r>
      <w:r>
        <w:rPr>
          <w:color w:val="231F20"/>
          <w:spacing w:val="-31"/>
          <w:sz w:val="23"/>
        </w:rPr>
        <w:t> </w:t>
      </w:r>
      <w:r>
        <w:rPr>
          <w:color w:val="231F20"/>
          <w:sz w:val="23"/>
        </w:rPr>
        <w:t>the</w:t>
      </w:r>
      <w:r>
        <w:rPr>
          <w:color w:val="231F20"/>
          <w:spacing w:val="-31"/>
          <w:sz w:val="23"/>
        </w:rPr>
        <w:t> </w:t>
      </w:r>
      <w:r>
        <w:rPr>
          <w:color w:val="231F20"/>
          <w:sz w:val="23"/>
        </w:rPr>
        <w:t>National</w:t>
      </w:r>
      <w:r>
        <w:rPr>
          <w:color w:val="231F20"/>
          <w:spacing w:val="-30"/>
          <w:sz w:val="23"/>
        </w:rPr>
        <w:t> </w:t>
      </w:r>
      <w:r>
        <w:rPr>
          <w:color w:val="231F20"/>
          <w:sz w:val="23"/>
        </w:rPr>
        <w:t>Revenue</w:t>
      </w:r>
      <w:r>
        <w:rPr>
          <w:color w:val="231F20"/>
          <w:spacing w:val="-31"/>
          <w:sz w:val="23"/>
        </w:rPr>
        <w:t> </w:t>
      </w:r>
      <w:r>
        <w:rPr>
          <w:color w:val="231F20"/>
          <w:sz w:val="23"/>
        </w:rPr>
        <w:t>Authority (NRA)</w:t>
      </w:r>
      <w:r>
        <w:rPr>
          <w:color w:val="231F20"/>
          <w:spacing w:val="-28"/>
          <w:sz w:val="23"/>
        </w:rPr>
        <w:t> </w:t>
      </w:r>
      <w:r>
        <w:rPr>
          <w:color w:val="231F20"/>
          <w:sz w:val="23"/>
        </w:rPr>
        <w:t>is</w:t>
      </w:r>
      <w:r>
        <w:rPr>
          <w:color w:val="231F20"/>
          <w:spacing w:val="-28"/>
          <w:sz w:val="23"/>
        </w:rPr>
        <w:t> </w:t>
      </w:r>
      <w:r>
        <w:rPr>
          <w:color w:val="231F20"/>
          <w:sz w:val="23"/>
        </w:rPr>
        <w:t>automating</w:t>
      </w:r>
      <w:r>
        <w:rPr>
          <w:color w:val="231F20"/>
          <w:spacing w:val="-29"/>
          <w:sz w:val="23"/>
        </w:rPr>
        <w:t> </w:t>
      </w:r>
      <w:r>
        <w:rPr>
          <w:color w:val="231F20"/>
          <w:sz w:val="23"/>
        </w:rPr>
        <w:t>and</w:t>
      </w:r>
      <w:r>
        <w:rPr>
          <w:color w:val="231F20"/>
          <w:spacing w:val="-29"/>
          <w:sz w:val="23"/>
        </w:rPr>
        <w:t> </w:t>
      </w:r>
      <w:r>
        <w:rPr>
          <w:color w:val="231F20"/>
          <w:sz w:val="23"/>
        </w:rPr>
        <w:t>integrating</w:t>
      </w:r>
      <w:r>
        <w:rPr>
          <w:color w:val="231F20"/>
          <w:spacing w:val="-28"/>
          <w:sz w:val="23"/>
        </w:rPr>
        <w:t> </w:t>
      </w:r>
      <w:r>
        <w:rPr>
          <w:color w:val="231F20"/>
          <w:sz w:val="23"/>
        </w:rPr>
        <w:t>the</w:t>
      </w:r>
      <w:r>
        <w:rPr>
          <w:color w:val="231F20"/>
          <w:spacing w:val="-29"/>
          <w:sz w:val="23"/>
        </w:rPr>
        <w:t> </w:t>
      </w:r>
      <w:r>
        <w:rPr>
          <w:color w:val="231F20"/>
          <w:sz w:val="23"/>
        </w:rPr>
        <w:t>processes</w:t>
      </w:r>
      <w:r>
        <w:rPr>
          <w:color w:val="231F20"/>
          <w:spacing w:val="-29"/>
          <w:sz w:val="23"/>
        </w:rPr>
        <w:t> </w:t>
      </w:r>
      <w:r>
        <w:rPr>
          <w:color w:val="231F20"/>
          <w:sz w:val="23"/>
        </w:rPr>
        <w:t>and</w:t>
      </w:r>
      <w:r>
        <w:rPr>
          <w:color w:val="231F20"/>
          <w:spacing w:val="-29"/>
          <w:sz w:val="23"/>
        </w:rPr>
        <w:t> </w:t>
      </w:r>
      <w:r>
        <w:rPr>
          <w:color w:val="231F20"/>
          <w:sz w:val="23"/>
        </w:rPr>
        <w:t>procedures</w:t>
      </w:r>
      <w:r>
        <w:rPr>
          <w:color w:val="231F20"/>
          <w:spacing w:val="-29"/>
          <w:sz w:val="23"/>
        </w:rPr>
        <w:t> </w:t>
      </w:r>
      <w:r>
        <w:rPr>
          <w:color w:val="231F20"/>
          <w:sz w:val="23"/>
        </w:rPr>
        <w:t>for</w:t>
      </w:r>
      <w:r>
        <w:rPr>
          <w:color w:val="231F20"/>
          <w:spacing w:val="-28"/>
          <w:sz w:val="23"/>
        </w:rPr>
        <w:t> </w:t>
      </w:r>
      <w:r>
        <w:rPr>
          <w:color w:val="231F20"/>
          <w:sz w:val="23"/>
        </w:rPr>
        <w:t>collecting</w:t>
      </w:r>
      <w:r>
        <w:rPr>
          <w:color w:val="231F20"/>
          <w:spacing w:val="-29"/>
          <w:sz w:val="23"/>
        </w:rPr>
        <w:t> </w:t>
      </w:r>
      <w:r>
        <w:rPr>
          <w:color w:val="231F20"/>
          <w:sz w:val="23"/>
        </w:rPr>
        <w:t>taxes. In this regard, in 2020, the NRA will introduce the</w:t>
      </w:r>
      <w:r>
        <w:rPr>
          <w:color w:val="231F20"/>
          <w:spacing w:val="40"/>
          <w:sz w:val="23"/>
        </w:rPr>
        <w:t> </w:t>
      </w:r>
      <w:r>
        <w:rPr>
          <w:color w:val="231F20"/>
          <w:sz w:val="23"/>
        </w:rPr>
        <w:t>following:</w:t>
      </w:r>
    </w:p>
    <w:p>
      <w:pPr>
        <w:pStyle w:val="BodyText"/>
        <w:spacing w:before="10"/>
        <w:rPr>
          <w:sz w:val="27"/>
        </w:rPr>
      </w:pPr>
    </w:p>
    <w:p>
      <w:pPr>
        <w:pStyle w:val="ListParagraph"/>
        <w:numPr>
          <w:ilvl w:val="1"/>
          <w:numId w:val="2"/>
        </w:numPr>
        <w:tabs>
          <w:tab w:pos="1521" w:val="left" w:leader="none"/>
          <w:tab w:pos="1523" w:val="left" w:leader="none"/>
        </w:tabs>
        <w:spacing w:line="283" w:lineRule="auto" w:before="1" w:after="0"/>
        <w:ind w:left="1522" w:right="122" w:hanging="435"/>
        <w:jc w:val="left"/>
        <w:rPr>
          <w:sz w:val="23"/>
        </w:rPr>
      </w:pPr>
      <w:r>
        <w:rPr>
          <w:color w:val="231F20"/>
          <w:sz w:val="23"/>
        </w:rPr>
        <w:t>the Integrated Tax Administrative System (ITAS), to automate</w:t>
      </w:r>
      <w:r>
        <w:rPr>
          <w:color w:val="231F20"/>
          <w:spacing w:val="44"/>
          <w:sz w:val="23"/>
        </w:rPr>
        <w:t> </w:t>
      </w:r>
      <w:r>
        <w:rPr>
          <w:color w:val="231F20"/>
          <w:sz w:val="23"/>
        </w:rPr>
        <w:t>and integrate domestic tax</w:t>
      </w:r>
      <w:r>
        <w:rPr>
          <w:color w:val="231F20"/>
          <w:spacing w:val="46"/>
          <w:sz w:val="23"/>
        </w:rPr>
        <w:t> </w:t>
      </w:r>
      <w:r>
        <w:rPr>
          <w:color w:val="231F20"/>
          <w:sz w:val="23"/>
        </w:rPr>
        <w:t>administration;</w:t>
      </w:r>
    </w:p>
    <w:p>
      <w:pPr>
        <w:pStyle w:val="BodyText"/>
        <w:spacing w:before="5"/>
        <w:rPr>
          <w:sz w:val="27"/>
        </w:rPr>
      </w:pPr>
    </w:p>
    <w:p>
      <w:pPr>
        <w:pStyle w:val="ListParagraph"/>
        <w:numPr>
          <w:ilvl w:val="1"/>
          <w:numId w:val="2"/>
        </w:numPr>
        <w:tabs>
          <w:tab w:pos="1523" w:val="left" w:leader="none"/>
        </w:tabs>
        <w:spacing w:line="283" w:lineRule="auto" w:before="0" w:after="0"/>
        <w:ind w:left="1522" w:right="121" w:hanging="509"/>
        <w:jc w:val="both"/>
        <w:rPr>
          <w:sz w:val="23"/>
        </w:rPr>
      </w:pPr>
      <w:r>
        <w:rPr>
          <w:color w:val="231F20"/>
          <w:sz w:val="23"/>
        </w:rPr>
        <w:t>the Electronic Cash Register (ECR) with the aim of enhancing</w:t>
      </w:r>
      <w:r>
        <w:rPr>
          <w:color w:val="231F20"/>
          <w:spacing w:val="-40"/>
          <w:sz w:val="23"/>
        </w:rPr>
        <w:t> </w:t>
      </w:r>
      <w:r>
        <w:rPr>
          <w:color w:val="231F20"/>
          <w:sz w:val="23"/>
        </w:rPr>
        <w:t>efficiency in</w:t>
      </w:r>
      <w:r>
        <w:rPr>
          <w:color w:val="231F20"/>
          <w:spacing w:val="-7"/>
          <w:sz w:val="23"/>
        </w:rPr>
        <w:t> </w:t>
      </w:r>
      <w:r>
        <w:rPr>
          <w:color w:val="231F20"/>
          <w:sz w:val="23"/>
        </w:rPr>
        <w:t>the</w:t>
      </w:r>
      <w:r>
        <w:rPr>
          <w:color w:val="231F20"/>
          <w:spacing w:val="-7"/>
          <w:sz w:val="23"/>
        </w:rPr>
        <w:t> </w:t>
      </w:r>
      <w:r>
        <w:rPr>
          <w:color w:val="231F20"/>
          <w:sz w:val="23"/>
        </w:rPr>
        <w:t>administration</w:t>
      </w:r>
      <w:r>
        <w:rPr>
          <w:color w:val="231F20"/>
          <w:spacing w:val="-7"/>
          <w:sz w:val="23"/>
        </w:rPr>
        <w:t> </w:t>
      </w:r>
      <w:r>
        <w:rPr>
          <w:color w:val="231F20"/>
          <w:sz w:val="23"/>
        </w:rPr>
        <w:t>of</w:t>
      </w:r>
      <w:r>
        <w:rPr>
          <w:color w:val="231F20"/>
          <w:spacing w:val="-7"/>
          <w:sz w:val="23"/>
        </w:rPr>
        <w:t> </w:t>
      </w:r>
      <w:r>
        <w:rPr>
          <w:color w:val="231F20"/>
          <w:sz w:val="23"/>
        </w:rPr>
        <w:t>GST</w:t>
      </w:r>
      <w:r>
        <w:rPr>
          <w:color w:val="231F20"/>
          <w:spacing w:val="-7"/>
          <w:sz w:val="23"/>
        </w:rPr>
        <w:t> </w:t>
      </w:r>
      <w:r>
        <w:rPr>
          <w:color w:val="231F20"/>
          <w:sz w:val="23"/>
        </w:rPr>
        <w:t>and</w:t>
      </w:r>
      <w:r>
        <w:rPr>
          <w:color w:val="231F20"/>
          <w:spacing w:val="-7"/>
          <w:sz w:val="23"/>
        </w:rPr>
        <w:t> </w:t>
      </w:r>
      <w:r>
        <w:rPr>
          <w:color w:val="231F20"/>
          <w:sz w:val="23"/>
        </w:rPr>
        <w:t>improving</w:t>
      </w:r>
      <w:r>
        <w:rPr>
          <w:color w:val="231F20"/>
          <w:spacing w:val="-7"/>
          <w:sz w:val="23"/>
        </w:rPr>
        <w:t> </w:t>
      </w:r>
      <w:r>
        <w:rPr>
          <w:color w:val="231F20"/>
          <w:sz w:val="23"/>
        </w:rPr>
        <w:t>compliance;</w:t>
      </w:r>
      <w:r>
        <w:rPr>
          <w:color w:val="231F20"/>
          <w:spacing w:val="-7"/>
          <w:sz w:val="23"/>
        </w:rPr>
        <w:t> </w:t>
      </w:r>
      <w:r>
        <w:rPr>
          <w:color w:val="231F20"/>
          <w:sz w:val="23"/>
        </w:rPr>
        <w:t>and</w:t>
      </w:r>
    </w:p>
    <w:p>
      <w:pPr>
        <w:pStyle w:val="BodyText"/>
        <w:spacing w:before="6"/>
        <w:rPr>
          <w:sz w:val="27"/>
        </w:rPr>
      </w:pPr>
    </w:p>
    <w:p>
      <w:pPr>
        <w:pStyle w:val="ListParagraph"/>
        <w:numPr>
          <w:ilvl w:val="1"/>
          <w:numId w:val="2"/>
        </w:numPr>
        <w:tabs>
          <w:tab w:pos="1523" w:val="left" w:leader="none"/>
        </w:tabs>
        <w:spacing w:line="283" w:lineRule="auto" w:before="0" w:after="0"/>
        <w:ind w:left="1522" w:right="119" w:hanging="584"/>
        <w:jc w:val="both"/>
        <w:rPr>
          <w:sz w:val="23"/>
        </w:rPr>
      </w:pPr>
      <w:r>
        <w:rPr>
          <w:color w:val="231F20"/>
          <w:sz w:val="23"/>
        </w:rPr>
        <w:t>the single electronic window which will serve as a one-stop shop for</w:t>
      </w:r>
      <w:r>
        <w:rPr>
          <w:color w:val="231F20"/>
          <w:spacing w:val="-48"/>
          <w:sz w:val="23"/>
        </w:rPr>
        <w:t> </w:t>
      </w:r>
      <w:r>
        <w:rPr>
          <w:color w:val="231F20"/>
          <w:sz w:val="23"/>
        </w:rPr>
        <w:t>the payment of customs and excise duty, GST and income taxes. This will reduce</w:t>
      </w:r>
      <w:r>
        <w:rPr>
          <w:color w:val="231F20"/>
          <w:spacing w:val="14"/>
          <w:sz w:val="23"/>
        </w:rPr>
        <w:t> </w:t>
      </w:r>
      <w:r>
        <w:rPr>
          <w:color w:val="231F20"/>
          <w:sz w:val="23"/>
        </w:rPr>
        <w:t>clearance</w:t>
      </w:r>
      <w:r>
        <w:rPr>
          <w:color w:val="231F20"/>
          <w:spacing w:val="14"/>
          <w:sz w:val="23"/>
        </w:rPr>
        <w:t> </w:t>
      </w:r>
      <w:r>
        <w:rPr>
          <w:color w:val="231F20"/>
          <w:sz w:val="23"/>
        </w:rPr>
        <w:t>and</w:t>
      </w:r>
      <w:r>
        <w:rPr>
          <w:color w:val="231F20"/>
          <w:spacing w:val="14"/>
          <w:sz w:val="23"/>
        </w:rPr>
        <w:t> </w:t>
      </w:r>
      <w:r>
        <w:rPr>
          <w:color w:val="231F20"/>
          <w:sz w:val="23"/>
        </w:rPr>
        <w:t>transaction</w:t>
      </w:r>
      <w:r>
        <w:rPr>
          <w:color w:val="231F20"/>
          <w:spacing w:val="14"/>
          <w:sz w:val="23"/>
        </w:rPr>
        <w:t> </w:t>
      </w:r>
      <w:r>
        <w:rPr>
          <w:color w:val="231F20"/>
          <w:sz w:val="23"/>
        </w:rPr>
        <w:t>costs</w:t>
      </w:r>
      <w:r>
        <w:rPr>
          <w:color w:val="231F20"/>
          <w:spacing w:val="14"/>
          <w:sz w:val="23"/>
        </w:rPr>
        <w:t> </w:t>
      </w:r>
      <w:r>
        <w:rPr>
          <w:color w:val="231F20"/>
          <w:sz w:val="23"/>
        </w:rPr>
        <w:t>and</w:t>
      </w:r>
      <w:r>
        <w:rPr>
          <w:color w:val="231F20"/>
          <w:spacing w:val="14"/>
          <w:sz w:val="23"/>
        </w:rPr>
        <w:t> </w:t>
      </w:r>
      <w:r>
        <w:rPr>
          <w:color w:val="231F20"/>
          <w:sz w:val="23"/>
        </w:rPr>
        <w:t>help</w:t>
      </w:r>
      <w:r>
        <w:rPr>
          <w:color w:val="231F20"/>
          <w:spacing w:val="14"/>
          <w:sz w:val="23"/>
        </w:rPr>
        <w:t> </w:t>
      </w:r>
      <w:r>
        <w:rPr>
          <w:color w:val="231F20"/>
          <w:sz w:val="23"/>
        </w:rPr>
        <w:t>facilitate</w:t>
      </w:r>
      <w:r>
        <w:rPr>
          <w:color w:val="231F20"/>
          <w:spacing w:val="14"/>
          <w:sz w:val="23"/>
        </w:rPr>
        <w:t> </w:t>
      </w:r>
      <w:r>
        <w:rPr>
          <w:color w:val="231F20"/>
          <w:sz w:val="23"/>
        </w:rPr>
        <w:t>trade.</w:t>
      </w:r>
    </w:p>
    <w:p>
      <w:pPr>
        <w:pStyle w:val="BodyText"/>
        <w:spacing w:before="7"/>
        <w:rPr>
          <w:sz w:val="27"/>
        </w:rPr>
      </w:pPr>
    </w:p>
    <w:p>
      <w:pPr>
        <w:pStyle w:val="ListParagraph"/>
        <w:numPr>
          <w:ilvl w:val="0"/>
          <w:numId w:val="2"/>
        </w:numPr>
        <w:tabs>
          <w:tab w:pos="954" w:val="left" w:leader="none"/>
        </w:tabs>
        <w:spacing w:line="288" w:lineRule="auto" w:before="0" w:after="0"/>
        <w:ind w:left="103" w:right="117" w:firstLine="223"/>
        <w:jc w:val="both"/>
        <w:rPr>
          <w:sz w:val="23"/>
        </w:rPr>
      </w:pPr>
      <w:r>
        <w:rPr>
          <w:color w:val="231F20"/>
          <w:sz w:val="23"/>
        </w:rPr>
        <w:t>Mr.</w:t>
      </w:r>
      <w:r>
        <w:rPr>
          <w:color w:val="231F20"/>
          <w:spacing w:val="-6"/>
          <w:sz w:val="23"/>
        </w:rPr>
        <w:t> </w:t>
      </w:r>
      <w:r>
        <w:rPr>
          <w:color w:val="231F20"/>
          <w:sz w:val="23"/>
        </w:rPr>
        <w:t>Speaker,</w:t>
      </w:r>
      <w:r>
        <w:rPr>
          <w:color w:val="231F20"/>
          <w:spacing w:val="-6"/>
          <w:sz w:val="23"/>
        </w:rPr>
        <w:t> </w:t>
      </w:r>
      <w:r>
        <w:rPr>
          <w:color w:val="231F20"/>
          <w:sz w:val="23"/>
        </w:rPr>
        <w:t>Honourable</w:t>
      </w:r>
      <w:r>
        <w:rPr>
          <w:color w:val="231F20"/>
          <w:spacing w:val="-6"/>
          <w:sz w:val="23"/>
        </w:rPr>
        <w:t> </w:t>
      </w:r>
      <w:r>
        <w:rPr>
          <w:color w:val="231F20"/>
          <w:sz w:val="23"/>
        </w:rPr>
        <w:t>Members,</w:t>
      </w:r>
      <w:r>
        <w:rPr>
          <w:color w:val="231F20"/>
          <w:spacing w:val="-6"/>
          <w:sz w:val="23"/>
        </w:rPr>
        <w:t> </w:t>
      </w:r>
      <w:r>
        <w:rPr>
          <w:color w:val="231F20"/>
          <w:sz w:val="23"/>
        </w:rPr>
        <w:t>the</w:t>
      </w:r>
      <w:r>
        <w:rPr>
          <w:color w:val="231F20"/>
          <w:spacing w:val="-6"/>
          <w:sz w:val="23"/>
        </w:rPr>
        <w:t> </w:t>
      </w:r>
      <w:r>
        <w:rPr>
          <w:color w:val="231F20"/>
          <w:sz w:val="23"/>
        </w:rPr>
        <w:t>introduction</w:t>
      </w:r>
      <w:r>
        <w:rPr>
          <w:color w:val="231F20"/>
          <w:spacing w:val="-6"/>
          <w:sz w:val="23"/>
        </w:rPr>
        <w:t> </w:t>
      </w:r>
      <w:r>
        <w:rPr>
          <w:color w:val="231F20"/>
          <w:sz w:val="23"/>
        </w:rPr>
        <w:t>of</w:t>
      </w:r>
      <w:r>
        <w:rPr>
          <w:color w:val="231F20"/>
          <w:spacing w:val="-6"/>
          <w:sz w:val="23"/>
        </w:rPr>
        <w:t> </w:t>
      </w:r>
      <w:r>
        <w:rPr>
          <w:color w:val="231F20"/>
          <w:sz w:val="23"/>
        </w:rPr>
        <w:t>these</w:t>
      </w:r>
      <w:r>
        <w:rPr>
          <w:color w:val="231F20"/>
          <w:spacing w:val="-6"/>
          <w:sz w:val="23"/>
        </w:rPr>
        <w:t> </w:t>
      </w:r>
      <w:r>
        <w:rPr>
          <w:color w:val="231F20"/>
          <w:sz w:val="23"/>
        </w:rPr>
        <w:t>digital</w:t>
      </w:r>
      <w:r>
        <w:rPr>
          <w:color w:val="231F20"/>
          <w:spacing w:val="-6"/>
          <w:sz w:val="23"/>
        </w:rPr>
        <w:t> </w:t>
      </w:r>
      <w:r>
        <w:rPr>
          <w:color w:val="231F20"/>
          <w:sz w:val="23"/>
        </w:rPr>
        <w:t>systems will</w:t>
      </w:r>
      <w:r>
        <w:rPr>
          <w:color w:val="231F20"/>
          <w:spacing w:val="-44"/>
          <w:sz w:val="23"/>
        </w:rPr>
        <w:t> </w:t>
      </w:r>
      <w:r>
        <w:rPr>
          <w:color w:val="231F20"/>
          <w:sz w:val="23"/>
        </w:rPr>
        <w:t>facilitate</w:t>
      </w:r>
      <w:r>
        <w:rPr>
          <w:color w:val="231F20"/>
          <w:spacing w:val="-43"/>
          <w:sz w:val="23"/>
        </w:rPr>
        <w:t> </w:t>
      </w:r>
      <w:r>
        <w:rPr>
          <w:color w:val="231F20"/>
          <w:sz w:val="23"/>
        </w:rPr>
        <w:t>the</w:t>
      </w:r>
      <w:r>
        <w:rPr>
          <w:color w:val="231F20"/>
          <w:spacing w:val="-44"/>
          <w:sz w:val="23"/>
        </w:rPr>
        <w:t> </w:t>
      </w:r>
      <w:r>
        <w:rPr>
          <w:color w:val="231F20"/>
          <w:sz w:val="23"/>
        </w:rPr>
        <w:t>availability</w:t>
      </w:r>
      <w:r>
        <w:rPr>
          <w:color w:val="231F20"/>
          <w:spacing w:val="-43"/>
          <w:sz w:val="23"/>
        </w:rPr>
        <w:t> </w:t>
      </w:r>
      <w:r>
        <w:rPr>
          <w:color w:val="231F20"/>
          <w:sz w:val="23"/>
        </w:rPr>
        <w:t>of</w:t>
      </w:r>
      <w:r>
        <w:rPr>
          <w:color w:val="231F20"/>
          <w:spacing w:val="-43"/>
          <w:sz w:val="23"/>
        </w:rPr>
        <w:t> </w:t>
      </w:r>
      <w:r>
        <w:rPr>
          <w:color w:val="231F20"/>
          <w:sz w:val="23"/>
        </w:rPr>
        <w:t>tax</w:t>
      </w:r>
      <w:r>
        <w:rPr>
          <w:color w:val="231F20"/>
          <w:spacing w:val="-44"/>
          <w:sz w:val="23"/>
        </w:rPr>
        <w:t> </w:t>
      </w:r>
      <w:r>
        <w:rPr>
          <w:color w:val="231F20"/>
          <w:sz w:val="23"/>
        </w:rPr>
        <w:t>administration</w:t>
      </w:r>
      <w:r>
        <w:rPr>
          <w:color w:val="231F20"/>
          <w:spacing w:val="-43"/>
          <w:sz w:val="23"/>
        </w:rPr>
        <w:t> </w:t>
      </w:r>
      <w:r>
        <w:rPr>
          <w:color w:val="231F20"/>
          <w:sz w:val="23"/>
        </w:rPr>
        <w:t>data</w:t>
      </w:r>
      <w:r>
        <w:rPr>
          <w:color w:val="231F20"/>
          <w:spacing w:val="-44"/>
          <w:sz w:val="23"/>
        </w:rPr>
        <w:t> </w:t>
      </w:r>
      <w:r>
        <w:rPr>
          <w:color w:val="231F20"/>
          <w:sz w:val="23"/>
        </w:rPr>
        <w:t>for</w:t>
      </w:r>
      <w:r>
        <w:rPr>
          <w:color w:val="231F20"/>
          <w:spacing w:val="-43"/>
          <w:sz w:val="23"/>
        </w:rPr>
        <w:t> </w:t>
      </w:r>
      <w:r>
        <w:rPr>
          <w:color w:val="231F20"/>
          <w:sz w:val="23"/>
        </w:rPr>
        <w:t>analytical</w:t>
      </w:r>
      <w:r>
        <w:rPr>
          <w:color w:val="231F20"/>
          <w:spacing w:val="-43"/>
          <w:sz w:val="23"/>
        </w:rPr>
        <w:t> </w:t>
      </w:r>
      <w:r>
        <w:rPr>
          <w:color w:val="231F20"/>
          <w:sz w:val="23"/>
        </w:rPr>
        <w:t>work.</w:t>
      </w:r>
      <w:r>
        <w:rPr>
          <w:color w:val="231F20"/>
          <w:spacing w:val="-44"/>
          <w:sz w:val="23"/>
        </w:rPr>
        <w:t> </w:t>
      </w:r>
      <w:r>
        <w:rPr>
          <w:color w:val="231F20"/>
          <w:sz w:val="23"/>
        </w:rPr>
        <w:t>Government is</w:t>
      </w:r>
      <w:r>
        <w:rPr>
          <w:color w:val="231F20"/>
          <w:spacing w:val="-51"/>
          <w:sz w:val="23"/>
        </w:rPr>
        <w:t> </w:t>
      </w:r>
      <w:r>
        <w:rPr>
          <w:color w:val="231F20"/>
          <w:sz w:val="23"/>
        </w:rPr>
        <w:t>therefore,</w:t>
      </w:r>
      <w:r>
        <w:rPr>
          <w:color w:val="231F20"/>
          <w:spacing w:val="-50"/>
          <w:sz w:val="23"/>
        </w:rPr>
        <w:t> </w:t>
      </w:r>
      <w:r>
        <w:rPr>
          <w:color w:val="231F20"/>
          <w:sz w:val="23"/>
        </w:rPr>
        <w:t>collaborating</w:t>
      </w:r>
      <w:r>
        <w:rPr>
          <w:color w:val="231F20"/>
          <w:spacing w:val="-50"/>
          <w:sz w:val="23"/>
        </w:rPr>
        <w:t> </w:t>
      </w:r>
      <w:r>
        <w:rPr>
          <w:color w:val="231F20"/>
          <w:sz w:val="23"/>
        </w:rPr>
        <w:t>with</w:t>
      </w:r>
      <w:r>
        <w:rPr>
          <w:color w:val="231F20"/>
          <w:spacing w:val="-50"/>
          <w:sz w:val="23"/>
        </w:rPr>
        <w:t> </w:t>
      </w:r>
      <w:r>
        <w:rPr>
          <w:color w:val="231F20"/>
          <w:sz w:val="23"/>
        </w:rPr>
        <w:t>our</w:t>
      </w:r>
      <w:r>
        <w:rPr>
          <w:color w:val="231F20"/>
          <w:spacing w:val="-50"/>
          <w:sz w:val="23"/>
        </w:rPr>
        <w:t> </w:t>
      </w:r>
      <w:r>
        <w:rPr>
          <w:color w:val="231F20"/>
          <w:sz w:val="23"/>
        </w:rPr>
        <w:t>development</w:t>
      </w:r>
      <w:r>
        <w:rPr>
          <w:color w:val="231F20"/>
          <w:spacing w:val="-50"/>
          <w:sz w:val="23"/>
        </w:rPr>
        <w:t> </w:t>
      </w:r>
      <w:r>
        <w:rPr>
          <w:color w:val="231F20"/>
          <w:sz w:val="23"/>
        </w:rPr>
        <w:t>partners</w:t>
      </w:r>
      <w:r>
        <w:rPr>
          <w:color w:val="231F20"/>
          <w:spacing w:val="-50"/>
          <w:sz w:val="23"/>
        </w:rPr>
        <w:t> </w:t>
      </w:r>
      <w:r>
        <w:rPr>
          <w:color w:val="231F20"/>
          <w:sz w:val="23"/>
        </w:rPr>
        <w:t>to</w:t>
      </w:r>
      <w:r>
        <w:rPr>
          <w:color w:val="231F20"/>
          <w:spacing w:val="-50"/>
          <w:sz w:val="23"/>
        </w:rPr>
        <w:t> </w:t>
      </w:r>
      <w:r>
        <w:rPr>
          <w:color w:val="231F20"/>
          <w:sz w:val="23"/>
        </w:rPr>
        <w:t>establish</w:t>
      </w:r>
      <w:r>
        <w:rPr>
          <w:color w:val="231F20"/>
          <w:spacing w:val="-50"/>
          <w:sz w:val="23"/>
        </w:rPr>
        <w:t> </w:t>
      </w:r>
      <w:r>
        <w:rPr>
          <w:color w:val="231F20"/>
          <w:sz w:val="23"/>
        </w:rPr>
        <w:t>a</w:t>
      </w:r>
      <w:r>
        <w:rPr>
          <w:color w:val="231F20"/>
          <w:spacing w:val="-50"/>
          <w:sz w:val="23"/>
        </w:rPr>
        <w:t> </w:t>
      </w:r>
      <w:r>
        <w:rPr>
          <w:color w:val="231F20"/>
          <w:sz w:val="23"/>
        </w:rPr>
        <w:t>data</w:t>
      </w:r>
      <w:r>
        <w:rPr>
          <w:color w:val="231F20"/>
          <w:spacing w:val="-50"/>
          <w:sz w:val="23"/>
        </w:rPr>
        <w:t> </w:t>
      </w:r>
      <w:r>
        <w:rPr>
          <w:color w:val="231F20"/>
          <w:sz w:val="23"/>
        </w:rPr>
        <w:t>warehouse. This initiative will improve transparency, efficiency and reduce leakages in tax administration, thereby enhancing revenue</w:t>
      </w:r>
      <w:r>
        <w:rPr>
          <w:color w:val="231F20"/>
          <w:spacing w:val="36"/>
          <w:sz w:val="23"/>
        </w:rPr>
        <w:t> </w:t>
      </w:r>
      <w:r>
        <w:rPr>
          <w:color w:val="231F20"/>
          <w:sz w:val="23"/>
        </w:rPr>
        <w:t>mobilisation.</w:t>
      </w:r>
    </w:p>
    <w:p>
      <w:pPr>
        <w:pStyle w:val="BodyText"/>
        <w:spacing w:before="1"/>
        <w:rPr>
          <w:sz w:val="20"/>
        </w:rPr>
      </w:pPr>
    </w:p>
    <w:p>
      <w:pPr>
        <w:pStyle w:val="Heading1"/>
        <w:spacing w:before="0"/>
      </w:pPr>
      <w:r>
        <w:rPr>
          <w:color w:val="231F20"/>
        </w:rPr>
        <w:t>12</w:t>
      </w:r>
    </w:p>
    <w:p>
      <w:pPr>
        <w:spacing w:after="0"/>
        <w:sectPr>
          <w:pgSz w:w="11900" w:h="16840"/>
          <w:pgMar w:top="1180" w:bottom="280" w:left="1140" w:right="1120"/>
        </w:sectPr>
      </w:pPr>
    </w:p>
    <w:p>
      <w:pPr>
        <w:pStyle w:val="Heading2"/>
        <w:numPr>
          <w:ilvl w:val="0"/>
          <w:numId w:val="5"/>
        </w:numPr>
        <w:tabs>
          <w:tab w:pos="953" w:val="left" w:leader="none"/>
          <w:tab w:pos="954" w:val="left" w:leader="none"/>
        </w:tabs>
        <w:spacing w:line="240" w:lineRule="auto" w:before="77" w:after="0"/>
        <w:ind w:left="953" w:right="0" w:hanging="538"/>
        <w:jc w:val="left"/>
      </w:pPr>
      <w:r>
        <w:rPr>
          <w:color w:val="231F20"/>
        </w:rPr>
        <w:t>Enforcing</w:t>
      </w:r>
      <w:r>
        <w:rPr>
          <w:color w:val="231F20"/>
          <w:spacing w:val="-38"/>
        </w:rPr>
        <w:t> </w:t>
      </w:r>
      <w:r>
        <w:rPr>
          <w:color w:val="231F20"/>
        </w:rPr>
        <w:t>Tax</w:t>
      </w:r>
      <w:r>
        <w:rPr>
          <w:color w:val="231F20"/>
          <w:spacing w:val="-36"/>
        </w:rPr>
        <w:t> </w:t>
      </w:r>
      <w:r>
        <w:rPr>
          <w:color w:val="231F20"/>
        </w:rPr>
        <w:t>Compliance</w:t>
      </w:r>
    </w:p>
    <w:p>
      <w:pPr>
        <w:pStyle w:val="ListParagraph"/>
        <w:numPr>
          <w:ilvl w:val="0"/>
          <w:numId w:val="2"/>
        </w:numPr>
        <w:tabs>
          <w:tab w:pos="954" w:val="left" w:leader="none"/>
        </w:tabs>
        <w:spacing w:line="302" w:lineRule="auto" w:before="71" w:after="0"/>
        <w:ind w:left="103" w:right="118" w:firstLine="223"/>
        <w:jc w:val="both"/>
        <w:rPr>
          <w:sz w:val="23"/>
        </w:rPr>
      </w:pPr>
      <w:r>
        <w:rPr>
          <w:color w:val="231F20"/>
          <w:sz w:val="23"/>
        </w:rPr>
        <w:t>The</w:t>
      </w:r>
      <w:r>
        <w:rPr>
          <w:color w:val="231F20"/>
          <w:spacing w:val="-14"/>
          <w:sz w:val="23"/>
        </w:rPr>
        <w:t> </w:t>
      </w:r>
      <w:r>
        <w:rPr>
          <w:color w:val="231F20"/>
          <w:sz w:val="23"/>
        </w:rPr>
        <w:t>National</w:t>
      </w:r>
      <w:r>
        <w:rPr>
          <w:color w:val="231F20"/>
          <w:spacing w:val="-12"/>
          <w:sz w:val="23"/>
        </w:rPr>
        <w:t> </w:t>
      </w:r>
      <w:r>
        <w:rPr>
          <w:color w:val="231F20"/>
          <w:sz w:val="23"/>
        </w:rPr>
        <w:t>Revenue</w:t>
      </w:r>
      <w:r>
        <w:rPr>
          <w:color w:val="231F20"/>
          <w:spacing w:val="-14"/>
          <w:sz w:val="23"/>
        </w:rPr>
        <w:t> </w:t>
      </w:r>
      <w:r>
        <w:rPr>
          <w:color w:val="231F20"/>
          <w:sz w:val="23"/>
        </w:rPr>
        <w:t>Authority</w:t>
      </w:r>
      <w:r>
        <w:rPr>
          <w:color w:val="231F20"/>
          <w:spacing w:val="-13"/>
          <w:sz w:val="23"/>
        </w:rPr>
        <w:t> </w:t>
      </w:r>
      <w:r>
        <w:rPr>
          <w:color w:val="231F20"/>
          <w:sz w:val="23"/>
        </w:rPr>
        <w:t>will</w:t>
      </w:r>
      <w:r>
        <w:rPr>
          <w:color w:val="231F20"/>
          <w:spacing w:val="-12"/>
          <w:sz w:val="23"/>
        </w:rPr>
        <w:t> </w:t>
      </w:r>
      <w:r>
        <w:rPr>
          <w:color w:val="231F20"/>
          <w:sz w:val="23"/>
        </w:rPr>
        <w:t>continue</w:t>
      </w:r>
      <w:r>
        <w:rPr>
          <w:color w:val="231F20"/>
          <w:spacing w:val="-14"/>
          <w:sz w:val="23"/>
        </w:rPr>
        <w:t> </w:t>
      </w:r>
      <w:r>
        <w:rPr>
          <w:color w:val="231F20"/>
          <w:sz w:val="23"/>
        </w:rPr>
        <w:t>to</w:t>
      </w:r>
      <w:r>
        <w:rPr>
          <w:color w:val="231F20"/>
          <w:spacing w:val="-12"/>
          <w:sz w:val="23"/>
        </w:rPr>
        <w:t> </w:t>
      </w:r>
      <w:r>
        <w:rPr>
          <w:color w:val="231F20"/>
          <w:sz w:val="23"/>
        </w:rPr>
        <w:t>enforce</w:t>
      </w:r>
      <w:r>
        <w:rPr>
          <w:color w:val="231F20"/>
          <w:spacing w:val="-14"/>
          <w:sz w:val="23"/>
        </w:rPr>
        <w:t> </w:t>
      </w:r>
      <w:r>
        <w:rPr>
          <w:color w:val="231F20"/>
          <w:sz w:val="23"/>
        </w:rPr>
        <w:t>existing</w:t>
      </w:r>
      <w:r>
        <w:rPr>
          <w:color w:val="231F20"/>
          <w:spacing w:val="-13"/>
          <w:sz w:val="23"/>
        </w:rPr>
        <w:t> </w:t>
      </w:r>
      <w:r>
        <w:rPr>
          <w:color w:val="231F20"/>
          <w:sz w:val="23"/>
        </w:rPr>
        <w:t>and</w:t>
      </w:r>
      <w:r>
        <w:rPr>
          <w:color w:val="231F20"/>
          <w:spacing w:val="-13"/>
          <w:sz w:val="23"/>
        </w:rPr>
        <w:t> </w:t>
      </w:r>
      <w:r>
        <w:rPr>
          <w:color w:val="231F20"/>
          <w:sz w:val="23"/>
        </w:rPr>
        <w:t>new</w:t>
      </w:r>
      <w:r>
        <w:rPr>
          <w:color w:val="231F20"/>
          <w:spacing w:val="-14"/>
          <w:sz w:val="23"/>
        </w:rPr>
        <w:t> </w:t>
      </w:r>
      <w:r>
        <w:rPr>
          <w:color w:val="231F20"/>
          <w:sz w:val="23"/>
        </w:rPr>
        <w:t>tax legislation;</w:t>
      </w:r>
      <w:r>
        <w:rPr>
          <w:color w:val="231F20"/>
          <w:spacing w:val="-43"/>
          <w:sz w:val="23"/>
        </w:rPr>
        <w:t> </w:t>
      </w:r>
      <w:r>
        <w:rPr>
          <w:color w:val="231F20"/>
          <w:sz w:val="23"/>
        </w:rPr>
        <w:t>including</w:t>
      </w:r>
      <w:r>
        <w:rPr>
          <w:color w:val="231F20"/>
          <w:spacing w:val="-43"/>
          <w:sz w:val="23"/>
        </w:rPr>
        <w:t> </w:t>
      </w:r>
      <w:r>
        <w:rPr>
          <w:color w:val="231F20"/>
          <w:sz w:val="23"/>
        </w:rPr>
        <w:t>provisions</w:t>
      </w:r>
      <w:r>
        <w:rPr>
          <w:color w:val="231F20"/>
          <w:spacing w:val="-43"/>
          <w:sz w:val="23"/>
        </w:rPr>
        <w:t> </w:t>
      </w:r>
      <w:r>
        <w:rPr>
          <w:color w:val="231F20"/>
          <w:sz w:val="23"/>
        </w:rPr>
        <w:t>in</w:t>
      </w:r>
      <w:r>
        <w:rPr>
          <w:color w:val="231F20"/>
          <w:spacing w:val="-42"/>
          <w:sz w:val="23"/>
        </w:rPr>
        <w:t> </w:t>
      </w:r>
      <w:r>
        <w:rPr>
          <w:color w:val="231F20"/>
          <w:sz w:val="23"/>
        </w:rPr>
        <w:t>the</w:t>
      </w:r>
      <w:r>
        <w:rPr>
          <w:color w:val="231F20"/>
          <w:spacing w:val="-43"/>
          <w:sz w:val="23"/>
        </w:rPr>
        <w:t> </w:t>
      </w:r>
      <w:r>
        <w:rPr>
          <w:color w:val="231F20"/>
          <w:sz w:val="23"/>
        </w:rPr>
        <w:t>Finance</w:t>
      </w:r>
      <w:r>
        <w:rPr>
          <w:color w:val="231F20"/>
          <w:spacing w:val="-43"/>
          <w:sz w:val="23"/>
        </w:rPr>
        <w:t> </w:t>
      </w:r>
      <w:r>
        <w:rPr>
          <w:color w:val="231F20"/>
          <w:sz w:val="23"/>
        </w:rPr>
        <w:t>Acts</w:t>
      </w:r>
      <w:r>
        <w:rPr>
          <w:color w:val="231F20"/>
          <w:spacing w:val="-42"/>
          <w:sz w:val="23"/>
        </w:rPr>
        <w:t> </w:t>
      </w:r>
      <w:r>
        <w:rPr>
          <w:color w:val="231F20"/>
          <w:sz w:val="23"/>
        </w:rPr>
        <w:t>in</w:t>
      </w:r>
      <w:r>
        <w:rPr>
          <w:color w:val="231F20"/>
          <w:spacing w:val="-43"/>
          <w:sz w:val="23"/>
        </w:rPr>
        <w:t> </w:t>
      </w:r>
      <w:r>
        <w:rPr>
          <w:color w:val="231F20"/>
          <w:sz w:val="23"/>
        </w:rPr>
        <w:t>order</w:t>
      </w:r>
      <w:r>
        <w:rPr>
          <w:color w:val="231F20"/>
          <w:spacing w:val="-43"/>
          <w:sz w:val="23"/>
        </w:rPr>
        <w:t> </w:t>
      </w:r>
      <w:r>
        <w:rPr>
          <w:color w:val="231F20"/>
          <w:sz w:val="23"/>
        </w:rPr>
        <w:t>to</w:t>
      </w:r>
      <w:r>
        <w:rPr>
          <w:color w:val="231F20"/>
          <w:spacing w:val="-43"/>
          <w:sz w:val="23"/>
        </w:rPr>
        <w:t> </w:t>
      </w:r>
      <w:r>
        <w:rPr>
          <w:color w:val="231F20"/>
          <w:sz w:val="23"/>
        </w:rPr>
        <w:t>improve</w:t>
      </w:r>
      <w:r>
        <w:rPr>
          <w:color w:val="231F20"/>
          <w:spacing w:val="-42"/>
          <w:sz w:val="23"/>
        </w:rPr>
        <w:t> </w:t>
      </w:r>
      <w:r>
        <w:rPr>
          <w:color w:val="231F20"/>
          <w:sz w:val="23"/>
        </w:rPr>
        <w:t>tax</w:t>
      </w:r>
      <w:r>
        <w:rPr>
          <w:color w:val="231F20"/>
          <w:spacing w:val="-43"/>
          <w:sz w:val="23"/>
        </w:rPr>
        <w:t> </w:t>
      </w:r>
      <w:r>
        <w:rPr>
          <w:color w:val="231F20"/>
          <w:sz w:val="23"/>
        </w:rPr>
        <w:t>compliance. To achieve this, the NRA will undertake the</w:t>
      </w:r>
      <w:r>
        <w:rPr>
          <w:color w:val="231F20"/>
          <w:spacing w:val="70"/>
          <w:sz w:val="23"/>
        </w:rPr>
        <w:t> </w:t>
      </w:r>
      <w:r>
        <w:rPr>
          <w:color w:val="231F20"/>
          <w:sz w:val="23"/>
        </w:rPr>
        <w:t>following:</w:t>
      </w:r>
    </w:p>
    <w:p>
      <w:pPr>
        <w:pStyle w:val="BodyText"/>
        <w:rPr>
          <w:sz w:val="29"/>
        </w:rPr>
      </w:pPr>
    </w:p>
    <w:p>
      <w:pPr>
        <w:pStyle w:val="ListParagraph"/>
        <w:numPr>
          <w:ilvl w:val="1"/>
          <w:numId w:val="2"/>
        </w:numPr>
        <w:tabs>
          <w:tab w:pos="1521" w:val="left" w:leader="none"/>
          <w:tab w:pos="1523" w:val="left" w:leader="none"/>
        </w:tabs>
        <w:spacing w:line="300" w:lineRule="auto" w:before="0" w:after="0"/>
        <w:ind w:left="1522" w:right="119" w:hanging="435"/>
        <w:jc w:val="left"/>
        <w:rPr>
          <w:sz w:val="23"/>
        </w:rPr>
      </w:pPr>
      <w:r>
        <w:rPr>
          <w:color w:val="231F20"/>
          <w:sz w:val="23"/>
        </w:rPr>
        <w:t>Intensify</w:t>
      </w:r>
      <w:r>
        <w:rPr>
          <w:color w:val="231F20"/>
          <w:spacing w:val="-44"/>
          <w:sz w:val="23"/>
        </w:rPr>
        <w:t> </w:t>
      </w:r>
      <w:r>
        <w:rPr>
          <w:color w:val="231F20"/>
          <w:sz w:val="23"/>
        </w:rPr>
        <w:t>the</w:t>
      </w:r>
      <w:r>
        <w:rPr>
          <w:color w:val="231F20"/>
          <w:spacing w:val="-44"/>
          <w:sz w:val="23"/>
        </w:rPr>
        <w:t> </w:t>
      </w:r>
      <w:r>
        <w:rPr>
          <w:color w:val="231F20"/>
          <w:sz w:val="23"/>
        </w:rPr>
        <w:t>enforcement</w:t>
      </w:r>
      <w:r>
        <w:rPr>
          <w:color w:val="231F20"/>
          <w:spacing w:val="-44"/>
          <w:sz w:val="23"/>
        </w:rPr>
        <w:t> </w:t>
      </w:r>
      <w:r>
        <w:rPr>
          <w:color w:val="231F20"/>
          <w:sz w:val="23"/>
        </w:rPr>
        <w:t>of</w:t>
      </w:r>
      <w:r>
        <w:rPr>
          <w:color w:val="231F20"/>
          <w:spacing w:val="-44"/>
          <w:sz w:val="23"/>
        </w:rPr>
        <w:t> </w:t>
      </w:r>
      <w:r>
        <w:rPr>
          <w:color w:val="231F20"/>
          <w:sz w:val="23"/>
        </w:rPr>
        <w:t>tax</w:t>
      </w:r>
      <w:r>
        <w:rPr>
          <w:color w:val="231F20"/>
          <w:spacing w:val="-44"/>
          <w:sz w:val="23"/>
        </w:rPr>
        <w:t> </w:t>
      </w:r>
      <w:r>
        <w:rPr>
          <w:color w:val="231F20"/>
          <w:sz w:val="23"/>
        </w:rPr>
        <w:t>legislation</w:t>
      </w:r>
      <w:r>
        <w:rPr>
          <w:color w:val="231F20"/>
          <w:spacing w:val="-44"/>
          <w:sz w:val="23"/>
        </w:rPr>
        <w:t> </w:t>
      </w:r>
      <w:r>
        <w:rPr>
          <w:color w:val="231F20"/>
          <w:sz w:val="23"/>
        </w:rPr>
        <w:t>through</w:t>
      </w:r>
      <w:r>
        <w:rPr>
          <w:color w:val="231F20"/>
          <w:spacing w:val="-43"/>
          <w:sz w:val="23"/>
        </w:rPr>
        <w:t> </w:t>
      </w:r>
      <w:r>
        <w:rPr>
          <w:color w:val="231F20"/>
          <w:sz w:val="23"/>
        </w:rPr>
        <w:t>enhanced</w:t>
      </w:r>
      <w:r>
        <w:rPr>
          <w:color w:val="231F20"/>
          <w:spacing w:val="-44"/>
          <w:sz w:val="23"/>
        </w:rPr>
        <w:t> </w:t>
      </w:r>
      <w:r>
        <w:rPr>
          <w:color w:val="231F20"/>
          <w:sz w:val="23"/>
        </w:rPr>
        <w:t>monitoring, intelligence and</w:t>
      </w:r>
      <w:r>
        <w:rPr>
          <w:color w:val="231F20"/>
          <w:spacing w:val="-6"/>
          <w:sz w:val="23"/>
        </w:rPr>
        <w:t> </w:t>
      </w:r>
      <w:r>
        <w:rPr>
          <w:color w:val="231F20"/>
          <w:sz w:val="23"/>
        </w:rPr>
        <w:t>investigations;</w:t>
      </w:r>
    </w:p>
    <w:p>
      <w:pPr>
        <w:pStyle w:val="BodyText"/>
        <w:spacing w:before="5"/>
        <w:rPr>
          <w:sz w:val="29"/>
        </w:rPr>
      </w:pPr>
    </w:p>
    <w:p>
      <w:pPr>
        <w:pStyle w:val="ListParagraph"/>
        <w:numPr>
          <w:ilvl w:val="1"/>
          <w:numId w:val="2"/>
        </w:numPr>
        <w:tabs>
          <w:tab w:pos="1523" w:val="left" w:leader="none"/>
        </w:tabs>
        <w:spacing w:line="300" w:lineRule="auto" w:before="0" w:after="0"/>
        <w:ind w:left="1522" w:right="121" w:hanging="509"/>
        <w:jc w:val="both"/>
        <w:rPr>
          <w:sz w:val="23"/>
        </w:rPr>
      </w:pPr>
      <w:r>
        <w:rPr>
          <w:color w:val="231F20"/>
          <w:sz w:val="23"/>
        </w:rPr>
        <w:t>Strengthen collaboration with international partners to enhance NRA’s capacity to undertake specialised tax and transfer pricing</w:t>
      </w:r>
      <w:r>
        <w:rPr>
          <w:color w:val="231F20"/>
          <w:spacing w:val="21"/>
          <w:sz w:val="23"/>
        </w:rPr>
        <w:t> </w:t>
      </w:r>
      <w:r>
        <w:rPr>
          <w:color w:val="231F20"/>
          <w:sz w:val="23"/>
        </w:rPr>
        <w:t>audits;</w:t>
      </w:r>
    </w:p>
    <w:p>
      <w:pPr>
        <w:pStyle w:val="BodyText"/>
        <w:spacing w:before="4"/>
        <w:rPr>
          <w:sz w:val="29"/>
        </w:rPr>
      </w:pPr>
    </w:p>
    <w:p>
      <w:pPr>
        <w:pStyle w:val="ListParagraph"/>
        <w:numPr>
          <w:ilvl w:val="1"/>
          <w:numId w:val="2"/>
        </w:numPr>
        <w:tabs>
          <w:tab w:pos="1521" w:val="left" w:leader="none"/>
        </w:tabs>
        <w:spacing w:line="300" w:lineRule="auto" w:before="0" w:after="0"/>
        <w:ind w:left="1522" w:right="112" w:hanging="584"/>
        <w:jc w:val="both"/>
        <w:rPr>
          <w:sz w:val="23"/>
        </w:rPr>
      </w:pPr>
      <w:r>
        <w:rPr>
          <w:color w:val="231F20"/>
          <w:spacing w:val="5"/>
          <w:sz w:val="23"/>
        </w:rPr>
        <w:t>Continue </w:t>
      </w:r>
      <w:r>
        <w:rPr>
          <w:color w:val="231F20"/>
          <w:spacing w:val="2"/>
          <w:sz w:val="23"/>
        </w:rPr>
        <w:t>to </w:t>
      </w:r>
      <w:r>
        <w:rPr>
          <w:color w:val="231F20"/>
          <w:spacing w:val="4"/>
          <w:sz w:val="23"/>
        </w:rPr>
        <w:t>implement </w:t>
      </w:r>
      <w:r>
        <w:rPr>
          <w:color w:val="231F20"/>
          <w:sz w:val="23"/>
        </w:rPr>
        <w:t>a </w:t>
      </w:r>
      <w:r>
        <w:rPr>
          <w:color w:val="231F20"/>
          <w:spacing w:val="4"/>
          <w:sz w:val="23"/>
        </w:rPr>
        <w:t>robust </w:t>
      </w:r>
      <w:r>
        <w:rPr>
          <w:color w:val="231F20"/>
          <w:spacing w:val="3"/>
          <w:sz w:val="23"/>
        </w:rPr>
        <w:t>tax </w:t>
      </w:r>
      <w:r>
        <w:rPr>
          <w:color w:val="231F20"/>
          <w:spacing w:val="4"/>
          <w:sz w:val="23"/>
        </w:rPr>
        <w:t>education programme </w:t>
      </w:r>
      <w:r>
        <w:rPr>
          <w:color w:val="231F20"/>
          <w:spacing w:val="5"/>
          <w:sz w:val="23"/>
        </w:rPr>
        <w:t>and </w:t>
      </w:r>
      <w:r>
        <w:rPr>
          <w:color w:val="231F20"/>
          <w:sz w:val="23"/>
        </w:rPr>
        <w:t>communication</w:t>
      </w:r>
      <w:r>
        <w:rPr>
          <w:color w:val="231F20"/>
          <w:spacing w:val="-4"/>
          <w:sz w:val="23"/>
        </w:rPr>
        <w:t> </w:t>
      </w:r>
      <w:r>
        <w:rPr>
          <w:color w:val="231F20"/>
          <w:sz w:val="23"/>
        </w:rPr>
        <w:t>strategy;</w:t>
      </w:r>
    </w:p>
    <w:p>
      <w:pPr>
        <w:pStyle w:val="BodyText"/>
        <w:spacing w:before="5"/>
        <w:rPr>
          <w:sz w:val="29"/>
        </w:rPr>
      </w:pPr>
    </w:p>
    <w:p>
      <w:pPr>
        <w:pStyle w:val="ListParagraph"/>
        <w:numPr>
          <w:ilvl w:val="1"/>
          <w:numId w:val="2"/>
        </w:numPr>
        <w:tabs>
          <w:tab w:pos="1523" w:val="left" w:leader="none"/>
        </w:tabs>
        <w:spacing w:line="302" w:lineRule="auto" w:before="0" w:after="0"/>
        <w:ind w:left="1522" w:right="119" w:hanging="540"/>
        <w:jc w:val="both"/>
        <w:rPr>
          <w:sz w:val="23"/>
        </w:rPr>
      </w:pPr>
      <w:r>
        <w:rPr>
          <w:color w:val="231F20"/>
          <w:sz w:val="23"/>
        </w:rPr>
        <w:t>Undertake</w:t>
      </w:r>
      <w:r>
        <w:rPr>
          <w:color w:val="231F20"/>
          <w:spacing w:val="-9"/>
          <w:sz w:val="23"/>
        </w:rPr>
        <w:t> </w:t>
      </w:r>
      <w:r>
        <w:rPr>
          <w:color w:val="231F20"/>
          <w:sz w:val="23"/>
        </w:rPr>
        <w:t>a</w:t>
      </w:r>
      <w:r>
        <w:rPr>
          <w:color w:val="231F20"/>
          <w:spacing w:val="-9"/>
          <w:sz w:val="23"/>
        </w:rPr>
        <w:t> </w:t>
      </w:r>
      <w:r>
        <w:rPr>
          <w:color w:val="231F20"/>
          <w:sz w:val="23"/>
        </w:rPr>
        <w:t>rented</w:t>
      </w:r>
      <w:r>
        <w:rPr>
          <w:color w:val="231F20"/>
          <w:spacing w:val="-9"/>
          <w:sz w:val="23"/>
        </w:rPr>
        <w:t> </w:t>
      </w:r>
      <w:r>
        <w:rPr>
          <w:color w:val="231F20"/>
          <w:sz w:val="23"/>
        </w:rPr>
        <w:t>property</w:t>
      </w:r>
      <w:r>
        <w:rPr>
          <w:color w:val="231F20"/>
          <w:spacing w:val="-9"/>
          <w:sz w:val="23"/>
        </w:rPr>
        <w:t> </w:t>
      </w:r>
      <w:r>
        <w:rPr>
          <w:color w:val="231F20"/>
          <w:sz w:val="23"/>
        </w:rPr>
        <w:t>census</w:t>
      </w:r>
      <w:r>
        <w:rPr>
          <w:color w:val="231F20"/>
          <w:spacing w:val="-9"/>
          <w:sz w:val="23"/>
        </w:rPr>
        <w:t> </w:t>
      </w:r>
      <w:r>
        <w:rPr>
          <w:color w:val="231F20"/>
          <w:sz w:val="23"/>
        </w:rPr>
        <w:t>in</w:t>
      </w:r>
      <w:r>
        <w:rPr>
          <w:color w:val="231F20"/>
          <w:spacing w:val="-9"/>
          <w:sz w:val="23"/>
        </w:rPr>
        <w:t> </w:t>
      </w:r>
      <w:r>
        <w:rPr>
          <w:color w:val="231F20"/>
          <w:sz w:val="23"/>
        </w:rPr>
        <w:t>the</w:t>
      </w:r>
      <w:r>
        <w:rPr>
          <w:color w:val="231F20"/>
          <w:spacing w:val="-9"/>
          <w:sz w:val="23"/>
        </w:rPr>
        <w:t> </w:t>
      </w:r>
      <w:r>
        <w:rPr>
          <w:color w:val="231F20"/>
          <w:sz w:val="23"/>
        </w:rPr>
        <w:t>major</w:t>
      </w:r>
      <w:r>
        <w:rPr>
          <w:color w:val="231F20"/>
          <w:spacing w:val="-9"/>
          <w:sz w:val="23"/>
        </w:rPr>
        <w:t> </w:t>
      </w:r>
      <w:r>
        <w:rPr>
          <w:color w:val="231F20"/>
          <w:sz w:val="23"/>
        </w:rPr>
        <w:t>cities,</w:t>
      </w:r>
      <w:r>
        <w:rPr>
          <w:color w:val="231F20"/>
          <w:spacing w:val="-9"/>
          <w:sz w:val="23"/>
        </w:rPr>
        <w:t> </w:t>
      </w:r>
      <w:r>
        <w:rPr>
          <w:color w:val="231F20"/>
          <w:sz w:val="23"/>
        </w:rPr>
        <w:t>in</w:t>
      </w:r>
      <w:r>
        <w:rPr>
          <w:color w:val="231F20"/>
          <w:spacing w:val="-9"/>
          <w:sz w:val="23"/>
        </w:rPr>
        <w:t> </w:t>
      </w:r>
      <w:r>
        <w:rPr>
          <w:color w:val="231F20"/>
          <w:sz w:val="23"/>
        </w:rPr>
        <w:t>collaboration with</w:t>
      </w:r>
      <w:r>
        <w:rPr>
          <w:color w:val="231F20"/>
          <w:spacing w:val="-24"/>
          <w:sz w:val="23"/>
        </w:rPr>
        <w:t> </w:t>
      </w:r>
      <w:r>
        <w:rPr>
          <w:color w:val="231F20"/>
          <w:sz w:val="23"/>
        </w:rPr>
        <w:t>the</w:t>
      </w:r>
      <w:r>
        <w:rPr>
          <w:color w:val="231F20"/>
          <w:spacing w:val="-24"/>
          <w:sz w:val="23"/>
        </w:rPr>
        <w:t> </w:t>
      </w:r>
      <w:r>
        <w:rPr>
          <w:color w:val="231F20"/>
          <w:sz w:val="23"/>
        </w:rPr>
        <w:t>City</w:t>
      </w:r>
      <w:r>
        <w:rPr>
          <w:color w:val="231F20"/>
          <w:spacing w:val="-24"/>
          <w:sz w:val="23"/>
        </w:rPr>
        <w:t> </w:t>
      </w:r>
      <w:r>
        <w:rPr>
          <w:color w:val="231F20"/>
          <w:sz w:val="23"/>
        </w:rPr>
        <w:t>Councils,</w:t>
      </w:r>
      <w:r>
        <w:rPr>
          <w:color w:val="231F20"/>
          <w:spacing w:val="-24"/>
          <w:sz w:val="23"/>
        </w:rPr>
        <w:t> </w:t>
      </w:r>
      <w:r>
        <w:rPr>
          <w:color w:val="231F20"/>
          <w:sz w:val="23"/>
        </w:rPr>
        <w:t>to</w:t>
      </w:r>
      <w:r>
        <w:rPr>
          <w:color w:val="231F20"/>
          <w:spacing w:val="-24"/>
          <w:sz w:val="23"/>
        </w:rPr>
        <w:t> </w:t>
      </w:r>
      <w:r>
        <w:rPr>
          <w:color w:val="231F20"/>
          <w:sz w:val="23"/>
        </w:rPr>
        <w:t>establish</w:t>
      </w:r>
      <w:r>
        <w:rPr>
          <w:color w:val="231F20"/>
          <w:spacing w:val="-24"/>
          <w:sz w:val="23"/>
        </w:rPr>
        <w:t> </w:t>
      </w:r>
      <w:r>
        <w:rPr>
          <w:color w:val="231F20"/>
          <w:sz w:val="23"/>
        </w:rPr>
        <w:t>a</w:t>
      </w:r>
      <w:r>
        <w:rPr>
          <w:color w:val="231F20"/>
          <w:spacing w:val="-24"/>
          <w:sz w:val="23"/>
        </w:rPr>
        <w:t> </w:t>
      </w:r>
      <w:r>
        <w:rPr>
          <w:color w:val="231F20"/>
          <w:sz w:val="23"/>
        </w:rPr>
        <w:t>reliable</w:t>
      </w:r>
      <w:r>
        <w:rPr>
          <w:color w:val="231F20"/>
          <w:spacing w:val="-24"/>
          <w:sz w:val="23"/>
        </w:rPr>
        <w:t> </w:t>
      </w:r>
      <w:r>
        <w:rPr>
          <w:color w:val="231F20"/>
          <w:sz w:val="23"/>
        </w:rPr>
        <w:t>and</w:t>
      </w:r>
      <w:r>
        <w:rPr>
          <w:color w:val="231F20"/>
          <w:spacing w:val="-24"/>
          <w:sz w:val="23"/>
        </w:rPr>
        <w:t> </w:t>
      </w:r>
      <w:r>
        <w:rPr>
          <w:color w:val="231F20"/>
          <w:sz w:val="23"/>
        </w:rPr>
        <w:t>complete</w:t>
      </w:r>
      <w:r>
        <w:rPr>
          <w:color w:val="231F20"/>
          <w:spacing w:val="-24"/>
          <w:sz w:val="23"/>
        </w:rPr>
        <w:t> </w:t>
      </w:r>
      <w:r>
        <w:rPr>
          <w:color w:val="231F20"/>
          <w:sz w:val="23"/>
        </w:rPr>
        <w:t>rental</w:t>
      </w:r>
      <w:r>
        <w:rPr>
          <w:color w:val="231F20"/>
          <w:spacing w:val="-24"/>
          <w:sz w:val="23"/>
        </w:rPr>
        <w:t> </w:t>
      </w:r>
      <w:r>
        <w:rPr>
          <w:color w:val="231F20"/>
          <w:sz w:val="23"/>
        </w:rPr>
        <w:t>income tax</w:t>
      </w:r>
      <w:r>
        <w:rPr>
          <w:color w:val="231F20"/>
          <w:spacing w:val="-9"/>
          <w:sz w:val="23"/>
        </w:rPr>
        <w:t> </w:t>
      </w:r>
      <w:r>
        <w:rPr>
          <w:color w:val="231F20"/>
          <w:sz w:val="23"/>
        </w:rPr>
        <w:t>database;</w:t>
      </w:r>
    </w:p>
    <w:p>
      <w:pPr>
        <w:pStyle w:val="BodyText"/>
        <w:spacing w:before="9"/>
        <w:rPr>
          <w:sz w:val="28"/>
        </w:rPr>
      </w:pPr>
    </w:p>
    <w:p>
      <w:pPr>
        <w:pStyle w:val="ListParagraph"/>
        <w:numPr>
          <w:ilvl w:val="1"/>
          <w:numId w:val="2"/>
        </w:numPr>
        <w:tabs>
          <w:tab w:pos="1523" w:val="left" w:leader="none"/>
        </w:tabs>
        <w:spacing w:line="302" w:lineRule="auto" w:before="0" w:after="0"/>
        <w:ind w:left="1522" w:right="122" w:hanging="464"/>
        <w:jc w:val="both"/>
        <w:rPr>
          <w:sz w:val="23"/>
        </w:rPr>
      </w:pPr>
      <w:r>
        <w:rPr>
          <w:color w:val="231F20"/>
          <w:sz w:val="23"/>
        </w:rPr>
        <w:t>Implement</w:t>
      </w:r>
      <w:r>
        <w:rPr>
          <w:color w:val="231F20"/>
          <w:spacing w:val="-44"/>
          <w:sz w:val="23"/>
        </w:rPr>
        <w:t> </w:t>
      </w:r>
      <w:r>
        <w:rPr>
          <w:color w:val="231F20"/>
          <w:sz w:val="23"/>
        </w:rPr>
        <w:t>a</w:t>
      </w:r>
      <w:r>
        <w:rPr>
          <w:color w:val="231F20"/>
          <w:spacing w:val="-43"/>
          <w:sz w:val="23"/>
        </w:rPr>
        <w:t> </w:t>
      </w:r>
      <w:r>
        <w:rPr>
          <w:color w:val="231F20"/>
          <w:sz w:val="23"/>
        </w:rPr>
        <w:t>special</w:t>
      </w:r>
      <w:r>
        <w:rPr>
          <w:color w:val="231F20"/>
          <w:spacing w:val="-43"/>
          <w:sz w:val="23"/>
        </w:rPr>
        <w:t> </w:t>
      </w:r>
      <w:r>
        <w:rPr>
          <w:color w:val="231F20"/>
          <w:sz w:val="23"/>
        </w:rPr>
        <w:t>tax</w:t>
      </w:r>
      <w:r>
        <w:rPr>
          <w:color w:val="231F20"/>
          <w:spacing w:val="-43"/>
          <w:sz w:val="23"/>
        </w:rPr>
        <w:t> </w:t>
      </w:r>
      <w:r>
        <w:rPr>
          <w:color w:val="231F20"/>
          <w:sz w:val="23"/>
        </w:rPr>
        <w:t>regime</w:t>
      </w:r>
      <w:r>
        <w:rPr>
          <w:color w:val="231F20"/>
          <w:spacing w:val="-43"/>
          <w:sz w:val="23"/>
        </w:rPr>
        <w:t> </w:t>
      </w:r>
      <w:r>
        <w:rPr>
          <w:color w:val="231F20"/>
          <w:sz w:val="23"/>
        </w:rPr>
        <w:t>for</w:t>
      </w:r>
      <w:r>
        <w:rPr>
          <w:color w:val="231F20"/>
          <w:spacing w:val="-43"/>
          <w:sz w:val="23"/>
        </w:rPr>
        <w:t> </w:t>
      </w:r>
      <w:r>
        <w:rPr>
          <w:color w:val="231F20"/>
          <w:sz w:val="23"/>
        </w:rPr>
        <w:t>professionals</w:t>
      </w:r>
      <w:r>
        <w:rPr>
          <w:color w:val="231F20"/>
          <w:spacing w:val="-12"/>
          <w:sz w:val="23"/>
        </w:rPr>
        <w:t> </w:t>
      </w:r>
      <w:r>
        <w:rPr>
          <w:color w:val="231F20"/>
          <w:sz w:val="23"/>
        </w:rPr>
        <w:t>and</w:t>
      </w:r>
      <w:r>
        <w:rPr>
          <w:color w:val="231F20"/>
          <w:spacing w:val="-43"/>
          <w:sz w:val="23"/>
        </w:rPr>
        <w:t> </w:t>
      </w:r>
      <w:r>
        <w:rPr>
          <w:color w:val="231F20"/>
          <w:sz w:val="23"/>
        </w:rPr>
        <w:t>other</w:t>
      </w:r>
      <w:r>
        <w:rPr>
          <w:color w:val="231F20"/>
          <w:spacing w:val="-43"/>
          <w:sz w:val="23"/>
        </w:rPr>
        <w:t> </w:t>
      </w:r>
      <w:r>
        <w:rPr>
          <w:color w:val="231F20"/>
          <w:sz w:val="23"/>
        </w:rPr>
        <w:t>‘high</w:t>
      </w:r>
      <w:r>
        <w:rPr>
          <w:color w:val="231F20"/>
          <w:spacing w:val="-43"/>
          <w:sz w:val="23"/>
        </w:rPr>
        <w:t> </w:t>
      </w:r>
      <w:r>
        <w:rPr>
          <w:color w:val="231F20"/>
          <w:sz w:val="23"/>
        </w:rPr>
        <w:t>net</w:t>
      </w:r>
      <w:r>
        <w:rPr>
          <w:color w:val="231F20"/>
          <w:spacing w:val="-44"/>
          <w:sz w:val="23"/>
        </w:rPr>
        <w:t> </w:t>
      </w:r>
      <w:r>
        <w:rPr>
          <w:color w:val="231F20"/>
          <w:sz w:val="23"/>
        </w:rPr>
        <w:t>worth’ individuals;</w:t>
      </w:r>
    </w:p>
    <w:p>
      <w:pPr>
        <w:pStyle w:val="BodyText"/>
        <w:spacing w:before="11"/>
        <w:rPr>
          <w:sz w:val="28"/>
        </w:rPr>
      </w:pPr>
    </w:p>
    <w:p>
      <w:pPr>
        <w:pStyle w:val="ListParagraph"/>
        <w:numPr>
          <w:ilvl w:val="1"/>
          <w:numId w:val="2"/>
        </w:numPr>
        <w:tabs>
          <w:tab w:pos="1523" w:val="left" w:leader="none"/>
        </w:tabs>
        <w:spacing w:line="302" w:lineRule="auto" w:before="0" w:after="0"/>
        <w:ind w:left="1522" w:right="120" w:hanging="540"/>
        <w:jc w:val="both"/>
        <w:rPr>
          <w:sz w:val="23"/>
        </w:rPr>
      </w:pPr>
      <w:r>
        <w:rPr>
          <w:color w:val="231F20"/>
          <w:sz w:val="23"/>
        </w:rPr>
        <w:t>Implement the Domestic Tax Preparer’s Scheme and simplify the tax regime</w:t>
      </w:r>
      <w:r>
        <w:rPr>
          <w:color w:val="231F20"/>
          <w:spacing w:val="-18"/>
          <w:sz w:val="23"/>
        </w:rPr>
        <w:t> </w:t>
      </w:r>
      <w:r>
        <w:rPr>
          <w:color w:val="231F20"/>
          <w:sz w:val="23"/>
        </w:rPr>
        <w:t>for</w:t>
      </w:r>
      <w:r>
        <w:rPr>
          <w:color w:val="231F20"/>
          <w:spacing w:val="-18"/>
          <w:sz w:val="23"/>
        </w:rPr>
        <w:t> </w:t>
      </w:r>
      <w:r>
        <w:rPr>
          <w:color w:val="231F20"/>
          <w:sz w:val="23"/>
        </w:rPr>
        <w:t>SMEs</w:t>
      </w:r>
      <w:r>
        <w:rPr>
          <w:color w:val="231F20"/>
          <w:spacing w:val="-18"/>
          <w:sz w:val="23"/>
        </w:rPr>
        <w:t> </w:t>
      </w:r>
      <w:r>
        <w:rPr>
          <w:color w:val="231F20"/>
          <w:sz w:val="23"/>
        </w:rPr>
        <w:t>to</w:t>
      </w:r>
      <w:r>
        <w:rPr>
          <w:color w:val="231F20"/>
          <w:spacing w:val="-18"/>
          <w:sz w:val="23"/>
        </w:rPr>
        <w:t> </w:t>
      </w:r>
      <w:r>
        <w:rPr>
          <w:color w:val="231F20"/>
          <w:sz w:val="23"/>
        </w:rPr>
        <w:t>encourage</w:t>
      </w:r>
      <w:r>
        <w:rPr>
          <w:color w:val="231F20"/>
          <w:spacing w:val="-18"/>
          <w:sz w:val="23"/>
        </w:rPr>
        <w:t> </w:t>
      </w:r>
      <w:r>
        <w:rPr>
          <w:color w:val="231F20"/>
          <w:sz w:val="23"/>
        </w:rPr>
        <w:t>them</w:t>
      </w:r>
      <w:r>
        <w:rPr>
          <w:color w:val="231F20"/>
          <w:spacing w:val="-17"/>
          <w:sz w:val="23"/>
        </w:rPr>
        <w:t> </w:t>
      </w:r>
      <w:r>
        <w:rPr>
          <w:color w:val="231F20"/>
          <w:sz w:val="23"/>
        </w:rPr>
        <w:t>to</w:t>
      </w:r>
      <w:r>
        <w:rPr>
          <w:color w:val="231F20"/>
          <w:spacing w:val="-18"/>
          <w:sz w:val="23"/>
        </w:rPr>
        <w:t> </w:t>
      </w:r>
      <w:r>
        <w:rPr>
          <w:color w:val="231F20"/>
          <w:sz w:val="23"/>
        </w:rPr>
        <w:t>enter</w:t>
      </w:r>
      <w:r>
        <w:rPr>
          <w:color w:val="231F20"/>
          <w:spacing w:val="-18"/>
          <w:sz w:val="23"/>
        </w:rPr>
        <w:t> </w:t>
      </w:r>
      <w:r>
        <w:rPr>
          <w:color w:val="231F20"/>
          <w:sz w:val="23"/>
        </w:rPr>
        <w:t>the</w:t>
      </w:r>
      <w:r>
        <w:rPr>
          <w:color w:val="231F20"/>
          <w:spacing w:val="-18"/>
          <w:sz w:val="23"/>
        </w:rPr>
        <w:t> </w:t>
      </w:r>
      <w:r>
        <w:rPr>
          <w:color w:val="231F20"/>
          <w:sz w:val="23"/>
        </w:rPr>
        <w:t>formal</w:t>
      </w:r>
      <w:r>
        <w:rPr>
          <w:color w:val="231F20"/>
          <w:spacing w:val="-18"/>
          <w:sz w:val="23"/>
        </w:rPr>
        <w:t> </w:t>
      </w:r>
      <w:r>
        <w:rPr>
          <w:color w:val="231F20"/>
          <w:sz w:val="23"/>
        </w:rPr>
        <w:t>sector</w:t>
      </w:r>
      <w:r>
        <w:rPr>
          <w:color w:val="231F20"/>
          <w:spacing w:val="-18"/>
          <w:sz w:val="23"/>
        </w:rPr>
        <w:t> </w:t>
      </w:r>
      <w:r>
        <w:rPr>
          <w:color w:val="231F20"/>
          <w:sz w:val="23"/>
        </w:rPr>
        <w:t>and</w:t>
      </w:r>
      <w:r>
        <w:rPr>
          <w:color w:val="231F20"/>
          <w:spacing w:val="-17"/>
          <w:sz w:val="23"/>
        </w:rPr>
        <w:t> </w:t>
      </w:r>
      <w:r>
        <w:rPr>
          <w:color w:val="231F20"/>
          <w:sz w:val="23"/>
        </w:rPr>
        <w:t>create more</w:t>
      </w:r>
      <w:r>
        <w:rPr>
          <w:color w:val="231F20"/>
          <w:spacing w:val="-20"/>
          <w:sz w:val="23"/>
        </w:rPr>
        <w:t> </w:t>
      </w:r>
      <w:r>
        <w:rPr>
          <w:color w:val="231F20"/>
          <w:sz w:val="23"/>
        </w:rPr>
        <w:t>jobs;</w:t>
      </w:r>
    </w:p>
    <w:p>
      <w:pPr>
        <w:pStyle w:val="BodyText"/>
        <w:rPr>
          <w:sz w:val="29"/>
        </w:rPr>
      </w:pPr>
    </w:p>
    <w:p>
      <w:pPr>
        <w:pStyle w:val="ListParagraph"/>
        <w:numPr>
          <w:ilvl w:val="1"/>
          <w:numId w:val="2"/>
        </w:numPr>
        <w:tabs>
          <w:tab w:pos="1525" w:val="left" w:leader="none"/>
        </w:tabs>
        <w:spacing w:line="302" w:lineRule="auto" w:before="0" w:after="0"/>
        <w:ind w:left="1522" w:right="119" w:hanging="615"/>
        <w:jc w:val="both"/>
        <w:rPr>
          <w:sz w:val="23"/>
        </w:rPr>
      </w:pPr>
      <w:r>
        <w:rPr>
          <w:color w:val="231F20"/>
          <w:sz w:val="23"/>
        </w:rPr>
        <w:t>Operationalise the Excise Stamp Duty regime to reduce smuggling of imported</w:t>
      </w:r>
      <w:r>
        <w:rPr>
          <w:color w:val="231F20"/>
          <w:spacing w:val="-16"/>
          <w:sz w:val="23"/>
        </w:rPr>
        <w:t> </w:t>
      </w:r>
      <w:r>
        <w:rPr>
          <w:color w:val="231F20"/>
          <w:sz w:val="23"/>
        </w:rPr>
        <w:t>alcoholic,</w:t>
      </w:r>
      <w:r>
        <w:rPr>
          <w:color w:val="231F20"/>
          <w:spacing w:val="-17"/>
          <w:sz w:val="23"/>
        </w:rPr>
        <w:t> </w:t>
      </w:r>
      <w:r>
        <w:rPr>
          <w:color w:val="231F20"/>
          <w:sz w:val="23"/>
        </w:rPr>
        <w:t>tobacco,</w:t>
      </w:r>
      <w:r>
        <w:rPr>
          <w:color w:val="231F20"/>
          <w:spacing w:val="-16"/>
          <w:sz w:val="23"/>
        </w:rPr>
        <w:t> </w:t>
      </w:r>
      <w:r>
        <w:rPr>
          <w:color w:val="231F20"/>
          <w:sz w:val="23"/>
        </w:rPr>
        <w:t>and</w:t>
      </w:r>
      <w:r>
        <w:rPr>
          <w:color w:val="231F20"/>
          <w:spacing w:val="-17"/>
          <w:sz w:val="23"/>
        </w:rPr>
        <w:t> </w:t>
      </w:r>
      <w:r>
        <w:rPr>
          <w:color w:val="231F20"/>
          <w:sz w:val="23"/>
        </w:rPr>
        <w:t>other</w:t>
      </w:r>
      <w:r>
        <w:rPr>
          <w:color w:val="231F20"/>
          <w:spacing w:val="-17"/>
          <w:sz w:val="23"/>
        </w:rPr>
        <w:t> </w:t>
      </w:r>
      <w:r>
        <w:rPr>
          <w:color w:val="231F20"/>
          <w:sz w:val="23"/>
        </w:rPr>
        <w:t>products;</w:t>
      </w:r>
    </w:p>
    <w:p>
      <w:pPr>
        <w:pStyle w:val="BodyText"/>
        <w:spacing w:before="11"/>
        <w:rPr>
          <w:sz w:val="28"/>
        </w:rPr>
      </w:pPr>
    </w:p>
    <w:p>
      <w:pPr>
        <w:pStyle w:val="ListParagraph"/>
        <w:numPr>
          <w:ilvl w:val="1"/>
          <w:numId w:val="2"/>
        </w:numPr>
        <w:tabs>
          <w:tab w:pos="1519" w:val="left" w:leader="none"/>
        </w:tabs>
        <w:spacing w:line="302" w:lineRule="auto" w:before="0" w:after="0"/>
        <w:ind w:left="1522" w:right="119" w:hanging="689"/>
        <w:jc w:val="both"/>
        <w:rPr>
          <w:sz w:val="23"/>
        </w:rPr>
      </w:pPr>
      <w:r>
        <w:rPr>
          <w:color w:val="231F20"/>
          <w:sz w:val="23"/>
        </w:rPr>
        <w:t>Enforce</w:t>
      </w:r>
      <w:r>
        <w:rPr>
          <w:color w:val="231F20"/>
          <w:spacing w:val="-27"/>
          <w:sz w:val="23"/>
        </w:rPr>
        <w:t> </w:t>
      </w:r>
      <w:r>
        <w:rPr>
          <w:color w:val="231F20"/>
          <w:sz w:val="23"/>
        </w:rPr>
        <w:t>the</w:t>
      </w:r>
      <w:r>
        <w:rPr>
          <w:color w:val="231F20"/>
          <w:spacing w:val="-27"/>
          <w:sz w:val="23"/>
        </w:rPr>
        <w:t> </w:t>
      </w:r>
      <w:r>
        <w:rPr>
          <w:color w:val="231F20"/>
          <w:sz w:val="23"/>
        </w:rPr>
        <w:t>provisions</w:t>
      </w:r>
      <w:r>
        <w:rPr>
          <w:color w:val="231F20"/>
          <w:spacing w:val="-28"/>
          <w:sz w:val="23"/>
        </w:rPr>
        <w:t> </w:t>
      </w:r>
      <w:r>
        <w:rPr>
          <w:color w:val="231F20"/>
          <w:sz w:val="23"/>
        </w:rPr>
        <w:t>in</w:t>
      </w:r>
      <w:r>
        <w:rPr>
          <w:color w:val="231F20"/>
          <w:spacing w:val="-27"/>
          <w:sz w:val="23"/>
        </w:rPr>
        <w:t> </w:t>
      </w:r>
      <w:r>
        <w:rPr>
          <w:color w:val="231F20"/>
          <w:sz w:val="23"/>
        </w:rPr>
        <w:t>the</w:t>
      </w:r>
      <w:r>
        <w:rPr>
          <w:color w:val="231F20"/>
          <w:spacing w:val="-27"/>
          <w:sz w:val="23"/>
        </w:rPr>
        <w:t> </w:t>
      </w:r>
      <w:r>
        <w:rPr>
          <w:color w:val="231F20"/>
          <w:sz w:val="23"/>
        </w:rPr>
        <w:t>2020</w:t>
      </w:r>
      <w:r>
        <w:rPr>
          <w:color w:val="231F20"/>
          <w:spacing w:val="-28"/>
          <w:sz w:val="23"/>
        </w:rPr>
        <w:t> </w:t>
      </w:r>
      <w:r>
        <w:rPr>
          <w:color w:val="231F20"/>
          <w:sz w:val="23"/>
        </w:rPr>
        <w:t>Finance</w:t>
      </w:r>
      <w:r>
        <w:rPr>
          <w:color w:val="231F20"/>
          <w:spacing w:val="-28"/>
          <w:sz w:val="23"/>
        </w:rPr>
        <w:t> </w:t>
      </w:r>
      <w:r>
        <w:rPr>
          <w:color w:val="231F20"/>
          <w:sz w:val="23"/>
        </w:rPr>
        <w:t>Act</w:t>
      </w:r>
      <w:r>
        <w:rPr>
          <w:color w:val="231F20"/>
          <w:spacing w:val="-28"/>
          <w:sz w:val="23"/>
        </w:rPr>
        <w:t> </w:t>
      </w:r>
      <w:r>
        <w:rPr>
          <w:color w:val="231F20"/>
          <w:sz w:val="23"/>
        </w:rPr>
        <w:t>relating</w:t>
      </w:r>
      <w:r>
        <w:rPr>
          <w:color w:val="231F20"/>
          <w:spacing w:val="-27"/>
          <w:sz w:val="23"/>
        </w:rPr>
        <w:t> </w:t>
      </w:r>
      <w:r>
        <w:rPr>
          <w:color w:val="231F20"/>
          <w:sz w:val="23"/>
        </w:rPr>
        <w:t>to</w:t>
      </w:r>
      <w:r>
        <w:rPr>
          <w:color w:val="231F20"/>
          <w:spacing w:val="-27"/>
          <w:sz w:val="23"/>
        </w:rPr>
        <w:t> </w:t>
      </w:r>
      <w:r>
        <w:rPr>
          <w:color w:val="231F20"/>
          <w:sz w:val="23"/>
        </w:rPr>
        <w:t>customers</w:t>
      </w:r>
      <w:r>
        <w:rPr>
          <w:color w:val="231F20"/>
          <w:spacing w:val="-27"/>
          <w:sz w:val="23"/>
        </w:rPr>
        <w:t> </w:t>
      </w:r>
      <w:r>
        <w:rPr>
          <w:color w:val="231F20"/>
          <w:sz w:val="23"/>
        </w:rPr>
        <w:t>who fail to request for GST receipts after purchasing from GST registered businesses;</w:t>
      </w:r>
      <w:r>
        <w:rPr>
          <w:color w:val="231F20"/>
          <w:spacing w:val="-1"/>
          <w:sz w:val="23"/>
        </w:rPr>
        <w:t> </w:t>
      </w:r>
      <w:r>
        <w:rPr>
          <w:color w:val="231F20"/>
          <w:sz w:val="23"/>
        </w:rPr>
        <w:t>and</w:t>
      </w:r>
    </w:p>
    <w:p>
      <w:pPr>
        <w:pStyle w:val="BodyText"/>
        <w:rPr>
          <w:sz w:val="29"/>
        </w:rPr>
      </w:pPr>
    </w:p>
    <w:p>
      <w:pPr>
        <w:pStyle w:val="ListParagraph"/>
        <w:numPr>
          <w:ilvl w:val="1"/>
          <w:numId w:val="2"/>
        </w:numPr>
        <w:tabs>
          <w:tab w:pos="1523" w:val="left" w:leader="none"/>
        </w:tabs>
        <w:spacing w:line="302" w:lineRule="auto" w:before="0" w:after="0"/>
        <w:ind w:left="1522" w:right="119" w:hanging="555"/>
        <w:jc w:val="both"/>
        <w:rPr>
          <w:sz w:val="23"/>
        </w:rPr>
      </w:pPr>
      <w:r>
        <w:rPr>
          <w:color w:val="231F20"/>
          <w:sz w:val="23"/>
        </w:rPr>
        <w:t>Beneficiaries of GST Relief Purchase Order (GRPO) are now required to make</w:t>
      </w:r>
      <w:r>
        <w:rPr>
          <w:color w:val="231F20"/>
          <w:spacing w:val="-46"/>
          <w:sz w:val="23"/>
        </w:rPr>
        <w:t> </w:t>
      </w:r>
      <w:r>
        <w:rPr>
          <w:color w:val="231F20"/>
          <w:sz w:val="23"/>
        </w:rPr>
        <w:t>upfront</w:t>
      </w:r>
      <w:r>
        <w:rPr>
          <w:color w:val="231F20"/>
          <w:spacing w:val="-46"/>
          <w:sz w:val="23"/>
        </w:rPr>
        <w:t> </w:t>
      </w:r>
      <w:r>
        <w:rPr>
          <w:color w:val="231F20"/>
          <w:sz w:val="23"/>
        </w:rPr>
        <w:t>tax</w:t>
      </w:r>
      <w:r>
        <w:rPr>
          <w:color w:val="231F20"/>
          <w:spacing w:val="-44"/>
          <w:sz w:val="23"/>
        </w:rPr>
        <w:t> </w:t>
      </w:r>
      <w:r>
        <w:rPr>
          <w:color w:val="231F20"/>
          <w:sz w:val="23"/>
        </w:rPr>
        <w:t>payments</w:t>
      </w:r>
      <w:r>
        <w:rPr>
          <w:color w:val="231F20"/>
          <w:spacing w:val="-46"/>
          <w:sz w:val="23"/>
        </w:rPr>
        <w:t> </w:t>
      </w:r>
      <w:r>
        <w:rPr>
          <w:color w:val="231F20"/>
          <w:sz w:val="23"/>
        </w:rPr>
        <w:t>and</w:t>
      </w:r>
      <w:r>
        <w:rPr>
          <w:color w:val="231F20"/>
          <w:spacing w:val="-46"/>
          <w:sz w:val="23"/>
        </w:rPr>
        <w:t> </w:t>
      </w:r>
      <w:r>
        <w:rPr>
          <w:color w:val="231F20"/>
          <w:sz w:val="23"/>
        </w:rPr>
        <w:t>will</w:t>
      </w:r>
      <w:r>
        <w:rPr>
          <w:color w:val="231F20"/>
          <w:spacing w:val="-44"/>
          <w:sz w:val="23"/>
        </w:rPr>
        <w:t> </w:t>
      </w:r>
      <w:r>
        <w:rPr>
          <w:color w:val="231F20"/>
          <w:sz w:val="23"/>
        </w:rPr>
        <w:t>be</w:t>
      </w:r>
      <w:r>
        <w:rPr>
          <w:color w:val="231F20"/>
          <w:spacing w:val="-46"/>
          <w:sz w:val="23"/>
        </w:rPr>
        <w:t> </w:t>
      </w:r>
      <w:r>
        <w:rPr>
          <w:color w:val="231F20"/>
          <w:sz w:val="23"/>
        </w:rPr>
        <w:t>refunded</w:t>
      </w:r>
      <w:r>
        <w:rPr>
          <w:color w:val="231F20"/>
          <w:spacing w:val="-46"/>
          <w:sz w:val="23"/>
        </w:rPr>
        <w:t> </w:t>
      </w:r>
      <w:r>
        <w:rPr>
          <w:color w:val="231F20"/>
          <w:sz w:val="23"/>
        </w:rPr>
        <w:t>within</w:t>
      </w:r>
      <w:r>
        <w:rPr>
          <w:color w:val="231F20"/>
          <w:spacing w:val="-44"/>
          <w:sz w:val="23"/>
        </w:rPr>
        <w:t> </w:t>
      </w:r>
      <w:r>
        <w:rPr>
          <w:color w:val="231F20"/>
          <w:sz w:val="23"/>
        </w:rPr>
        <w:t>90</w:t>
      </w:r>
      <w:r>
        <w:rPr>
          <w:color w:val="231F20"/>
          <w:spacing w:val="-46"/>
          <w:sz w:val="23"/>
        </w:rPr>
        <w:t> </w:t>
      </w:r>
      <w:r>
        <w:rPr>
          <w:color w:val="231F20"/>
          <w:sz w:val="23"/>
        </w:rPr>
        <w:t>days</w:t>
      </w:r>
      <w:r>
        <w:rPr>
          <w:color w:val="231F20"/>
          <w:spacing w:val="-46"/>
          <w:sz w:val="23"/>
        </w:rPr>
        <w:t> </w:t>
      </w:r>
      <w:r>
        <w:rPr>
          <w:color w:val="231F20"/>
          <w:sz w:val="23"/>
        </w:rPr>
        <w:t>upon</w:t>
      </w:r>
      <w:r>
        <w:rPr>
          <w:color w:val="231F20"/>
          <w:spacing w:val="-45"/>
          <w:sz w:val="23"/>
        </w:rPr>
        <w:t> </w:t>
      </w:r>
      <w:r>
        <w:rPr>
          <w:color w:val="231F20"/>
          <w:spacing w:val="-2"/>
          <w:sz w:val="23"/>
        </w:rPr>
        <w:t>filing </w:t>
      </w:r>
      <w:r>
        <w:rPr>
          <w:color w:val="231F20"/>
          <w:sz w:val="23"/>
        </w:rPr>
        <w:t>of a tax</w:t>
      </w:r>
      <w:r>
        <w:rPr>
          <w:color w:val="231F20"/>
          <w:spacing w:val="21"/>
          <w:sz w:val="23"/>
        </w:rPr>
        <w:t> </w:t>
      </w:r>
      <w:r>
        <w:rPr>
          <w:color w:val="231F20"/>
          <w:sz w:val="23"/>
        </w:rPr>
        <w:t>reclaim.</w:t>
      </w:r>
    </w:p>
    <w:p>
      <w:pPr>
        <w:pStyle w:val="BodyText"/>
        <w:spacing w:before="9"/>
        <w:rPr>
          <w:sz w:val="28"/>
        </w:rPr>
      </w:pPr>
    </w:p>
    <w:p>
      <w:pPr>
        <w:pStyle w:val="Heading2"/>
        <w:ind w:left="105"/>
      </w:pPr>
      <w:r>
        <w:rPr>
          <w:color w:val="231F20"/>
        </w:rPr>
        <w:t>Local Councils Revenue Mobilisation</w:t>
      </w:r>
    </w:p>
    <w:p>
      <w:pPr>
        <w:pStyle w:val="ListParagraph"/>
        <w:numPr>
          <w:ilvl w:val="0"/>
          <w:numId w:val="2"/>
        </w:numPr>
        <w:tabs>
          <w:tab w:pos="954" w:val="left" w:leader="none"/>
        </w:tabs>
        <w:spacing w:line="302" w:lineRule="auto" w:before="71" w:after="0"/>
        <w:ind w:left="103" w:right="121" w:firstLine="223"/>
        <w:jc w:val="both"/>
        <w:rPr>
          <w:sz w:val="23"/>
        </w:rPr>
      </w:pPr>
      <w:r>
        <w:rPr>
          <w:color w:val="231F20"/>
          <w:sz w:val="23"/>
        </w:rPr>
        <w:t>Mr.</w:t>
      </w:r>
      <w:r>
        <w:rPr>
          <w:color w:val="231F20"/>
          <w:spacing w:val="-50"/>
          <w:sz w:val="23"/>
        </w:rPr>
        <w:t> </w:t>
      </w:r>
      <w:r>
        <w:rPr>
          <w:color w:val="231F20"/>
          <w:spacing w:val="-3"/>
          <w:sz w:val="23"/>
        </w:rPr>
        <w:t>Speaker,</w:t>
      </w:r>
      <w:r>
        <w:rPr>
          <w:color w:val="231F20"/>
          <w:spacing w:val="-49"/>
          <w:sz w:val="23"/>
        </w:rPr>
        <w:t> </w:t>
      </w:r>
      <w:r>
        <w:rPr>
          <w:color w:val="231F20"/>
          <w:sz w:val="23"/>
        </w:rPr>
        <w:t>Honourable</w:t>
      </w:r>
      <w:r>
        <w:rPr>
          <w:color w:val="231F20"/>
          <w:spacing w:val="-49"/>
          <w:sz w:val="23"/>
        </w:rPr>
        <w:t> </w:t>
      </w:r>
      <w:r>
        <w:rPr>
          <w:color w:val="231F20"/>
          <w:sz w:val="23"/>
        </w:rPr>
        <w:t>Members,</w:t>
      </w:r>
      <w:r>
        <w:rPr>
          <w:color w:val="231F20"/>
          <w:spacing w:val="-49"/>
          <w:sz w:val="23"/>
        </w:rPr>
        <w:t> </w:t>
      </w:r>
      <w:r>
        <w:rPr>
          <w:color w:val="231F20"/>
          <w:sz w:val="23"/>
        </w:rPr>
        <w:t>in</w:t>
      </w:r>
      <w:r>
        <w:rPr>
          <w:color w:val="231F20"/>
          <w:spacing w:val="-49"/>
          <w:sz w:val="23"/>
        </w:rPr>
        <w:t> </w:t>
      </w:r>
      <w:r>
        <w:rPr>
          <w:color w:val="231F20"/>
          <w:sz w:val="23"/>
        </w:rPr>
        <w:t>2020,</w:t>
      </w:r>
      <w:r>
        <w:rPr>
          <w:color w:val="231F20"/>
          <w:spacing w:val="-49"/>
          <w:sz w:val="23"/>
        </w:rPr>
        <w:t> </w:t>
      </w:r>
      <w:r>
        <w:rPr>
          <w:color w:val="231F20"/>
          <w:sz w:val="23"/>
        </w:rPr>
        <w:t>emphasis</w:t>
      </w:r>
      <w:r>
        <w:rPr>
          <w:color w:val="231F20"/>
          <w:spacing w:val="-49"/>
          <w:sz w:val="23"/>
        </w:rPr>
        <w:t> </w:t>
      </w:r>
      <w:r>
        <w:rPr>
          <w:color w:val="231F20"/>
          <w:sz w:val="23"/>
        </w:rPr>
        <w:t>will</w:t>
      </w:r>
      <w:r>
        <w:rPr>
          <w:color w:val="231F20"/>
          <w:spacing w:val="-49"/>
          <w:sz w:val="23"/>
        </w:rPr>
        <w:t> </w:t>
      </w:r>
      <w:r>
        <w:rPr>
          <w:color w:val="231F20"/>
          <w:sz w:val="23"/>
        </w:rPr>
        <w:t>be</w:t>
      </w:r>
      <w:r>
        <w:rPr>
          <w:color w:val="231F20"/>
          <w:spacing w:val="-49"/>
          <w:sz w:val="23"/>
        </w:rPr>
        <w:t> </w:t>
      </w:r>
      <w:r>
        <w:rPr>
          <w:color w:val="231F20"/>
          <w:sz w:val="23"/>
        </w:rPr>
        <w:t>placed</w:t>
      </w:r>
      <w:r>
        <w:rPr>
          <w:color w:val="231F20"/>
          <w:spacing w:val="-49"/>
          <w:sz w:val="23"/>
        </w:rPr>
        <w:t> </w:t>
      </w:r>
      <w:r>
        <w:rPr>
          <w:color w:val="231F20"/>
          <w:sz w:val="23"/>
        </w:rPr>
        <w:t>on</w:t>
      </w:r>
      <w:r>
        <w:rPr>
          <w:color w:val="231F20"/>
          <w:spacing w:val="-49"/>
          <w:sz w:val="23"/>
        </w:rPr>
        <w:t> </w:t>
      </w:r>
      <w:r>
        <w:rPr>
          <w:color w:val="231F20"/>
          <w:sz w:val="23"/>
        </w:rPr>
        <w:t>building the</w:t>
      </w:r>
      <w:r>
        <w:rPr>
          <w:color w:val="231F20"/>
          <w:spacing w:val="-44"/>
          <w:sz w:val="23"/>
        </w:rPr>
        <w:t> </w:t>
      </w:r>
      <w:r>
        <w:rPr>
          <w:color w:val="231F20"/>
          <w:sz w:val="23"/>
        </w:rPr>
        <w:t>capacity</w:t>
      </w:r>
      <w:r>
        <w:rPr>
          <w:color w:val="231F20"/>
          <w:spacing w:val="-43"/>
          <w:sz w:val="23"/>
        </w:rPr>
        <w:t> </w:t>
      </w:r>
      <w:r>
        <w:rPr>
          <w:color w:val="231F20"/>
          <w:sz w:val="23"/>
        </w:rPr>
        <w:t>of</w:t>
      </w:r>
      <w:r>
        <w:rPr>
          <w:color w:val="231F20"/>
          <w:spacing w:val="-43"/>
          <w:sz w:val="23"/>
        </w:rPr>
        <w:t> </w:t>
      </w:r>
      <w:r>
        <w:rPr>
          <w:color w:val="231F20"/>
          <w:sz w:val="23"/>
        </w:rPr>
        <w:t>local</w:t>
      </w:r>
      <w:r>
        <w:rPr>
          <w:color w:val="231F20"/>
          <w:spacing w:val="-43"/>
          <w:sz w:val="23"/>
        </w:rPr>
        <w:t> </w:t>
      </w:r>
      <w:r>
        <w:rPr>
          <w:color w:val="231F20"/>
          <w:sz w:val="23"/>
        </w:rPr>
        <w:t>councils</w:t>
      </w:r>
      <w:r>
        <w:rPr>
          <w:color w:val="231F20"/>
          <w:spacing w:val="-43"/>
          <w:sz w:val="23"/>
        </w:rPr>
        <w:t> </w:t>
      </w:r>
      <w:r>
        <w:rPr>
          <w:color w:val="231F20"/>
          <w:sz w:val="23"/>
        </w:rPr>
        <w:t>to</w:t>
      </w:r>
      <w:r>
        <w:rPr>
          <w:color w:val="231F20"/>
          <w:spacing w:val="-43"/>
          <w:sz w:val="23"/>
        </w:rPr>
        <w:t> </w:t>
      </w:r>
      <w:r>
        <w:rPr>
          <w:color w:val="231F20"/>
          <w:sz w:val="23"/>
        </w:rPr>
        <w:t>efficiently</w:t>
      </w:r>
      <w:r>
        <w:rPr>
          <w:color w:val="231F20"/>
          <w:spacing w:val="-44"/>
          <w:sz w:val="23"/>
        </w:rPr>
        <w:t> </w:t>
      </w:r>
      <w:r>
        <w:rPr>
          <w:color w:val="231F20"/>
          <w:sz w:val="23"/>
        </w:rPr>
        <w:t>mobilise</w:t>
      </w:r>
      <w:r>
        <w:rPr>
          <w:color w:val="231F20"/>
          <w:spacing w:val="-43"/>
          <w:sz w:val="23"/>
        </w:rPr>
        <w:t> </w:t>
      </w:r>
      <w:r>
        <w:rPr>
          <w:color w:val="231F20"/>
          <w:sz w:val="23"/>
        </w:rPr>
        <w:t>own-source</w:t>
      </w:r>
      <w:r>
        <w:rPr>
          <w:color w:val="231F20"/>
          <w:spacing w:val="-43"/>
          <w:sz w:val="23"/>
        </w:rPr>
        <w:t> </w:t>
      </w:r>
      <w:r>
        <w:rPr>
          <w:color w:val="231F20"/>
          <w:sz w:val="23"/>
        </w:rPr>
        <w:t>revenue;</w:t>
      </w:r>
      <w:r>
        <w:rPr>
          <w:color w:val="231F20"/>
          <w:spacing w:val="-43"/>
          <w:sz w:val="23"/>
        </w:rPr>
        <w:t> </w:t>
      </w:r>
      <w:r>
        <w:rPr>
          <w:color w:val="231F20"/>
          <w:sz w:val="23"/>
        </w:rPr>
        <w:t>beginning</w:t>
      </w:r>
      <w:r>
        <w:rPr>
          <w:color w:val="231F20"/>
          <w:spacing w:val="-43"/>
          <w:sz w:val="23"/>
        </w:rPr>
        <w:t> </w:t>
      </w:r>
      <w:r>
        <w:rPr>
          <w:color w:val="231F20"/>
          <w:sz w:val="23"/>
        </w:rPr>
        <w:t>with the</w:t>
      </w:r>
      <w:r>
        <w:rPr>
          <w:color w:val="231F20"/>
          <w:spacing w:val="-16"/>
          <w:sz w:val="23"/>
        </w:rPr>
        <w:t> </w:t>
      </w:r>
      <w:r>
        <w:rPr>
          <w:color w:val="231F20"/>
          <w:sz w:val="23"/>
        </w:rPr>
        <w:t>automation</w:t>
      </w:r>
      <w:r>
        <w:rPr>
          <w:color w:val="231F20"/>
          <w:spacing w:val="-16"/>
          <w:sz w:val="23"/>
        </w:rPr>
        <w:t> </w:t>
      </w:r>
      <w:r>
        <w:rPr>
          <w:color w:val="231F20"/>
          <w:sz w:val="23"/>
        </w:rPr>
        <w:t>of</w:t>
      </w:r>
      <w:r>
        <w:rPr>
          <w:color w:val="231F20"/>
          <w:spacing w:val="-16"/>
          <w:sz w:val="23"/>
        </w:rPr>
        <w:t> </w:t>
      </w:r>
      <w:r>
        <w:rPr>
          <w:color w:val="231F20"/>
          <w:sz w:val="23"/>
        </w:rPr>
        <w:t>property</w:t>
      </w:r>
      <w:r>
        <w:rPr>
          <w:color w:val="231F20"/>
          <w:spacing w:val="-16"/>
          <w:sz w:val="23"/>
        </w:rPr>
        <w:t> </w:t>
      </w:r>
      <w:r>
        <w:rPr>
          <w:color w:val="231F20"/>
          <w:sz w:val="23"/>
        </w:rPr>
        <w:t>cadastre</w:t>
      </w:r>
      <w:r>
        <w:rPr>
          <w:color w:val="231F20"/>
          <w:spacing w:val="-16"/>
          <w:sz w:val="23"/>
        </w:rPr>
        <w:t> </w:t>
      </w:r>
      <w:r>
        <w:rPr>
          <w:color w:val="231F20"/>
          <w:sz w:val="23"/>
        </w:rPr>
        <w:t>systems</w:t>
      </w:r>
      <w:r>
        <w:rPr>
          <w:color w:val="231F20"/>
          <w:spacing w:val="-16"/>
          <w:sz w:val="23"/>
        </w:rPr>
        <w:t> </w:t>
      </w:r>
      <w:r>
        <w:rPr>
          <w:color w:val="231F20"/>
          <w:sz w:val="23"/>
        </w:rPr>
        <w:t>in</w:t>
      </w:r>
      <w:r>
        <w:rPr>
          <w:color w:val="231F20"/>
          <w:spacing w:val="-16"/>
          <w:sz w:val="23"/>
        </w:rPr>
        <w:t> </w:t>
      </w:r>
      <w:r>
        <w:rPr>
          <w:color w:val="231F20"/>
          <w:sz w:val="23"/>
        </w:rPr>
        <w:t>city</w:t>
      </w:r>
      <w:r>
        <w:rPr>
          <w:color w:val="231F20"/>
          <w:spacing w:val="-16"/>
          <w:sz w:val="23"/>
        </w:rPr>
        <w:t> </w:t>
      </w:r>
      <w:r>
        <w:rPr>
          <w:color w:val="231F20"/>
          <w:sz w:val="23"/>
        </w:rPr>
        <w:t>and</w:t>
      </w:r>
      <w:r>
        <w:rPr>
          <w:color w:val="231F20"/>
          <w:spacing w:val="-16"/>
          <w:sz w:val="23"/>
        </w:rPr>
        <w:t> </w:t>
      </w:r>
      <w:r>
        <w:rPr>
          <w:color w:val="231F20"/>
          <w:sz w:val="23"/>
        </w:rPr>
        <w:t>municipal</w:t>
      </w:r>
      <w:r>
        <w:rPr>
          <w:color w:val="231F20"/>
          <w:spacing w:val="-16"/>
          <w:sz w:val="23"/>
        </w:rPr>
        <w:t> </w:t>
      </w:r>
      <w:r>
        <w:rPr>
          <w:color w:val="231F20"/>
          <w:sz w:val="23"/>
        </w:rPr>
        <w:t>councils.</w:t>
      </w:r>
      <w:r>
        <w:rPr>
          <w:color w:val="231F20"/>
          <w:spacing w:val="-16"/>
          <w:sz w:val="23"/>
        </w:rPr>
        <w:t> </w:t>
      </w:r>
      <w:r>
        <w:rPr>
          <w:color w:val="231F20"/>
          <w:sz w:val="23"/>
        </w:rPr>
        <w:t>This</w:t>
      </w:r>
      <w:r>
        <w:rPr>
          <w:color w:val="231F20"/>
          <w:spacing w:val="-16"/>
          <w:sz w:val="23"/>
        </w:rPr>
        <w:t> </w:t>
      </w:r>
      <w:r>
        <w:rPr>
          <w:color w:val="231F20"/>
          <w:spacing w:val="-3"/>
          <w:sz w:val="23"/>
        </w:rPr>
        <w:t>will </w:t>
      </w:r>
      <w:r>
        <w:rPr>
          <w:color w:val="231F20"/>
          <w:sz w:val="23"/>
        </w:rPr>
        <w:t>reduce</w:t>
      </w:r>
      <w:r>
        <w:rPr>
          <w:color w:val="231F20"/>
          <w:spacing w:val="14"/>
          <w:sz w:val="23"/>
        </w:rPr>
        <w:t> </w:t>
      </w:r>
      <w:r>
        <w:rPr>
          <w:color w:val="231F20"/>
          <w:sz w:val="23"/>
        </w:rPr>
        <w:t>their</w:t>
      </w:r>
      <w:r>
        <w:rPr>
          <w:color w:val="231F20"/>
          <w:spacing w:val="14"/>
          <w:sz w:val="23"/>
        </w:rPr>
        <w:t> </w:t>
      </w:r>
      <w:r>
        <w:rPr>
          <w:color w:val="231F20"/>
          <w:sz w:val="23"/>
        </w:rPr>
        <w:t>dependence</w:t>
      </w:r>
      <w:r>
        <w:rPr>
          <w:color w:val="231F20"/>
          <w:spacing w:val="14"/>
          <w:sz w:val="23"/>
        </w:rPr>
        <w:t> </w:t>
      </w:r>
      <w:r>
        <w:rPr>
          <w:color w:val="231F20"/>
          <w:sz w:val="23"/>
        </w:rPr>
        <w:t>on</w:t>
      </w:r>
      <w:r>
        <w:rPr>
          <w:color w:val="231F20"/>
          <w:spacing w:val="14"/>
          <w:sz w:val="23"/>
        </w:rPr>
        <w:t> </w:t>
      </w:r>
      <w:r>
        <w:rPr>
          <w:color w:val="231F20"/>
          <w:sz w:val="23"/>
        </w:rPr>
        <w:t>transfers</w:t>
      </w:r>
      <w:r>
        <w:rPr>
          <w:color w:val="231F20"/>
          <w:spacing w:val="14"/>
          <w:sz w:val="23"/>
        </w:rPr>
        <w:t> </w:t>
      </w:r>
      <w:r>
        <w:rPr>
          <w:color w:val="231F20"/>
          <w:sz w:val="23"/>
        </w:rPr>
        <w:t>from</w:t>
      </w:r>
      <w:r>
        <w:rPr>
          <w:color w:val="231F20"/>
          <w:spacing w:val="14"/>
          <w:sz w:val="23"/>
        </w:rPr>
        <w:t> </w:t>
      </w:r>
      <w:r>
        <w:rPr>
          <w:color w:val="231F20"/>
          <w:sz w:val="23"/>
        </w:rPr>
        <w:t>the</w:t>
      </w:r>
      <w:r>
        <w:rPr>
          <w:color w:val="231F20"/>
          <w:spacing w:val="14"/>
          <w:sz w:val="23"/>
        </w:rPr>
        <w:t> </w:t>
      </w:r>
      <w:r>
        <w:rPr>
          <w:color w:val="231F20"/>
          <w:sz w:val="23"/>
        </w:rPr>
        <w:t>Central</w:t>
      </w:r>
      <w:r>
        <w:rPr>
          <w:color w:val="231F20"/>
          <w:spacing w:val="15"/>
          <w:sz w:val="23"/>
        </w:rPr>
        <w:t> </w:t>
      </w:r>
      <w:r>
        <w:rPr>
          <w:color w:val="231F20"/>
          <w:sz w:val="23"/>
        </w:rPr>
        <w:t>Government.</w:t>
      </w:r>
    </w:p>
    <w:p>
      <w:pPr>
        <w:pStyle w:val="BodyText"/>
        <w:rPr>
          <w:sz w:val="20"/>
        </w:rPr>
      </w:pPr>
    </w:p>
    <w:p>
      <w:pPr>
        <w:pStyle w:val="BodyText"/>
        <w:rPr>
          <w:sz w:val="20"/>
        </w:rPr>
      </w:pPr>
    </w:p>
    <w:p>
      <w:pPr>
        <w:pStyle w:val="Heading1"/>
        <w:spacing w:before="251"/>
      </w:pPr>
      <w:r>
        <w:rPr>
          <w:color w:val="231F20"/>
        </w:rPr>
        <w:t>13</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22" w:firstLine="223"/>
        <w:jc w:val="both"/>
        <w:rPr>
          <w:sz w:val="23"/>
        </w:rPr>
      </w:pPr>
      <w:r>
        <w:rPr>
          <w:color w:val="231F20"/>
          <w:sz w:val="23"/>
        </w:rPr>
        <w:t>In</w:t>
      </w:r>
      <w:r>
        <w:rPr>
          <w:color w:val="231F20"/>
          <w:spacing w:val="-5"/>
          <w:sz w:val="23"/>
        </w:rPr>
        <w:t> </w:t>
      </w:r>
      <w:r>
        <w:rPr>
          <w:color w:val="231F20"/>
          <w:sz w:val="23"/>
        </w:rPr>
        <w:t>this</w:t>
      </w:r>
      <w:r>
        <w:rPr>
          <w:color w:val="231F20"/>
          <w:spacing w:val="-5"/>
          <w:sz w:val="23"/>
        </w:rPr>
        <w:t> </w:t>
      </w:r>
      <w:r>
        <w:rPr>
          <w:color w:val="231F20"/>
          <w:sz w:val="23"/>
        </w:rPr>
        <w:t>regard,</w:t>
      </w:r>
      <w:r>
        <w:rPr>
          <w:color w:val="231F20"/>
          <w:spacing w:val="-5"/>
          <w:sz w:val="23"/>
        </w:rPr>
        <w:t> </w:t>
      </w:r>
      <w:r>
        <w:rPr>
          <w:color w:val="231F20"/>
          <w:sz w:val="23"/>
        </w:rPr>
        <w:t>the</w:t>
      </w:r>
      <w:r>
        <w:rPr>
          <w:color w:val="231F20"/>
          <w:spacing w:val="-5"/>
          <w:sz w:val="23"/>
        </w:rPr>
        <w:t> </w:t>
      </w:r>
      <w:r>
        <w:rPr>
          <w:color w:val="231F20"/>
          <w:sz w:val="23"/>
        </w:rPr>
        <w:t>Ministry</w:t>
      </w:r>
      <w:r>
        <w:rPr>
          <w:color w:val="231F20"/>
          <w:spacing w:val="-5"/>
          <w:sz w:val="23"/>
        </w:rPr>
        <w:t> </w:t>
      </w:r>
      <w:r>
        <w:rPr>
          <w:color w:val="231F20"/>
          <w:sz w:val="23"/>
        </w:rPr>
        <w:t>of</w:t>
      </w:r>
      <w:r>
        <w:rPr>
          <w:color w:val="231F20"/>
          <w:spacing w:val="-5"/>
          <w:sz w:val="23"/>
        </w:rPr>
        <w:t> </w:t>
      </w:r>
      <w:r>
        <w:rPr>
          <w:color w:val="231F20"/>
          <w:sz w:val="23"/>
        </w:rPr>
        <w:t>Finance</w:t>
      </w:r>
      <w:r>
        <w:rPr>
          <w:color w:val="231F20"/>
          <w:spacing w:val="-6"/>
          <w:sz w:val="23"/>
        </w:rPr>
        <w:t> </w:t>
      </w:r>
      <w:r>
        <w:rPr>
          <w:color w:val="231F20"/>
          <w:sz w:val="23"/>
        </w:rPr>
        <w:t>and</w:t>
      </w:r>
      <w:r>
        <w:rPr>
          <w:color w:val="231F20"/>
          <w:spacing w:val="-5"/>
          <w:sz w:val="23"/>
        </w:rPr>
        <w:t> </w:t>
      </w:r>
      <w:r>
        <w:rPr>
          <w:color w:val="231F20"/>
          <w:sz w:val="23"/>
        </w:rPr>
        <w:t>the</w:t>
      </w:r>
      <w:r>
        <w:rPr>
          <w:color w:val="231F20"/>
          <w:spacing w:val="-5"/>
          <w:sz w:val="23"/>
        </w:rPr>
        <w:t> </w:t>
      </w:r>
      <w:r>
        <w:rPr>
          <w:color w:val="231F20"/>
          <w:sz w:val="23"/>
        </w:rPr>
        <w:t>Ministry</w:t>
      </w:r>
      <w:r>
        <w:rPr>
          <w:color w:val="231F20"/>
          <w:spacing w:val="-5"/>
          <w:sz w:val="23"/>
        </w:rPr>
        <w:t> </w:t>
      </w:r>
      <w:r>
        <w:rPr>
          <w:color w:val="231F20"/>
          <w:sz w:val="23"/>
        </w:rPr>
        <w:t>of</w:t>
      </w:r>
      <w:r>
        <w:rPr>
          <w:color w:val="231F20"/>
          <w:spacing w:val="-5"/>
          <w:sz w:val="23"/>
        </w:rPr>
        <w:t> </w:t>
      </w:r>
      <w:r>
        <w:rPr>
          <w:color w:val="231F20"/>
          <w:sz w:val="23"/>
        </w:rPr>
        <w:t>Local</w:t>
      </w:r>
      <w:r>
        <w:rPr>
          <w:color w:val="231F20"/>
          <w:spacing w:val="-6"/>
          <w:sz w:val="23"/>
        </w:rPr>
        <w:t> </w:t>
      </w:r>
      <w:r>
        <w:rPr>
          <w:color w:val="231F20"/>
          <w:sz w:val="23"/>
        </w:rPr>
        <w:t>Government will collaborate to undertake the</w:t>
      </w:r>
      <w:r>
        <w:rPr>
          <w:color w:val="231F20"/>
          <w:spacing w:val="39"/>
          <w:sz w:val="23"/>
        </w:rPr>
        <w:t> </w:t>
      </w:r>
      <w:r>
        <w:rPr>
          <w:color w:val="231F20"/>
          <w:sz w:val="23"/>
        </w:rPr>
        <w:t>following:</w:t>
      </w:r>
    </w:p>
    <w:p>
      <w:pPr>
        <w:pStyle w:val="BodyText"/>
        <w:spacing w:before="11"/>
        <w:rPr>
          <w:sz w:val="28"/>
        </w:rPr>
      </w:pPr>
    </w:p>
    <w:p>
      <w:pPr>
        <w:pStyle w:val="ListParagraph"/>
        <w:numPr>
          <w:ilvl w:val="1"/>
          <w:numId w:val="2"/>
        </w:numPr>
        <w:tabs>
          <w:tab w:pos="1521" w:val="left" w:leader="none"/>
          <w:tab w:pos="1523" w:val="left" w:leader="none"/>
        </w:tabs>
        <w:spacing w:line="240" w:lineRule="auto" w:before="0" w:after="0"/>
        <w:ind w:left="1522" w:right="0" w:hanging="435"/>
        <w:jc w:val="left"/>
        <w:rPr>
          <w:sz w:val="23"/>
        </w:rPr>
      </w:pPr>
      <w:r>
        <w:rPr>
          <w:color w:val="231F20"/>
          <w:sz w:val="23"/>
        </w:rPr>
        <w:t>Automate</w:t>
      </w:r>
      <w:r>
        <w:rPr>
          <w:color w:val="231F20"/>
          <w:spacing w:val="-11"/>
          <w:sz w:val="23"/>
        </w:rPr>
        <w:t> </w:t>
      </w:r>
      <w:r>
        <w:rPr>
          <w:color w:val="231F20"/>
          <w:sz w:val="23"/>
        </w:rPr>
        <w:t>the</w:t>
      </w:r>
      <w:r>
        <w:rPr>
          <w:color w:val="231F20"/>
          <w:spacing w:val="-11"/>
          <w:sz w:val="23"/>
        </w:rPr>
        <w:t> </w:t>
      </w:r>
      <w:r>
        <w:rPr>
          <w:color w:val="231F20"/>
          <w:sz w:val="23"/>
        </w:rPr>
        <w:t>property</w:t>
      </w:r>
      <w:r>
        <w:rPr>
          <w:color w:val="231F20"/>
          <w:spacing w:val="-10"/>
          <w:sz w:val="23"/>
        </w:rPr>
        <w:t> </w:t>
      </w:r>
      <w:r>
        <w:rPr>
          <w:color w:val="231F20"/>
          <w:sz w:val="23"/>
        </w:rPr>
        <w:t>cadastre</w:t>
      </w:r>
      <w:r>
        <w:rPr>
          <w:color w:val="231F20"/>
          <w:spacing w:val="-11"/>
          <w:sz w:val="23"/>
        </w:rPr>
        <w:t> </w:t>
      </w:r>
      <w:r>
        <w:rPr>
          <w:color w:val="231F20"/>
          <w:sz w:val="23"/>
        </w:rPr>
        <w:t>system</w:t>
      </w:r>
      <w:r>
        <w:rPr>
          <w:color w:val="231F20"/>
          <w:spacing w:val="-11"/>
          <w:sz w:val="23"/>
        </w:rPr>
        <w:t> </w:t>
      </w:r>
      <w:r>
        <w:rPr>
          <w:color w:val="231F20"/>
          <w:sz w:val="23"/>
        </w:rPr>
        <w:t>in</w:t>
      </w:r>
      <w:r>
        <w:rPr>
          <w:color w:val="231F20"/>
          <w:spacing w:val="-10"/>
          <w:sz w:val="23"/>
        </w:rPr>
        <w:t> </w:t>
      </w:r>
      <w:r>
        <w:rPr>
          <w:color w:val="231F20"/>
          <w:sz w:val="23"/>
        </w:rPr>
        <w:t>City</w:t>
      </w:r>
      <w:r>
        <w:rPr>
          <w:color w:val="231F20"/>
          <w:spacing w:val="-11"/>
          <w:sz w:val="23"/>
        </w:rPr>
        <w:t> </w:t>
      </w:r>
      <w:r>
        <w:rPr>
          <w:color w:val="231F20"/>
          <w:sz w:val="23"/>
        </w:rPr>
        <w:t>and</w:t>
      </w:r>
      <w:r>
        <w:rPr>
          <w:color w:val="231F20"/>
          <w:spacing w:val="-11"/>
          <w:sz w:val="23"/>
        </w:rPr>
        <w:t> </w:t>
      </w:r>
      <w:r>
        <w:rPr>
          <w:color w:val="231F20"/>
          <w:sz w:val="23"/>
        </w:rPr>
        <w:t>Municipal</w:t>
      </w:r>
      <w:r>
        <w:rPr>
          <w:color w:val="231F20"/>
          <w:spacing w:val="-10"/>
          <w:sz w:val="23"/>
        </w:rPr>
        <w:t> </w:t>
      </w:r>
      <w:r>
        <w:rPr>
          <w:color w:val="231F20"/>
          <w:sz w:val="23"/>
        </w:rPr>
        <w:t>Councils;</w:t>
      </w:r>
    </w:p>
    <w:p>
      <w:pPr>
        <w:pStyle w:val="BodyText"/>
        <w:spacing w:before="1"/>
        <w:rPr>
          <w:sz w:val="35"/>
        </w:rPr>
      </w:pPr>
    </w:p>
    <w:p>
      <w:pPr>
        <w:pStyle w:val="ListParagraph"/>
        <w:numPr>
          <w:ilvl w:val="1"/>
          <w:numId w:val="2"/>
        </w:numPr>
        <w:tabs>
          <w:tab w:pos="1522" w:val="left" w:leader="none"/>
          <w:tab w:pos="1523" w:val="left" w:leader="none"/>
        </w:tabs>
        <w:spacing w:line="240" w:lineRule="auto" w:before="0" w:after="0"/>
        <w:ind w:left="1522" w:right="0" w:hanging="509"/>
        <w:jc w:val="left"/>
        <w:rPr>
          <w:sz w:val="23"/>
        </w:rPr>
      </w:pPr>
      <w:r>
        <w:rPr>
          <w:color w:val="231F20"/>
          <w:sz w:val="23"/>
        </w:rPr>
        <w:t>Conduct a comprehensive chiefdom finance</w:t>
      </w:r>
      <w:r>
        <w:rPr>
          <w:color w:val="231F20"/>
          <w:spacing w:val="-20"/>
          <w:sz w:val="23"/>
        </w:rPr>
        <w:t> </w:t>
      </w:r>
      <w:r>
        <w:rPr>
          <w:color w:val="231F20"/>
          <w:sz w:val="23"/>
        </w:rPr>
        <w:t>study;</w:t>
      </w:r>
    </w:p>
    <w:p>
      <w:pPr>
        <w:pStyle w:val="BodyText"/>
        <w:spacing w:before="10"/>
        <w:rPr>
          <w:sz w:val="34"/>
        </w:rPr>
      </w:pPr>
    </w:p>
    <w:p>
      <w:pPr>
        <w:pStyle w:val="ListParagraph"/>
        <w:numPr>
          <w:ilvl w:val="1"/>
          <w:numId w:val="2"/>
        </w:numPr>
        <w:tabs>
          <w:tab w:pos="1521" w:val="left" w:leader="none"/>
          <w:tab w:pos="1523" w:val="left" w:leader="none"/>
        </w:tabs>
        <w:spacing w:line="302" w:lineRule="auto" w:before="0" w:after="0"/>
        <w:ind w:left="1522" w:right="119" w:hanging="584"/>
        <w:jc w:val="left"/>
        <w:rPr>
          <w:sz w:val="23"/>
        </w:rPr>
      </w:pPr>
      <w:r>
        <w:rPr>
          <w:color w:val="231F20"/>
          <w:sz w:val="23"/>
        </w:rPr>
        <w:t>Provide</w:t>
      </w:r>
      <w:r>
        <w:rPr>
          <w:color w:val="231F20"/>
          <w:spacing w:val="-12"/>
          <w:sz w:val="23"/>
        </w:rPr>
        <w:t> </w:t>
      </w:r>
      <w:r>
        <w:rPr>
          <w:color w:val="231F20"/>
          <w:sz w:val="23"/>
        </w:rPr>
        <w:t>technical</w:t>
      </w:r>
      <w:r>
        <w:rPr>
          <w:color w:val="231F20"/>
          <w:spacing w:val="-12"/>
          <w:sz w:val="23"/>
        </w:rPr>
        <w:t> </w:t>
      </w:r>
      <w:r>
        <w:rPr>
          <w:color w:val="231F20"/>
          <w:sz w:val="23"/>
        </w:rPr>
        <w:t>support</w:t>
      </w:r>
      <w:r>
        <w:rPr>
          <w:color w:val="231F20"/>
          <w:spacing w:val="-12"/>
          <w:sz w:val="23"/>
        </w:rPr>
        <w:t> </w:t>
      </w:r>
      <w:r>
        <w:rPr>
          <w:color w:val="231F20"/>
          <w:sz w:val="23"/>
        </w:rPr>
        <w:t>to</w:t>
      </w:r>
      <w:r>
        <w:rPr>
          <w:color w:val="231F20"/>
          <w:spacing w:val="-12"/>
          <w:sz w:val="23"/>
        </w:rPr>
        <w:t> </w:t>
      </w:r>
      <w:r>
        <w:rPr>
          <w:color w:val="231F20"/>
          <w:sz w:val="23"/>
        </w:rPr>
        <w:t>local</w:t>
      </w:r>
      <w:r>
        <w:rPr>
          <w:color w:val="231F20"/>
          <w:spacing w:val="-12"/>
          <w:sz w:val="23"/>
        </w:rPr>
        <w:t> </w:t>
      </w:r>
      <w:r>
        <w:rPr>
          <w:color w:val="231F20"/>
          <w:sz w:val="23"/>
        </w:rPr>
        <w:t>councils</w:t>
      </w:r>
      <w:r>
        <w:rPr>
          <w:color w:val="231F20"/>
          <w:spacing w:val="-12"/>
          <w:sz w:val="23"/>
        </w:rPr>
        <w:t> </w:t>
      </w:r>
      <w:r>
        <w:rPr>
          <w:color w:val="231F20"/>
          <w:sz w:val="23"/>
        </w:rPr>
        <w:t>for</w:t>
      </w:r>
      <w:r>
        <w:rPr>
          <w:color w:val="231F20"/>
          <w:spacing w:val="-12"/>
          <w:sz w:val="23"/>
        </w:rPr>
        <w:t> </w:t>
      </w:r>
      <w:r>
        <w:rPr>
          <w:color w:val="231F20"/>
          <w:sz w:val="23"/>
        </w:rPr>
        <w:t>the</w:t>
      </w:r>
      <w:r>
        <w:rPr>
          <w:color w:val="231F20"/>
          <w:spacing w:val="-12"/>
          <w:sz w:val="23"/>
        </w:rPr>
        <w:t> </w:t>
      </w:r>
      <w:r>
        <w:rPr>
          <w:color w:val="231F20"/>
          <w:sz w:val="23"/>
        </w:rPr>
        <w:t>determination</w:t>
      </w:r>
      <w:r>
        <w:rPr>
          <w:color w:val="231F20"/>
          <w:spacing w:val="-12"/>
          <w:sz w:val="23"/>
        </w:rPr>
        <w:t> </w:t>
      </w:r>
      <w:r>
        <w:rPr>
          <w:color w:val="231F20"/>
          <w:sz w:val="23"/>
        </w:rPr>
        <w:t>of</w:t>
      </w:r>
      <w:r>
        <w:rPr>
          <w:color w:val="231F20"/>
          <w:spacing w:val="-12"/>
          <w:sz w:val="23"/>
        </w:rPr>
        <w:t> </w:t>
      </w:r>
      <w:r>
        <w:rPr>
          <w:color w:val="231F20"/>
          <w:sz w:val="23"/>
        </w:rPr>
        <w:t>their individual revenue potentials;</w:t>
      </w:r>
      <w:r>
        <w:rPr>
          <w:color w:val="231F20"/>
          <w:spacing w:val="9"/>
          <w:sz w:val="23"/>
        </w:rPr>
        <w:t> </w:t>
      </w:r>
      <w:r>
        <w:rPr>
          <w:color w:val="231F20"/>
          <w:sz w:val="23"/>
        </w:rPr>
        <w:t>and</w:t>
      </w:r>
    </w:p>
    <w:p>
      <w:pPr>
        <w:pStyle w:val="BodyText"/>
        <w:spacing w:before="11"/>
        <w:rPr>
          <w:sz w:val="28"/>
        </w:rPr>
      </w:pPr>
    </w:p>
    <w:p>
      <w:pPr>
        <w:pStyle w:val="ListParagraph"/>
        <w:numPr>
          <w:ilvl w:val="1"/>
          <w:numId w:val="2"/>
        </w:numPr>
        <w:tabs>
          <w:tab w:pos="1521" w:val="left" w:leader="none"/>
          <w:tab w:pos="1523" w:val="left" w:leader="none"/>
        </w:tabs>
        <w:spacing w:line="302" w:lineRule="auto" w:before="0" w:after="0"/>
        <w:ind w:left="1522" w:right="120" w:hanging="540"/>
        <w:jc w:val="left"/>
        <w:rPr>
          <w:sz w:val="23"/>
        </w:rPr>
      </w:pPr>
      <w:r>
        <w:rPr>
          <w:color w:val="231F20"/>
          <w:sz w:val="23"/>
        </w:rPr>
        <w:t>Prepare and issue revised guidelines for revenue collection and</w:t>
      </w:r>
      <w:r>
        <w:rPr>
          <w:color w:val="231F20"/>
          <w:spacing w:val="-18"/>
          <w:sz w:val="23"/>
        </w:rPr>
        <w:t> </w:t>
      </w:r>
      <w:r>
        <w:rPr>
          <w:color w:val="231F20"/>
          <w:sz w:val="23"/>
        </w:rPr>
        <w:t>sharing between local and chiefdom</w:t>
      </w:r>
      <w:r>
        <w:rPr>
          <w:color w:val="231F20"/>
          <w:spacing w:val="16"/>
          <w:sz w:val="23"/>
        </w:rPr>
        <w:t> </w:t>
      </w:r>
      <w:r>
        <w:rPr>
          <w:color w:val="231F20"/>
          <w:sz w:val="23"/>
        </w:rPr>
        <w:t>councils.</w:t>
      </w:r>
    </w:p>
    <w:p>
      <w:pPr>
        <w:pStyle w:val="BodyText"/>
        <w:spacing w:before="11"/>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Mr.</w:t>
      </w:r>
      <w:r>
        <w:rPr>
          <w:color w:val="231F20"/>
          <w:spacing w:val="-28"/>
          <w:sz w:val="23"/>
        </w:rPr>
        <w:t> </w:t>
      </w:r>
      <w:r>
        <w:rPr>
          <w:color w:val="231F20"/>
          <w:sz w:val="23"/>
        </w:rPr>
        <w:t>Speaker,</w:t>
      </w:r>
      <w:r>
        <w:rPr>
          <w:color w:val="231F20"/>
          <w:spacing w:val="-28"/>
          <w:sz w:val="23"/>
        </w:rPr>
        <w:t> </w:t>
      </w:r>
      <w:r>
        <w:rPr>
          <w:color w:val="231F20"/>
          <w:sz w:val="23"/>
        </w:rPr>
        <w:t>Honourable</w:t>
      </w:r>
      <w:r>
        <w:rPr>
          <w:color w:val="231F20"/>
          <w:spacing w:val="-28"/>
          <w:sz w:val="23"/>
        </w:rPr>
        <w:t> </w:t>
      </w:r>
      <w:r>
        <w:rPr>
          <w:color w:val="231F20"/>
          <w:sz w:val="23"/>
        </w:rPr>
        <w:t>Members,</w:t>
      </w:r>
      <w:r>
        <w:rPr>
          <w:color w:val="231F20"/>
          <w:spacing w:val="-28"/>
          <w:sz w:val="23"/>
        </w:rPr>
        <w:t> </w:t>
      </w:r>
      <w:r>
        <w:rPr>
          <w:color w:val="231F20"/>
          <w:sz w:val="23"/>
        </w:rPr>
        <w:t>the</w:t>
      </w:r>
      <w:r>
        <w:rPr>
          <w:color w:val="231F20"/>
          <w:spacing w:val="-28"/>
          <w:sz w:val="23"/>
        </w:rPr>
        <w:t> </w:t>
      </w:r>
      <w:r>
        <w:rPr>
          <w:color w:val="231F20"/>
          <w:sz w:val="23"/>
        </w:rPr>
        <w:t>ongoing</w:t>
      </w:r>
      <w:r>
        <w:rPr>
          <w:color w:val="231F20"/>
          <w:spacing w:val="-28"/>
          <w:sz w:val="23"/>
        </w:rPr>
        <w:t> </w:t>
      </w:r>
      <w:r>
        <w:rPr>
          <w:color w:val="231F20"/>
          <w:sz w:val="23"/>
        </w:rPr>
        <w:t>review</w:t>
      </w:r>
      <w:r>
        <w:rPr>
          <w:color w:val="231F20"/>
          <w:spacing w:val="-28"/>
          <w:sz w:val="23"/>
        </w:rPr>
        <w:t> </w:t>
      </w:r>
      <w:r>
        <w:rPr>
          <w:color w:val="231F20"/>
          <w:sz w:val="23"/>
        </w:rPr>
        <w:t>of</w:t>
      </w:r>
      <w:r>
        <w:rPr>
          <w:color w:val="231F20"/>
          <w:spacing w:val="-28"/>
          <w:sz w:val="23"/>
        </w:rPr>
        <w:t> </w:t>
      </w:r>
      <w:r>
        <w:rPr>
          <w:color w:val="231F20"/>
          <w:sz w:val="23"/>
        </w:rPr>
        <w:t>the</w:t>
      </w:r>
      <w:r>
        <w:rPr>
          <w:color w:val="231F20"/>
          <w:spacing w:val="-28"/>
          <w:sz w:val="23"/>
        </w:rPr>
        <w:t> </w:t>
      </w:r>
      <w:r>
        <w:rPr>
          <w:color w:val="231F20"/>
          <w:sz w:val="23"/>
        </w:rPr>
        <w:t>Decentralisation Policy</w:t>
      </w:r>
      <w:r>
        <w:rPr>
          <w:color w:val="231F20"/>
          <w:spacing w:val="-11"/>
          <w:sz w:val="23"/>
        </w:rPr>
        <w:t> </w:t>
      </w:r>
      <w:r>
        <w:rPr>
          <w:color w:val="231F20"/>
          <w:sz w:val="23"/>
        </w:rPr>
        <w:t>and</w:t>
      </w:r>
      <w:r>
        <w:rPr>
          <w:color w:val="231F20"/>
          <w:spacing w:val="-11"/>
          <w:sz w:val="23"/>
        </w:rPr>
        <w:t> </w:t>
      </w:r>
      <w:r>
        <w:rPr>
          <w:color w:val="231F20"/>
          <w:sz w:val="23"/>
        </w:rPr>
        <w:t>the</w:t>
      </w:r>
      <w:r>
        <w:rPr>
          <w:color w:val="231F20"/>
          <w:spacing w:val="-11"/>
          <w:sz w:val="23"/>
        </w:rPr>
        <w:t> </w:t>
      </w:r>
      <w:r>
        <w:rPr>
          <w:color w:val="231F20"/>
          <w:sz w:val="23"/>
        </w:rPr>
        <w:t>Local</w:t>
      </w:r>
      <w:r>
        <w:rPr>
          <w:color w:val="231F20"/>
          <w:spacing w:val="-11"/>
          <w:sz w:val="23"/>
        </w:rPr>
        <w:t> </w:t>
      </w:r>
      <w:r>
        <w:rPr>
          <w:color w:val="231F20"/>
          <w:sz w:val="23"/>
        </w:rPr>
        <w:t>Government</w:t>
      </w:r>
      <w:r>
        <w:rPr>
          <w:color w:val="231F20"/>
          <w:spacing w:val="-11"/>
          <w:sz w:val="23"/>
        </w:rPr>
        <w:t> </w:t>
      </w:r>
      <w:r>
        <w:rPr>
          <w:color w:val="231F20"/>
          <w:sz w:val="23"/>
        </w:rPr>
        <w:t>Act</w:t>
      </w:r>
      <w:r>
        <w:rPr>
          <w:color w:val="231F20"/>
          <w:spacing w:val="-11"/>
          <w:sz w:val="23"/>
        </w:rPr>
        <w:t> </w:t>
      </w:r>
      <w:r>
        <w:rPr>
          <w:color w:val="231F20"/>
          <w:sz w:val="23"/>
        </w:rPr>
        <w:t>2004,</w:t>
      </w:r>
      <w:r>
        <w:rPr>
          <w:color w:val="231F20"/>
          <w:spacing w:val="-11"/>
          <w:sz w:val="23"/>
        </w:rPr>
        <w:t> </w:t>
      </w:r>
      <w:r>
        <w:rPr>
          <w:color w:val="231F20"/>
          <w:sz w:val="23"/>
        </w:rPr>
        <w:t>provides</w:t>
      </w:r>
      <w:r>
        <w:rPr>
          <w:color w:val="231F20"/>
          <w:spacing w:val="-11"/>
          <w:sz w:val="23"/>
        </w:rPr>
        <w:t> </w:t>
      </w:r>
      <w:r>
        <w:rPr>
          <w:color w:val="231F20"/>
          <w:sz w:val="23"/>
        </w:rPr>
        <w:t>an</w:t>
      </w:r>
      <w:r>
        <w:rPr>
          <w:color w:val="231F20"/>
          <w:spacing w:val="-11"/>
          <w:sz w:val="23"/>
        </w:rPr>
        <w:t> </w:t>
      </w:r>
      <w:r>
        <w:rPr>
          <w:color w:val="231F20"/>
          <w:sz w:val="23"/>
        </w:rPr>
        <w:t>opportunity</w:t>
      </w:r>
      <w:r>
        <w:rPr>
          <w:color w:val="231F20"/>
          <w:spacing w:val="-11"/>
          <w:sz w:val="23"/>
        </w:rPr>
        <w:t> </w:t>
      </w:r>
      <w:r>
        <w:rPr>
          <w:color w:val="231F20"/>
          <w:sz w:val="23"/>
        </w:rPr>
        <w:t>to</w:t>
      </w:r>
      <w:r>
        <w:rPr>
          <w:color w:val="231F20"/>
          <w:spacing w:val="-11"/>
          <w:sz w:val="23"/>
        </w:rPr>
        <w:t> </w:t>
      </w:r>
      <w:r>
        <w:rPr>
          <w:color w:val="231F20"/>
          <w:sz w:val="23"/>
        </w:rPr>
        <w:t>address</w:t>
      </w:r>
      <w:r>
        <w:rPr>
          <w:color w:val="231F20"/>
          <w:spacing w:val="-11"/>
          <w:sz w:val="23"/>
        </w:rPr>
        <w:t> </w:t>
      </w:r>
      <w:r>
        <w:rPr>
          <w:color w:val="231F20"/>
          <w:sz w:val="23"/>
        </w:rPr>
        <w:t>some of the unclear policies and conflicting laws that are constraining local revenue mobilisation efforts. In order to strengthen fiscal decentralisation, the Ministry of Finance</w:t>
      </w:r>
      <w:r>
        <w:rPr>
          <w:color w:val="231F20"/>
          <w:spacing w:val="-30"/>
          <w:sz w:val="23"/>
        </w:rPr>
        <w:t> </w:t>
      </w:r>
      <w:r>
        <w:rPr>
          <w:color w:val="231F20"/>
          <w:sz w:val="23"/>
        </w:rPr>
        <w:t>will</w:t>
      </w:r>
      <w:r>
        <w:rPr>
          <w:color w:val="231F20"/>
          <w:spacing w:val="-30"/>
          <w:sz w:val="23"/>
        </w:rPr>
        <w:t> </w:t>
      </w:r>
      <w:r>
        <w:rPr>
          <w:color w:val="231F20"/>
          <w:sz w:val="23"/>
        </w:rPr>
        <w:t>use</w:t>
      </w:r>
      <w:r>
        <w:rPr>
          <w:color w:val="231F20"/>
          <w:spacing w:val="-30"/>
          <w:sz w:val="23"/>
        </w:rPr>
        <w:t> </w:t>
      </w:r>
      <w:r>
        <w:rPr>
          <w:color w:val="231F20"/>
          <w:sz w:val="23"/>
        </w:rPr>
        <w:t>the</w:t>
      </w:r>
      <w:r>
        <w:rPr>
          <w:color w:val="231F20"/>
          <w:spacing w:val="-30"/>
          <w:sz w:val="23"/>
        </w:rPr>
        <w:t> </w:t>
      </w:r>
      <w:r>
        <w:rPr>
          <w:color w:val="231F20"/>
          <w:sz w:val="23"/>
        </w:rPr>
        <w:t>revised</w:t>
      </w:r>
      <w:r>
        <w:rPr>
          <w:color w:val="231F20"/>
          <w:spacing w:val="-30"/>
          <w:sz w:val="23"/>
        </w:rPr>
        <w:t> </w:t>
      </w:r>
      <w:r>
        <w:rPr>
          <w:color w:val="231F20"/>
          <w:sz w:val="23"/>
        </w:rPr>
        <w:t>law</w:t>
      </w:r>
      <w:r>
        <w:rPr>
          <w:color w:val="231F20"/>
          <w:spacing w:val="-30"/>
          <w:sz w:val="23"/>
        </w:rPr>
        <w:t> </w:t>
      </w:r>
      <w:r>
        <w:rPr>
          <w:color w:val="231F20"/>
          <w:sz w:val="23"/>
        </w:rPr>
        <w:t>to</w:t>
      </w:r>
      <w:r>
        <w:rPr>
          <w:color w:val="231F20"/>
          <w:spacing w:val="-30"/>
          <w:sz w:val="23"/>
        </w:rPr>
        <w:t> </w:t>
      </w:r>
      <w:r>
        <w:rPr>
          <w:color w:val="231F20"/>
          <w:sz w:val="23"/>
        </w:rPr>
        <w:t>develop</w:t>
      </w:r>
      <w:r>
        <w:rPr>
          <w:color w:val="231F20"/>
          <w:spacing w:val="-30"/>
          <w:sz w:val="23"/>
        </w:rPr>
        <w:t> </w:t>
      </w:r>
      <w:r>
        <w:rPr>
          <w:color w:val="231F20"/>
          <w:sz w:val="23"/>
        </w:rPr>
        <w:t>a</w:t>
      </w:r>
      <w:r>
        <w:rPr>
          <w:color w:val="231F20"/>
          <w:spacing w:val="-30"/>
          <w:sz w:val="23"/>
        </w:rPr>
        <w:t> </w:t>
      </w:r>
      <w:r>
        <w:rPr>
          <w:color w:val="231F20"/>
          <w:sz w:val="23"/>
        </w:rPr>
        <w:t>fiscal</w:t>
      </w:r>
      <w:r>
        <w:rPr>
          <w:color w:val="231F20"/>
          <w:spacing w:val="-30"/>
          <w:sz w:val="23"/>
        </w:rPr>
        <w:t> </w:t>
      </w:r>
      <w:r>
        <w:rPr>
          <w:color w:val="231F20"/>
          <w:sz w:val="23"/>
        </w:rPr>
        <w:t>decentralisation</w:t>
      </w:r>
      <w:r>
        <w:rPr>
          <w:color w:val="231F20"/>
          <w:spacing w:val="-30"/>
          <w:sz w:val="23"/>
        </w:rPr>
        <w:t> </w:t>
      </w:r>
      <w:r>
        <w:rPr>
          <w:color w:val="231F20"/>
          <w:sz w:val="23"/>
        </w:rPr>
        <w:t>policy</w:t>
      </w:r>
      <w:r>
        <w:rPr>
          <w:color w:val="231F20"/>
          <w:spacing w:val="-30"/>
          <w:sz w:val="23"/>
        </w:rPr>
        <w:t> </w:t>
      </w:r>
      <w:r>
        <w:rPr>
          <w:color w:val="231F20"/>
          <w:sz w:val="23"/>
        </w:rPr>
        <w:t>and</w:t>
      </w:r>
      <w:r>
        <w:rPr>
          <w:color w:val="231F20"/>
          <w:spacing w:val="-30"/>
          <w:sz w:val="23"/>
        </w:rPr>
        <w:t> </w:t>
      </w:r>
      <w:r>
        <w:rPr>
          <w:color w:val="231F20"/>
          <w:sz w:val="23"/>
        </w:rPr>
        <w:t>strategy. Government</w:t>
      </w:r>
      <w:r>
        <w:rPr>
          <w:color w:val="231F20"/>
          <w:spacing w:val="-21"/>
          <w:sz w:val="23"/>
        </w:rPr>
        <w:t> </w:t>
      </w:r>
      <w:r>
        <w:rPr>
          <w:color w:val="231F20"/>
          <w:sz w:val="23"/>
        </w:rPr>
        <w:t>will</w:t>
      </w:r>
      <w:r>
        <w:rPr>
          <w:color w:val="231F20"/>
          <w:spacing w:val="-21"/>
          <w:sz w:val="23"/>
        </w:rPr>
        <w:t> </w:t>
      </w:r>
      <w:r>
        <w:rPr>
          <w:color w:val="231F20"/>
          <w:sz w:val="23"/>
        </w:rPr>
        <w:t>also</w:t>
      </w:r>
      <w:r>
        <w:rPr>
          <w:color w:val="231F20"/>
          <w:spacing w:val="-21"/>
          <w:sz w:val="23"/>
        </w:rPr>
        <w:t> </w:t>
      </w:r>
      <w:r>
        <w:rPr>
          <w:color w:val="231F20"/>
          <w:sz w:val="23"/>
        </w:rPr>
        <w:t>provide</w:t>
      </w:r>
      <w:r>
        <w:rPr>
          <w:color w:val="231F20"/>
          <w:spacing w:val="-21"/>
          <w:sz w:val="23"/>
        </w:rPr>
        <w:t> </w:t>
      </w:r>
      <w:r>
        <w:rPr>
          <w:color w:val="231F20"/>
          <w:sz w:val="23"/>
        </w:rPr>
        <w:t>funding</w:t>
      </w:r>
      <w:r>
        <w:rPr>
          <w:color w:val="231F20"/>
          <w:spacing w:val="-21"/>
          <w:sz w:val="23"/>
        </w:rPr>
        <w:t> </w:t>
      </w:r>
      <w:r>
        <w:rPr>
          <w:color w:val="231F20"/>
          <w:sz w:val="23"/>
        </w:rPr>
        <w:t>for</w:t>
      </w:r>
      <w:r>
        <w:rPr>
          <w:color w:val="231F20"/>
          <w:spacing w:val="-21"/>
          <w:sz w:val="23"/>
        </w:rPr>
        <w:t> </w:t>
      </w:r>
      <w:r>
        <w:rPr>
          <w:color w:val="231F20"/>
          <w:sz w:val="23"/>
        </w:rPr>
        <w:t>revenue</w:t>
      </w:r>
      <w:r>
        <w:rPr>
          <w:color w:val="231F20"/>
          <w:spacing w:val="-21"/>
          <w:sz w:val="23"/>
        </w:rPr>
        <w:t> </w:t>
      </w:r>
      <w:r>
        <w:rPr>
          <w:color w:val="231F20"/>
          <w:sz w:val="23"/>
        </w:rPr>
        <w:t>generating</w:t>
      </w:r>
      <w:r>
        <w:rPr>
          <w:color w:val="231F20"/>
          <w:spacing w:val="-21"/>
          <w:sz w:val="23"/>
        </w:rPr>
        <w:t> </w:t>
      </w:r>
      <w:r>
        <w:rPr>
          <w:color w:val="231F20"/>
          <w:sz w:val="23"/>
        </w:rPr>
        <w:t>projects</w:t>
      </w:r>
      <w:r>
        <w:rPr>
          <w:color w:val="231F20"/>
          <w:spacing w:val="-21"/>
          <w:sz w:val="23"/>
        </w:rPr>
        <w:t> </w:t>
      </w:r>
      <w:r>
        <w:rPr>
          <w:color w:val="231F20"/>
          <w:sz w:val="23"/>
        </w:rPr>
        <w:t>at</w:t>
      </w:r>
      <w:r>
        <w:rPr>
          <w:color w:val="231F20"/>
          <w:spacing w:val="-21"/>
          <w:sz w:val="23"/>
        </w:rPr>
        <w:t> </w:t>
      </w:r>
      <w:r>
        <w:rPr>
          <w:color w:val="231F20"/>
          <w:sz w:val="23"/>
        </w:rPr>
        <w:t>the</w:t>
      </w:r>
      <w:r>
        <w:rPr>
          <w:color w:val="231F20"/>
          <w:spacing w:val="-21"/>
          <w:sz w:val="23"/>
        </w:rPr>
        <w:t> </w:t>
      </w:r>
      <w:r>
        <w:rPr>
          <w:color w:val="231F20"/>
          <w:sz w:val="23"/>
        </w:rPr>
        <w:t>local</w:t>
      </w:r>
      <w:r>
        <w:rPr>
          <w:color w:val="231F20"/>
          <w:spacing w:val="-21"/>
          <w:sz w:val="23"/>
        </w:rPr>
        <w:t> </w:t>
      </w:r>
      <w:r>
        <w:rPr>
          <w:color w:val="231F20"/>
          <w:sz w:val="23"/>
        </w:rPr>
        <w:t>level in a timely</w:t>
      </w:r>
      <w:r>
        <w:rPr>
          <w:color w:val="231F20"/>
          <w:spacing w:val="39"/>
          <w:sz w:val="23"/>
        </w:rPr>
        <w:t> </w:t>
      </w:r>
      <w:r>
        <w:rPr>
          <w:color w:val="231F20"/>
          <w:sz w:val="23"/>
        </w:rPr>
        <w:t>manner.</w:t>
      </w:r>
    </w:p>
    <w:p>
      <w:pPr>
        <w:pStyle w:val="BodyText"/>
        <w:spacing w:before="9"/>
        <w:rPr>
          <w:sz w:val="28"/>
        </w:rPr>
      </w:pPr>
    </w:p>
    <w:p>
      <w:pPr>
        <w:pStyle w:val="Heading2"/>
      </w:pPr>
      <w:r>
        <w:rPr>
          <w:color w:val="231F20"/>
        </w:rPr>
        <w:t>Expenditure Management and Control Measures</w:t>
      </w:r>
    </w:p>
    <w:p>
      <w:pPr>
        <w:pStyle w:val="ListParagraph"/>
        <w:numPr>
          <w:ilvl w:val="0"/>
          <w:numId w:val="2"/>
        </w:numPr>
        <w:tabs>
          <w:tab w:pos="954" w:val="left" w:leader="none"/>
        </w:tabs>
        <w:spacing w:line="302" w:lineRule="auto" w:before="71" w:after="0"/>
        <w:ind w:left="103" w:right="117" w:firstLine="223"/>
        <w:jc w:val="both"/>
        <w:rPr>
          <w:sz w:val="23"/>
        </w:rPr>
      </w:pPr>
      <w:r>
        <w:rPr>
          <w:color w:val="231F20"/>
          <w:sz w:val="23"/>
        </w:rPr>
        <w:t>Mr.</w:t>
      </w:r>
      <w:r>
        <w:rPr>
          <w:color w:val="231F20"/>
          <w:spacing w:val="-54"/>
          <w:sz w:val="23"/>
        </w:rPr>
        <w:t> </w:t>
      </w:r>
      <w:r>
        <w:rPr>
          <w:color w:val="231F20"/>
          <w:sz w:val="23"/>
        </w:rPr>
        <w:t>Speaker,</w:t>
      </w:r>
      <w:r>
        <w:rPr>
          <w:color w:val="231F20"/>
          <w:spacing w:val="-54"/>
          <w:sz w:val="23"/>
        </w:rPr>
        <w:t> </w:t>
      </w:r>
      <w:r>
        <w:rPr>
          <w:color w:val="231F20"/>
          <w:sz w:val="23"/>
        </w:rPr>
        <w:t>Honourable</w:t>
      </w:r>
      <w:r>
        <w:rPr>
          <w:color w:val="231F20"/>
          <w:spacing w:val="-54"/>
          <w:sz w:val="23"/>
        </w:rPr>
        <w:t> </w:t>
      </w:r>
      <w:r>
        <w:rPr>
          <w:color w:val="231F20"/>
          <w:sz w:val="23"/>
        </w:rPr>
        <w:t>Members,</w:t>
      </w:r>
      <w:r>
        <w:rPr>
          <w:color w:val="231F20"/>
          <w:spacing w:val="-54"/>
          <w:sz w:val="23"/>
        </w:rPr>
        <w:t> </w:t>
      </w:r>
      <w:r>
        <w:rPr>
          <w:color w:val="231F20"/>
          <w:sz w:val="23"/>
        </w:rPr>
        <w:t>to</w:t>
      </w:r>
      <w:r>
        <w:rPr>
          <w:color w:val="231F20"/>
          <w:spacing w:val="-54"/>
          <w:sz w:val="23"/>
        </w:rPr>
        <w:t> </w:t>
      </w:r>
      <w:r>
        <w:rPr>
          <w:color w:val="231F20"/>
          <w:sz w:val="23"/>
        </w:rPr>
        <w:t>improve</w:t>
      </w:r>
      <w:r>
        <w:rPr>
          <w:color w:val="231F20"/>
          <w:spacing w:val="-54"/>
          <w:sz w:val="23"/>
        </w:rPr>
        <w:t> </w:t>
      </w:r>
      <w:r>
        <w:rPr>
          <w:color w:val="231F20"/>
          <w:sz w:val="23"/>
        </w:rPr>
        <w:t>public</w:t>
      </w:r>
      <w:r>
        <w:rPr>
          <w:color w:val="231F20"/>
          <w:spacing w:val="-53"/>
          <w:sz w:val="23"/>
        </w:rPr>
        <w:t> </w:t>
      </w:r>
      <w:r>
        <w:rPr>
          <w:color w:val="231F20"/>
          <w:sz w:val="23"/>
        </w:rPr>
        <w:t>expenditure</w:t>
      </w:r>
      <w:r>
        <w:rPr>
          <w:color w:val="231F20"/>
          <w:spacing w:val="-54"/>
          <w:sz w:val="23"/>
        </w:rPr>
        <w:t> </w:t>
      </w:r>
      <w:r>
        <w:rPr>
          <w:color w:val="231F20"/>
          <w:sz w:val="23"/>
        </w:rPr>
        <w:t>management and control, Government will embark on reforms to improve the integrity and sustainability of the Government payroll; improve the quality and efficiency of non- salary;</w:t>
      </w:r>
      <w:r>
        <w:rPr>
          <w:color w:val="231F20"/>
          <w:spacing w:val="-9"/>
          <w:sz w:val="23"/>
        </w:rPr>
        <w:t> </w:t>
      </w:r>
      <w:r>
        <w:rPr>
          <w:color w:val="231F20"/>
          <w:sz w:val="23"/>
        </w:rPr>
        <w:t>non-interest</w:t>
      </w:r>
      <w:r>
        <w:rPr>
          <w:color w:val="231F20"/>
          <w:spacing w:val="-9"/>
          <w:sz w:val="23"/>
        </w:rPr>
        <w:t> </w:t>
      </w:r>
      <w:r>
        <w:rPr>
          <w:color w:val="231F20"/>
          <w:sz w:val="23"/>
        </w:rPr>
        <w:t>recurrent</w:t>
      </w:r>
      <w:r>
        <w:rPr>
          <w:color w:val="231F20"/>
          <w:spacing w:val="-9"/>
          <w:sz w:val="23"/>
        </w:rPr>
        <w:t> </w:t>
      </w:r>
      <w:r>
        <w:rPr>
          <w:color w:val="231F20"/>
          <w:sz w:val="23"/>
        </w:rPr>
        <w:t>and</w:t>
      </w:r>
      <w:r>
        <w:rPr>
          <w:color w:val="231F20"/>
          <w:spacing w:val="-9"/>
          <w:sz w:val="23"/>
        </w:rPr>
        <w:t> </w:t>
      </w:r>
      <w:r>
        <w:rPr>
          <w:color w:val="231F20"/>
          <w:sz w:val="23"/>
        </w:rPr>
        <w:t>capital</w:t>
      </w:r>
      <w:r>
        <w:rPr>
          <w:color w:val="231F20"/>
          <w:spacing w:val="-9"/>
          <w:sz w:val="23"/>
        </w:rPr>
        <w:t> </w:t>
      </w:r>
      <w:r>
        <w:rPr>
          <w:color w:val="231F20"/>
          <w:sz w:val="23"/>
        </w:rPr>
        <w:t>expenditures;</w:t>
      </w:r>
      <w:r>
        <w:rPr>
          <w:color w:val="231F20"/>
          <w:spacing w:val="-9"/>
          <w:sz w:val="23"/>
        </w:rPr>
        <w:t> </w:t>
      </w:r>
      <w:r>
        <w:rPr>
          <w:color w:val="231F20"/>
          <w:sz w:val="23"/>
        </w:rPr>
        <w:t>and</w:t>
      </w:r>
      <w:r>
        <w:rPr>
          <w:color w:val="231F20"/>
          <w:spacing w:val="-9"/>
          <w:sz w:val="23"/>
        </w:rPr>
        <w:t> </w:t>
      </w:r>
      <w:r>
        <w:rPr>
          <w:color w:val="231F20"/>
          <w:sz w:val="23"/>
        </w:rPr>
        <w:t>strengthen</w:t>
      </w:r>
      <w:r>
        <w:rPr>
          <w:color w:val="231F20"/>
          <w:spacing w:val="-9"/>
          <w:sz w:val="23"/>
        </w:rPr>
        <w:t> </w:t>
      </w:r>
      <w:r>
        <w:rPr>
          <w:color w:val="231F20"/>
          <w:sz w:val="23"/>
        </w:rPr>
        <w:t>expenditure controls on other recurrent</w:t>
      </w:r>
      <w:r>
        <w:rPr>
          <w:color w:val="231F20"/>
          <w:spacing w:val="44"/>
          <w:sz w:val="23"/>
        </w:rPr>
        <w:t> </w:t>
      </w:r>
      <w:r>
        <w:rPr>
          <w:color w:val="231F20"/>
          <w:sz w:val="23"/>
        </w:rPr>
        <w:t>expenditures.</w:t>
      </w:r>
    </w:p>
    <w:p>
      <w:pPr>
        <w:pStyle w:val="BodyText"/>
        <w:spacing w:before="11"/>
        <w:rPr>
          <w:sz w:val="28"/>
        </w:rPr>
      </w:pPr>
    </w:p>
    <w:p>
      <w:pPr>
        <w:pStyle w:val="Heading2"/>
        <w:numPr>
          <w:ilvl w:val="0"/>
          <w:numId w:val="6"/>
        </w:numPr>
        <w:tabs>
          <w:tab w:pos="953" w:val="left" w:leader="none"/>
          <w:tab w:pos="954" w:val="left" w:leader="none"/>
        </w:tabs>
        <w:spacing w:line="240" w:lineRule="auto" w:before="0" w:after="0"/>
        <w:ind w:left="953" w:right="0" w:hanging="507"/>
        <w:jc w:val="left"/>
      </w:pPr>
      <w:r>
        <w:rPr>
          <w:color w:val="231F20"/>
        </w:rPr>
        <w:t>Improving</w:t>
      </w:r>
      <w:r>
        <w:rPr>
          <w:color w:val="231F20"/>
          <w:spacing w:val="-28"/>
        </w:rPr>
        <w:t> </w:t>
      </w:r>
      <w:r>
        <w:rPr>
          <w:color w:val="231F20"/>
        </w:rPr>
        <w:t>the</w:t>
      </w:r>
      <w:r>
        <w:rPr>
          <w:color w:val="231F20"/>
          <w:spacing w:val="-28"/>
        </w:rPr>
        <w:t> </w:t>
      </w:r>
      <w:r>
        <w:rPr>
          <w:color w:val="231F20"/>
        </w:rPr>
        <w:t>Integrity</w:t>
      </w:r>
      <w:r>
        <w:rPr>
          <w:color w:val="231F20"/>
          <w:spacing w:val="-27"/>
        </w:rPr>
        <w:t> </w:t>
      </w:r>
      <w:r>
        <w:rPr>
          <w:color w:val="231F20"/>
        </w:rPr>
        <w:t>and</w:t>
      </w:r>
      <w:r>
        <w:rPr>
          <w:color w:val="231F20"/>
          <w:spacing w:val="-28"/>
        </w:rPr>
        <w:t> </w:t>
      </w:r>
      <w:r>
        <w:rPr>
          <w:color w:val="231F20"/>
        </w:rPr>
        <w:t>Sustainability</w:t>
      </w:r>
      <w:r>
        <w:rPr>
          <w:color w:val="231F20"/>
          <w:spacing w:val="-27"/>
        </w:rPr>
        <w:t> </w:t>
      </w:r>
      <w:r>
        <w:rPr>
          <w:color w:val="231F20"/>
        </w:rPr>
        <w:t>of</w:t>
      </w:r>
      <w:r>
        <w:rPr>
          <w:color w:val="231F20"/>
          <w:spacing w:val="-28"/>
        </w:rPr>
        <w:t> </w:t>
      </w:r>
      <w:r>
        <w:rPr>
          <w:color w:val="231F20"/>
        </w:rPr>
        <w:t>the</w:t>
      </w:r>
      <w:r>
        <w:rPr>
          <w:color w:val="231F20"/>
          <w:spacing w:val="-27"/>
        </w:rPr>
        <w:t> </w:t>
      </w:r>
      <w:r>
        <w:rPr>
          <w:color w:val="231F20"/>
        </w:rPr>
        <w:t>Payroll</w:t>
      </w:r>
    </w:p>
    <w:p>
      <w:pPr>
        <w:pStyle w:val="ListParagraph"/>
        <w:numPr>
          <w:ilvl w:val="0"/>
          <w:numId w:val="2"/>
        </w:numPr>
        <w:tabs>
          <w:tab w:pos="954" w:val="left" w:leader="none"/>
        </w:tabs>
        <w:spacing w:line="302" w:lineRule="auto" w:before="71" w:after="0"/>
        <w:ind w:left="103" w:right="119" w:firstLine="223"/>
        <w:jc w:val="both"/>
        <w:rPr>
          <w:sz w:val="23"/>
        </w:rPr>
      </w:pPr>
      <w:r>
        <w:rPr>
          <w:color w:val="231F20"/>
          <w:sz w:val="23"/>
        </w:rPr>
        <w:t>Mr. Speaker, Honourable Members, several reforms to improve the integrity and sustainability of the Government payroll are ongoing. Some of these reforms include</w:t>
      </w:r>
      <w:r>
        <w:rPr>
          <w:color w:val="231F20"/>
          <w:spacing w:val="-7"/>
          <w:sz w:val="23"/>
        </w:rPr>
        <w:t> </w:t>
      </w:r>
      <w:r>
        <w:rPr>
          <w:color w:val="231F20"/>
          <w:sz w:val="23"/>
        </w:rPr>
        <w:t>the</w:t>
      </w:r>
      <w:r>
        <w:rPr>
          <w:color w:val="231F20"/>
          <w:spacing w:val="-7"/>
          <w:sz w:val="23"/>
        </w:rPr>
        <w:t> </w:t>
      </w:r>
      <w:r>
        <w:rPr>
          <w:color w:val="231F20"/>
          <w:sz w:val="23"/>
        </w:rPr>
        <w:t>cleaning</w:t>
      </w:r>
      <w:r>
        <w:rPr>
          <w:color w:val="231F20"/>
          <w:spacing w:val="-7"/>
          <w:sz w:val="23"/>
        </w:rPr>
        <w:t> </w:t>
      </w:r>
      <w:r>
        <w:rPr>
          <w:color w:val="231F20"/>
          <w:sz w:val="23"/>
        </w:rPr>
        <w:t>up</w:t>
      </w:r>
      <w:r>
        <w:rPr>
          <w:color w:val="231F20"/>
          <w:spacing w:val="-7"/>
          <w:sz w:val="23"/>
        </w:rPr>
        <w:t> </w:t>
      </w:r>
      <w:r>
        <w:rPr>
          <w:color w:val="231F20"/>
          <w:sz w:val="23"/>
        </w:rPr>
        <w:t>of</w:t>
      </w:r>
      <w:r>
        <w:rPr>
          <w:color w:val="231F20"/>
          <w:spacing w:val="-7"/>
          <w:sz w:val="23"/>
        </w:rPr>
        <w:t> </w:t>
      </w:r>
      <w:r>
        <w:rPr>
          <w:color w:val="231F20"/>
          <w:sz w:val="23"/>
        </w:rPr>
        <w:t>NASSIT</w:t>
      </w:r>
      <w:r>
        <w:rPr>
          <w:color w:val="231F20"/>
          <w:spacing w:val="-7"/>
          <w:sz w:val="23"/>
        </w:rPr>
        <w:t> </w:t>
      </w:r>
      <w:r>
        <w:rPr>
          <w:color w:val="231F20"/>
          <w:sz w:val="23"/>
        </w:rPr>
        <w:t>and</w:t>
      </w:r>
      <w:r>
        <w:rPr>
          <w:color w:val="231F20"/>
          <w:spacing w:val="-7"/>
          <w:sz w:val="23"/>
        </w:rPr>
        <w:t> </w:t>
      </w:r>
      <w:r>
        <w:rPr>
          <w:color w:val="231F20"/>
          <w:sz w:val="23"/>
        </w:rPr>
        <w:t>BBAN</w:t>
      </w:r>
      <w:r>
        <w:rPr>
          <w:color w:val="231F20"/>
          <w:spacing w:val="-7"/>
          <w:sz w:val="23"/>
        </w:rPr>
        <w:t> </w:t>
      </w:r>
      <w:r>
        <w:rPr>
          <w:color w:val="231F20"/>
          <w:sz w:val="23"/>
        </w:rPr>
        <w:t>numbers</w:t>
      </w:r>
      <w:r>
        <w:rPr>
          <w:color w:val="231F20"/>
          <w:spacing w:val="-7"/>
          <w:sz w:val="23"/>
        </w:rPr>
        <w:t> </w:t>
      </w:r>
      <w:r>
        <w:rPr>
          <w:color w:val="231F20"/>
          <w:sz w:val="23"/>
        </w:rPr>
        <w:t>of</w:t>
      </w:r>
      <w:r>
        <w:rPr>
          <w:color w:val="231F20"/>
          <w:spacing w:val="-7"/>
          <w:sz w:val="23"/>
        </w:rPr>
        <w:t> </w:t>
      </w:r>
      <w:r>
        <w:rPr>
          <w:color w:val="231F20"/>
          <w:sz w:val="23"/>
        </w:rPr>
        <w:t>public</w:t>
      </w:r>
      <w:r>
        <w:rPr>
          <w:color w:val="231F20"/>
          <w:spacing w:val="-7"/>
          <w:sz w:val="23"/>
        </w:rPr>
        <w:t> </w:t>
      </w:r>
      <w:r>
        <w:rPr>
          <w:color w:val="231F20"/>
          <w:sz w:val="23"/>
        </w:rPr>
        <w:t>sector</w:t>
      </w:r>
      <w:r>
        <w:rPr>
          <w:color w:val="231F20"/>
          <w:spacing w:val="-7"/>
          <w:sz w:val="23"/>
        </w:rPr>
        <w:t> </w:t>
      </w:r>
      <w:r>
        <w:rPr>
          <w:color w:val="231F20"/>
          <w:sz w:val="23"/>
        </w:rPr>
        <w:t>employees</w:t>
      </w:r>
      <w:r>
        <w:rPr>
          <w:color w:val="231F20"/>
          <w:spacing w:val="-7"/>
          <w:sz w:val="23"/>
        </w:rPr>
        <w:t> </w:t>
      </w:r>
      <w:r>
        <w:rPr>
          <w:color w:val="231F20"/>
          <w:sz w:val="23"/>
        </w:rPr>
        <w:t>to address</w:t>
      </w:r>
      <w:r>
        <w:rPr>
          <w:color w:val="231F20"/>
          <w:spacing w:val="-17"/>
          <w:sz w:val="23"/>
        </w:rPr>
        <w:t> </w:t>
      </w:r>
      <w:r>
        <w:rPr>
          <w:color w:val="231F20"/>
          <w:sz w:val="23"/>
        </w:rPr>
        <w:t>cases</w:t>
      </w:r>
      <w:r>
        <w:rPr>
          <w:color w:val="231F20"/>
          <w:spacing w:val="-17"/>
          <w:sz w:val="23"/>
        </w:rPr>
        <w:t> </w:t>
      </w:r>
      <w:r>
        <w:rPr>
          <w:color w:val="231F20"/>
          <w:sz w:val="23"/>
        </w:rPr>
        <w:t>of</w:t>
      </w:r>
      <w:r>
        <w:rPr>
          <w:color w:val="231F20"/>
          <w:spacing w:val="-17"/>
          <w:sz w:val="23"/>
        </w:rPr>
        <w:t> </w:t>
      </w:r>
      <w:r>
        <w:rPr>
          <w:color w:val="231F20"/>
          <w:sz w:val="23"/>
        </w:rPr>
        <w:t>dual</w:t>
      </w:r>
      <w:r>
        <w:rPr>
          <w:color w:val="231F20"/>
          <w:spacing w:val="-17"/>
          <w:sz w:val="23"/>
        </w:rPr>
        <w:t> </w:t>
      </w:r>
      <w:r>
        <w:rPr>
          <w:color w:val="231F20"/>
          <w:sz w:val="23"/>
        </w:rPr>
        <w:t>employment;</w:t>
      </w:r>
      <w:r>
        <w:rPr>
          <w:color w:val="231F20"/>
          <w:spacing w:val="-17"/>
          <w:sz w:val="23"/>
        </w:rPr>
        <w:t> </w:t>
      </w:r>
      <w:r>
        <w:rPr>
          <w:color w:val="231F20"/>
          <w:sz w:val="23"/>
        </w:rPr>
        <w:t>automation</w:t>
      </w:r>
      <w:r>
        <w:rPr>
          <w:color w:val="231F20"/>
          <w:spacing w:val="-17"/>
          <w:sz w:val="23"/>
        </w:rPr>
        <w:t> </w:t>
      </w:r>
      <w:r>
        <w:rPr>
          <w:color w:val="231F20"/>
          <w:sz w:val="23"/>
        </w:rPr>
        <w:t>of</w:t>
      </w:r>
      <w:r>
        <w:rPr>
          <w:color w:val="231F20"/>
          <w:spacing w:val="-17"/>
          <w:sz w:val="23"/>
        </w:rPr>
        <w:t> </w:t>
      </w:r>
      <w:r>
        <w:rPr>
          <w:color w:val="231F20"/>
          <w:sz w:val="23"/>
        </w:rPr>
        <w:t>the</w:t>
      </w:r>
      <w:r>
        <w:rPr>
          <w:color w:val="231F20"/>
          <w:spacing w:val="-16"/>
          <w:sz w:val="23"/>
        </w:rPr>
        <w:t> </w:t>
      </w:r>
      <w:r>
        <w:rPr>
          <w:color w:val="231F20"/>
          <w:sz w:val="23"/>
        </w:rPr>
        <w:t>payroll</w:t>
      </w:r>
      <w:r>
        <w:rPr>
          <w:color w:val="231F20"/>
          <w:spacing w:val="-17"/>
          <w:sz w:val="23"/>
        </w:rPr>
        <w:t> </w:t>
      </w:r>
      <w:r>
        <w:rPr>
          <w:color w:val="231F20"/>
          <w:sz w:val="23"/>
        </w:rPr>
        <w:t>of</w:t>
      </w:r>
      <w:r>
        <w:rPr>
          <w:color w:val="231F20"/>
          <w:spacing w:val="-17"/>
          <w:sz w:val="23"/>
        </w:rPr>
        <w:t> </w:t>
      </w:r>
      <w:r>
        <w:rPr>
          <w:color w:val="231F20"/>
          <w:sz w:val="23"/>
        </w:rPr>
        <w:t>Sub-Vented</w:t>
      </w:r>
      <w:r>
        <w:rPr>
          <w:color w:val="231F20"/>
          <w:spacing w:val="-17"/>
          <w:sz w:val="23"/>
        </w:rPr>
        <w:t> </w:t>
      </w:r>
      <w:r>
        <w:rPr>
          <w:color w:val="231F20"/>
          <w:sz w:val="23"/>
        </w:rPr>
        <w:t>Agencies and public tertiary institutions; nationwide biometric verification of all public</w:t>
      </w:r>
      <w:r>
        <w:rPr>
          <w:color w:val="231F20"/>
          <w:spacing w:val="-30"/>
          <w:sz w:val="23"/>
        </w:rPr>
        <w:t> </w:t>
      </w:r>
      <w:r>
        <w:rPr>
          <w:color w:val="231F20"/>
          <w:sz w:val="23"/>
        </w:rPr>
        <w:t>sector employees; and the introduction of payroll quality assurance measures. In the past year, the various clean-up exercises have resulted in the removal of about 4,500 employees from the payroll.</w:t>
      </w:r>
    </w:p>
    <w:p>
      <w:pPr>
        <w:pStyle w:val="BodyText"/>
        <w:spacing w:before="9"/>
        <w:rPr>
          <w:sz w:val="28"/>
        </w:rPr>
      </w:pPr>
    </w:p>
    <w:p>
      <w:pPr>
        <w:pStyle w:val="ListParagraph"/>
        <w:numPr>
          <w:ilvl w:val="0"/>
          <w:numId w:val="2"/>
        </w:numPr>
        <w:tabs>
          <w:tab w:pos="954" w:val="left" w:leader="none"/>
        </w:tabs>
        <w:spacing w:line="302" w:lineRule="auto" w:before="0" w:after="0"/>
        <w:ind w:left="103" w:right="117" w:firstLine="223"/>
        <w:jc w:val="both"/>
        <w:rPr>
          <w:sz w:val="23"/>
        </w:rPr>
      </w:pPr>
      <w:r>
        <w:rPr>
          <w:color w:val="231F20"/>
          <w:sz w:val="23"/>
        </w:rPr>
        <w:t>While</w:t>
      </w:r>
      <w:r>
        <w:rPr>
          <w:color w:val="231F20"/>
          <w:spacing w:val="-15"/>
          <w:sz w:val="23"/>
        </w:rPr>
        <w:t> </w:t>
      </w:r>
      <w:r>
        <w:rPr>
          <w:color w:val="231F20"/>
          <w:sz w:val="23"/>
        </w:rPr>
        <w:t>these</w:t>
      </w:r>
      <w:r>
        <w:rPr>
          <w:color w:val="231F20"/>
          <w:spacing w:val="-15"/>
          <w:sz w:val="23"/>
        </w:rPr>
        <w:t> </w:t>
      </w:r>
      <w:r>
        <w:rPr>
          <w:color w:val="231F20"/>
          <w:sz w:val="23"/>
        </w:rPr>
        <w:t>reforms</w:t>
      </w:r>
      <w:r>
        <w:rPr>
          <w:color w:val="231F20"/>
          <w:spacing w:val="-15"/>
          <w:sz w:val="23"/>
        </w:rPr>
        <w:t> </w:t>
      </w:r>
      <w:r>
        <w:rPr>
          <w:color w:val="231F20"/>
          <w:sz w:val="23"/>
        </w:rPr>
        <w:t>have</w:t>
      </w:r>
      <w:r>
        <w:rPr>
          <w:color w:val="231F20"/>
          <w:spacing w:val="-15"/>
          <w:sz w:val="23"/>
        </w:rPr>
        <w:t> </w:t>
      </w:r>
      <w:r>
        <w:rPr>
          <w:color w:val="231F20"/>
          <w:sz w:val="23"/>
        </w:rPr>
        <w:t>to</w:t>
      </w:r>
      <w:r>
        <w:rPr>
          <w:color w:val="231F20"/>
          <w:spacing w:val="-15"/>
          <w:sz w:val="23"/>
        </w:rPr>
        <w:t> </w:t>
      </w:r>
      <w:r>
        <w:rPr>
          <w:color w:val="231F20"/>
          <w:sz w:val="23"/>
        </w:rPr>
        <w:t>some</w:t>
      </w:r>
      <w:r>
        <w:rPr>
          <w:color w:val="231F20"/>
          <w:spacing w:val="-15"/>
          <w:sz w:val="23"/>
        </w:rPr>
        <w:t> </w:t>
      </w:r>
      <w:r>
        <w:rPr>
          <w:color w:val="231F20"/>
          <w:sz w:val="23"/>
        </w:rPr>
        <w:t>extent</w:t>
      </w:r>
      <w:r>
        <w:rPr>
          <w:color w:val="231F20"/>
          <w:spacing w:val="-15"/>
          <w:sz w:val="23"/>
        </w:rPr>
        <w:t> </w:t>
      </w:r>
      <w:r>
        <w:rPr>
          <w:color w:val="231F20"/>
          <w:sz w:val="23"/>
        </w:rPr>
        <w:t>improved</w:t>
      </w:r>
      <w:r>
        <w:rPr>
          <w:color w:val="231F20"/>
          <w:spacing w:val="-15"/>
          <w:sz w:val="23"/>
        </w:rPr>
        <w:t> </w:t>
      </w:r>
      <w:r>
        <w:rPr>
          <w:color w:val="231F20"/>
          <w:sz w:val="23"/>
        </w:rPr>
        <w:t>the</w:t>
      </w:r>
      <w:r>
        <w:rPr>
          <w:color w:val="231F20"/>
          <w:spacing w:val="-15"/>
          <w:sz w:val="23"/>
        </w:rPr>
        <w:t> </w:t>
      </w:r>
      <w:r>
        <w:rPr>
          <w:color w:val="231F20"/>
          <w:sz w:val="23"/>
        </w:rPr>
        <w:t>integrity</w:t>
      </w:r>
      <w:r>
        <w:rPr>
          <w:color w:val="231F20"/>
          <w:spacing w:val="-15"/>
          <w:sz w:val="23"/>
        </w:rPr>
        <w:t> </w:t>
      </w:r>
      <w:r>
        <w:rPr>
          <w:color w:val="231F20"/>
          <w:sz w:val="23"/>
        </w:rPr>
        <w:t>of</w:t>
      </w:r>
      <w:r>
        <w:rPr>
          <w:color w:val="231F20"/>
          <w:spacing w:val="-15"/>
          <w:sz w:val="23"/>
        </w:rPr>
        <w:t> </w:t>
      </w:r>
      <w:r>
        <w:rPr>
          <w:color w:val="231F20"/>
          <w:sz w:val="23"/>
        </w:rPr>
        <w:t>the</w:t>
      </w:r>
      <w:r>
        <w:rPr>
          <w:color w:val="231F20"/>
          <w:spacing w:val="-15"/>
          <w:sz w:val="23"/>
        </w:rPr>
        <w:t> </w:t>
      </w:r>
      <w:r>
        <w:rPr>
          <w:color w:val="231F20"/>
          <w:sz w:val="23"/>
        </w:rPr>
        <w:t>payroll, several</w:t>
      </w:r>
      <w:r>
        <w:rPr>
          <w:color w:val="231F20"/>
          <w:spacing w:val="-18"/>
          <w:sz w:val="23"/>
        </w:rPr>
        <w:t> </w:t>
      </w:r>
      <w:r>
        <w:rPr>
          <w:color w:val="231F20"/>
          <w:sz w:val="23"/>
        </w:rPr>
        <w:t>anomalies</w:t>
      </w:r>
      <w:r>
        <w:rPr>
          <w:color w:val="231F20"/>
          <w:spacing w:val="-18"/>
          <w:sz w:val="23"/>
        </w:rPr>
        <w:t> </w:t>
      </w:r>
      <w:r>
        <w:rPr>
          <w:color w:val="231F20"/>
          <w:sz w:val="23"/>
        </w:rPr>
        <w:t>continue</w:t>
      </w:r>
      <w:r>
        <w:rPr>
          <w:color w:val="231F20"/>
          <w:spacing w:val="-18"/>
          <w:sz w:val="23"/>
        </w:rPr>
        <w:t> </w:t>
      </w:r>
      <w:r>
        <w:rPr>
          <w:color w:val="231F20"/>
          <w:sz w:val="23"/>
        </w:rPr>
        <w:t>to</w:t>
      </w:r>
      <w:r>
        <w:rPr>
          <w:color w:val="231F20"/>
          <w:spacing w:val="-18"/>
          <w:sz w:val="23"/>
        </w:rPr>
        <w:t> </w:t>
      </w:r>
      <w:r>
        <w:rPr>
          <w:color w:val="231F20"/>
          <w:sz w:val="23"/>
        </w:rPr>
        <w:t>emerge,</w:t>
      </w:r>
      <w:r>
        <w:rPr>
          <w:color w:val="231F20"/>
          <w:spacing w:val="-18"/>
          <w:sz w:val="23"/>
        </w:rPr>
        <w:t> </w:t>
      </w:r>
      <w:r>
        <w:rPr>
          <w:color w:val="231F20"/>
          <w:sz w:val="23"/>
        </w:rPr>
        <w:t>threatening</w:t>
      </w:r>
      <w:r>
        <w:rPr>
          <w:color w:val="231F20"/>
          <w:spacing w:val="-18"/>
          <w:sz w:val="23"/>
        </w:rPr>
        <w:t> </w:t>
      </w:r>
      <w:r>
        <w:rPr>
          <w:color w:val="231F20"/>
          <w:sz w:val="23"/>
        </w:rPr>
        <w:t>the</w:t>
      </w:r>
      <w:r>
        <w:rPr>
          <w:color w:val="231F20"/>
          <w:spacing w:val="-18"/>
          <w:sz w:val="23"/>
        </w:rPr>
        <w:t> </w:t>
      </w:r>
      <w:r>
        <w:rPr>
          <w:color w:val="231F20"/>
          <w:sz w:val="23"/>
        </w:rPr>
        <w:t>sustainability</w:t>
      </w:r>
      <w:r>
        <w:rPr>
          <w:color w:val="231F20"/>
          <w:spacing w:val="-18"/>
          <w:sz w:val="23"/>
        </w:rPr>
        <w:t> </w:t>
      </w:r>
      <w:r>
        <w:rPr>
          <w:color w:val="231F20"/>
          <w:sz w:val="23"/>
        </w:rPr>
        <w:t>of</w:t>
      </w:r>
      <w:r>
        <w:rPr>
          <w:color w:val="231F20"/>
          <w:spacing w:val="-18"/>
          <w:sz w:val="23"/>
        </w:rPr>
        <w:t> </w:t>
      </w:r>
      <w:r>
        <w:rPr>
          <w:color w:val="231F20"/>
          <w:sz w:val="23"/>
        </w:rPr>
        <w:t>the</w:t>
      </w:r>
      <w:r>
        <w:rPr>
          <w:color w:val="231F20"/>
          <w:spacing w:val="-18"/>
          <w:sz w:val="23"/>
        </w:rPr>
        <w:t> </w:t>
      </w:r>
      <w:r>
        <w:rPr>
          <w:color w:val="231F20"/>
          <w:sz w:val="23"/>
        </w:rPr>
        <w:t>Wage</w:t>
      </w:r>
      <w:r>
        <w:rPr>
          <w:color w:val="231F20"/>
          <w:spacing w:val="-18"/>
          <w:sz w:val="23"/>
        </w:rPr>
        <w:t> </w:t>
      </w:r>
      <w:r>
        <w:rPr>
          <w:color w:val="231F20"/>
          <w:sz w:val="23"/>
        </w:rPr>
        <w:t>Bill. These include weaknesses in man-power planning; incomplete and inconsistent payroll</w:t>
      </w:r>
      <w:r>
        <w:rPr>
          <w:color w:val="231F20"/>
          <w:spacing w:val="-35"/>
          <w:sz w:val="23"/>
        </w:rPr>
        <w:t> </w:t>
      </w:r>
      <w:r>
        <w:rPr>
          <w:color w:val="231F20"/>
          <w:sz w:val="23"/>
        </w:rPr>
        <w:t>records</w:t>
      </w:r>
      <w:r>
        <w:rPr>
          <w:color w:val="231F20"/>
          <w:spacing w:val="-35"/>
          <w:sz w:val="23"/>
        </w:rPr>
        <w:t> </w:t>
      </w:r>
      <w:r>
        <w:rPr>
          <w:color w:val="231F20"/>
          <w:sz w:val="23"/>
        </w:rPr>
        <w:t>for</w:t>
      </w:r>
      <w:r>
        <w:rPr>
          <w:color w:val="231F20"/>
          <w:spacing w:val="-35"/>
          <w:sz w:val="23"/>
        </w:rPr>
        <w:t> </w:t>
      </w:r>
      <w:r>
        <w:rPr>
          <w:color w:val="231F20"/>
          <w:sz w:val="23"/>
        </w:rPr>
        <w:t>some</w:t>
      </w:r>
      <w:r>
        <w:rPr>
          <w:color w:val="231F20"/>
          <w:spacing w:val="-35"/>
          <w:sz w:val="23"/>
        </w:rPr>
        <w:t> </w:t>
      </w:r>
      <w:r>
        <w:rPr>
          <w:color w:val="231F20"/>
          <w:sz w:val="23"/>
        </w:rPr>
        <w:t>employees;</w:t>
      </w:r>
      <w:r>
        <w:rPr>
          <w:color w:val="231F20"/>
          <w:spacing w:val="-35"/>
          <w:sz w:val="23"/>
        </w:rPr>
        <w:t> </w:t>
      </w:r>
      <w:r>
        <w:rPr>
          <w:color w:val="231F20"/>
          <w:sz w:val="23"/>
        </w:rPr>
        <w:t>and</w:t>
      </w:r>
      <w:r>
        <w:rPr>
          <w:color w:val="231F20"/>
          <w:spacing w:val="-35"/>
          <w:sz w:val="23"/>
        </w:rPr>
        <w:t> </w:t>
      </w:r>
      <w:r>
        <w:rPr>
          <w:color w:val="231F20"/>
          <w:sz w:val="23"/>
        </w:rPr>
        <w:t>the</w:t>
      </w:r>
      <w:r>
        <w:rPr>
          <w:color w:val="231F20"/>
          <w:spacing w:val="-35"/>
          <w:sz w:val="23"/>
        </w:rPr>
        <w:t> </w:t>
      </w:r>
      <w:r>
        <w:rPr>
          <w:color w:val="231F20"/>
          <w:sz w:val="23"/>
        </w:rPr>
        <w:t>absence</w:t>
      </w:r>
      <w:r>
        <w:rPr>
          <w:color w:val="231F20"/>
          <w:spacing w:val="-35"/>
          <w:sz w:val="23"/>
        </w:rPr>
        <w:t> </w:t>
      </w:r>
      <w:r>
        <w:rPr>
          <w:color w:val="231F20"/>
          <w:sz w:val="23"/>
        </w:rPr>
        <w:t>of</w:t>
      </w:r>
      <w:r>
        <w:rPr>
          <w:color w:val="231F20"/>
          <w:spacing w:val="-35"/>
          <w:sz w:val="23"/>
        </w:rPr>
        <w:t> </w:t>
      </w:r>
      <w:r>
        <w:rPr>
          <w:color w:val="231F20"/>
          <w:sz w:val="23"/>
        </w:rPr>
        <w:t>a</w:t>
      </w:r>
      <w:r>
        <w:rPr>
          <w:color w:val="231F20"/>
          <w:spacing w:val="-35"/>
          <w:sz w:val="23"/>
        </w:rPr>
        <w:t> </w:t>
      </w:r>
      <w:r>
        <w:rPr>
          <w:color w:val="231F20"/>
          <w:sz w:val="23"/>
        </w:rPr>
        <w:t>body</w:t>
      </w:r>
      <w:r>
        <w:rPr>
          <w:color w:val="231F20"/>
          <w:spacing w:val="-35"/>
          <w:sz w:val="23"/>
        </w:rPr>
        <w:t> </w:t>
      </w:r>
      <w:r>
        <w:rPr>
          <w:color w:val="231F20"/>
          <w:sz w:val="23"/>
        </w:rPr>
        <w:t>responsible</w:t>
      </w:r>
      <w:r>
        <w:rPr>
          <w:color w:val="231F20"/>
          <w:spacing w:val="-35"/>
          <w:sz w:val="23"/>
        </w:rPr>
        <w:t> </w:t>
      </w:r>
      <w:r>
        <w:rPr>
          <w:color w:val="231F20"/>
          <w:sz w:val="23"/>
        </w:rPr>
        <w:t>for</w:t>
      </w:r>
      <w:r>
        <w:rPr>
          <w:color w:val="231F20"/>
          <w:spacing w:val="-35"/>
          <w:sz w:val="23"/>
        </w:rPr>
        <w:t> </w:t>
      </w:r>
      <w:r>
        <w:rPr>
          <w:color w:val="231F20"/>
          <w:sz w:val="23"/>
        </w:rPr>
        <w:t>oversight</w:t>
      </w:r>
    </w:p>
    <w:p>
      <w:pPr>
        <w:pStyle w:val="BodyText"/>
        <w:spacing w:before="11"/>
      </w:pPr>
    </w:p>
    <w:p>
      <w:pPr>
        <w:pStyle w:val="Heading1"/>
      </w:pPr>
      <w:r>
        <w:rPr>
          <w:color w:val="231F20"/>
        </w:rPr>
        <w:t>14</w:t>
      </w:r>
    </w:p>
    <w:p>
      <w:pPr>
        <w:spacing w:after="0"/>
        <w:sectPr>
          <w:pgSz w:w="11900" w:h="16840"/>
          <w:pgMar w:top="1180" w:bottom="280" w:left="1140" w:right="1120"/>
        </w:sectPr>
      </w:pPr>
    </w:p>
    <w:p>
      <w:pPr>
        <w:pStyle w:val="BodyText"/>
        <w:spacing w:line="302" w:lineRule="auto" w:before="77"/>
        <w:ind w:left="103" w:right="118"/>
        <w:jc w:val="both"/>
      </w:pPr>
      <w:r>
        <w:rPr>
          <w:color w:val="231F20"/>
        </w:rPr>
        <w:t>and</w:t>
      </w:r>
      <w:r>
        <w:rPr>
          <w:color w:val="231F20"/>
          <w:spacing w:val="-7"/>
        </w:rPr>
        <w:t> </w:t>
      </w:r>
      <w:r>
        <w:rPr>
          <w:color w:val="231F20"/>
        </w:rPr>
        <w:t>developing</w:t>
      </w:r>
      <w:r>
        <w:rPr>
          <w:color w:val="231F20"/>
          <w:spacing w:val="-7"/>
        </w:rPr>
        <w:t> </w:t>
      </w:r>
      <w:r>
        <w:rPr>
          <w:color w:val="231F20"/>
        </w:rPr>
        <w:t>polices</w:t>
      </w:r>
      <w:r>
        <w:rPr>
          <w:color w:val="231F20"/>
          <w:spacing w:val="-7"/>
        </w:rPr>
        <w:t> </w:t>
      </w:r>
      <w:r>
        <w:rPr>
          <w:color w:val="231F20"/>
        </w:rPr>
        <w:t>relating</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terms</w:t>
      </w:r>
      <w:r>
        <w:rPr>
          <w:color w:val="231F20"/>
          <w:spacing w:val="-7"/>
        </w:rPr>
        <w:t> </w:t>
      </w:r>
      <w:r>
        <w:rPr>
          <w:color w:val="231F20"/>
        </w:rPr>
        <w:t>and</w:t>
      </w:r>
      <w:r>
        <w:rPr>
          <w:color w:val="231F20"/>
          <w:spacing w:val="-7"/>
        </w:rPr>
        <w:t> </w:t>
      </w:r>
      <w:r>
        <w:rPr>
          <w:color w:val="231F20"/>
        </w:rPr>
        <w:t>conditions</w:t>
      </w:r>
      <w:r>
        <w:rPr>
          <w:color w:val="231F20"/>
          <w:spacing w:val="-7"/>
        </w:rPr>
        <w:t> </w:t>
      </w:r>
      <w:r>
        <w:rPr>
          <w:color w:val="231F20"/>
        </w:rPr>
        <w:t>of</w:t>
      </w:r>
      <w:r>
        <w:rPr>
          <w:color w:val="231F20"/>
          <w:spacing w:val="-7"/>
        </w:rPr>
        <w:t> </w:t>
      </w:r>
      <w:r>
        <w:rPr>
          <w:color w:val="231F20"/>
        </w:rPr>
        <w:t>public</w:t>
      </w:r>
      <w:r>
        <w:rPr>
          <w:color w:val="231F20"/>
          <w:spacing w:val="-7"/>
        </w:rPr>
        <w:t> </w:t>
      </w:r>
      <w:r>
        <w:rPr>
          <w:color w:val="231F20"/>
        </w:rPr>
        <w:t>sector</w:t>
      </w:r>
      <w:r>
        <w:rPr>
          <w:color w:val="231F20"/>
          <w:spacing w:val="-7"/>
        </w:rPr>
        <w:t> </w:t>
      </w:r>
      <w:r>
        <w:rPr>
          <w:color w:val="231F20"/>
        </w:rPr>
        <w:t>workers. To address these anomalies and consolidate the gains made so far, the Government will continue to implement the findings of the National Civil Registration Authority (NCRA) biometric verification exercise; strengthen the man-power planning process; and develop a follow-up Payroll</w:t>
      </w:r>
      <w:r>
        <w:rPr>
          <w:color w:val="231F20"/>
          <w:spacing w:val="-40"/>
        </w:rPr>
        <w:t> </w:t>
      </w:r>
      <w:r>
        <w:rPr>
          <w:color w:val="231F20"/>
        </w:rPr>
        <w:t>Strategy.</w:t>
      </w:r>
    </w:p>
    <w:p>
      <w:pPr>
        <w:pStyle w:val="BodyText"/>
        <w:spacing w:before="11"/>
        <w:rPr>
          <w:sz w:val="28"/>
        </w:rPr>
      </w:pPr>
    </w:p>
    <w:p>
      <w:pPr>
        <w:pStyle w:val="ListParagraph"/>
        <w:numPr>
          <w:ilvl w:val="0"/>
          <w:numId w:val="2"/>
        </w:numPr>
        <w:tabs>
          <w:tab w:pos="954" w:val="left" w:leader="none"/>
        </w:tabs>
        <w:spacing w:line="302" w:lineRule="auto" w:before="0" w:after="0"/>
        <w:ind w:left="103" w:right="117" w:firstLine="223"/>
        <w:jc w:val="both"/>
        <w:rPr>
          <w:sz w:val="23"/>
        </w:rPr>
      </w:pPr>
      <w:r>
        <w:rPr>
          <w:color w:val="231F20"/>
          <w:sz w:val="23"/>
        </w:rPr>
        <w:t>Mr. Speaker, Honourable Members, plans are at an advanced stage for the establishment of the Wages and Compensation Commission. Very shortly, I will be submitting to this House a Bill for the establishment of the Commission. The</w:t>
      </w:r>
      <w:r>
        <w:rPr>
          <w:color w:val="231F20"/>
          <w:spacing w:val="-50"/>
          <w:sz w:val="23"/>
        </w:rPr>
        <w:t> </w:t>
      </w:r>
      <w:r>
        <w:rPr>
          <w:color w:val="231F20"/>
          <w:sz w:val="23"/>
        </w:rPr>
        <w:t>Wages and</w:t>
      </w:r>
      <w:r>
        <w:rPr>
          <w:color w:val="231F20"/>
          <w:spacing w:val="-37"/>
          <w:sz w:val="23"/>
        </w:rPr>
        <w:t> </w:t>
      </w:r>
      <w:r>
        <w:rPr>
          <w:color w:val="231F20"/>
          <w:sz w:val="23"/>
        </w:rPr>
        <w:t>Compensation</w:t>
      </w:r>
      <w:r>
        <w:rPr>
          <w:color w:val="231F20"/>
          <w:spacing w:val="-36"/>
          <w:sz w:val="23"/>
        </w:rPr>
        <w:t> </w:t>
      </w:r>
      <w:r>
        <w:rPr>
          <w:color w:val="231F20"/>
          <w:sz w:val="23"/>
        </w:rPr>
        <w:t>Commission</w:t>
      </w:r>
      <w:r>
        <w:rPr>
          <w:color w:val="231F20"/>
          <w:spacing w:val="-36"/>
          <w:sz w:val="23"/>
        </w:rPr>
        <w:t> </w:t>
      </w:r>
      <w:r>
        <w:rPr>
          <w:color w:val="231F20"/>
          <w:sz w:val="23"/>
        </w:rPr>
        <w:t>will</w:t>
      </w:r>
      <w:r>
        <w:rPr>
          <w:color w:val="231F20"/>
          <w:spacing w:val="-36"/>
          <w:sz w:val="23"/>
        </w:rPr>
        <w:t> </w:t>
      </w:r>
      <w:r>
        <w:rPr>
          <w:color w:val="231F20"/>
          <w:sz w:val="23"/>
        </w:rPr>
        <w:t>take</w:t>
      </w:r>
      <w:r>
        <w:rPr>
          <w:color w:val="231F20"/>
          <w:spacing w:val="-36"/>
          <w:sz w:val="23"/>
        </w:rPr>
        <w:t> </w:t>
      </w:r>
      <w:r>
        <w:rPr>
          <w:color w:val="231F20"/>
          <w:sz w:val="23"/>
        </w:rPr>
        <w:t>forward</w:t>
      </w:r>
      <w:r>
        <w:rPr>
          <w:color w:val="231F20"/>
          <w:spacing w:val="-36"/>
          <w:sz w:val="23"/>
        </w:rPr>
        <w:t> </w:t>
      </w:r>
      <w:r>
        <w:rPr>
          <w:color w:val="231F20"/>
          <w:sz w:val="23"/>
        </w:rPr>
        <w:t>some</w:t>
      </w:r>
      <w:r>
        <w:rPr>
          <w:color w:val="231F20"/>
          <w:spacing w:val="-36"/>
          <w:sz w:val="23"/>
        </w:rPr>
        <w:t> </w:t>
      </w:r>
      <w:r>
        <w:rPr>
          <w:color w:val="231F20"/>
          <w:sz w:val="23"/>
        </w:rPr>
        <w:t>of</w:t>
      </w:r>
      <w:r>
        <w:rPr>
          <w:color w:val="231F20"/>
          <w:spacing w:val="-37"/>
          <w:sz w:val="23"/>
        </w:rPr>
        <w:t> </w:t>
      </w:r>
      <w:r>
        <w:rPr>
          <w:color w:val="231F20"/>
          <w:sz w:val="23"/>
        </w:rPr>
        <w:t>the</w:t>
      </w:r>
      <w:r>
        <w:rPr>
          <w:color w:val="231F20"/>
          <w:spacing w:val="-36"/>
          <w:sz w:val="23"/>
        </w:rPr>
        <w:t> </w:t>
      </w:r>
      <w:r>
        <w:rPr>
          <w:color w:val="231F20"/>
          <w:sz w:val="23"/>
        </w:rPr>
        <w:t>payroll</w:t>
      </w:r>
      <w:r>
        <w:rPr>
          <w:color w:val="231F20"/>
          <w:spacing w:val="-37"/>
          <w:sz w:val="23"/>
        </w:rPr>
        <w:t> </w:t>
      </w:r>
      <w:r>
        <w:rPr>
          <w:color w:val="231F20"/>
          <w:sz w:val="23"/>
        </w:rPr>
        <w:t>reforms</w:t>
      </w:r>
      <w:r>
        <w:rPr>
          <w:color w:val="231F20"/>
          <w:spacing w:val="-36"/>
          <w:sz w:val="23"/>
        </w:rPr>
        <w:t> </w:t>
      </w:r>
      <w:r>
        <w:rPr>
          <w:color w:val="231F20"/>
          <w:sz w:val="23"/>
        </w:rPr>
        <w:t>including aligning</w:t>
      </w:r>
      <w:r>
        <w:rPr>
          <w:color w:val="231F20"/>
          <w:spacing w:val="-35"/>
          <w:sz w:val="23"/>
        </w:rPr>
        <w:t> </w:t>
      </w:r>
      <w:r>
        <w:rPr>
          <w:color w:val="231F20"/>
          <w:sz w:val="23"/>
        </w:rPr>
        <w:t>the</w:t>
      </w:r>
      <w:r>
        <w:rPr>
          <w:color w:val="231F20"/>
          <w:spacing w:val="-35"/>
          <w:sz w:val="23"/>
        </w:rPr>
        <w:t> </w:t>
      </w:r>
      <w:r>
        <w:rPr>
          <w:color w:val="231F20"/>
          <w:sz w:val="23"/>
        </w:rPr>
        <w:t>multiple</w:t>
      </w:r>
      <w:r>
        <w:rPr>
          <w:color w:val="231F20"/>
          <w:spacing w:val="-35"/>
          <w:sz w:val="23"/>
        </w:rPr>
        <w:t> </w:t>
      </w:r>
      <w:r>
        <w:rPr>
          <w:color w:val="231F20"/>
          <w:sz w:val="23"/>
        </w:rPr>
        <w:t>pensions</w:t>
      </w:r>
      <w:r>
        <w:rPr>
          <w:color w:val="231F20"/>
          <w:spacing w:val="-35"/>
          <w:sz w:val="23"/>
        </w:rPr>
        <w:t> </w:t>
      </w:r>
      <w:r>
        <w:rPr>
          <w:color w:val="231F20"/>
          <w:sz w:val="23"/>
        </w:rPr>
        <w:t>laws</w:t>
      </w:r>
      <w:r>
        <w:rPr>
          <w:color w:val="231F20"/>
          <w:spacing w:val="-35"/>
          <w:sz w:val="23"/>
        </w:rPr>
        <w:t> </w:t>
      </w:r>
      <w:r>
        <w:rPr>
          <w:color w:val="231F20"/>
          <w:sz w:val="23"/>
        </w:rPr>
        <w:t>and</w:t>
      </w:r>
      <w:r>
        <w:rPr>
          <w:color w:val="231F20"/>
          <w:spacing w:val="-35"/>
          <w:sz w:val="23"/>
        </w:rPr>
        <w:t> </w:t>
      </w:r>
      <w:r>
        <w:rPr>
          <w:color w:val="231F20"/>
          <w:sz w:val="23"/>
        </w:rPr>
        <w:t>harmonising</w:t>
      </w:r>
      <w:r>
        <w:rPr>
          <w:color w:val="231F20"/>
          <w:spacing w:val="-35"/>
          <w:sz w:val="23"/>
        </w:rPr>
        <w:t> </w:t>
      </w:r>
      <w:r>
        <w:rPr>
          <w:color w:val="231F20"/>
          <w:sz w:val="23"/>
        </w:rPr>
        <w:t>pay</w:t>
      </w:r>
      <w:r>
        <w:rPr>
          <w:color w:val="231F20"/>
          <w:spacing w:val="-35"/>
          <w:sz w:val="23"/>
        </w:rPr>
        <w:t> </w:t>
      </w:r>
      <w:r>
        <w:rPr>
          <w:color w:val="231F20"/>
          <w:sz w:val="23"/>
        </w:rPr>
        <w:t>and</w:t>
      </w:r>
      <w:r>
        <w:rPr>
          <w:color w:val="231F20"/>
          <w:spacing w:val="-35"/>
          <w:sz w:val="23"/>
        </w:rPr>
        <w:t> </w:t>
      </w:r>
      <w:r>
        <w:rPr>
          <w:color w:val="231F20"/>
          <w:sz w:val="23"/>
        </w:rPr>
        <w:t>remuneration</w:t>
      </w:r>
      <w:r>
        <w:rPr>
          <w:color w:val="231F20"/>
          <w:spacing w:val="-35"/>
          <w:sz w:val="23"/>
        </w:rPr>
        <w:t> </w:t>
      </w:r>
      <w:r>
        <w:rPr>
          <w:color w:val="231F20"/>
          <w:sz w:val="23"/>
        </w:rPr>
        <w:t>across</w:t>
      </w:r>
      <w:r>
        <w:rPr>
          <w:color w:val="231F20"/>
          <w:spacing w:val="-35"/>
          <w:sz w:val="23"/>
        </w:rPr>
        <w:t> </w:t>
      </w:r>
      <w:r>
        <w:rPr>
          <w:color w:val="231F20"/>
          <w:sz w:val="23"/>
        </w:rPr>
        <w:t>the public</w:t>
      </w:r>
      <w:r>
        <w:rPr>
          <w:color w:val="231F20"/>
          <w:spacing w:val="-25"/>
          <w:sz w:val="23"/>
        </w:rPr>
        <w:t> </w:t>
      </w:r>
      <w:r>
        <w:rPr>
          <w:color w:val="231F20"/>
          <w:sz w:val="23"/>
        </w:rPr>
        <w:t>sector.</w:t>
      </w:r>
    </w:p>
    <w:p>
      <w:pPr>
        <w:pStyle w:val="BodyText"/>
        <w:spacing w:before="11"/>
        <w:rPr>
          <w:sz w:val="28"/>
        </w:rPr>
      </w:pPr>
    </w:p>
    <w:p>
      <w:pPr>
        <w:pStyle w:val="Heading2"/>
        <w:numPr>
          <w:ilvl w:val="0"/>
          <w:numId w:val="6"/>
        </w:numPr>
        <w:tabs>
          <w:tab w:pos="953" w:val="left" w:leader="none"/>
          <w:tab w:pos="954" w:val="left" w:leader="none"/>
        </w:tabs>
        <w:spacing w:line="240" w:lineRule="auto" w:before="0" w:after="0"/>
        <w:ind w:left="953" w:right="0" w:hanging="583"/>
        <w:jc w:val="left"/>
      </w:pPr>
      <w:r>
        <w:rPr>
          <w:color w:val="231F20"/>
        </w:rPr>
        <w:t>Strengthening</w:t>
      </w:r>
      <w:r>
        <w:rPr>
          <w:color w:val="231F20"/>
          <w:spacing w:val="-36"/>
        </w:rPr>
        <w:t> </w:t>
      </w:r>
      <w:r>
        <w:rPr>
          <w:color w:val="231F20"/>
        </w:rPr>
        <w:t>Expenditure</w:t>
      </w:r>
      <w:r>
        <w:rPr>
          <w:color w:val="231F20"/>
          <w:spacing w:val="-35"/>
        </w:rPr>
        <w:t> </w:t>
      </w:r>
      <w:r>
        <w:rPr>
          <w:color w:val="231F20"/>
        </w:rPr>
        <w:t>Controls</w:t>
      </w:r>
      <w:r>
        <w:rPr>
          <w:color w:val="231F20"/>
          <w:spacing w:val="-35"/>
        </w:rPr>
        <w:t> </w:t>
      </w:r>
      <w:r>
        <w:rPr>
          <w:color w:val="231F20"/>
        </w:rPr>
        <w:t>on</w:t>
      </w:r>
      <w:r>
        <w:rPr>
          <w:color w:val="231F20"/>
          <w:spacing w:val="-36"/>
        </w:rPr>
        <w:t> </w:t>
      </w:r>
      <w:r>
        <w:rPr>
          <w:color w:val="231F20"/>
        </w:rPr>
        <w:t>Other</w:t>
      </w:r>
      <w:r>
        <w:rPr>
          <w:color w:val="231F20"/>
          <w:spacing w:val="-35"/>
        </w:rPr>
        <w:t> </w:t>
      </w:r>
      <w:r>
        <w:rPr>
          <w:color w:val="231F20"/>
        </w:rPr>
        <w:t>Recurrent</w:t>
      </w:r>
      <w:r>
        <w:rPr>
          <w:color w:val="231F20"/>
          <w:spacing w:val="-35"/>
        </w:rPr>
        <w:t> </w:t>
      </w:r>
      <w:r>
        <w:rPr>
          <w:color w:val="231F20"/>
        </w:rPr>
        <w:t>Expenditures</w:t>
      </w:r>
    </w:p>
    <w:p>
      <w:pPr>
        <w:pStyle w:val="ListParagraph"/>
        <w:numPr>
          <w:ilvl w:val="0"/>
          <w:numId w:val="2"/>
        </w:numPr>
        <w:tabs>
          <w:tab w:pos="954" w:val="left" w:leader="none"/>
        </w:tabs>
        <w:spacing w:line="302" w:lineRule="auto" w:before="71" w:after="0"/>
        <w:ind w:left="103" w:right="117" w:firstLine="223"/>
        <w:jc w:val="both"/>
        <w:rPr>
          <w:sz w:val="23"/>
        </w:rPr>
      </w:pPr>
      <w:r>
        <w:rPr>
          <w:color w:val="231F20"/>
          <w:sz w:val="23"/>
        </w:rPr>
        <w:t>Mr. Speaker, Honourable Members, the Ministry of Finance will continue to </w:t>
      </w:r>
      <w:r>
        <w:rPr>
          <w:color w:val="231F20"/>
          <w:spacing w:val="-5"/>
          <w:sz w:val="23"/>
        </w:rPr>
        <w:t>vigorously</w:t>
      </w:r>
      <w:r>
        <w:rPr>
          <w:color w:val="231F20"/>
          <w:spacing w:val="-43"/>
          <w:sz w:val="23"/>
        </w:rPr>
        <w:t> </w:t>
      </w:r>
      <w:r>
        <w:rPr>
          <w:color w:val="231F20"/>
          <w:spacing w:val="-5"/>
          <w:sz w:val="23"/>
        </w:rPr>
        <w:t>pursue</w:t>
      </w:r>
      <w:r>
        <w:rPr>
          <w:color w:val="231F20"/>
          <w:spacing w:val="-43"/>
          <w:sz w:val="23"/>
        </w:rPr>
        <w:t> </w:t>
      </w:r>
      <w:r>
        <w:rPr>
          <w:color w:val="231F20"/>
          <w:spacing w:val="-5"/>
          <w:sz w:val="23"/>
        </w:rPr>
        <w:t>expenditure</w:t>
      </w:r>
      <w:r>
        <w:rPr>
          <w:color w:val="231F20"/>
          <w:spacing w:val="-42"/>
          <w:sz w:val="23"/>
        </w:rPr>
        <w:t> </w:t>
      </w:r>
      <w:r>
        <w:rPr>
          <w:color w:val="231F20"/>
          <w:spacing w:val="-5"/>
          <w:sz w:val="23"/>
        </w:rPr>
        <w:t>control</w:t>
      </w:r>
      <w:r>
        <w:rPr>
          <w:color w:val="231F20"/>
          <w:spacing w:val="-43"/>
          <w:sz w:val="23"/>
        </w:rPr>
        <w:t> </w:t>
      </w:r>
      <w:r>
        <w:rPr>
          <w:color w:val="231F20"/>
          <w:spacing w:val="-5"/>
          <w:sz w:val="23"/>
        </w:rPr>
        <w:t>measures,</w:t>
      </w:r>
      <w:r>
        <w:rPr>
          <w:color w:val="231F20"/>
          <w:spacing w:val="-42"/>
          <w:sz w:val="23"/>
        </w:rPr>
        <w:t> </w:t>
      </w:r>
      <w:r>
        <w:rPr>
          <w:color w:val="231F20"/>
          <w:spacing w:val="-5"/>
          <w:sz w:val="23"/>
        </w:rPr>
        <w:t>through</w:t>
      </w:r>
      <w:r>
        <w:rPr>
          <w:color w:val="231F20"/>
          <w:spacing w:val="-43"/>
          <w:sz w:val="23"/>
        </w:rPr>
        <w:t> </w:t>
      </w:r>
      <w:r>
        <w:rPr>
          <w:color w:val="231F20"/>
          <w:spacing w:val="-5"/>
          <w:sz w:val="23"/>
        </w:rPr>
        <w:t>rationalisation</w:t>
      </w:r>
      <w:r>
        <w:rPr>
          <w:color w:val="231F20"/>
          <w:spacing w:val="-43"/>
          <w:sz w:val="23"/>
        </w:rPr>
        <w:t> </w:t>
      </w:r>
      <w:r>
        <w:rPr>
          <w:color w:val="231F20"/>
          <w:spacing w:val="-3"/>
          <w:sz w:val="23"/>
        </w:rPr>
        <w:t>of</w:t>
      </w:r>
      <w:r>
        <w:rPr>
          <w:color w:val="231F20"/>
          <w:spacing w:val="-42"/>
          <w:sz w:val="23"/>
        </w:rPr>
        <w:t> </w:t>
      </w:r>
      <w:r>
        <w:rPr>
          <w:color w:val="231F20"/>
          <w:spacing w:val="-5"/>
          <w:sz w:val="23"/>
        </w:rPr>
        <w:t>expenditures, </w:t>
      </w:r>
      <w:r>
        <w:rPr>
          <w:color w:val="231F20"/>
          <w:sz w:val="23"/>
        </w:rPr>
        <w:t>backed by stronger commitment control and cash management. This is aimed at reducing wasteful expenditures, reducing subsidies to State-Owned Enterprises (SEOs)</w:t>
      </w:r>
      <w:r>
        <w:rPr>
          <w:color w:val="231F20"/>
          <w:spacing w:val="-28"/>
          <w:sz w:val="23"/>
        </w:rPr>
        <w:t> </w:t>
      </w:r>
      <w:r>
        <w:rPr>
          <w:color w:val="231F20"/>
          <w:sz w:val="23"/>
        </w:rPr>
        <w:t>and</w:t>
      </w:r>
      <w:r>
        <w:rPr>
          <w:color w:val="231F20"/>
          <w:spacing w:val="-28"/>
          <w:sz w:val="23"/>
        </w:rPr>
        <w:t> </w:t>
      </w:r>
      <w:r>
        <w:rPr>
          <w:color w:val="231F20"/>
          <w:sz w:val="23"/>
        </w:rPr>
        <w:t>forestalling</w:t>
      </w:r>
      <w:r>
        <w:rPr>
          <w:color w:val="231F20"/>
          <w:spacing w:val="-28"/>
          <w:sz w:val="23"/>
        </w:rPr>
        <w:t> </w:t>
      </w:r>
      <w:r>
        <w:rPr>
          <w:color w:val="231F20"/>
          <w:sz w:val="23"/>
        </w:rPr>
        <w:t>the</w:t>
      </w:r>
      <w:r>
        <w:rPr>
          <w:color w:val="231F20"/>
          <w:spacing w:val="-28"/>
          <w:sz w:val="23"/>
        </w:rPr>
        <w:t> </w:t>
      </w:r>
      <w:r>
        <w:rPr>
          <w:color w:val="231F20"/>
          <w:sz w:val="23"/>
        </w:rPr>
        <w:t>continuous</w:t>
      </w:r>
      <w:r>
        <w:rPr>
          <w:color w:val="231F20"/>
          <w:spacing w:val="-28"/>
          <w:sz w:val="23"/>
        </w:rPr>
        <w:t> </w:t>
      </w:r>
      <w:r>
        <w:rPr>
          <w:color w:val="231F20"/>
          <w:sz w:val="23"/>
        </w:rPr>
        <w:t>build-up</w:t>
      </w:r>
      <w:r>
        <w:rPr>
          <w:color w:val="231F20"/>
          <w:spacing w:val="-28"/>
          <w:sz w:val="23"/>
        </w:rPr>
        <w:t> </w:t>
      </w:r>
      <w:r>
        <w:rPr>
          <w:color w:val="231F20"/>
          <w:sz w:val="23"/>
        </w:rPr>
        <w:t>of</w:t>
      </w:r>
      <w:r>
        <w:rPr>
          <w:color w:val="231F20"/>
          <w:spacing w:val="-28"/>
          <w:sz w:val="23"/>
        </w:rPr>
        <w:t> </w:t>
      </w:r>
      <w:r>
        <w:rPr>
          <w:color w:val="231F20"/>
          <w:sz w:val="23"/>
        </w:rPr>
        <w:t>arrears</w:t>
      </w:r>
      <w:r>
        <w:rPr>
          <w:color w:val="231F20"/>
          <w:spacing w:val="-28"/>
          <w:sz w:val="23"/>
        </w:rPr>
        <w:t> </w:t>
      </w:r>
      <w:r>
        <w:rPr>
          <w:color w:val="231F20"/>
          <w:sz w:val="23"/>
        </w:rPr>
        <w:t>that</w:t>
      </w:r>
      <w:r>
        <w:rPr>
          <w:color w:val="231F20"/>
          <w:spacing w:val="-28"/>
          <w:sz w:val="23"/>
        </w:rPr>
        <w:t> </w:t>
      </w:r>
      <w:r>
        <w:rPr>
          <w:color w:val="231F20"/>
          <w:sz w:val="23"/>
        </w:rPr>
        <w:t>has</w:t>
      </w:r>
      <w:r>
        <w:rPr>
          <w:color w:val="231F20"/>
          <w:spacing w:val="-28"/>
          <w:sz w:val="23"/>
        </w:rPr>
        <w:t> </w:t>
      </w:r>
      <w:r>
        <w:rPr>
          <w:color w:val="231F20"/>
          <w:sz w:val="23"/>
        </w:rPr>
        <w:t>been</w:t>
      </w:r>
      <w:r>
        <w:rPr>
          <w:color w:val="231F20"/>
          <w:spacing w:val="-28"/>
          <w:sz w:val="23"/>
        </w:rPr>
        <w:t> </w:t>
      </w:r>
      <w:r>
        <w:rPr>
          <w:color w:val="231F20"/>
          <w:sz w:val="23"/>
        </w:rPr>
        <w:t>a</w:t>
      </w:r>
      <w:r>
        <w:rPr>
          <w:color w:val="231F20"/>
          <w:spacing w:val="-28"/>
          <w:sz w:val="23"/>
        </w:rPr>
        <w:t> </w:t>
      </w:r>
      <w:r>
        <w:rPr>
          <w:color w:val="231F20"/>
          <w:sz w:val="23"/>
        </w:rPr>
        <w:t>major</w:t>
      </w:r>
      <w:r>
        <w:rPr>
          <w:color w:val="231F20"/>
          <w:spacing w:val="-28"/>
          <w:sz w:val="23"/>
        </w:rPr>
        <w:t> </w:t>
      </w:r>
      <w:r>
        <w:rPr>
          <w:color w:val="231F20"/>
          <w:sz w:val="23"/>
        </w:rPr>
        <w:t>fiscal challenge in recent years. To this end, Government will implement the following </w:t>
      </w:r>
      <w:r>
        <w:rPr>
          <w:color w:val="231F20"/>
          <w:spacing w:val="3"/>
          <w:sz w:val="23"/>
        </w:rPr>
        <w:t>measures:</w:t>
      </w:r>
    </w:p>
    <w:p>
      <w:pPr>
        <w:pStyle w:val="BodyText"/>
        <w:spacing w:before="9"/>
        <w:rPr>
          <w:sz w:val="28"/>
        </w:rPr>
      </w:pPr>
    </w:p>
    <w:p>
      <w:pPr>
        <w:pStyle w:val="Heading2"/>
        <w:numPr>
          <w:ilvl w:val="0"/>
          <w:numId w:val="7"/>
        </w:numPr>
        <w:tabs>
          <w:tab w:pos="953" w:val="left" w:leader="none"/>
          <w:tab w:pos="954" w:val="left" w:leader="none"/>
        </w:tabs>
        <w:spacing w:line="240" w:lineRule="auto" w:before="0" w:after="0"/>
        <w:ind w:left="953" w:right="0" w:hanging="567"/>
        <w:jc w:val="left"/>
      </w:pPr>
      <w:r>
        <w:rPr>
          <w:color w:val="231F20"/>
        </w:rPr>
        <w:t>Improving</w:t>
      </w:r>
      <w:r>
        <w:rPr>
          <w:color w:val="231F20"/>
          <w:spacing w:val="-28"/>
        </w:rPr>
        <w:t> </w:t>
      </w:r>
      <w:r>
        <w:rPr>
          <w:color w:val="231F20"/>
        </w:rPr>
        <w:t>the</w:t>
      </w:r>
      <w:r>
        <w:rPr>
          <w:color w:val="231F20"/>
          <w:spacing w:val="-28"/>
        </w:rPr>
        <w:t> </w:t>
      </w:r>
      <w:r>
        <w:rPr>
          <w:color w:val="231F20"/>
        </w:rPr>
        <w:t>performance</w:t>
      </w:r>
      <w:r>
        <w:rPr>
          <w:color w:val="231F20"/>
          <w:spacing w:val="-28"/>
        </w:rPr>
        <w:t> </w:t>
      </w:r>
      <w:r>
        <w:rPr>
          <w:color w:val="231F20"/>
        </w:rPr>
        <w:t>of</w:t>
      </w:r>
      <w:r>
        <w:rPr>
          <w:color w:val="231F20"/>
          <w:spacing w:val="-28"/>
        </w:rPr>
        <w:t> </w:t>
      </w:r>
      <w:r>
        <w:rPr>
          <w:color w:val="231F20"/>
        </w:rPr>
        <w:t>State-Owned</w:t>
      </w:r>
      <w:r>
        <w:rPr>
          <w:color w:val="231F20"/>
          <w:spacing w:val="-28"/>
        </w:rPr>
        <w:t> </w:t>
      </w:r>
      <w:r>
        <w:rPr>
          <w:color w:val="231F20"/>
        </w:rPr>
        <w:t>Enterprises</w:t>
      </w:r>
    </w:p>
    <w:p>
      <w:pPr>
        <w:pStyle w:val="ListParagraph"/>
        <w:numPr>
          <w:ilvl w:val="0"/>
          <w:numId w:val="2"/>
        </w:numPr>
        <w:tabs>
          <w:tab w:pos="954" w:val="left" w:leader="none"/>
        </w:tabs>
        <w:spacing w:line="302" w:lineRule="auto" w:before="71" w:after="0"/>
        <w:ind w:left="103" w:right="119" w:firstLine="223"/>
        <w:jc w:val="both"/>
        <w:rPr>
          <w:sz w:val="23"/>
        </w:rPr>
      </w:pPr>
      <w:r>
        <w:rPr>
          <w:color w:val="231F20"/>
          <w:sz w:val="23"/>
        </w:rPr>
        <w:t>Mr.</w:t>
      </w:r>
      <w:r>
        <w:rPr>
          <w:color w:val="231F20"/>
          <w:spacing w:val="-36"/>
          <w:sz w:val="23"/>
        </w:rPr>
        <w:t> </w:t>
      </w:r>
      <w:r>
        <w:rPr>
          <w:color w:val="231F20"/>
          <w:sz w:val="23"/>
        </w:rPr>
        <w:t>Speaker,</w:t>
      </w:r>
      <w:r>
        <w:rPr>
          <w:color w:val="231F20"/>
          <w:spacing w:val="-36"/>
          <w:sz w:val="23"/>
        </w:rPr>
        <w:t> </w:t>
      </w:r>
      <w:r>
        <w:rPr>
          <w:color w:val="231F20"/>
          <w:sz w:val="23"/>
        </w:rPr>
        <w:t>Honourable</w:t>
      </w:r>
      <w:r>
        <w:rPr>
          <w:color w:val="231F20"/>
          <w:spacing w:val="-36"/>
          <w:sz w:val="23"/>
        </w:rPr>
        <w:t> </w:t>
      </w:r>
      <w:r>
        <w:rPr>
          <w:color w:val="231F20"/>
          <w:sz w:val="23"/>
        </w:rPr>
        <w:t>Members,</w:t>
      </w:r>
      <w:r>
        <w:rPr>
          <w:color w:val="231F20"/>
          <w:spacing w:val="-36"/>
          <w:sz w:val="23"/>
        </w:rPr>
        <w:t> </w:t>
      </w:r>
      <w:r>
        <w:rPr>
          <w:color w:val="231F20"/>
          <w:sz w:val="23"/>
        </w:rPr>
        <w:t>State-Owned</w:t>
      </w:r>
      <w:r>
        <w:rPr>
          <w:color w:val="231F20"/>
          <w:spacing w:val="-36"/>
          <w:sz w:val="23"/>
        </w:rPr>
        <w:t> </w:t>
      </w:r>
      <w:r>
        <w:rPr>
          <w:color w:val="231F20"/>
          <w:sz w:val="23"/>
        </w:rPr>
        <w:t>Enterprises</w:t>
      </w:r>
      <w:r>
        <w:rPr>
          <w:color w:val="231F20"/>
          <w:spacing w:val="-36"/>
          <w:sz w:val="23"/>
        </w:rPr>
        <w:t> </w:t>
      </w:r>
      <w:r>
        <w:rPr>
          <w:color w:val="231F20"/>
          <w:sz w:val="23"/>
        </w:rPr>
        <w:t>continue</w:t>
      </w:r>
      <w:r>
        <w:rPr>
          <w:color w:val="231F20"/>
          <w:spacing w:val="-36"/>
          <w:sz w:val="23"/>
        </w:rPr>
        <w:t> </w:t>
      </w:r>
      <w:r>
        <w:rPr>
          <w:color w:val="231F20"/>
          <w:sz w:val="23"/>
        </w:rPr>
        <w:t>to</w:t>
      </w:r>
      <w:r>
        <w:rPr>
          <w:color w:val="231F20"/>
          <w:spacing w:val="-36"/>
          <w:sz w:val="23"/>
        </w:rPr>
        <w:t> </w:t>
      </w:r>
      <w:r>
        <w:rPr>
          <w:color w:val="231F20"/>
          <w:sz w:val="23"/>
        </w:rPr>
        <w:t>pose significant risk to the Budget. There are issues of poor financial performance, weak governance,</w:t>
      </w:r>
      <w:r>
        <w:rPr>
          <w:color w:val="231F20"/>
          <w:spacing w:val="-15"/>
          <w:sz w:val="23"/>
        </w:rPr>
        <w:t> </w:t>
      </w:r>
      <w:r>
        <w:rPr>
          <w:color w:val="231F20"/>
          <w:sz w:val="23"/>
        </w:rPr>
        <w:t>inadequate</w:t>
      </w:r>
      <w:r>
        <w:rPr>
          <w:color w:val="231F20"/>
          <w:spacing w:val="-15"/>
          <w:sz w:val="23"/>
        </w:rPr>
        <w:t> </w:t>
      </w:r>
      <w:r>
        <w:rPr>
          <w:color w:val="231F20"/>
          <w:sz w:val="23"/>
        </w:rPr>
        <w:t>investment</w:t>
      </w:r>
      <w:r>
        <w:rPr>
          <w:color w:val="231F20"/>
          <w:spacing w:val="-15"/>
          <w:sz w:val="23"/>
        </w:rPr>
        <w:t> </w:t>
      </w:r>
      <w:r>
        <w:rPr>
          <w:color w:val="231F20"/>
          <w:sz w:val="23"/>
        </w:rPr>
        <w:t>and</w:t>
      </w:r>
      <w:r>
        <w:rPr>
          <w:color w:val="231F20"/>
          <w:spacing w:val="-15"/>
          <w:sz w:val="23"/>
        </w:rPr>
        <w:t> </w:t>
      </w:r>
      <w:r>
        <w:rPr>
          <w:color w:val="231F20"/>
          <w:sz w:val="23"/>
        </w:rPr>
        <w:t>substantial</w:t>
      </w:r>
      <w:r>
        <w:rPr>
          <w:color w:val="231F20"/>
          <w:spacing w:val="-15"/>
          <w:sz w:val="23"/>
        </w:rPr>
        <w:t> </w:t>
      </w:r>
      <w:r>
        <w:rPr>
          <w:color w:val="231F20"/>
          <w:sz w:val="23"/>
        </w:rPr>
        <w:t>arrears.</w:t>
      </w:r>
      <w:r>
        <w:rPr>
          <w:color w:val="231F20"/>
          <w:spacing w:val="-15"/>
          <w:sz w:val="23"/>
        </w:rPr>
        <w:t> </w:t>
      </w:r>
      <w:r>
        <w:rPr>
          <w:color w:val="231F20"/>
          <w:sz w:val="23"/>
        </w:rPr>
        <w:t>The</w:t>
      </w:r>
      <w:r>
        <w:rPr>
          <w:color w:val="231F20"/>
          <w:spacing w:val="-15"/>
          <w:sz w:val="23"/>
        </w:rPr>
        <w:t> </w:t>
      </w:r>
      <w:r>
        <w:rPr>
          <w:color w:val="231F20"/>
          <w:sz w:val="23"/>
        </w:rPr>
        <w:t>estimated</w:t>
      </w:r>
      <w:r>
        <w:rPr>
          <w:color w:val="231F20"/>
          <w:spacing w:val="-15"/>
          <w:sz w:val="23"/>
        </w:rPr>
        <w:t> </w:t>
      </w:r>
      <w:r>
        <w:rPr>
          <w:color w:val="231F20"/>
          <w:sz w:val="23"/>
        </w:rPr>
        <w:t>liabilities as at end 2018, is approximately Le1.5</w:t>
      </w:r>
      <w:r>
        <w:rPr>
          <w:color w:val="231F20"/>
          <w:spacing w:val="-28"/>
          <w:sz w:val="23"/>
        </w:rPr>
        <w:t> </w:t>
      </w:r>
      <w:r>
        <w:rPr>
          <w:color w:val="231F20"/>
          <w:sz w:val="23"/>
        </w:rPr>
        <w:t>trillion.</w:t>
      </w:r>
    </w:p>
    <w:p>
      <w:pPr>
        <w:pStyle w:val="BodyText"/>
        <w:spacing w:before="9"/>
        <w:rPr>
          <w:sz w:val="28"/>
        </w:rPr>
      </w:pPr>
    </w:p>
    <w:p>
      <w:pPr>
        <w:pStyle w:val="ListParagraph"/>
        <w:numPr>
          <w:ilvl w:val="0"/>
          <w:numId w:val="2"/>
        </w:numPr>
        <w:tabs>
          <w:tab w:pos="954" w:val="left" w:leader="none"/>
        </w:tabs>
        <w:spacing w:line="302" w:lineRule="auto" w:before="1" w:after="0"/>
        <w:ind w:left="103" w:right="120" w:firstLine="223"/>
        <w:jc w:val="both"/>
        <w:rPr>
          <w:sz w:val="23"/>
        </w:rPr>
      </w:pPr>
      <w:r>
        <w:rPr>
          <w:color w:val="231F20"/>
          <w:sz w:val="23"/>
        </w:rPr>
        <w:t>Between</w:t>
      </w:r>
      <w:r>
        <w:rPr>
          <w:color w:val="231F20"/>
          <w:spacing w:val="-51"/>
          <w:sz w:val="23"/>
        </w:rPr>
        <w:t> </w:t>
      </w:r>
      <w:r>
        <w:rPr>
          <w:color w:val="231F20"/>
          <w:sz w:val="23"/>
        </w:rPr>
        <w:t>January</w:t>
      </w:r>
      <w:r>
        <w:rPr>
          <w:color w:val="231F20"/>
          <w:spacing w:val="-51"/>
          <w:sz w:val="23"/>
        </w:rPr>
        <w:t> </w:t>
      </w:r>
      <w:r>
        <w:rPr>
          <w:color w:val="231F20"/>
          <w:sz w:val="23"/>
        </w:rPr>
        <w:t>and</w:t>
      </w:r>
      <w:r>
        <w:rPr>
          <w:color w:val="231F20"/>
          <w:spacing w:val="-50"/>
          <w:sz w:val="23"/>
        </w:rPr>
        <w:t> </w:t>
      </w:r>
      <w:r>
        <w:rPr>
          <w:color w:val="231F20"/>
          <w:sz w:val="23"/>
        </w:rPr>
        <w:t>September</w:t>
      </w:r>
      <w:r>
        <w:rPr>
          <w:color w:val="231F20"/>
          <w:spacing w:val="-51"/>
          <w:sz w:val="23"/>
        </w:rPr>
        <w:t> </w:t>
      </w:r>
      <w:r>
        <w:rPr>
          <w:color w:val="231F20"/>
          <w:sz w:val="23"/>
        </w:rPr>
        <w:t>2019,</w:t>
      </w:r>
      <w:r>
        <w:rPr>
          <w:color w:val="231F20"/>
          <w:spacing w:val="-50"/>
          <w:sz w:val="23"/>
        </w:rPr>
        <w:t> </w:t>
      </w:r>
      <w:r>
        <w:rPr>
          <w:color w:val="231F20"/>
          <w:sz w:val="23"/>
        </w:rPr>
        <w:t>the</w:t>
      </w:r>
      <w:r>
        <w:rPr>
          <w:color w:val="231F20"/>
          <w:spacing w:val="-51"/>
          <w:sz w:val="23"/>
        </w:rPr>
        <w:t> </w:t>
      </w:r>
      <w:r>
        <w:rPr>
          <w:color w:val="231F20"/>
          <w:sz w:val="23"/>
        </w:rPr>
        <w:t>Government</w:t>
      </w:r>
      <w:r>
        <w:rPr>
          <w:color w:val="231F20"/>
          <w:spacing w:val="-50"/>
          <w:sz w:val="23"/>
        </w:rPr>
        <w:t> </w:t>
      </w:r>
      <w:r>
        <w:rPr>
          <w:color w:val="231F20"/>
          <w:sz w:val="23"/>
        </w:rPr>
        <w:t>provided</w:t>
      </w:r>
      <w:r>
        <w:rPr>
          <w:color w:val="231F20"/>
          <w:spacing w:val="-51"/>
          <w:sz w:val="23"/>
        </w:rPr>
        <w:t> </w:t>
      </w:r>
      <w:r>
        <w:rPr>
          <w:color w:val="231F20"/>
          <w:sz w:val="23"/>
        </w:rPr>
        <w:t>Le98.7</w:t>
      </w:r>
      <w:r>
        <w:rPr>
          <w:color w:val="231F20"/>
          <w:spacing w:val="-50"/>
          <w:sz w:val="23"/>
        </w:rPr>
        <w:t> </w:t>
      </w:r>
      <w:r>
        <w:rPr>
          <w:color w:val="231F20"/>
          <w:sz w:val="23"/>
        </w:rPr>
        <w:t>billion as</w:t>
      </w:r>
      <w:r>
        <w:rPr>
          <w:color w:val="231F20"/>
          <w:spacing w:val="-8"/>
          <w:sz w:val="23"/>
        </w:rPr>
        <w:t> </w:t>
      </w:r>
      <w:r>
        <w:rPr>
          <w:color w:val="231F20"/>
          <w:sz w:val="23"/>
        </w:rPr>
        <w:t>subsidy</w:t>
      </w:r>
      <w:r>
        <w:rPr>
          <w:color w:val="231F20"/>
          <w:spacing w:val="-8"/>
          <w:sz w:val="23"/>
        </w:rPr>
        <w:t> </w:t>
      </w:r>
      <w:r>
        <w:rPr>
          <w:color w:val="231F20"/>
          <w:sz w:val="23"/>
        </w:rPr>
        <w:t>to</w:t>
      </w:r>
      <w:r>
        <w:rPr>
          <w:color w:val="231F20"/>
          <w:spacing w:val="-8"/>
          <w:sz w:val="23"/>
        </w:rPr>
        <w:t> </w:t>
      </w:r>
      <w:r>
        <w:rPr>
          <w:color w:val="231F20"/>
          <w:sz w:val="23"/>
        </w:rPr>
        <w:t>the</w:t>
      </w:r>
      <w:r>
        <w:rPr>
          <w:color w:val="231F20"/>
          <w:spacing w:val="-8"/>
          <w:sz w:val="23"/>
        </w:rPr>
        <w:t> </w:t>
      </w:r>
      <w:r>
        <w:rPr>
          <w:color w:val="231F20"/>
          <w:sz w:val="23"/>
        </w:rPr>
        <w:t>Electricity</w:t>
      </w:r>
      <w:r>
        <w:rPr>
          <w:color w:val="231F20"/>
          <w:spacing w:val="-8"/>
          <w:sz w:val="23"/>
        </w:rPr>
        <w:t> </w:t>
      </w:r>
      <w:r>
        <w:rPr>
          <w:color w:val="231F20"/>
          <w:sz w:val="23"/>
        </w:rPr>
        <w:t>Distribution</w:t>
      </w:r>
      <w:r>
        <w:rPr>
          <w:color w:val="231F20"/>
          <w:spacing w:val="-8"/>
          <w:sz w:val="23"/>
        </w:rPr>
        <w:t> </w:t>
      </w:r>
      <w:r>
        <w:rPr>
          <w:color w:val="231F20"/>
          <w:sz w:val="23"/>
        </w:rPr>
        <w:t>and</w:t>
      </w:r>
      <w:r>
        <w:rPr>
          <w:color w:val="231F20"/>
          <w:spacing w:val="-8"/>
          <w:sz w:val="23"/>
        </w:rPr>
        <w:t> </w:t>
      </w:r>
      <w:r>
        <w:rPr>
          <w:color w:val="231F20"/>
          <w:sz w:val="23"/>
        </w:rPr>
        <w:t>Supply</w:t>
      </w:r>
      <w:r>
        <w:rPr>
          <w:color w:val="231F20"/>
          <w:spacing w:val="-8"/>
          <w:sz w:val="23"/>
        </w:rPr>
        <w:t> </w:t>
      </w:r>
      <w:r>
        <w:rPr>
          <w:color w:val="231F20"/>
          <w:sz w:val="23"/>
        </w:rPr>
        <w:t>Authority</w:t>
      </w:r>
      <w:r>
        <w:rPr>
          <w:color w:val="231F20"/>
          <w:spacing w:val="-8"/>
          <w:sz w:val="23"/>
        </w:rPr>
        <w:t> </w:t>
      </w:r>
      <w:r>
        <w:rPr>
          <w:color w:val="231F20"/>
          <w:sz w:val="23"/>
        </w:rPr>
        <w:t>(EDSA)</w:t>
      </w:r>
      <w:r>
        <w:rPr>
          <w:color w:val="231F20"/>
          <w:spacing w:val="-8"/>
          <w:sz w:val="23"/>
        </w:rPr>
        <w:t> </w:t>
      </w:r>
      <w:r>
        <w:rPr>
          <w:color w:val="231F20"/>
          <w:sz w:val="23"/>
        </w:rPr>
        <w:t>to</w:t>
      </w:r>
      <w:r>
        <w:rPr>
          <w:color w:val="231F20"/>
          <w:spacing w:val="-8"/>
          <w:sz w:val="23"/>
        </w:rPr>
        <w:t> </w:t>
      </w:r>
      <w:r>
        <w:rPr>
          <w:color w:val="231F20"/>
          <w:sz w:val="23"/>
        </w:rPr>
        <w:t>ensure</w:t>
      </w:r>
      <w:r>
        <w:rPr>
          <w:color w:val="231F20"/>
          <w:spacing w:val="-8"/>
          <w:sz w:val="23"/>
        </w:rPr>
        <w:t> </w:t>
      </w:r>
      <w:r>
        <w:rPr>
          <w:color w:val="231F20"/>
          <w:sz w:val="23"/>
        </w:rPr>
        <w:t>the sustainable supply of electricity. Should the current trend continue, EDSA would require</w:t>
      </w:r>
      <w:r>
        <w:rPr>
          <w:color w:val="231F20"/>
          <w:spacing w:val="-9"/>
          <w:sz w:val="23"/>
        </w:rPr>
        <w:t> </w:t>
      </w:r>
      <w:r>
        <w:rPr>
          <w:color w:val="231F20"/>
          <w:sz w:val="23"/>
        </w:rPr>
        <w:t>about</w:t>
      </w:r>
      <w:r>
        <w:rPr>
          <w:color w:val="231F20"/>
          <w:spacing w:val="-9"/>
          <w:sz w:val="23"/>
        </w:rPr>
        <w:t> </w:t>
      </w:r>
      <w:r>
        <w:rPr>
          <w:color w:val="231F20"/>
          <w:sz w:val="23"/>
        </w:rPr>
        <w:t>Le311</w:t>
      </w:r>
      <w:r>
        <w:rPr>
          <w:color w:val="231F20"/>
          <w:spacing w:val="-9"/>
          <w:sz w:val="23"/>
        </w:rPr>
        <w:t> </w:t>
      </w:r>
      <w:r>
        <w:rPr>
          <w:color w:val="231F20"/>
          <w:sz w:val="23"/>
        </w:rPr>
        <w:t>billion</w:t>
      </w:r>
      <w:r>
        <w:rPr>
          <w:color w:val="231F20"/>
          <w:spacing w:val="-9"/>
          <w:sz w:val="23"/>
        </w:rPr>
        <w:t> </w:t>
      </w:r>
      <w:r>
        <w:rPr>
          <w:color w:val="231F20"/>
          <w:sz w:val="23"/>
        </w:rPr>
        <w:t>in</w:t>
      </w:r>
      <w:r>
        <w:rPr>
          <w:color w:val="231F20"/>
          <w:spacing w:val="-9"/>
          <w:sz w:val="23"/>
        </w:rPr>
        <w:t> </w:t>
      </w:r>
      <w:r>
        <w:rPr>
          <w:color w:val="231F20"/>
          <w:sz w:val="23"/>
        </w:rPr>
        <w:t>subsidies</w:t>
      </w:r>
      <w:r>
        <w:rPr>
          <w:color w:val="231F20"/>
          <w:spacing w:val="-9"/>
          <w:sz w:val="23"/>
        </w:rPr>
        <w:t> </w:t>
      </w:r>
      <w:r>
        <w:rPr>
          <w:color w:val="231F20"/>
          <w:sz w:val="23"/>
        </w:rPr>
        <w:t>for</w:t>
      </w:r>
      <w:r>
        <w:rPr>
          <w:color w:val="231F20"/>
          <w:spacing w:val="-9"/>
          <w:sz w:val="23"/>
        </w:rPr>
        <w:t> </w:t>
      </w:r>
      <w:r>
        <w:rPr>
          <w:color w:val="231F20"/>
          <w:sz w:val="23"/>
        </w:rPr>
        <w:t>the</w:t>
      </w:r>
      <w:r>
        <w:rPr>
          <w:color w:val="231F20"/>
          <w:spacing w:val="-9"/>
          <w:sz w:val="23"/>
        </w:rPr>
        <w:t> </w:t>
      </w:r>
      <w:r>
        <w:rPr>
          <w:color w:val="231F20"/>
          <w:sz w:val="23"/>
        </w:rPr>
        <w:t>2020</w:t>
      </w:r>
      <w:r>
        <w:rPr>
          <w:color w:val="231F20"/>
          <w:spacing w:val="-9"/>
          <w:sz w:val="23"/>
        </w:rPr>
        <w:t> </w:t>
      </w:r>
      <w:r>
        <w:rPr>
          <w:color w:val="231F20"/>
          <w:sz w:val="23"/>
        </w:rPr>
        <w:t>fiscal</w:t>
      </w:r>
      <w:r>
        <w:rPr>
          <w:color w:val="231F20"/>
          <w:spacing w:val="-9"/>
          <w:sz w:val="23"/>
        </w:rPr>
        <w:t> </w:t>
      </w:r>
      <w:r>
        <w:rPr>
          <w:color w:val="231F20"/>
          <w:sz w:val="23"/>
        </w:rPr>
        <w:t>year</w:t>
      </w:r>
      <w:r>
        <w:rPr>
          <w:color w:val="231F20"/>
          <w:spacing w:val="-9"/>
          <w:sz w:val="23"/>
        </w:rPr>
        <w:t> </w:t>
      </w:r>
      <w:r>
        <w:rPr>
          <w:color w:val="231F20"/>
          <w:sz w:val="23"/>
        </w:rPr>
        <w:t>due</w:t>
      </w:r>
      <w:r>
        <w:rPr>
          <w:color w:val="231F20"/>
          <w:spacing w:val="-9"/>
          <w:sz w:val="23"/>
        </w:rPr>
        <w:t> </w:t>
      </w:r>
      <w:r>
        <w:rPr>
          <w:color w:val="231F20"/>
          <w:sz w:val="23"/>
        </w:rPr>
        <w:t>to</w:t>
      </w:r>
      <w:r>
        <w:rPr>
          <w:color w:val="231F20"/>
          <w:spacing w:val="-9"/>
          <w:sz w:val="23"/>
        </w:rPr>
        <w:t> </w:t>
      </w:r>
      <w:r>
        <w:rPr>
          <w:color w:val="231F20"/>
          <w:sz w:val="23"/>
        </w:rPr>
        <w:t>technical</w:t>
      </w:r>
      <w:r>
        <w:rPr>
          <w:color w:val="231F20"/>
          <w:spacing w:val="-9"/>
          <w:sz w:val="23"/>
        </w:rPr>
        <w:t> </w:t>
      </w:r>
      <w:r>
        <w:rPr>
          <w:color w:val="231F20"/>
          <w:sz w:val="23"/>
        </w:rPr>
        <w:t>and non-technical losses. This is clearly not fiscally</w:t>
      </w:r>
      <w:r>
        <w:rPr>
          <w:color w:val="231F20"/>
          <w:spacing w:val="3"/>
          <w:sz w:val="23"/>
        </w:rPr>
        <w:t> </w:t>
      </w:r>
      <w:r>
        <w:rPr>
          <w:color w:val="231F20"/>
          <w:sz w:val="23"/>
        </w:rPr>
        <w:t>sustainable.</w:t>
      </w:r>
    </w:p>
    <w:p>
      <w:pPr>
        <w:pStyle w:val="BodyText"/>
        <w:spacing w:before="10"/>
        <w:rPr>
          <w:sz w:val="28"/>
        </w:rPr>
      </w:pPr>
    </w:p>
    <w:p>
      <w:pPr>
        <w:pStyle w:val="ListParagraph"/>
        <w:numPr>
          <w:ilvl w:val="0"/>
          <w:numId w:val="2"/>
        </w:numPr>
        <w:tabs>
          <w:tab w:pos="954" w:val="left" w:leader="none"/>
        </w:tabs>
        <w:spacing w:line="302" w:lineRule="auto" w:before="0" w:after="0"/>
        <w:ind w:left="103" w:right="118" w:firstLine="223"/>
        <w:jc w:val="both"/>
        <w:rPr>
          <w:sz w:val="23"/>
        </w:rPr>
      </w:pPr>
      <w:r>
        <w:rPr>
          <w:color w:val="231F20"/>
          <w:sz w:val="23"/>
        </w:rPr>
        <w:t>Mr. Speaker, Honourable Members, consistent with the Public Financial Management</w:t>
      </w:r>
      <w:r>
        <w:rPr>
          <w:color w:val="231F20"/>
          <w:spacing w:val="-26"/>
          <w:sz w:val="23"/>
        </w:rPr>
        <w:t> </w:t>
      </w:r>
      <w:r>
        <w:rPr>
          <w:color w:val="231F20"/>
          <w:sz w:val="23"/>
        </w:rPr>
        <w:t>Act</w:t>
      </w:r>
      <w:r>
        <w:rPr>
          <w:color w:val="231F20"/>
          <w:spacing w:val="-26"/>
          <w:sz w:val="23"/>
        </w:rPr>
        <w:t> </w:t>
      </w:r>
      <w:r>
        <w:rPr>
          <w:color w:val="231F20"/>
          <w:sz w:val="23"/>
        </w:rPr>
        <w:t>2016,</w:t>
      </w:r>
      <w:r>
        <w:rPr>
          <w:color w:val="231F20"/>
          <w:spacing w:val="-26"/>
          <w:sz w:val="23"/>
        </w:rPr>
        <w:t> </w:t>
      </w:r>
      <w:r>
        <w:rPr>
          <w:color w:val="231F20"/>
          <w:sz w:val="23"/>
        </w:rPr>
        <w:t>my</w:t>
      </w:r>
      <w:r>
        <w:rPr>
          <w:color w:val="231F20"/>
          <w:spacing w:val="-26"/>
          <w:sz w:val="23"/>
        </w:rPr>
        <w:t> </w:t>
      </w:r>
      <w:r>
        <w:rPr>
          <w:color w:val="231F20"/>
          <w:sz w:val="23"/>
        </w:rPr>
        <w:t>Ministry</w:t>
      </w:r>
      <w:r>
        <w:rPr>
          <w:color w:val="231F20"/>
          <w:spacing w:val="-26"/>
          <w:sz w:val="23"/>
        </w:rPr>
        <w:t> </w:t>
      </w:r>
      <w:r>
        <w:rPr>
          <w:color w:val="231F20"/>
          <w:sz w:val="23"/>
        </w:rPr>
        <w:t>will</w:t>
      </w:r>
      <w:r>
        <w:rPr>
          <w:color w:val="231F20"/>
          <w:spacing w:val="-26"/>
          <w:sz w:val="23"/>
        </w:rPr>
        <w:t> </w:t>
      </w:r>
      <w:r>
        <w:rPr>
          <w:color w:val="231F20"/>
          <w:sz w:val="23"/>
        </w:rPr>
        <w:t>therefore</w:t>
      </w:r>
      <w:r>
        <w:rPr>
          <w:color w:val="231F20"/>
          <w:spacing w:val="-26"/>
          <w:sz w:val="23"/>
        </w:rPr>
        <w:t> </w:t>
      </w:r>
      <w:r>
        <w:rPr>
          <w:color w:val="231F20"/>
          <w:sz w:val="23"/>
        </w:rPr>
        <w:t>continue</w:t>
      </w:r>
      <w:r>
        <w:rPr>
          <w:color w:val="231F20"/>
          <w:spacing w:val="-26"/>
          <w:sz w:val="23"/>
        </w:rPr>
        <w:t> </w:t>
      </w:r>
      <w:r>
        <w:rPr>
          <w:color w:val="231F20"/>
          <w:sz w:val="23"/>
        </w:rPr>
        <w:t>to</w:t>
      </w:r>
      <w:r>
        <w:rPr>
          <w:color w:val="231F20"/>
          <w:spacing w:val="-26"/>
          <w:sz w:val="23"/>
        </w:rPr>
        <w:t> </w:t>
      </w:r>
      <w:r>
        <w:rPr>
          <w:color w:val="231F20"/>
          <w:sz w:val="23"/>
        </w:rPr>
        <w:t>strengthen</w:t>
      </w:r>
      <w:r>
        <w:rPr>
          <w:color w:val="231F20"/>
          <w:spacing w:val="-26"/>
          <w:sz w:val="23"/>
        </w:rPr>
        <w:t> </w:t>
      </w:r>
      <w:r>
        <w:rPr>
          <w:color w:val="231F20"/>
          <w:sz w:val="23"/>
        </w:rPr>
        <w:t>the</w:t>
      </w:r>
      <w:r>
        <w:rPr>
          <w:color w:val="231F20"/>
          <w:spacing w:val="-26"/>
          <w:sz w:val="23"/>
        </w:rPr>
        <w:t> </w:t>
      </w:r>
      <w:r>
        <w:rPr>
          <w:color w:val="231F20"/>
          <w:sz w:val="23"/>
        </w:rPr>
        <w:t>fiduciary oversight</w:t>
      </w:r>
      <w:r>
        <w:rPr>
          <w:color w:val="231F20"/>
          <w:spacing w:val="-29"/>
          <w:sz w:val="23"/>
        </w:rPr>
        <w:t> </w:t>
      </w:r>
      <w:r>
        <w:rPr>
          <w:color w:val="231F20"/>
          <w:sz w:val="23"/>
        </w:rPr>
        <w:t>of</w:t>
      </w:r>
      <w:r>
        <w:rPr>
          <w:color w:val="231F20"/>
          <w:spacing w:val="-29"/>
          <w:sz w:val="23"/>
        </w:rPr>
        <w:t> </w:t>
      </w:r>
      <w:r>
        <w:rPr>
          <w:color w:val="231F20"/>
          <w:sz w:val="23"/>
        </w:rPr>
        <w:t>SOEs</w:t>
      </w:r>
      <w:r>
        <w:rPr>
          <w:color w:val="231F20"/>
          <w:spacing w:val="-29"/>
          <w:sz w:val="23"/>
        </w:rPr>
        <w:t> </w:t>
      </w:r>
      <w:r>
        <w:rPr>
          <w:color w:val="231F20"/>
          <w:sz w:val="23"/>
        </w:rPr>
        <w:t>and</w:t>
      </w:r>
      <w:r>
        <w:rPr>
          <w:color w:val="231F20"/>
          <w:spacing w:val="-29"/>
          <w:sz w:val="23"/>
        </w:rPr>
        <w:t> </w:t>
      </w:r>
      <w:r>
        <w:rPr>
          <w:color w:val="231F20"/>
          <w:sz w:val="23"/>
        </w:rPr>
        <w:t>management</w:t>
      </w:r>
      <w:r>
        <w:rPr>
          <w:color w:val="231F20"/>
          <w:spacing w:val="-29"/>
          <w:sz w:val="23"/>
        </w:rPr>
        <w:t> </w:t>
      </w:r>
      <w:r>
        <w:rPr>
          <w:color w:val="231F20"/>
          <w:sz w:val="23"/>
        </w:rPr>
        <w:t>of</w:t>
      </w:r>
      <w:r>
        <w:rPr>
          <w:color w:val="231F20"/>
          <w:spacing w:val="-29"/>
          <w:sz w:val="23"/>
        </w:rPr>
        <w:t> </w:t>
      </w:r>
      <w:r>
        <w:rPr>
          <w:color w:val="231F20"/>
          <w:sz w:val="23"/>
        </w:rPr>
        <w:t>fiscal</w:t>
      </w:r>
      <w:r>
        <w:rPr>
          <w:color w:val="231F20"/>
          <w:spacing w:val="-29"/>
          <w:sz w:val="23"/>
        </w:rPr>
        <w:t> </w:t>
      </w:r>
      <w:r>
        <w:rPr>
          <w:color w:val="231F20"/>
          <w:sz w:val="23"/>
        </w:rPr>
        <w:t>risks</w:t>
      </w:r>
      <w:r>
        <w:rPr>
          <w:color w:val="231F20"/>
          <w:spacing w:val="-29"/>
          <w:sz w:val="23"/>
        </w:rPr>
        <w:t> </w:t>
      </w:r>
      <w:r>
        <w:rPr>
          <w:color w:val="231F20"/>
          <w:sz w:val="23"/>
        </w:rPr>
        <w:t>with</w:t>
      </w:r>
      <w:r>
        <w:rPr>
          <w:color w:val="231F20"/>
          <w:spacing w:val="-29"/>
          <w:sz w:val="23"/>
        </w:rPr>
        <w:t> </w:t>
      </w:r>
      <w:r>
        <w:rPr>
          <w:color w:val="231F20"/>
          <w:sz w:val="23"/>
        </w:rPr>
        <w:t>the</w:t>
      </w:r>
      <w:r>
        <w:rPr>
          <w:color w:val="231F20"/>
          <w:spacing w:val="-29"/>
          <w:sz w:val="23"/>
        </w:rPr>
        <w:t> </w:t>
      </w:r>
      <w:r>
        <w:rPr>
          <w:color w:val="231F20"/>
          <w:sz w:val="23"/>
        </w:rPr>
        <w:t>view</w:t>
      </w:r>
      <w:r>
        <w:rPr>
          <w:color w:val="231F20"/>
          <w:spacing w:val="-29"/>
          <w:sz w:val="23"/>
        </w:rPr>
        <w:t> </w:t>
      </w:r>
      <w:r>
        <w:rPr>
          <w:color w:val="231F20"/>
          <w:sz w:val="23"/>
        </w:rPr>
        <w:t>to</w:t>
      </w:r>
      <w:r>
        <w:rPr>
          <w:color w:val="231F20"/>
          <w:spacing w:val="-29"/>
          <w:sz w:val="23"/>
        </w:rPr>
        <w:t> </w:t>
      </w:r>
      <w:r>
        <w:rPr>
          <w:color w:val="231F20"/>
          <w:sz w:val="23"/>
        </w:rPr>
        <w:t>reducing</w:t>
      </w:r>
      <w:r>
        <w:rPr>
          <w:color w:val="231F20"/>
          <w:spacing w:val="-29"/>
          <w:sz w:val="23"/>
        </w:rPr>
        <w:t> </w:t>
      </w:r>
      <w:r>
        <w:rPr>
          <w:color w:val="231F20"/>
          <w:sz w:val="23"/>
        </w:rPr>
        <w:t>the</w:t>
      </w:r>
      <w:r>
        <w:rPr>
          <w:color w:val="231F20"/>
          <w:spacing w:val="-29"/>
          <w:sz w:val="23"/>
        </w:rPr>
        <w:t> </w:t>
      </w:r>
      <w:r>
        <w:rPr>
          <w:color w:val="231F20"/>
          <w:sz w:val="23"/>
        </w:rPr>
        <w:t>burden on the budget. To this end, a Fiscal Risk Committee comprising high-level public officials,</w:t>
      </w:r>
      <w:r>
        <w:rPr>
          <w:color w:val="231F20"/>
          <w:spacing w:val="-15"/>
          <w:sz w:val="23"/>
        </w:rPr>
        <w:t> </w:t>
      </w:r>
      <w:r>
        <w:rPr>
          <w:color w:val="231F20"/>
          <w:sz w:val="23"/>
        </w:rPr>
        <w:t>drawn</w:t>
      </w:r>
      <w:r>
        <w:rPr>
          <w:color w:val="231F20"/>
          <w:spacing w:val="-15"/>
          <w:sz w:val="23"/>
        </w:rPr>
        <w:t> </w:t>
      </w:r>
      <w:r>
        <w:rPr>
          <w:color w:val="231F20"/>
          <w:sz w:val="23"/>
        </w:rPr>
        <w:t>from</w:t>
      </w:r>
      <w:r>
        <w:rPr>
          <w:color w:val="231F20"/>
          <w:spacing w:val="-15"/>
          <w:sz w:val="23"/>
        </w:rPr>
        <w:t> </w:t>
      </w:r>
      <w:r>
        <w:rPr>
          <w:color w:val="231F20"/>
          <w:sz w:val="23"/>
        </w:rPr>
        <w:t>relevant</w:t>
      </w:r>
      <w:r>
        <w:rPr>
          <w:color w:val="231F20"/>
          <w:spacing w:val="-15"/>
          <w:sz w:val="23"/>
        </w:rPr>
        <w:t> </w:t>
      </w:r>
      <w:r>
        <w:rPr>
          <w:color w:val="231F20"/>
          <w:sz w:val="23"/>
        </w:rPr>
        <w:t>MDAs</w:t>
      </w:r>
      <w:r>
        <w:rPr>
          <w:color w:val="231F20"/>
          <w:spacing w:val="-15"/>
          <w:sz w:val="23"/>
        </w:rPr>
        <w:t> </w:t>
      </w:r>
      <w:r>
        <w:rPr>
          <w:color w:val="231F20"/>
          <w:sz w:val="23"/>
        </w:rPr>
        <w:t>and</w:t>
      </w:r>
      <w:r>
        <w:rPr>
          <w:color w:val="231F20"/>
          <w:spacing w:val="-15"/>
          <w:sz w:val="23"/>
        </w:rPr>
        <w:t> </w:t>
      </w:r>
      <w:r>
        <w:rPr>
          <w:color w:val="231F20"/>
          <w:sz w:val="23"/>
        </w:rPr>
        <w:t>the</w:t>
      </w:r>
      <w:r>
        <w:rPr>
          <w:color w:val="231F20"/>
          <w:spacing w:val="-15"/>
          <w:sz w:val="23"/>
        </w:rPr>
        <w:t> </w:t>
      </w:r>
      <w:r>
        <w:rPr>
          <w:color w:val="231F20"/>
          <w:sz w:val="23"/>
        </w:rPr>
        <w:t>Bank</w:t>
      </w:r>
      <w:r>
        <w:rPr>
          <w:color w:val="231F20"/>
          <w:spacing w:val="-15"/>
          <w:sz w:val="23"/>
        </w:rPr>
        <w:t> </w:t>
      </w:r>
      <w:r>
        <w:rPr>
          <w:color w:val="231F20"/>
          <w:sz w:val="23"/>
        </w:rPr>
        <w:t>of</w:t>
      </w:r>
      <w:r>
        <w:rPr>
          <w:color w:val="231F20"/>
          <w:spacing w:val="-15"/>
          <w:sz w:val="23"/>
        </w:rPr>
        <w:t> </w:t>
      </w:r>
      <w:r>
        <w:rPr>
          <w:color w:val="231F20"/>
          <w:sz w:val="23"/>
        </w:rPr>
        <w:t>Sierra</w:t>
      </w:r>
      <w:r>
        <w:rPr>
          <w:color w:val="231F20"/>
          <w:spacing w:val="-15"/>
          <w:sz w:val="23"/>
        </w:rPr>
        <w:t> </w:t>
      </w:r>
      <w:r>
        <w:rPr>
          <w:color w:val="231F20"/>
          <w:sz w:val="23"/>
        </w:rPr>
        <w:t>Leone</w:t>
      </w:r>
      <w:r>
        <w:rPr>
          <w:color w:val="231F20"/>
          <w:spacing w:val="-15"/>
          <w:sz w:val="23"/>
        </w:rPr>
        <w:t> </w:t>
      </w:r>
      <w:r>
        <w:rPr>
          <w:color w:val="231F20"/>
          <w:sz w:val="23"/>
        </w:rPr>
        <w:t>will</w:t>
      </w:r>
      <w:r>
        <w:rPr>
          <w:color w:val="231F20"/>
          <w:spacing w:val="-15"/>
          <w:sz w:val="23"/>
        </w:rPr>
        <w:t> </w:t>
      </w:r>
      <w:r>
        <w:rPr>
          <w:color w:val="231F20"/>
          <w:sz w:val="23"/>
        </w:rPr>
        <w:t>be</w:t>
      </w:r>
      <w:r>
        <w:rPr>
          <w:color w:val="231F20"/>
          <w:spacing w:val="-15"/>
          <w:sz w:val="23"/>
        </w:rPr>
        <w:t> </w:t>
      </w:r>
      <w:r>
        <w:rPr>
          <w:color w:val="231F20"/>
          <w:sz w:val="23"/>
        </w:rPr>
        <w:t>constituted.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27"/>
      </w:pPr>
      <w:r>
        <w:rPr>
          <w:color w:val="231F20"/>
        </w:rPr>
        <w:t>15</w:t>
      </w:r>
    </w:p>
    <w:p>
      <w:pPr>
        <w:spacing w:after="0"/>
        <w:sectPr>
          <w:pgSz w:w="11900" w:h="16840"/>
          <w:pgMar w:top="1180" w:bottom="280" w:left="1140" w:right="1120"/>
        </w:sectPr>
      </w:pPr>
    </w:p>
    <w:p>
      <w:pPr>
        <w:pStyle w:val="Heading2"/>
        <w:numPr>
          <w:ilvl w:val="0"/>
          <w:numId w:val="7"/>
        </w:numPr>
        <w:tabs>
          <w:tab w:pos="952" w:val="left" w:leader="none"/>
          <w:tab w:pos="953" w:val="left" w:leader="none"/>
        </w:tabs>
        <w:spacing w:line="240" w:lineRule="auto" w:before="77" w:after="0"/>
        <w:ind w:left="952" w:right="0" w:hanging="566"/>
        <w:jc w:val="left"/>
      </w:pPr>
      <w:r>
        <w:rPr>
          <w:color w:val="231F20"/>
        </w:rPr>
        <w:t>Fleet Management</w:t>
      </w:r>
      <w:r>
        <w:rPr>
          <w:color w:val="231F20"/>
          <w:spacing w:val="-41"/>
        </w:rPr>
        <w:t> </w:t>
      </w:r>
      <w:r>
        <w:rPr>
          <w:color w:val="231F20"/>
        </w:rPr>
        <w:t>Policy</w:t>
      </w:r>
    </w:p>
    <w:p>
      <w:pPr>
        <w:pStyle w:val="ListParagraph"/>
        <w:numPr>
          <w:ilvl w:val="0"/>
          <w:numId w:val="2"/>
        </w:numPr>
        <w:tabs>
          <w:tab w:pos="954" w:val="left" w:leader="none"/>
        </w:tabs>
        <w:spacing w:line="302" w:lineRule="auto" w:before="71" w:after="0"/>
        <w:ind w:left="103" w:right="119" w:firstLine="223"/>
        <w:jc w:val="both"/>
        <w:rPr>
          <w:sz w:val="23"/>
        </w:rPr>
      </w:pPr>
      <w:r>
        <w:rPr>
          <w:color w:val="231F20"/>
          <w:sz w:val="23"/>
        </w:rPr>
        <w:t>To</w:t>
      </w:r>
      <w:r>
        <w:rPr>
          <w:color w:val="231F20"/>
          <w:spacing w:val="-20"/>
          <w:sz w:val="23"/>
        </w:rPr>
        <w:t> </w:t>
      </w:r>
      <w:r>
        <w:rPr>
          <w:color w:val="231F20"/>
          <w:sz w:val="23"/>
        </w:rPr>
        <w:t>minimise</w:t>
      </w:r>
      <w:r>
        <w:rPr>
          <w:color w:val="231F20"/>
          <w:spacing w:val="-20"/>
          <w:sz w:val="23"/>
        </w:rPr>
        <w:t> </w:t>
      </w:r>
      <w:r>
        <w:rPr>
          <w:color w:val="231F20"/>
          <w:sz w:val="23"/>
        </w:rPr>
        <w:t>expenditures</w:t>
      </w:r>
      <w:r>
        <w:rPr>
          <w:color w:val="231F20"/>
          <w:spacing w:val="-20"/>
          <w:sz w:val="23"/>
        </w:rPr>
        <w:t> </w:t>
      </w:r>
      <w:r>
        <w:rPr>
          <w:color w:val="231F20"/>
          <w:sz w:val="23"/>
        </w:rPr>
        <w:t>on</w:t>
      </w:r>
      <w:r>
        <w:rPr>
          <w:color w:val="231F20"/>
          <w:spacing w:val="-20"/>
          <w:sz w:val="23"/>
        </w:rPr>
        <w:t> </w:t>
      </w:r>
      <w:r>
        <w:rPr>
          <w:color w:val="231F20"/>
          <w:sz w:val="23"/>
        </w:rPr>
        <w:t>the</w:t>
      </w:r>
      <w:r>
        <w:rPr>
          <w:color w:val="231F20"/>
          <w:spacing w:val="-20"/>
          <w:sz w:val="23"/>
        </w:rPr>
        <w:t> </w:t>
      </w:r>
      <w:r>
        <w:rPr>
          <w:color w:val="231F20"/>
          <w:sz w:val="23"/>
        </w:rPr>
        <w:t>repair</w:t>
      </w:r>
      <w:r>
        <w:rPr>
          <w:color w:val="231F20"/>
          <w:spacing w:val="-20"/>
          <w:sz w:val="23"/>
        </w:rPr>
        <w:t> </w:t>
      </w:r>
      <w:r>
        <w:rPr>
          <w:color w:val="231F20"/>
          <w:sz w:val="23"/>
        </w:rPr>
        <w:t>and</w:t>
      </w:r>
      <w:r>
        <w:rPr>
          <w:color w:val="231F20"/>
          <w:spacing w:val="-20"/>
          <w:sz w:val="23"/>
        </w:rPr>
        <w:t> </w:t>
      </w:r>
      <w:r>
        <w:rPr>
          <w:color w:val="231F20"/>
          <w:sz w:val="23"/>
        </w:rPr>
        <w:t>maintenance</w:t>
      </w:r>
      <w:r>
        <w:rPr>
          <w:color w:val="231F20"/>
          <w:spacing w:val="-20"/>
          <w:sz w:val="23"/>
        </w:rPr>
        <w:t> </w:t>
      </w:r>
      <w:r>
        <w:rPr>
          <w:color w:val="231F20"/>
          <w:sz w:val="23"/>
        </w:rPr>
        <w:t>of</w:t>
      </w:r>
      <w:r>
        <w:rPr>
          <w:color w:val="231F20"/>
          <w:spacing w:val="-20"/>
          <w:sz w:val="23"/>
        </w:rPr>
        <w:t> </w:t>
      </w:r>
      <w:r>
        <w:rPr>
          <w:color w:val="231F20"/>
          <w:sz w:val="23"/>
        </w:rPr>
        <w:t>vehicles</w:t>
      </w:r>
      <w:r>
        <w:rPr>
          <w:color w:val="231F20"/>
          <w:spacing w:val="-20"/>
          <w:sz w:val="23"/>
        </w:rPr>
        <w:t> </w:t>
      </w:r>
      <w:r>
        <w:rPr>
          <w:color w:val="231F20"/>
          <w:sz w:val="23"/>
        </w:rPr>
        <w:t>assigned to</w:t>
      </w:r>
      <w:r>
        <w:rPr>
          <w:color w:val="231F20"/>
          <w:spacing w:val="-15"/>
          <w:sz w:val="23"/>
        </w:rPr>
        <w:t> </w:t>
      </w:r>
      <w:r>
        <w:rPr>
          <w:color w:val="231F20"/>
          <w:sz w:val="23"/>
        </w:rPr>
        <w:t>public</w:t>
      </w:r>
      <w:r>
        <w:rPr>
          <w:color w:val="231F20"/>
          <w:spacing w:val="-15"/>
          <w:sz w:val="23"/>
        </w:rPr>
        <w:t> </w:t>
      </w:r>
      <w:r>
        <w:rPr>
          <w:color w:val="231F20"/>
          <w:sz w:val="23"/>
        </w:rPr>
        <w:t>servants,</w:t>
      </w:r>
      <w:r>
        <w:rPr>
          <w:color w:val="231F20"/>
          <w:spacing w:val="-15"/>
          <w:sz w:val="23"/>
        </w:rPr>
        <w:t> </w:t>
      </w:r>
      <w:r>
        <w:rPr>
          <w:color w:val="231F20"/>
          <w:sz w:val="23"/>
        </w:rPr>
        <w:t>Government</w:t>
      </w:r>
      <w:r>
        <w:rPr>
          <w:color w:val="231F20"/>
          <w:spacing w:val="-15"/>
          <w:sz w:val="23"/>
        </w:rPr>
        <w:t> </w:t>
      </w:r>
      <w:r>
        <w:rPr>
          <w:color w:val="231F20"/>
          <w:sz w:val="23"/>
        </w:rPr>
        <w:t>has</w:t>
      </w:r>
      <w:r>
        <w:rPr>
          <w:color w:val="231F20"/>
          <w:spacing w:val="-15"/>
          <w:sz w:val="23"/>
        </w:rPr>
        <w:t> </w:t>
      </w:r>
      <w:r>
        <w:rPr>
          <w:color w:val="231F20"/>
          <w:sz w:val="23"/>
        </w:rPr>
        <w:t>developed</w:t>
      </w:r>
      <w:r>
        <w:rPr>
          <w:color w:val="231F20"/>
          <w:spacing w:val="-15"/>
          <w:sz w:val="23"/>
        </w:rPr>
        <w:t> </w:t>
      </w:r>
      <w:r>
        <w:rPr>
          <w:color w:val="231F20"/>
          <w:sz w:val="23"/>
        </w:rPr>
        <w:t>a</w:t>
      </w:r>
      <w:r>
        <w:rPr>
          <w:color w:val="231F20"/>
          <w:spacing w:val="-15"/>
          <w:sz w:val="23"/>
        </w:rPr>
        <w:t> </w:t>
      </w:r>
      <w:r>
        <w:rPr>
          <w:color w:val="231F20"/>
          <w:sz w:val="23"/>
        </w:rPr>
        <w:t>Fleet</w:t>
      </w:r>
      <w:r>
        <w:rPr>
          <w:color w:val="231F20"/>
          <w:spacing w:val="-15"/>
          <w:sz w:val="23"/>
        </w:rPr>
        <w:t> </w:t>
      </w:r>
      <w:r>
        <w:rPr>
          <w:color w:val="231F20"/>
          <w:sz w:val="23"/>
        </w:rPr>
        <w:t>Management</w:t>
      </w:r>
      <w:r>
        <w:rPr>
          <w:color w:val="231F20"/>
          <w:spacing w:val="-15"/>
          <w:sz w:val="23"/>
        </w:rPr>
        <w:t> </w:t>
      </w:r>
      <w:r>
        <w:rPr>
          <w:color w:val="231F20"/>
          <w:sz w:val="23"/>
        </w:rPr>
        <w:t>Policy,</w:t>
      </w:r>
      <w:r>
        <w:rPr>
          <w:color w:val="231F20"/>
          <w:spacing w:val="-15"/>
          <w:sz w:val="23"/>
        </w:rPr>
        <w:t> </w:t>
      </w:r>
      <w:r>
        <w:rPr>
          <w:color w:val="231F20"/>
          <w:sz w:val="23"/>
        </w:rPr>
        <w:t>which</w:t>
      </w:r>
      <w:r>
        <w:rPr>
          <w:color w:val="231F20"/>
          <w:spacing w:val="-15"/>
          <w:sz w:val="23"/>
        </w:rPr>
        <w:t> </w:t>
      </w:r>
      <w:r>
        <w:rPr>
          <w:color w:val="231F20"/>
          <w:sz w:val="23"/>
        </w:rPr>
        <w:t>has been approved by Cabinet. The Ministry of Transport and Aviation is leading the development of a detailed implementation plan with support from the Ministry of </w:t>
      </w:r>
      <w:r>
        <w:rPr>
          <w:color w:val="231F20"/>
          <w:spacing w:val="3"/>
          <w:sz w:val="23"/>
        </w:rPr>
        <w:t>Finance.</w:t>
      </w:r>
    </w:p>
    <w:p>
      <w:pPr>
        <w:pStyle w:val="BodyText"/>
        <w:spacing w:before="10"/>
        <w:rPr>
          <w:sz w:val="28"/>
        </w:rPr>
      </w:pPr>
    </w:p>
    <w:p>
      <w:pPr>
        <w:pStyle w:val="Heading2"/>
        <w:numPr>
          <w:ilvl w:val="0"/>
          <w:numId w:val="7"/>
        </w:numPr>
        <w:tabs>
          <w:tab w:pos="953" w:val="left" w:leader="none"/>
          <w:tab w:pos="954" w:val="left" w:leader="none"/>
        </w:tabs>
        <w:spacing w:line="240" w:lineRule="auto" w:before="1" w:after="0"/>
        <w:ind w:left="953" w:right="0" w:hanging="567"/>
        <w:jc w:val="left"/>
      </w:pPr>
      <w:r>
        <w:rPr>
          <w:color w:val="231F20"/>
        </w:rPr>
        <w:t>Overseas Travel</w:t>
      </w:r>
      <w:r>
        <w:rPr>
          <w:color w:val="231F20"/>
          <w:spacing w:val="-37"/>
        </w:rPr>
        <w:t> </w:t>
      </w:r>
      <w:r>
        <w:rPr>
          <w:color w:val="231F20"/>
        </w:rPr>
        <w:t>Policy</w:t>
      </w:r>
    </w:p>
    <w:p>
      <w:pPr>
        <w:pStyle w:val="ListParagraph"/>
        <w:numPr>
          <w:ilvl w:val="0"/>
          <w:numId w:val="2"/>
        </w:numPr>
        <w:tabs>
          <w:tab w:pos="954" w:val="left" w:leader="none"/>
        </w:tabs>
        <w:spacing w:line="302" w:lineRule="auto" w:before="70" w:after="0"/>
        <w:ind w:left="103" w:right="119" w:firstLine="223"/>
        <w:jc w:val="both"/>
        <w:rPr>
          <w:sz w:val="23"/>
        </w:rPr>
      </w:pPr>
      <w:r>
        <w:rPr>
          <w:color w:val="231F20"/>
          <w:sz w:val="23"/>
        </w:rPr>
        <w:t>Mr. Speaker, Honourable Members, Government has developed a policy regulating the provision of Daily Subsistence Allowance (DSA) and other allowances for</w:t>
      </w:r>
      <w:r>
        <w:rPr>
          <w:color w:val="231F20"/>
          <w:spacing w:val="-37"/>
          <w:sz w:val="23"/>
        </w:rPr>
        <w:t> </w:t>
      </w:r>
      <w:r>
        <w:rPr>
          <w:color w:val="231F20"/>
          <w:sz w:val="23"/>
        </w:rPr>
        <w:t>official</w:t>
      </w:r>
      <w:r>
        <w:rPr>
          <w:color w:val="231F20"/>
          <w:spacing w:val="-37"/>
          <w:sz w:val="23"/>
        </w:rPr>
        <w:t> </w:t>
      </w:r>
      <w:r>
        <w:rPr>
          <w:color w:val="231F20"/>
          <w:sz w:val="23"/>
        </w:rPr>
        <w:t>trips</w:t>
      </w:r>
      <w:r>
        <w:rPr>
          <w:color w:val="231F20"/>
          <w:spacing w:val="-37"/>
          <w:sz w:val="23"/>
        </w:rPr>
        <w:t> </w:t>
      </w:r>
      <w:r>
        <w:rPr>
          <w:color w:val="231F20"/>
          <w:sz w:val="23"/>
        </w:rPr>
        <w:t>abroad.</w:t>
      </w:r>
      <w:r>
        <w:rPr>
          <w:color w:val="231F20"/>
          <w:spacing w:val="-37"/>
          <w:sz w:val="23"/>
        </w:rPr>
        <w:t> </w:t>
      </w:r>
      <w:r>
        <w:rPr>
          <w:color w:val="231F20"/>
          <w:sz w:val="23"/>
        </w:rPr>
        <w:t>The</w:t>
      </w:r>
      <w:r>
        <w:rPr>
          <w:color w:val="231F20"/>
          <w:spacing w:val="-37"/>
          <w:sz w:val="23"/>
        </w:rPr>
        <w:t> </w:t>
      </w:r>
      <w:r>
        <w:rPr>
          <w:color w:val="231F20"/>
          <w:sz w:val="23"/>
        </w:rPr>
        <w:t>policy</w:t>
      </w:r>
      <w:r>
        <w:rPr>
          <w:color w:val="231F20"/>
          <w:spacing w:val="-37"/>
          <w:sz w:val="23"/>
        </w:rPr>
        <w:t> </w:t>
      </w:r>
      <w:r>
        <w:rPr>
          <w:color w:val="231F20"/>
          <w:sz w:val="23"/>
        </w:rPr>
        <w:t>will</w:t>
      </w:r>
      <w:r>
        <w:rPr>
          <w:color w:val="231F20"/>
          <w:spacing w:val="-37"/>
          <w:sz w:val="23"/>
        </w:rPr>
        <w:t> </w:t>
      </w:r>
      <w:r>
        <w:rPr>
          <w:color w:val="231F20"/>
          <w:sz w:val="23"/>
        </w:rPr>
        <w:t>be</w:t>
      </w:r>
      <w:r>
        <w:rPr>
          <w:color w:val="231F20"/>
          <w:spacing w:val="-37"/>
          <w:sz w:val="23"/>
        </w:rPr>
        <w:t> </w:t>
      </w:r>
      <w:r>
        <w:rPr>
          <w:color w:val="231F20"/>
          <w:sz w:val="23"/>
        </w:rPr>
        <w:t>submitted</w:t>
      </w:r>
      <w:r>
        <w:rPr>
          <w:color w:val="231F20"/>
          <w:spacing w:val="-37"/>
          <w:sz w:val="23"/>
        </w:rPr>
        <w:t> </w:t>
      </w:r>
      <w:r>
        <w:rPr>
          <w:color w:val="231F20"/>
          <w:sz w:val="23"/>
        </w:rPr>
        <w:t>to</w:t>
      </w:r>
      <w:r>
        <w:rPr>
          <w:color w:val="231F20"/>
          <w:spacing w:val="-37"/>
          <w:sz w:val="23"/>
        </w:rPr>
        <w:t> </w:t>
      </w:r>
      <w:r>
        <w:rPr>
          <w:color w:val="231F20"/>
          <w:sz w:val="23"/>
        </w:rPr>
        <w:t>Cabinet</w:t>
      </w:r>
      <w:r>
        <w:rPr>
          <w:color w:val="231F20"/>
          <w:spacing w:val="-37"/>
          <w:sz w:val="23"/>
        </w:rPr>
        <w:t> </w:t>
      </w:r>
      <w:r>
        <w:rPr>
          <w:color w:val="231F20"/>
          <w:sz w:val="23"/>
        </w:rPr>
        <w:t>for</w:t>
      </w:r>
      <w:r>
        <w:rPr>
          <w:color w:val="231F20"/>
          <w:spacing w:val="-37"/>
          <w:sz w:val="23"/>
        </w:rPr>
        <w:t> </w:t>
      </w:r>
      <w:r>
        <w:rPr>
          <w:color w:val="231F20"/>
          <w:sz w:val="23"/>
        </w:rPr>
        <w:t>approval.</w:t>
      </w:r>
      <w:r>
        <w:rPr>
          <w:color w:val="231F20"/>
          <w:spacing w:val="1"/>
          <w:sz w:val="23"/>
        </w:rPr>
        <w:t> </w:t>
      </w:r>
      <w:r>
        <w:rPr>
          <w:color w:val="231F20"/>
          <w:sz w:val="23"/>
        </w:rPr>
        <w:t>This</w:t>
      </w:r>
      <w:r>
        <w:rPr>
          <w:color w:val="231F20"/>
          <w:spacing w:val="-37"/>
          <w:sz w:val="23"/>
        </w:rPr>
        <w:t> </w:t>
      </w:r>
      <w:r>
        <w:rPr>
          <w:color w:val="231F20"/>
          <w:sz w:val="23"/>
        </w:rPr>
        <w:t>Policy will enable Government to rationalise expenditures and guide the selection process for official overseas</w:t>
      </w:r>
      <w:r>
        <w:rPr>
          <w:color w:val="231F20"/>
          <w:spacing w:val="39"/>
          <w:sz w:val="23"/>
        </w:rPr>
        <w:t> </w:t>
      </w:r>
      <w:r>
        <w:rPr>
          <w:color w:val="231F20"/>
          <w:sz w:val="23"/>
        </w:rPr>
        <w:t>travel.</w:t>
      </w:r>
    </w:p>
    <w:p>
      <w:pPr>
        <w:pStyle w:val="BodyText"/>
        <w:spacing w:before="11"/>
        <w:rPr>
          <w:sz w:val="28"/>
        </w:rPr>
      </w:pPr>
    </w:p>
    <w:p>
      <w:pPr>
        <w:pStyle w:val="ListParagraph"/>
        <w:numPr>
          <w:ilvl w:val="0"/>
          <w:numId w:val="2"/>
        </w:numPr>
        <w:tabs>
          <w:tab w:pos="954" w:val="left" w:leader="none"/>
        </w:tabs>
        <w:spacing w:line="302" w:lineRule="auto" w:before="0" w:after="0"/>
        <w:ind w:left="103" w:right="121" w:firstLine="223"/>
        <w:jc w:val="both"/>
        <w:rPr>
          <w:sz w:val="23"/>
        </w:rPr>
      </w:pPr>
      <w:r>
        <w:rPr>
          <w:color w:val="231F20"/>
          <w:sz w:val="23"/>
        </w:rPr>
        <w:t>This Policy will apply to all officials of institutions covered by the Public Financial</w:t>
      </w:r>
      <w:r>
        <w:rPr>
          <w:color w:val="231F20"/>
          <w:spacing w:val="-11"/>
          <w:sz w:val="23"/>
        </w:rPr>
        <w:t> </w:t>
      </w:r>
      <w:r>
        <w:rPr>
          <w:color w:val="231F20"/>
          <w:sz w:val="23"/>
        </w:rPr>
        <w:t>Management</w:t>
      </w:r>
      <w:r>
        <w:rPr>
          <w:color w:val="231F20"/>
          <w:spacing w:val="-11"/>
          <w:sz w:val="23"/>
        </w:rPr>
        <w:t> </w:t>
      </w:r>
      <w:r>
        <w:rPr>
          <w:color w:val="231F20"/>
          <w:sz w:val="23"/>
        </w:rPr>
        <w:t>Act,</w:t>
      </w:r>
      <w:r>
        <w:rPr>
          <w:color w:val="231F20"/>
          <w:spacing w:val="-11"/>
          <w:sz w:val="23"/>
        </w:rPr>
        <w:t> </w:t>
      </w:r>
      <w:r>
        <w:rPr>
          <w:color w:val="231F20"/>
          <w:sz w:val="23"/>
        </w:rPr>
        <w:t>2016;</w:t>
      </w:r>
      <w:r>
        <w:rPr>
          <w:color w:val="231F20"/>
          <w:spacing w:val="-11"/>
          <w:sz w:val="23"/>
        </w:rPr>
        <w:t> </w:t>
      </w:r>
      <w:r>
        <w:rPr>
          <w:color w:val="231F20"/>
          <w:sz w:val="23"/>
        </w:rPr>
        <w:t>all</w:t>
      </w:r>
      <w:r>
        <w:rPr>
          <w:color w:val="231F20"/>
          <w:spacing w:val="-11"/>
          <w:sz w:val="23"/>
        </w:rPr>
        <w:t> </w:t>
      </w:r>
      <w:r>
        <w:rPr>
          <w:color w:val="231F20"/>
          <w:sz w:val="23"/>
        </w:rPr>
        <w:t>entities</w:t>
      </w:r>
      <w:r>
        <w:rPr>
          <w:color w:val="231F20"/>
          <w:spacing w:val="-11"/>
          <w:sz w:val="23"/>
        </w:rPr>
        <w:t> </w:t>
      </w:r>
      <w:r>
        <w:rPr>
          <w:color w:val="231F20"/>
          <w:sz w:val="23"/>
        </w:rPr>
        <w:t>of</w:t>
      </w:r>
      <w:r>
        <w:rPr>
          <w:color w:val="231F20"/>
          <w:spacing w:val="-11"/>
          <w:sz w:val="23"/>
        </w:rPr>
        <w:t> </w:t>
      </w:r>
      <w:r>
        <w:rPr>
          <w:color w:val="231F20"/>
          <w:sz w:val="23"/>
        </w:rPr>
        <w:t>Government</w:t>
      </w:r>
      <w:r>
        <w:rPr>
          <w:color w:val="231F20"/>
          <w:spacing w:val="-11"/>
          <w:sz w:val="23"/>
        </w:rPr>
        <w:t> </w:t>
      </w:r>
      <w:r>
        <w:rPr>
          <w:color w:val="231F20"/>
          <w:sz w:val="23"/>
        </w:rPr>
        <w:t>established</w:t>
      </w:r>
      <w:r>
        <w:rPr>
          <w:color w:val="231F20"/>
          <w:spacing w:val="-11"/>
          <w:sz w:val="23"/>
        </w:rPr>
        <w:t> </w:t>
      </w:r>
      <w:r>
        <w:rPr>
          <w:color w:val="231F20"/>
          <w:sz w:val="23"/>
        </w:rPr>
        <w:t>by</w:t>
      </w:r>
      <w:r>
        <w:rPr>
          <w:color w:val="231F20"/>
          <w:spacing w:val="-11"/>
          <w:sz w:val="23"/>
        </w:rPr>
        <w:t> </w:t>
      </w:r>
      <w:r>
        <w:rPr>
          <w:color w:val="231F20"/>
          <w:sz w:val="23"/>
        </w:rPr>
        <w:t>an</w:t>
      </w:r>
      <w:r>
        <w:rPr>
          <w:color w:val="231F20"/>
          <w:spacing w:val="-11"/>
          <w:sz w:val="23"/>
        </w:rPr>
        <w:t> </w:t>
      </w:r>
      <w:r>
        <w:rPr>
          <w:color w:val="231F20"/>
          <w:sz w:val="23"/>
        </w:rPr>
        <w:t>Act</w:t>
      </w:r>
      <w:r>
        <w:rPr>
          <w:color w:val="231F20"/>
          <w:spacing w:val="-11"/>
          <w:sz w:val="23"/>
        </w:rPr>
        <w:t> </w:t>
      </w:r>
      <w:r>
        <w:rPr>
          <w:color w:val="231F20"/>
          <w:sz w:val="23"/>
        </w:rPr>
        <w:t>of Parliament and any person selected as an agent of Government or entities in which Government has controlling equity or</w:t>
      </w:r>
      <w:r>
        <w:rPr>
          <w:color w:val="231F20"/>
          <w:spacing w:val="-15"/>
          <w:sz w:val="23"/>
        </w:rPr>
        <w:t> </w:t>
      </w:r>
      <w:r>
        <w:rPr>
          <w:color w:val="231F20"/>
          <w:sz w:val="23"/>
        </w:rPr>
        <w:t>exposure.</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The</w:t>
      </w:r>
      <w:r>
        <w:rPr>
          <w:color w:val="231F20"/>
          <w:spacing w:val="-32"/>
          <w:sz w:val="23"/>
        </w:rPr>
        <w:t> </w:t>
      </w:r>
      <w:r>
        <w:rPr>
          <w:color w:val="231F20"/>
          <w:sz w:val="23"/>
        </w:rPr>
        <w:t>cost</w:t>
      </w:r>
      <w:r>
        <w:rPr>
          <w:color w:val="231F20"/>
          <w:spacing w:val="-32"/>
          <w:sz w:val="23"/>
        </w:rPr>
        <w:t> </w:t>
      </w:r>
      <w:r>
        <w:rPr>
          <w:color w:val="231F20"/>
          <w:sz w:val="23"/>
        </w:rPr>
        <w:t>of</w:t>
      </w:r>
      <w:r>
        <w:rPr>
          <w:color w:val="231F20"/>
          <w:spacing w:val="-32"/>
          <w:sz w:val="23"/>
        </w:rPr>
        <w:t> </w:t>
      </w:r>
      <w:r>
        <w:rPr>
          <w:color w:val="231F20"/>
          <w:sz w:val="23"/>
        </w:rPr>
        <w:t>air</w:t>
      </w:r>
      <w:r>
        <w:rPr>
          <w:color w:val="231F20"/>
          <w:spacing w:val="-32"/>
          <w:sz w:val="23"/>
        </w:rPr>
        <w:t> </w:t>
      </w:r>
      <w:r>
        <w:rPr>
          <w:color w:val="231F20"/>
          <w:sz w:val="23"/>
        </w:rPr>
        <w:t>tickets</w:t>
      </w:r>
      <w:r>
        <w:rPr>
          <w:color w:val="231F20"/>
          <w:spacing w:val="-32"/>
          <w:sz w:val="23"/>
        </w:rPr>
        <w:t> </w:t>
      </w:r>
      <w:r>
        <w:rPr>
          <w:color w:val="231F20"/>
          <w:sz w:val="23"/>
        </w:rPr>
        <w:t>also</w:t>
      </w:r>
      <w:r>
        <w:rPr>
          <w:color w:val="231F20"/>
          <w:spacing w:val="-32"/>
          <w:sz w:val="23"/>
        </w:rPr>
        <w:t> </w:t>
      </w:r>
      <w:r>
        <w:rPr>
          <w:color w:val="231F20"/>
          <w:sz w:val="23"/>
        </w:rPr>
        <w:t>increases</w:t>
      </w:r>
      <w:r>
        <w:rPr>
          <w:color w:val="231F20"/>
          <w:spacing w:val="-32"/>
          <w:sz w:val="23"/>
        </w:rPr>
        <w:t> </w:t>
      </w:r>
      <w:r>
        <w:rPr>
          <w:color w:val="231F20"/>
          <w:sz w:val="23"/>
        </w:rPr>
        <w:t>Government</w:t>
      </w:r>
      <w:r>
        <w:rPr>
          <w:color w:val="231F20"/>
          <w:spacing w:val="-32"/>
          <w:sz w:val="23"/>
        </w:rPr>
        <w:t> </w:t>
      </w:r>
      <w:r>
        <w:rPr>
          <w:color w:val="231F20"/>
          <w:sz w:val="23"/>
        </w:rPr>
        <w:t>expenditure</w:t>
      </w:r>
      <w:r>
        <w:rPr>
          <w:color w:val="231F20"/>
          <w:spacing w:val="-32"/>
          <w:sz w:val="23"/>
        </w:rPr>
        <w:t> </w:t>
      </w:r>
      <w:r>
        <w:rPr>
          <w:color w:val="231F20"/>
          <w:sz w:val="23"/>
        </w:rPr>
        <w:t>on</w:t>
      </w:r>
      <w:r>
        <w:rPr>
          <w:color w:val="231F20"/>
          <w:spacing w:val="-32"/>
          <w:sz w:val="23"/>
        </w:rPr>
        <w:t> </w:t>
      </w:r>
      <w:r>
        <w:rPr>
          <w:color w:val="231F20"/>
          <w:sz w:val="23"/>
        </w:rPr>
        <w:t>foreign</w:t>
      </w:r>
      <w:r>
        <w:rPr>
          <w:color w:val="231F20"/>
          <w:spacing w:val="-32"/>
          <w:sz w:val="23"/>
        </w:rPr>
        <w:t> </w:t>
      </w:r>
      <w:r>
        <w:rPr>
          <w:color w:val="231F20"/>
          <w:sz w:val="23"/>
        </w:rPr>
        <w:t>travel. To</w:t>
      </w:r>
      <w:r>
        <w:rPr>
          <w:color w:val="231F20"/>
          <w:spacing w:val="-7"/>
          <w:sz w:val="23"/>
        </w:rPr>
        <w:t> </w:t>
      </w:r>
      <w:r>
        <w:rPr>
          <w:color w:val="231F20"/>
          <w:sz w:val="23"/>
        </w:rPr>
        <w:t>address</w:t>
      </w:r>
      <w:r>
        <w:rPr>
          <w:color w:val="231F20"/>
          <w:spacing w:val="-7"/>
          <w:sz w:val="23"/>
        </w:rPr>
        <w:t> </w:t>
      </w:r>
      <w:r>
        <w:rPr>
          <w:color w:val="231F20"/>
          <w:sz w:val="23"/>
        </w:rPr>
        <w:t>this</w:t>
      </w:r>
      <w:r>
        <w:rPr>
          <w:color w:val="231F20"/>
          <w:spacing w:val="-7"/>
          <w:sz w:val="23"/>
        </w:rPr>
        <w:t> </w:t>
      </w:r>
      <w:r>
        <w:rPr>
          <w:color w:val="231F20"/>
          <w:sz w:val="23"/>
        </w:rPr>
        <w:t>anomaly,</w:t>
      </w:r>
      <w:r>
        <w:rPr>
          <w:color w:val="231F20"/>
          <w:spacing w:val="-7"/>
          <w:sz w:val="23"/>
        </w:rPr>
        <w:t> </w:t>
      </w:r>
      <w:r>
        <w:rPr>
          <w:color w:val="231F20"/>
          <w:sz w:val="23"/>
        </w:rPr>
        <w:t>Government</w:t>
      </w:r>
      <w:r>
        <w:rPr>
          <w:color w:val="231F20"/>
          <w:spacing w:val="-7"/>
          <w:sz w:val="23"/>
        </w:rPr>
        <w:t> </w:t>
      </w:r>
      <w:r>
        <w:rPr>
          <w:color w:val="231F20"/>
          <w:sz w:val="23"/>
        </w:rPr>
        <w:t>will</w:t>
      </w:r>
      <w:r>
        <w:rPr>
          <w:color w:val="231F20"/>
          <w:spacing w:val="-7"/>
          <w:sz w:val="23"/>
        </w:rPr>
        <w:t> </w:t>
      </w:r>
      <w:r>
        <w:rPr>
          <w:color w:val="231F20"/>
          <w:sz w:val="23"/>
        </w:rPr>
        <w:t>introduce</w:t>
      </w:r>
      <w:r>
        <w:rPr>
          <w:color w:val="231F20"/>
          <w:spacing w:val="-7"/>
          <w:sz w:val="23"/>
        </w:rPr>
        <w:t> </w:t>
      </w:r>
      <w:r>
        <w:rPr>
          <w:color w:val="231F20"/>
          <w:sz w:val="23"/>
        </w:rPr>
        <w:t>the</w:t>
      </w:r>
      <w:r>
        <w:rPr>
          <w:color w:val="231F20"/>
          <w:spacing w:val="-7"/>
          <w:sz w:val="23"/>
        </w:rPr>
        <w:t> </w:t>
      </w:r>
      <w:r>
        <w:rPr>
          <w:color w:val="231F20"/>
          <w:sz w:val="23"/>
        </w:rPr>
        <w:t>Billing</w:t>
      </w:r>
      <w:r>
        <w:rPr>
          <w:color w:val="231F20"/>
          <w:spacing w:val="-7"/>
          <w:sz w:val="23"/>
        </w:rPr>
        <w:t> </w:t>
      </w:r>
      <w:r>
        <w:rPr>
          <w:color w:val="231F20"/>
          <w:sz w:val="23"/>
        </w:rPr>
        <w:t>and</w:t>
      </w:r>
      <w:r>
        <w:rPr>
          <w:color w:val="231F20"/>
          <w:spacing w:val="-7"/>
          <w:sz w:val="23"/>
        </w:rPr>
        <w:t> </w:t>
      </w:r>
      <w:r>
        <w:rPr>
          <w:color w:val="231F20"/>
          <w:sz w:val="23"/>
        </w:rPr>
        <w:t>Settlement</w:t>
      </w:r>
      <w:r>
        <w:rPr>
          <w:color w:val="231F20"/>
          <w:spacing w:val="-7"/>
          <w:sz w:val="23"/>
        </w:rPr>
        <w:t> </w:t>
      </w:r>
      <w:r>
        <w:rPr>
          <w:color w:val="231F20"/>
          <w:sz w:val="23"/>
        </w:rPr>
        <w:t>Plan (BSP) system designed to facilitate and simplify the selling, reporting and remitting procedures between travel agents and airlines. This will mitigate the current irregularities</w:t>
      </w:r>
      <w:r>
        <w:rPr>
          <w:color w:val="231F20"/>
          <w:spacing w:val="-18"/>
          <w:sz w:val="23"/>
        </w:rPr>
        <w:t> </w:t>
      </w:r>
      <w:r>
        <w:rPr>
          <w:color w:val="231F20"/>
          <w:sz w:val="23"/>
        </w:rPr>
        <w:t>in</w:t>
      </w:r>
      <w:r>
        <w:rPr>
          <w:color w:val="231F20"/>
          <w:spacing w:val="-18"/>
          <w:sz w:val="23"/>
        </w:rPr>
        <w:t> </w:t>
      </w:r>
      <w:r>
        <w:rPr>
          <w:color w:val="231F20"/>
          <w:sz w:val="23"/>
        </w:rPr>
        <w:t>travelling</w:t>
      </w:r>
      <w:r>
        <w:rPr>
          <w:color w:val="231F20"/>
          <w:spacing w:val="-18"/>
          <w:sz w:val="23"/>
        </w:rPr>
        <w:t> </w:t>
      </w:r>
      <w:r>
        <w:rPr>
          <w:color w:val="231F20"/>
          <w:sz w:val="23"/>
        </w:rPr>
        <w:t>overseas</w:t>
      </w:r>
      <w:r>
        <w:rPr>
          <w:color w:val="231F20"/>
          <w:spacing w:val="-19"/>
          <w:sz w:val="23"/>
        </w:rPr>
        <w:t> </w:t>
      </w:r>
      <w:r>
        <w:rPr>
          <w:color w:val="231F20"/>
          <w:sz w:val="23"/>
        </w:rPr>
        <w:t>by</w:t>
      </w:r>
      <w:r>
        <w:rPr>
          <w:color w:val="231F20"/>
          <w:spacing w:val="-19"/>
          <w:sz w:val="23"/>
        </w:rPr>
        <w:t> </w:t>
      </w:r>
      <w:r>
        <w:rPr>
          <w:color w:val="231F20"/>
          <w:sz w:val="23"/>
        </w:rPr>
        <w:t>preventing</w:t>
      </w:r>
      <w:r>
        <w:rPr>
          <w:color w:val="231F20"/>
          <w:spacing w:val="-19"/>
          <w:sz w:val="23"/>
        </w:rPr>
        <w:t> </w:t>
      </w:r>
      <w:r>
        <w:rPr>
          <w:color w:val="231F20"/>
          <w:sz w:val="23"/>
        </w:rPr>
        <w:t>fraud</w:t>
      </w:r>
      <w:r>
        <w:rPr>
          <w:color w:val="231F20"/>
          <w:spacing w:val="-18"/>
          <w:sz w:val="23"/>
        </w:rPr>
        <w:t> </w:t>
      </w:r>
      <w:r>
        <w:rPr>
          <w:color w:val="231F20"/>
          <w:sz w:val="23"/>
        </w:rPr>
        <w:t>and</w:t>
      </w:r>
      <w:r>
        <w:rPr>
          <w:color w:val="231F20"/>
          <w:spacing w:val="-19"/>
          <w:sz w:val="23"/>
        </w:rPr>
        <w:t> </w:t>
      </w:r>
      <w:r>
        <w:rPr>
          <w:color w:val="231F20"/>
          <w:sz w:val="23"/>
        </w:rPr>
        <w:t>over-invoicing.</w:t>
      </w:r>
      <w:r>
        <w:rPr>
          <w:color w:val="231F20"/>
          <w:spacing w:val="-19"/>
          <w:sz w:val="23"/>
        </w:rPr>
        <w:t> </w:t>
      </w:r>
      <w:r>
        <w:rPr>
          <w:color w:val="231F20"/>
          <w:sz w:val="23"/>
        </w:rPr>
        <w:t>It</w:t>
      </w:r>
      <w:r>
        <w:rPr>
          <w:color w:val="231F20"/>
          <w:spacing w:val="-18"/>
          <w:sz w:val="23"/>
        </w:rPr>
        <w:t> </w:t>
      </w:r>
      <w:r>
        <w:rPr>
          <w:color w:val="231F20"/>
          <w:sz w:val="23"/>
        </w:rPr>
        <w:t>will</w:t>
      </w:r>
      <w:r>
        <w:rPr>
          <w:color w:val="231F20"/>
          <w:spacing w:val="-18"/>
          <w:sz w:val="23"/>
        </w:rPr>
        <w:t> </w:t>
      </w:r>
      <w:r>
        <w:rPr>
          <w:color w:val="231F20"/>
          <w:sz w:val="23"/>
        </w:rPr>
        <w:t>also increase Government tax collection through a transparent database and ensure the application</w:t>
      </w:r>
      <w:r>
        <w:rPr>
          <w:color w:val="231F20"/>
          <w:spacing w:val="9"/>
          <w:sz w:val="23"/>
        </w:rPr>
        <w:t> </w:t>
      </w:r>
      <w:r>
        <w:rPr>
          <w:color w:val="231F20"/>
          <w:sz w:val="23"/>
        </w:rPr>
        <w:t>of</w:t>
      </w:r>
      <w:r>
        <w:rPr>
          <w:color w:val="231F20"/>
          <w:spacing w:val="9"/>
          <w:sz w:val="23"/>
        </w:rPr>
        <w:t> </w:t>
      </w:r>
      <w:r>
        <w:rPr>
          <w:color w:val="231F20"/>
          <w:sz w:val="23"/>
        </w:rPr>
        <w:t>a</w:t>
      </w:r>
      <w:r>
        <w:rPr>
          <w:color w:val="231F20"/>
          <w:spacing w:val="9"/>
          <w:sz w:val="23"/>
        </w:rPr>
        <w:t> </w:t>
      </w:r>
      <w:r>
        <w:rPr>
          <w:color w:val="231F20"/>
          <w:sz w:val="23"/>
        </w:rPr>
        <w:t>single</w:t>
      </w:r>
      <w:r>
        <w:rPr>
          <w:color w:val="231F20"/>
          <w:spacing w:val="9"/>
          <w:sz w:val="23"/>
        </w:rPr>
        <w:t> </w:t>
      </w:r>
      <w:r>
        <w:rPr>
          <w:color w:val="231F20"/>
          <w:sz w:val="23"/>
        </w:rPr>
        <w:t>exchange</w:t>
      </w:r>
      <w:r>
        <w:rPr>
          <w:color w:val="231F20"/>
          <w:spacing w:val="9"/>
          <w:sz w:val="23"/>
        </w:rPr>
        <w:t> </w:t>
      </w:r>
      <w:r>
        <w:rPr>
          <w:color w:val="231F20"/>
          <w:sz w:val="23"/>
        </w:rPr>
        <w:t>rate</w:t>
      </w:r>
      <w:r>
        <w:rPr>
          <w:color w:val="231F20"/>
          <w:spacing w:val="9"/>
          <w:sz w:val="23"/>
        </w:rPr>
        <w:t> </w:t>
      </w:r>
      <w:r>
        <w:rPr>
          <w:color w:val="231F20"/>
          <w:sz w:val="23"/>
        </w:rPr>
        <w:t>for</w:t>
      </w:r>
      <w:r>
        <w:rPr>
          <w:color w:val="231F20"/>
          <w:spacing w:val="9"/>
          <w:sz w:val="23"/>
        </w:rPr>
        <w:t> </w:t>
      </w:r>
      <w:r>
        <w:rPr>
          <w:color w:val="231F20"/>
          <w:sz w:val="23"/>
        </w:rPr>
        <w:t>the</w:t>
      </w:r>
      <w:r>
        <w:rPr>
          <w:color w:val="231F20"/>
          <w:spacing w:val="9"/>
          <w:sz w:val="23"/>
        </w:rPr>
        <w:t> </w:t>
      </w:r>
      <w:r>
        <w:rPr>
          <w:color w:val="231F20"/>
          <w:sz w:val="23"/>
        </w:rPr>
        <w:t>issuance</w:t>
      </w:r>
      <w:r>
        <w:rPr>
          <w:color w:val="231F20"/>
          <w:spacing w:val="9"/>
          <w:sz w:val="23"/>
        </w:rPr>
        <w:t> </w:t>
      </w:r>
      <w:r>
        <w:rPr>
          <w:color w:val="231F20"/>
          <w:sz w:val="23"/>
        </w:rPr>
        <w:t>of</w:t>
      </w:r>
      <w:r>
        <w:rPr>
          <w:color w:val="231F20"/>
          <w:spacing w:val="9"/>
          <w:sz w:val="23"/>
        </w:rPr>
        <w:t> </w:t>
      </w:r>
      <w:r>
        <w:rPr>
          <w:color w:val="231F20"/>
          <w:sz w:val="23"/>
        </w:rPr>
        <w:t>tickets</w:t>
      </w:r>
      <w:r>
        <w:rPr>
          <w:color w:val="231F20"/>
          <w:spacing w:val="9"/>
          <w:sz w:val="23"/>
        </w:rPr>
        <w:t> </w:t>
      </w:r>
      <w:r>
        <w:rPr>
          <w:color w:val="231F20"/>
          <w:sz w:val="23"/>
        </w:rPr>
        <w:t>in</w:t>
      </w:r>
      <w:r>
        <w:rPr>
          <w:color w:val="231F20"/>
          <w:spacing w:val="9"/>
          <w:sz w:val="23"/>
        </w:rPr>
        <w:t> </w:t>
      </w:r>
      <w:r>
        <w:rPr>
          <w:color w:val="231F20"/>
          <w:sz w:val="23"/>
        </w:rPr>
        <w:t>Sierra</w:t>
      </w:r>
      <w:r>
        <w:rPr>
          <w:color w:val="231F20"/>
          <w:spacing w:val="9"/>
          <w:sz w:val="23"/>
        </w:rPr>
        <w:t> </w:t>
      </w:r>
      <w:r>
        <w:rPr>
          <w:color w:val="231F20"/>
          <w:sz w:val="23"/>
        </w:rPr>
        <w:t>Leone.</w:t>
      </w:r>
    </w:p>
    <w:p>
      <w:pPr>
        <w:pStyle w:val="BodyText"/>
        <w:spacing w:before="9"/>
        <w:rPr>
          <w:sz w:val="28"/>
        </w:rPr>
      </w:pPr>
    </w:p>
    <w:p>
      <w:pPr>
        <w:pStyle w:val="Heading2"/>
      </w:pPr>
      <w:r>
        <w:rPr>
          <w:color w:val="231F20"/>
        </w:rPr>
        <w:t>Strengthening Commitment Controls</w:t>
      </w:r>
    </w:p>
    <w:p>
      <w:pPr>
        <w:pStyle w:val="ListParagraph"/>
        <w:numPr>
          <w:ilvl w:val="0"/>
          <w:numId w:val="2"/>
        </w:numPr>
        <w:tabs>
          <w:tab w:pos="954" w:val="left" w:leader="none"/>
        </w:tabs>
        <w:spacing w:line="302" w:lineRule="auto" w:before="71" w:after="0"/>
        <w:ind w:left="103" w:right="119" w:firstLine="223"/>
        <w:jc w:val="both"/>
        <w:rPr>
          <w:sz w:val="23"/>
        </w:rPr>
      </w:pPr>
      <w:r>
        <w:rPr>
          <w:color w:val="231F20"/>
          <w:sz w:val="23"/>
        </w:rPr>
        <w:t>Government</w:t>
      </w:r>
      <w:r>
        <w:rPr>
          <w:color w:val="231F20"/>
          <w:spacing w:val="-23"/>
          <w:sz w:val="23"/>
        </w:rPr>
        <w:t> </w:t>
      </w:r>
      <w:r>
        <w:rPr>
          <w:color w:val="231F20"/>
          <w:sz w:val="23"/>
        </w:rPr>
        <w:t>will</w:t>
      </w:r>
      <w:r>
        <w:rPr>
          <w:color w:val="231F20"/>
          <w:spacing w:val="-23"/>
          <w:sz w:val="23"/>
        </w:rPr>
        <w:t> </w:t>
      </w:r>
      <w:r>
        <w:rPr>
          <w:color w:val="231F20"/>
          <w:sz w:val="23"/>
        </w:rPr>
        <w:t>continue</w:t>
      </w:r>
      <w:r>
        <w:rPr>
          <w:color w:val="231F20"/>
          <w:spacing w:val="-23"/>
          <w:sz w:val="23"/>
        </w:rPr>
        <w:t> </w:t>
      </w:r>
      <w:r>
        <w:rPr>
          <w:color w:val="231F20"/>
          <w:sz w:val="23"/>
        </w:rPr>
        <w:t>to</w:t>
      </w:r>
      <w:r>
        <w:rPr>
          <w:color w:val="231F20"/>
          <w:spacing w:val="-23"/>
          <w:sz w:val="23"/>
        </w:rPr>
        <w:t> </w:t>
      </w:r>
      <w:r>
        <w:rPr>
          <w:color w:val="231F20"/>
          <w:sz w:val="23"/>
        </w:rPr>
        <w:t>strengthen</w:t>
      </w:r>
      <w:r>
        <w:rPr>
          <w:color w:val="231F20"/>
          <w:spacing w:val="-23"/>
          <w:sz w:val="23"/>
        </w:rPr>
        <w:t> </w:t>
      </w:r>
      <w:r>
        <w:rPr>
          <w:color w:val="231F20"/>
          <w:sz w:val="23"/>
        </w:rPr>
        <w:t>commitment</w:t>
      </w:r>
      <w:r>
        <w:rPr>
          <w:color w:val="231F20"/>
          <w:spacing w:val="-23"/>
          <w:sz w:val="23"/>
        </w:rPr>
        <w:t> </w:t>
      </w:r>
      <w:r>
        <w:rPr>
          <w:color w:val="231F20"/>
          <w:sz w:val="23"/>
        </w:rPr>
        <w:t>control</w:t>
      </w:r>
      <w:r>
        <w:rPr>
          <w:color w:val="231F20"/>
          <w:spacing w:val="-23"/>
          <w:sz w:val="23"/>
        </w:rPr>
        <w:t> </w:t>
      </w:r>
      <w:r>
        <w:rPr>
          <w:color w:val="231F20"/>
          <w:sz w:val="23"/>
        </w:rPr>
        <w:t>systems</w:t>
      </w:r>
      <w:r>
        <w:rPr>
          <w:color w:val="231F20"/>
          <w:spacing w:val="-23"/>
          <w:sz w:val="23"/>
        </w:rPr>
        <w:t> </w:t>
      </w:r>
      <w:r>
        <w:rPr>
          <w:color w:val="231F20"/>
          <w:sz w:val="23"/>
        </w:rPr>
        <w:t>to</w:t>
      </w:r>
      <w:r>
        <w:rPr>
          <w:color w:val="231F20"/>
          <w:spacing w:val="-23"/>
          <w:sz w:val="23"/>
        </w:rPr>
        <w:t> </w:t>
      </w:r>
      <w:r>
        <w:rPr>
          <w:color w:val="231F20"/>
          <w:sz w:val="23"/>
        </w:rPr>
        <w:t>avoid the</w:t>
      </w:r>
      <w:r>
        <w:rPr>
          <w:color w:val="231F20"/>
          <w:spacing w:val="-19"/>
          <w:sz w:val="23"/>
        </w:rPr>
        <w:t> </w:t>
      </w:r>
      <w:r>
        <w:rPr>
          <w:color w:val="231F20"/>
          <w:sz w:val="23"/>
        </w:rPr>
        <w:t>accumulation</w:t>
      </w:r>
      <w:r>
        <w:rPr>
          <w:color w:val="231F20"/>
          <w:spacing w:val="-19"/>
          <w:sz w:val="23"/>
        </w:rPr>
        <w:t> </w:t>
      </w:r>
      <w:r>
        <w:rPr>
          <w:color w:val="231F20"/>
          <w:sz w:val="23"/>
        </w:rPr>
        <w:t>of</w:t>
      </w:r>
      <w:r>
        <w:rPr>
          <w:color w:val="231F20"/>
          <w:spacing w:val="-19"/>
          <w:sz w:val="23"/>
        </w:rPr>
        <w:t> </w:t>
      </w:r>
      <w:r>
        <w:rPr>
          <w:color w:val="231F20"/>
          <w:sz w:val="23"/>
        </w:rPr>
        <w:t>arrears.</w:t>
      </w:r>
      <w:r>
        <w:rPr>
          <w:color w:val="231F20"/>
          <w:spacing w:val="-19"/>
          <w:sz w:val="23"/>
        </w:rPr>
        <w:t> </w:t>
      </w:r>
      <w:r>
        <w:rPr>
          <w:color w:val="231F20"/>
          <w:sz w:val="23"/>
        </w:rPr>
        <w:t>In</w:t>
      </w:r>
      <w:r>
        <w:rPr>
          <w:color w:val="231F20"/>
          <w:spacing w:val="-19"/>
          <w:sz w:val="23"/>
        </w:rPr>
        <w:t> </w:t>
      </w:r>
      <w:r>
        <w:rPr>
          <w:color w:val="231F20"/>
          <w:sz w:val="23"/>
        </w:rPr>
        <w:t>2019,</w:t>
      </w:r>
      <w:r>
        <w:rPr>
          <w:color w:val="231F20"/>
          <w:spacing w:val="-19"/>
          <w:sz w:val="23"/>
        </w:rPr>
        <w:t> </w:t>
      </w:r>
      <w:r>
        <w:rPr>
          <w:color w:val="231F20"/>
          <w:sz w:val="23"/>
        </w:rPr>
        <w:t>the</w:t>
      </w:r>
      <w:r>
        <w:rPr>
          <w:color w:val="231F20"/>
          <w:spacing w:val="-19"/>
          <w:sz w:val="23"/>
        </w:rPr>
        <w:t> </w:t>
      </w:r>
      <w:r>
        <w:rPr>
          <w:color w:val="231F20"/>
          <w:sz w:val="23"/>
        </w:rPr>
        <w:t>Ministry</w:t>
      </w:r>
      <w:r>
        <w:rPr>
          <w:color w:val="231F20"/>
          <w:spacing w:val="-19"/>
          <w:sz w:val="23"/>
        </w:rPr>
        <w:t> </w:t>
      </w:r>
      <w:r>
        <w:rPr>
          <w:color w:val="231F20"/>
          <w:sz w:val="23"/>
        </w:rPr>
        <w:t>of</w:t>
      </w:r>
      <w:r>
        <w:rPr>
          <w:color w:val="231F20"/>
          <w:spacing w:val="-19"/>
          <w:sz w:val="23"/>
        </w:rPr>
        <w:t> </w:t>
      </w:r>
      <w:r>
        <w:rPr>
          <w:color w:val="231F20"/>
          <w:sz w:val="23"/>
        </w:rPr>
        <w:t>Finance</w:t>
      </w:r>
      <w:r>
        <w:rPr>
          <w:color w:val="231F20"/>
          <w:spacing w:val="-19"/>
          <w:sz w:val="23"/>
        </w:rPr>
        <w:t> </w:t>
      </w:r>
      <w:r>
        <w:rPr>
          <w:color w:val="231F20"/>
          <w:sz w:val="23"/>
        </w:rPr>
        <w:t>with</w:t>
      </w:r>
      <w:r>
        <w:rPr>
          <w:color w:val="231F20"/>
          <w:spacing w:val="-19"/>
          <w:sz w:val="23"/>
        </w:rPr>
        <w:t> </w:t>
      </w:r>
      <w:r>
        <w:rPr>
          <w:color w:val="231F20"/>
          <w:sz w:val="23"/>
        </w:rPr>
        <w:t>support</w:t>
      </w:r>
      <w:r>
        <w:rPr>
          <w:color w:val="231F20"/>
          <w:spacing w:val="-19"/>
          <w:sz w:val="23"/>
        </w:rPr>
        <w:t> </w:t>
      </w:r>
      <w:r>
        <w:rPr>
          <w:color w:val="231F20"/>
          <w:sz w:val="23"/>
        </w:rPr>
        <w:t>from</w:t>
      </w:r>
      <w:r>
        <w:rPr>
          <w:color w:val="231F20"/>
          <w:spacing w:val="-19"/>
          <w:sz w:val="23"/>
        </w:rPr>
        <w:t> </w:t>
      </w:r>
      <w:r>
        <w:rPr>
          <w:color w:val="231F20"/>
          <w:sz w:val="23"/>
        </w:rPr>
        <w:t>DSTI automated the PET forms for the processing of budgetary requests from MDAs. The implementation</w:t>
      </w:r>
      <w:r>
        <w:rPr>
          <w:color w:val="231F20"/>
          <w:spacing w:val="-5"/>
          <w:sz w:val="23"/>
        </w:rPr>
        <w:t> </w:t>
      </w:r>
      <w:r>
        <w:rPr>
          <w:color w:val="231F20"/>
          <w:sz w:val="23"/>
        </w:rPr>
        <w:t>of</w:t>
      </w:r>
      <w:r>
        <w:rPr>
          <w:color w:val="231F20"/>
          <w:spacing w:val="-6"/>
          <w:sz w:val="23"/>
        </w:rPr>
        <w:t> </w:t>
      </w:r>
      <w:r>
        <w:rPr>
          <w:color w:val="231F20"/>
          <w:sz w:val="23"/>
        </w:rPr>
        <w:t>the</w:t>
      </w:r>
      <w:r>
        <w:rPr>
          <w:color w:val="231F20"/>
          <w:spacing w:val="-6"/>
          <w:sz w:val="23"/>
        </w:rPr>
        <w:t> </w:t>
      </w:r>
      <w:r>
        <w:rPr>
          <w:color w:val="231F20"/>
          <w:sz w:val="23"/>
        </w:rPr>
        <w:t>automated</w:t>
      </w:r>
      <w:r>
        <w:rPr>
          <w:color w:val="231F20"/>
          <w:spacing w:val="-6"/>
          <w:sz w:val="23"/>
        </w:rPr>
        <w:t> </w:t>
      </w:r>
      <w:r>
        <w:rPr>
          <w:color w:val="231F20"/>
          <w:sz w:val="23"/>
        </w:rPr>
        <w:t>PET</w:t>
      </w:r>
      <w:r>
        <w:rPr>
          <w:color w:val="231F20"/>
          <w:spacing w:val="-6"/>
          <w:sz w:val="23"/>
        </w:rPr>
        <w:t> </w:t>
      </w:r>
      <w:r>
        <w:rPr>
          <w:color w:val="231F20"/>
          <w:sz w:val="23"/>
        </w:rPr>
        <w:t>forms</w:t>
      </w:r>
      <w:r>
        <w:rPr>
          <w:color w:val="231F20"/>
          <w:spacing w:val="-5"/>
          <w:sz w:val="23"/>
        </w:rPr>
        <w:t> </w:t>
      </w:r>
      <w:r>
        <w:rPr>
          <w:color w:val="231F20"/>
          <w:sz w:val="23"/>
        </w:rPr>
        <w:t>will</w:t>
      </w:r>
      <w:r>
        <w:rPr>
          <w:color w:val="231F20"/>
          <w:spacing w:val="-5"/>
          <w:sz w:val="23"/>
        </w:rPr>
        <w:t> </w:t>
      </w:r>
      <w:r>
        <w:rPr>
          <w:color w:val="231F20"/>
          <w:sz w:val="23"/>
        </w:rPr>
        <w:t>commence</w:t>
      </w:r>
      <w:r>
        <w:rPr>
          <w:color w:val="231F20"/>
          <w:spacing w:val="-6"/>
          <w:sz w:val="23"/>
        </w:rPr>
        <w:t> </w:t>
      </w:r>
      <w:r>
        <w:rPr>
          <w:color w:val="231F20"/>
          <w:sz w:val="23"/>
        </w:rPr>
        <w:t>in</w:t>
      </w:r>
      <w:r>
        <w:rPr>
          <w:color w:val="231F20"/>
          <w:spacing w:val="-5"/>
          <w:sz w:val="23"/>
        </w:rPr>
        <w:t> </w:t>
      </w:r>
      <w:r>
        <w:rPr>
          <w:color w:val="231F20"/>
          <w:sz w:val="23"/>
        </w:rPr>
        <w:t>2020</w:t>
      </w:r>
      <w:r>
        <w:rPr>
          <w:color w:val="231F20"/>
          <w:spacing w:val="-6"/>
          <w:sz w:val="23"/>
        </w:rPr>
        <w:t> </w:t>
      </w:r>
      <w:r>
        <w:rPr>
          <w:color w:val="231F20"/>
          <w:sz w:val="23"/>
        </w:rPr>
        <w:t>and</w:t>
      </w:r>
      <w:r>
        <w:rPr>
          <w:color w:val="231F20"/>
          <w:spacing w:val="-6"/>
          <w:sz w:val="23"/>
        </w:rPr>
        <w:t> </w:t>
      </w:r>
      <w:r>
        <w:rPr>
          <w:color w:val="231F20"/>
          <w:sz w:val="23"/>
        </w:rPr>
        <w:t>is</w:t>
      </w:r>
      <w:r>
        <w:rPr>
          <w:color w:val="231F20"/>
          <w:spacing w:val="-5"/>
          <w:sz w:val="23"/>
        </w:rPr>
        <w:t> </w:t>
      </w:r>
      <w:r>
        <w:rPr>
          <w:color w:val="231F20"/>
          <w:sz w:val="23"/>
        </w:rPr>
        <w:t>expected to minimise expenditure overruns and arrears</w:t>
      </w:r>
      <w:r>
        <w:rPr>
          <w:color w:val="231F20"/>
          <w:spacing w:val="-12"/>
          <w:sz w:val="23"/>
        </w:rPr>
        <w:t> </w:t>
      </w:r>
      <w:r>
        <w:rPr>
          <w:color w:val="231F20"/>
          <w:sz w:val="23"/>
        </w:rPr>
        <w:t>build-up.</w:t>
      </w:r>
    </w:p>
    <w:p>
      <w:pPr>
        <w:pStyle w:val="BodyText"/>
        <w:spacing w:before="10"/>
        <w:rPr>
          <w:sz w:val="28"/>
        </w:rPr>
      </w:pPr>
    </w:p>
    <w:p>
      <w:pPr>
        <w:pStyle w:val="Heading2"/>
      </w:pPr>
      <w:r>
        <w:rPr>
          <w:color w:val="231F20"/>
        </w:rPr>
        <w:t>Upgrading IFMIS</w:t>
      </w:r>
    </w:p>
    <w:p>
      <w:pPr>
        <w:pStyle w:val="ListParagraph"/>
        <w:numPr>
          <w:ilvl w:val="0"/>
          <w:numId w:val="2"/>
        </w:numPr>
        <w:tabs>
          <w:tab w:pos="954" w:val="left" w:leader="none"/>
        </w:tabs>
        <w:spacing w:line="302" w:lineRule="auto" w:before="71" w:after="0"/>
        <w:ind w:left="103" w:right="119" w:firstLine="223"/>
        <w:jc w:val="both"/>
        <w:rPr>
          <w:sz w:val="23"/>
        </w:rPr>
      </w:pPr>
      <w:r>
        <w:rPr>
          <w:color w:val="231F20"/>
          <w:sz w:val="23"/>
        </w:rPr>
        <w:t>The Integrated Financial Management Information System (IFMIS) has been rolled out to fifty-six (56) MDAs, thereby decentralising some components of the payment</w:t>
      </w:r>
      <w:r>
        <w:rPr>
          <w:color w:val="231F20"/>
          <w:spacing w:val="-35"/>
          <w:sz w:val="23"/>
        </w:rPr>
        <w:t> </w:t>
      </w:r>
      <w:r>
        <w:rPr>
          <w:color w:val="231F20"/>
          <w:sz w:val="23"/>
        </w:rPr>
        <w:t>process.</w:t>
      </w:r>
      <w:r>
        <w:rPr>
          <w:color w:val="231F20"/>
          <w:spacing w:val="-35"/>
          <w:sz w:val="23"/>
        </w:rPr>
        <w:t> </w:t>
      </w:r>
      <w:r>
        <w:rPr>
          <w:color w:val="231F20"/>
          <w:sz w:val="23"/>
        </w:rPr>
        <w:t>In</w:t>
      </w:r>
      <w:r>
        <w:rPr>
          <w:color w:val="231F20"/>
          <w:spacing w:val="-35"/>
          <w:sz w:val="23"/>
        </w:rPr>
        <w:t> </w:t>
      </w:r>
      <w:r>
        <w:rPr>
          <w:color w:val="231F20"/>
          <w:sz w:val="23"/>
        </w:rPr>
        <w:t>2020,</w:t>
      </w:r>
      <w:r>
        <w:rPr>
          <w:color w:val="231F20"/>
          <w:spacing w:val="-35"/>
          <w:sz w:val="23"/>
        </w:rPr>
        <w:t> </w:t>
      </w:r>
      <w:r>
        <w:rPr>
          <w:color w:val="231F20"/>
          <w:sz w:val="23"/>
        </w:rPr>
        <w:t>the</w:t>
      </w:r>
      <w:r>
        <w:rPr>
          <w:color w:val="231F20"/>
          <w:spacing w:val="-35"/>
          <w:sz w:val="23"/>
        </w:rPr>
        <w:t> </w:t>
      </w:r>
      <w:r>
        <w:rPr>
          <w:color w:val="231F20"/>
          <w:sz w:val="23"/>
        </w:rPr>
        <w:t>IFMIS</w:t>
      </w:r>
      <w:r>
        <w:rPr>
          <w:color w:val="231F20"/>
          <w:spacing w:val="-35"/>
          <w:sz w:val="23"/>
        </w:rPr>
        <w:t> </w:t>
      </w:r>
      <w:r>
        <w:rPr>
          <w:color w:val="231F20"/>
          <w:sz w:val="23"/>
        </w:rPr>
        <w:t>will</w:t>
      </w:r>
      <w:r>
        <w:rPr>
          <w:color w:val="231F20"/>
          <w:spacing w:val="-35"/>
          <w:sz w:val="23"/>
        </w:rPr>
        <w:t> </w:t>
      </w:r>
      <w:r>
        <w:rPr>
          <w:color w:val="231F20"/>
          <w:sz w:val="23"/>
        </w:rPr>
        <w:t>be</w:t>
      </w:r>
      <w:r>
        <w:rPr>
          <w:color w:val="231F20"/>
          <w:spacing w:val="-35"/>
          <w:sz w:val="23"/>
        </w:rPr>
        <w:t> </w:t>
      </w:r>
      <w:r>
        <w:rPr>
          <w:color w:val="231F20"/>
          <w:sz w:val="23"/>
        </w:rPr>
        <w:t>upgraded</w:t>
      </w:r>
      <w:r>
        <w:rPr>
          <w:color w:val="231F20"/>
          <w:spacing w:val="-35"/>
          <w:sz w:val="23"/>
        </w:rPr>
        <w:t> </w:t>
      </w:r>
      <w:r>
        <w:rPr>
          <w:color w:val="231F20"/>
          <w:sz w:val="23"/>
        </w:rPr>
        <w:t>to</w:t>
      </w:r>
      <w:r>
        <w:rPr>
          <w:color w:val="231F20"/>
          <w:spacing w:val="-35"/>
          <w:sz w:val="23"/>
        </w:rPr>
        <w:t> </w:t>
      </w:r>
      <w:r>
        <w:rPr>
          <w:color w:val="231F20"/>
          <w:sz w:val="23"/>
        </w:rPr>
        <w:t>the</w:t>
      </w:r>
      <w:r>
        <w:rPr>
          <w:color w:val="231F20"/>
          <w:spacing w:val="-35"/>
          <w:sz w:val="23"/>
        </w:rPr>
        <w:t> </w:t>
      </w:r>
      <w:r>
        <w:rPr>
          <w:color w:val="231F20"/>
          <w:sz w:val="23"/>
        </w:rPr>
        <w:t>web-based</w:t>
      </w:r>
      <w:r>
        <w:rPr>
          <w:color w:val="231F20"/>
          <w:spacing w:val="-35"/>
          <w:sz w:val="23"/>
        </w:rPr>
        <w:t> </w:t>
      </w:r>
      <w:r>
        <w:rPr>
          <w:color w:val="231F20"/>
          <w:sz w:val="23"/>
        </w:rPr>
        <w:t>hybrid</w:t>
      </w:r>
      <w:r>
        <w:rPr>
          <w:color w:val="231F20"/>
          <w:spacing w:val="-35"/>
          <w:sz w:val="23"/>
        </w:rPr>
        <w:t> </w:t>
      </w:r>
      <w:r>
        <w:rPr>
          <w:color w:val="231F20"/>
          <w:sz w:val="23"/>
        </w:rPr>
        <w:t>version, extended to Local Councils, and subsequently to our Embassies and Project Implementation Units (PIUs) to further decentralise and improve</w:t>
      </w:r>
      <w:r>
        <w:rPr>
          <w:color w:val="231F20"/>
          <w:spacing w:val="64"/>
          <w:sz w:val="23"/>
        </w:rPr>
        <w:t> </w:t>
      </w:r>
      <w:r>
        <w:rPr>
          <w:color w:val="231F20"/>
          <w:sz w:val="23"/>
        </w:rPr>
        <w:t>accessibility.</w:t>
      </w:r>
    </w:p>
    <w:p>
      <w:pPr>
        <w:pStyle w:val="BodyText"/>
        <w:rPr>
          <w:sz w:val="20"/>
        </w:rPr>
      </w:pPr>
    </w:p>
    <w:p>
      <w:pPr>
        <w:pStyle w:val="BodyText"/>
        <w:rPr>
          <w:sz w:val="20"/>
        </w:rPr>
      </w:pPr>
    </w:p>
    <w:p>
      <w:pPr>
        <w:pStyle w:val="BodyText"/>
        <w:rPr>
          <w:sz w:val="20"/>
        </w:rPr>
      </w:pPr>
    </w:p>
    <w:p>
      <w:pPr>
        <w:pStyle w:val="BodyText"/>
        <w:spacing w:before="9"/>
        <w:rPr>
          <w:sz w:val="21"/>
        </w:rPr>
      </w:pPr>
    </w:p>
    <w:p>
      <w:pPr>
        <w:pStyle w:val="Heading1"/>
      </w:pPr>
      <w:r>
        <w:rPr>
          <w:color w:val="231F20"/>
        </w:rPr>
        <w:t>16</w:t>
      </w:r>
    </w:p>
    <w:p>
      <w:pPr>
        <w:spacing w:after="0"/>
        <w:sectPr>
          <w:pgSz w:w="11900" w:h="16840"/>
          <w:pgMar w:top="1180" w:bottom="280" w:left="1140" w:right="1120"/>
        </w:sectPr>
      </w:pPr>
    </w:p>
    <w:p>
      <w:pPr>
        <w:pStyle w:val="Heading2"/>
        <w:spacing w:before="77"/>
      </w:pPr>
      <w:r>
        <w:rPr>
          <w:color w:val="231F20"/>
        </w:rPr>
        <w:t>Broadening the Scope of the Treasury Single Account (TSA)</w:t>
      </w:r>
    </w:p>
    <w:p>
      <w:pPr>
        <w:pStyle w:val="ListParagraph"/>
        <w:numPr>
          <w:ilvl w:val="0"/>
          <w:numId w:val="2"/>
        </w:numPr>
        <w:tabs>
          <w:tab w:pos="954" w:val="left" w:leader="none"/>
        </w:tabs>
        <w:spacing w:line="302" w:lineRule="auto" w:before="71" w:after="0"/>
        <w:ind w:left="103" w:right="120" w:firstLine="223"/>
        <w:jc w:val="both"/>
        <w:rPr>
          <w:sz w:val="23"/>
        </w:rPr>
      </w:pPr>
      <w:r>
        <w:rPr>
          <w:color w:val="231F20"/>
          <w:sz w:val="23"/>
        </w:rPr>
        <w:t>Mr.</w:t>
      </w:r>
      <w:r>
        <w:rPr>
          <w:color w:val="231F20"/>
          <w:spacing w:val="-44"/>
          <w:sz w:val="23"/>
        </w:rPr>
        <w:t> </w:t>
      </w:r>
      <w:r>
        <w:rPr>
          <w:color w:val="231F20"/>
          <w:sz w:val="23"/>
        </w:rPr>
        <w:t>Speaker,</w:t>
      </w:r>
      <w:r>
        <w:rPr>
          <w:color w:val="231F20"/>
          <w:spacing w:val="-43"/>
          <w:sz w:val="23"/>
        </w:rPr>
        <w:t> </w:t>
      </w:r>
      <w:r>
        <w:rPr>
          <w:color w:val="231F20"/>
          <w:sz w:val="23"/>
        </w:rPr>
        <w:t>Honourable</w:t>
      </w:r>
      <w:r>
        <w:rPr>
          <w:color w:val="231F20"/>
          <w:spacing w:val="-44"/>
          <w:sz w:val="23"/>
        </w:rPr>
        <w:t> </w:t>
      </w:r>
      <w:r>
        <w:rPr>
          <w:color w:val="231F20"/>
          <w:sz w:val="23"/>
        </w:rPr>
        <w:t>Members,</w:t>
      </w:r>
      <w:r>
        <w:rPr>
          <w:color w:val="231F20"/>
          <w:spacing w:val="-43"/>
          <w:sz w:val="23"/>
        </w:rPr>
        <w:t> </w:t>
      </w:r>
      <w:r>
        <w:rPr>
          <w:color w:val="231F20"/>
          <w:sz w:val="23"/>
        </w:rPr>
        <w:t>the</w:t>
      </w:r>
      <w:r>
        <w:rPr>
          <w:color w:val="231F20"/>
          <w:spacing w:val="-43"/>
          <w:sz w:val="23"/>
        </w:rPr>
        <w:t> </w:t>
      </w:r>
      <w:r>
        <w:rPr>
          <w:color w:val="231F20"/>
          <w:sz w:val="23"/>
        </w:rPr>
        <w:t>operation</w:t>
      </w:r>
      <w:r>
        <w:rPr>
          <w:color w:val="231F20"/>
          <w:spacing w:val="-44"/>
          <w:sz w:val="23"/>
        </w:rPr>
        <w:t> </w:t>
      </w:r>
      <w:r>
        <w:rPr>
          <w:color w:val="231F20"/>
          <w:sz w:val="23"/>
        </w:rPr>
        <w:t>of</w:t>
      </w:r>
      <w:r>
        <w:rPr>
          <w:color w:val="231F20"/>
          <w:spacing w:val="-43"/>
          <w:sz w:val="23"/>
        </w:rPr>
        <w:t> </w:t>
      </w:r>
      <w:r>
        <w:rPr>
          <w:color w:val="231F20"/>
          <w:sz w:val="23"/>
        </w:rPr>
        <w:t>the</w:t>
      </w:r>
      <w:r>
        <w:rPr>
          <w:color w:val="231F20"/>
          <w:spacing w:val="-43"/>
          <w:sz w:val="23"/>
        </w:rPr>
        <w:t> </w:t>
      </w:r>
      <w:r>
        <w:rPr>
          <w:color w:val="231F20"/>
          <w:sz w:val="23"/>
        </w:rPr>
        <w:t>TSA</w:t>
      </w:r>
      <w:r>
        <w:rPr>
          <w:color w:val="231F20"/>
          <w:spacing w:val="-44"/>
          <w:sz w:val="23"/>
        </w:rPr>
        <w:t> </w:t>
      </w:r>
      <w:r>
        <w:rPr>
          <w:color w:val="231F20"/>
          <w:sz w:val="23"/>
        </w:rPr>
        <w:t>commence</w:t>
      </w:r>
      <w:r>
        <w:rPr>
          <w:color w:val="231F20"/>
          <w:spacing w:val="-43"/>
          <w:sz w:val="23"/>
        </w:rPr>
        <w:t> </w:t>
      </w:r>
      <w:r>
        <w:rPr>
          <w:color w:val="231F20"/>
          <w:sz w:val="23"/>
        </w:rPr>
        <w:t>in</w:t>
      </w:r>
      <w:r>
        <w:rPr>
          <w:color w:val="231F20"/>
          <w:spacing w:val="-43"/>
          <w:sz w:val="23"/>
        </w:rPr>
        <w:t> </w:t>
      </w:r>
      <w:r>
        <w:rPr>
          <w:color w:val="231F20"/>
          <w:sz w:val="23"/>
        </w:rPr>
        <w:t>2018 with</w:t>
      </w:r>
      <w:r>
        <w:rPr>
          <w:color w:val="231F20"/>
          <w:spacing w:val="-10"/>
          <w:sz w:val="23"/>
        </w:rPr>
        <w:t> </w:t>
      </w:r>
      <w:r>
        <w:rPr>
          <w:color w:val="231F20"/>
          <w:sz w:val="23"/>
        </w:rPr>
        <w:t>six</w:t>
      </w:r>
      <w:r>
        <w:rPr>
          <w:color w:val="231F20"/>
          <w:spacing w:val="-42"/>
          <w:sz w:val="23"/>
        </w:rPr>
        <w:t> </w:t>
      </w:r>
      <w:r>
        <w:rPr>
          <w:color w:val="231F20"/>
          <w:sz w:val="23"/>
        </w:rPr>
        <w:t>semi-autonomous</w:t>
      </w:r>
      <w:r>
        <w:rPr>
          <w:color w:val="231F20"/>
          <w:spacing w:val="-42"/>
          <w:sz w:val="23"/>
        </w:rPr>
        <w:t> </w:t>
      </w:r>
      <w:r>
        <w:rPr>
          <w:color w:val="231F20"/>
          <w:sz w:val="23"/>
        </w:rPr>
        <w:t>Agencies.</w:t>
      </w:r>
      <w:r>
        <w:rPr>
          <w:color w:val="231F20"/>
          <w:spacing w:val="-11"/>
          <w:sz w:val="23"/>
        </w:rPr>
        <w:t> </w:t>
      </w:r>
      <w:r>
        <w:rPr>
          <w:color w:val="231F20"/>
          <w:sz w:val="23"/>
        </w:rPr>
        <w:t>Following</w:t>
      </w:r>
      <w:r>
        <w:rPr>
          <w:color w:val="231F20"/>
          <w:spacing w:val="-42"/>
          <w:sz w:val="23"/>
        </w:rPr>
        <w:t> </w:t>
      </w:r>
      <w:r>
        <w:rPr>
          <w:color w:val="231F20"/>
          <w:sz w:val="23"/>
        </w:rPr>
        <w:t>the</w:t>
      </w:r>
      <w:r>
        <w:rPr>
          <w:color w:val="231F20"/>
          <w:spacing w:val="-42"/>
          <w:sz w:val="23"/>
        </w:rPr>
        <w:t> </w:t>
      </w:r>
      <w:r>
        <w:rPr>
          <w:color w:val="231F20"/>
          <w:sz w:val="23"/>
        </w:rPr>
        <w:t>enactment</w:t>
      </w:r>
      <w:r>
        <w:rPr>
          <w:color w:val="231F20"/>
          <w:spacing w:val="-42"/>
          <w:sz w:val="23"/>
        </w:rPr>
        <w:t> </w:t>
      </w:r>
      <w:r>
        <w:rPr>
          <w:color w:val="231F20"/>
          <w:sz w:val="23"/>
        </w:rPr>
        <w:t>of</w:t>
      </w:r>
      <w:r>
        <w:rPr>
          <w:color w:val="231F20"/>
          <w:spacing w:val="-42"/>
          <w:sz w:val="23"/>
        </w:rPr>
        <w:t> </w:t>
      </w:r>
      <w:r>
        <w:rPr>
          <w:color w:val="231F20"/>
          <w:sz w:val="23"/>
        </w:rPr>
        <w:t>the</w:t>
      </w:r>
      <w:r>
        <w:rPr>
          <w:color w:val="231F20"/>
          <w:spacing w:val="-42"/>
          <w:sz w:val="23"/>
        </w:rPr>
        <w:t> </w:t>
      </w:r>
      <w:r>
        <w:rPr>
          <w:color w:val="231F20"/>
          <w:sz w:val="23"/>
        </w:rPr>
        <w:t>Finance</w:t>
      </w:r>
      <w:r>
        <w:rPr>
          <w:color w:val="231F20"/>
          <w:spacing w:val="-43"/>
          <w:sz w:val="23"/>
        </w:rPr>
        <w:t> </w:t>
      </w:r>
      <w:r>
        <w:rPr>
          <w:color w:val="231F20"/>
          <w:sz w:val="23"/>
        </w:rPr>
        <w:t>Act</w:t>
      </w:r>
      <w:r>
        <w:rPr>
          <w:color w:val="231F20"/>
          <w:spacing w:val="-42"/>
          <w:sz w:val="23"/>
        </w:rPr>
        <w:t> </w:t>
      </w:r>
      <w:r>
        <w:rPr>
          <w:color w:val="231F20"/>
          <w:sz w:val="23"/>
        </w:rPr>
        <w:t>2019. The</w:t>
      </w:r>
      <w:r>
        <w:rPr>
          <w:color w:val="231F20"/>
          <w:spacing w:val="-14"/>
          <w:sz w:val="23"/>
        </w:rPr>
        <w:t> </w:t>
      </w:r>
      <w:r>
        <w:rPr>
          <w:color w:val="231F20"/>
          <w:sz w:val="23"/>
        </w:rPr>
        <w:t>coverage</w:t>
      </w:r>
      <w:r>
        <w:rPr>
          <w:color w:val="231F20"/>
          <w:spacing w:val="-14"/>
          <w:sz w:val="23"/>
        </w:rPr>
        <w:t> </w:t>
      </w:r>
      <w:r>
        <w:rPr>
          <w:color w:val="231F20"/>
          <w:sz w:val="23"/>
        </w:rPr>
        <w:t>was</w:t>
      </w:r>
      <w:r>
        <w:rPr>
          <w:color w:val="231F20"/>
          <w:spacing w:val="-14"/>
          <w:sz w:val="23"/>
        </w:rPr>
        <w:t> </w:t>
      </w:r>
      <w:r>
        <w:rPr>
          <w:color w:val="231F20"/>
          <w:sz w:val="23"/>
        </w:rPr>
        <w:t>broden</w:t>
      </w:r>
      <w:r>
        <w:rPr>
          <w:color w:val="231F20"/>
          <w:spacing w:val="-14"/>
          <w:sz w:val="23"/>
        </w:rPr>
        <w:t> </w:t>
      </w:r>
      <w:r>
        <w:rPr>
          <w:color w:val="231F20"/>
          <w:sz w:val="23"/>
        </w:rPr>
        <w:t>in</w:t>
      </w:r>
      <w:r>
        <w:rPr>
          <w:color w:val="231F20"/>
          <w:spacing w:val="-14"/>
          <w:sz w:val="23"/>
        </w:rPr>
        <w:t> </w:t>
      </w:r>
      <w:r>
        <w:rPr>
          <w:color w:val="231F20"/>
          <w:sz w:val="23"/>
        </w:rPr>
        <w:t>2019</w:t>
      </w:r>
      <w:r>
        <w:rPr>
          <w:color w:val="231F20"/>
          <w:spacing w:val="-14"/>
          <w:sz w:val="23"/>
        </w:rPr>
        <w:t> </w:t>
      </w:r>
      <w:r>
        <w:rPr>
          <w:color w:val="231F20"/>
          <w:sz w:val="23"/>
        </w:rPr>
        <w:t>with</w:t>
      </w:r>
      <w:r>
        <w:rPr>
          <w:color w:val="231F20"/>
          <w:spacing w:val="-14"/>
          <w:sz w:val="23"/>
        </w:rPr>
        <w:t> </w:t>
      </w:r>
      <w:r>
        <w:rPr>
          <w:color w:val="231F20"/>
          <w:sz w:val="23"/>
        </w:rPr>
        <w:t>additional</w:t>
      </w:r>
      <w:r>
        <w:rPr>
          <w:color w:val="231F20"/>
          <w:spacing w:val="-14"/>
          <w:sz w:val="23"/>
        </w:rPr>
        <w:t> </w:t>
      </w:r>
      <w:r>
        <w:rPr>
          <w:color w:val="231F20"/>
          <w:sz w:val="23"/>
        </w:rPr>
        <w:t>five</w:t>
      </w:r>
      <w:r>
        <w:rPr>
          <w:color w:val="231F20"/>
          <w:spacing w:val="-14"/>
          <w:sz w:val="23"/>
        </w:rPr>
        <w:t> </w:t>
      </w:r>
      <w:r>
        <w:rPr>
          <w:color w:val="231F20"/>
          <w:sz w:val="23"/>
        </w:rPr>
        <w:t>(5)</w:t>
      </w:r>
      <w:r>
        <w:rPr>
          <w:color w:val="231F20"/>
          <w:spacing w:val="-14"/>
          <w:sz w:val="23"/>
        </w:rPr>
        <w:t> </w:t>
      </w:r>
      <w:r>
        <w:rPr>
          <w:color w:val="231F20"/>
          <w:sz w:val="23"/>
        </w:rPr>
        <w:t>semi-autonomous</w:t>
      </w:r>
      <w:r>
        <w:rPr>
          <w:color w:val="231F20"/>
          <w:spacing w:val="-14"/>
          <w:sz w:val="23"/>
        </w:rPr>
        <w:t> </w:t>
      </w:r>
      <w:r>
        <w:rPr>
          <w:color w:val="231F20"/>
          <w:sz w:val="23"/>
        </w:rPr>
        <w:t>Agencies.</w:t>
      </w:r>
    </w:p>
    <w:p>
      <w:pPr>
        <w:pStyle w:val="BodyText"/>
        <w:rPr>
          <w:sz w:val="29"/>
        </w:rPr>
      </w:pPr>
    </w:p>
    <w:p>
      <w:pPr>
        <w:pStyle w:val="ListParagraph"/>
        <w:numPr>
          <w:ilvl w:val="0"/>
          <w:numId w:val="2"/>
        </w:numPr>
        <w:tabs>
          <w:tab w:pos="954" w:val="left" w:leader="none"/>
        </w:tabs>
        <w:spacing w:line="302" w:lineRule="auto" w:before="0" w:after="0"/>
        <w:ind w:left="103" w:right="116" w:firstLine="223"/>
        <w:jc w:val="both"/>
        <w:rPr>
          <w:sz w:val="23"/>
        </w:rPr>
      </w:pPr>
      <w:r>
        <w:rPr>
          <w:color w:val="231F20"/>
          <w:sz w:val="23"/>
        </w:rPr>
        <w:t>While</w:t>
      </w:r>
      <w:r>
        <w:rPr>
          <w:color w:val="231F20"/>
          <w:spacing w:val="-29"/>
          <w:sz w:val="23"/>
        </w:rPr>
        <w:t> </w:t>
      </w:r>
      <w:r>
        <w:rPr>
          <w:color w:val="231F20"/>
          <w:sz w:val="23"/>
        </w:rPr>
        <w:t>the</w:t>
      </w:r>
      <w:r>
        <w:rPr>
          <w:color w:val="231F20"/>
          <w:spacing w:val="-29"/>
          <w:sz w:val="23"/>
        </w:rPr>
        <w:t> </w:t>
      </w:r>
      <w:r>
        <w:rPr>
          <w:color w:val="231F20"/>
          <w:sz w:val="23"/>
        </w:rPr>
        <w:t>TSA</w:t>
      </w:r>
      <w:r>
        <w:rPr>
          <w:color w:val="231F20"/>
          <w:spacing w:val="-29"/>
          <w:sz w:val="23"/>
        </w:rPr>
        <w:t> </w:t>
      </w:r>
      <w:r>
        <w:rPr>
          <w:color w:val="231F20"/>
          <w:sz w:val="23"/>
        </w:rPr>
        <w:t>has</w:t>
      </w:r>
      <w:r>
        <w:rPr>
          <w:color w:val="231F20"/>
          <w:spacing w:val="-29"/>
          <w:sz w:val="23"/>
        </w:rPr>
        <w:t> </w:t>
      </w:r>
      <w:r>
        <w:rPr>
          <w:color w:val="231F20"/>
          <w:sz w:val="23"/>
        </w:rPr>
        <w:t>enabled</w:t>
      </w:r>
      <w:r>
        <w:rPr>
          <w:color w:val="231F20"/>
          <w:spacing w:val="-29"/>
          <w:sz w:val="23"/>
        </w:rPr>
        <w:t> </w:t>
      </w:r>
      <w:r>
        <w:rPr>
          <w:color w:val="231F20"/>
          <w:sz w:val="23"/>
        </w:rPr>
        <w:t>Government</w:t>
      </w:r>
      <w:r>
        <w:rPr>
          <w:color w:val="231F20"/>
          <w:spacing w:val="-29"/>
          <w:sz w:val="23"/>
        </w:rPr>
        <w:t> </w:t>
      </w:r>
      <w:r>
        <w:rPr>
          <w:color w:val="231F20"/>
          <w:sz w:val="23"/>
        </w:rPr>
        <w:t>to</w:t>
      </w:r>
      <w:r>
        <w:rPr>
          <w:color w:val="231F20"/>
          <w:spacing w:val="-29"/>
          <w:sz w:val="23"/>
        </w:rPr>
        <w:t> </w:t>
      </w:r>
      <w:r>
        <w:rPr>
          <w:color w:val="231F20"/>
          <w:sz w:val="23"/>
        </w:rPr>
        <w:t>mobilise</w:t>
      </w:r>
      <w:r>
        <w:rPr>
          <w:color w:val="231F20"/>
          <w:spacing w:val="-29"/>
          <w:sz w:val="23"/>
        </w:rPr>
        <w:t> </w:t>
      </w:r>
      <w:r>
        <w:rPr>
          <w:color w:val="231F20"/>
          <w:sz w:val="23"/>
        </w:rPr>
        <w:t>additional</w:t>
      </w:r>
      <w:r>
        <w:rPr>
          <w:color w:val="231F20"/>
          <w:spacing w:val="-29"/>
          <w:sz w:val="23"/>
        </w:rPr>
        <w:t> </w:t>
      </w:r>
      <w:r>
        <w:rPr>
          <w:color w:val="231F20"/>
          <w:sz w:val="23"/>
        </w:rPr>
        <w:t>revenue</w:t>
      </w:r>
      <w:r>
        <w:rPr>
          <w:color w:val="231F20"/>
          <w:spacing w:val="-29"/>
          <w:sz w:val="23"/>
        </w:rPr>
        <w:t> </w:t>
      </w:r>
      <w:r>
        <w:rPr>
          <w:color w:val="231F20"/>
          <w:sz w:val="23"/>
        </w:rPr>
        <w:t>into</w:t>
      </w:r>
      <w:r>
        <w:rPr>
          <w:color w:val="231F20"/>
          <w:spacing w:val="-29"/>
          <w:sz w:val="23"/>
        </w:rPr>
        <w:t> </w:t>
      </w:r>
      <w:r>
        <w:rPr>
          <w:color w:val="231F20"/>
          <w:sz w:val="23"/>
        </w:rPr>
        <w:t>the Consolidated Fund, idle cash balances continue to exist in the accounts of MDAs especially Sub-vented Agencies that receive bulk disbursements. To ensure efficient cash</w:t>
      </w:r>
      <w:r>
        <w:rPr>
          <w:color w:val="231F20"/>
          <w:spacing w:val="-11"/>
          <w:sz w:val="23"/>
        </w:rPr>
        <w:t> </w:t>
      </w:r>
      <w:r>
        <w:rPr>
          <w:color w:val="231F20"/>
          <w:sz w:val="23"/>
        </w:rPr>
        <w:t>management,</w:t>
      </w:r>
      <w:r>
        <w:rPr>
          <w:color w:val="231F20"/>
          <w:spacing w:val="-11"/>
          <w:sz w:val="23"/>
        </w:rPr>
        <w:t> </w:t>
      </w:r>
      <w:r>
        <w:rPr>
          <w:color w:val="231F20"/>
          <w:sz w:val="23"/>
        </w:rPr>
        <w:t>Government</w:t>
      </w:r>
      <w:r>
        <w:rPr>
          <w:color w:val="231F20"/>
          <w:spacing w:val="-11"/>
          <w:sz w:val="23"/>
        </w:rPr>
        <w:t> </w:t>
      </w:r>
      <w:r>
        <w:rPr>
          <w:color w:val="231F20"/>
          <w:sz w:val="23"/>
        </w:rPr>
        <w:t>will</w:t>
      </w:r>
      <w:r>
        <w:rPr>
          <w:color w:val="231F20"/>
          <w:spacing w:val="-11"/>
          <w:sz w:val="23"/>
        </w:rPr>
        <w:t> </w:t>
      </w:r>
      <w:r>
        <w:rPr>
          <w:color w:val="231F20"/>
          <w:sz w:val="23"/>
        </w:rPr>
        <w:t>commence</w:t>
      </w:r>
      <w:r>
        <w:rPr>
          <w:color w:val="231F20"/>
          <w:spacing w:val="-11"/>
          <w:sz w:val="23"/>
        </w:rPr>
        <w:t> </w:t>
      </w:r>
      <w:r>
        <w:rPr>
          <w:color w:val="231F20"/>
          <w:sz w:val="23"/>
        </w:rPr>
        <w:t>the</w:t>
      </w:r>
      <w:r>
        <w:rPr>
          <w:color w:val="231F20"/>
          <w:spacing w:val="-11"/>
          <w:sz w:val="23"/>
        </w:rPr>
        <w:t> </w:t>
      </w:r>
      <w:r>
        <w:rPr>
          <w:color w:val="231F20"/>
          <w:sz w:val="23"/>
        </w:rPr>
        <w:t>implementation</w:t>
      </w:r>
      <w:r>
        <w:rPr>
          <w:color w:val="231F20"/>
          <w:spacing w:val="-11"/>
          <w:sz w:val="23"/>
        </w:rPr>
        <w:t> </w:t>
      </w:r>
      <w:r>
        <w:rPr>
          <w:color w:val="231F20"/>
          <w:sz w:val="23"/>
        </w:rPr>
        <w:t>of</w:t>
      </w:r>
      <w:r>
        <w:rPr>
          <w:color w:val="231F20"/>
          <w:spacing w:val="-11"/>
          <w:sz w:val="23"/>
        </w:rPr>
        <w:t> </w:t>
      </w:r>
      <w:r>
        <w:rPr>
          <w:color w:val="231F20"/>
          <w:sz w:val="23"/>
        </w:rPr>
        <w:t>Phase</w:t>
      </w:r>
      <w:r>
        <w:rPr>
          <w:color w:val="231F20"/>
          <w:spacing w:val="-11"/>
          <w:sz w:val="23"/>
        </w:rPr>
        <w:t> </w:t>
      </w:r>
      <w:r>
        <w:rPr>
          <w:color w:val="231F20"/>
          <w:sz w:val="23"/>
        </w:rPr>
        <w:t>II</w:t>
      </w:r>
      <w:r>
        <w:rPr>
          <w:color w:val="231F20"/>
          <w:spacing w:val="-11"/>
          <w:sz w:val="23"/>
        </w:rPr>
        <w:t> </w:t>
      </w:r>
      <w:r>
        <w:rPr>
          <w:color w:val="231F20"/>
          <w:sz w:val="23"/>
        </w:rPr>
        <w:t>of</w:t>
      </w:r>
      <w:r>
        <w:rPr>
          <w:color w:val="231F20"/>
          <w:spacing w:val="-11"/>
          <w:sz w:val="23"/>
        </w:rPr>
        <w:t> </w:t>
      </w:r>
      <w:r>
        <w:rPr>
          <w:color w:val="231F20"/>
          <w:sz w:val="23"/>
        </w:rPr>
        <w:t>the TSA</w:t>
      </w:r>
      <w:r>
        <w:rPr>
          <w:color w:val="231F20"/>
          <w:spacing w:val="-35"/>
          <w:sz w:val="23"/>
        </w:rPr>
        <w:t> </w:t>
      </w:r>
      <w:r>
        <w:rPr>
          <w:color w:val="231F20"/>
          <w:sz w:val="23"/>
        </w:rPr>
        <w:t>in</w:t>
      </w:r>
      <w:r>
        <w:rPr>
          <w:color w:val="231F20"/>
          <w:spacing w:val="-35"/>
          <w:sz w:val="23"/>
        </w:rPr>
        <w:t> </w:t>
      </w:r>
      <w:r>
        <w:rPr>
          <w:color w:val="231F20"/>
          <w:sz w:val="23"/>
        </w:rPr>
        <w:t>2020.</w:t>
      </w:r>
      <w:r>
        <w:rPr>
          <w:color w:val="231F20"/>
          <w:spacing w:val="-35"/>
          <w:sz w:val="23"/>
        </w:rPr>
        <w:t> </w:t>
      </w:r>
      <w:r>
        <w:rPr>
          <w:color w:val="231F20"/>
          <w:sz w:val="23"/>
        </w:rPr>
        <w:t>This</w:t>
      </w:r>
      <w:r>
        <w:rPr>
          <w:color w:val="231F20"/>
          <w:spacing w:val="-35"/>
          <w:sz w:val="23"/>
        </w:rPr>
        <w:t> </w:t>
      </w:r>
      <w:r>
        <w:rPr>
          <w:color w:val="231F20"/>
          <w:sz w:val="23"/>
        </w:rPr>
        <w:t>will</w:t>
      </w:r>
      <w:r>
        <w:rPr>
          <w:color w:val="231F20"/>
          <w:spacing w:val="-35"/>
          <w:sz w:val="23"/>
        </w:rPr>
        <w:t> </w:t>
      </w:r>
      <w:r>
        <w:rPr>
          <w:color w:val="231F20"/>
          <w:sz w:val="23"/>
        </w:rPr>
        <w:t>broaden</w:t>
      </w:r>
      <w:r>
        <w:rPr>
          <w:color w:val="231F20"/>
          <w:spacing w:val="-35"/>
          <w:sz w:val="23"/>
        </w:rPr>
        <w:t> </w:t>
      </w:r>
      <w:r>
        <w:rPr>
          <w:color w:val="231F20"/>
          <w:sz w:val="23"/>
        </w:rPr>
        <w:t>the</w:t>
      </w:r>
      <w:r>
        <w:rPr>
          <w:color w:val="231F20"/>
          <w:spacing w:val="-35"/>
          <w:sz w:val="23"/>
        </w:rPr>
        <w:t> </w:t>
      </w:r>
      <w:r>
        <w:rPr>
          <w:color w:val="231F20"/>
          <w:sz w:val="23"/>
        </w:rPr>
        <w:t>scope</w:t>
      </w:r>
      <w:r>
        <w:rPr>
          <w:color w:val="231F20"/>
          <w:spacing w:val="-35"/>
          <w:sz w:val="23"/>
        </w:rPr>
        <w:t> </w:t>
      </w:r>
      <w:r>
        <w:rPr>
          <w:color w:val="231F20"/>
          <w:sz w:val="23"/>
        </w:rPr>
        <w:t>of</w:t>
      </w:r>
      <w:r>
        <w:rPr>
          <w:color w:val="231F20"/>
          <w:spacing w:val="-35"/>
          <w:sz w:val="23"/>
        </w:rPr>
        <w:t> </w:t>
      </w:r>
      <w:r>
        <w:rPr>
          <w:color w:val="231F20"/>
          <w:sz w:val="23"/>
        </w:rPr>
        <w:t>the</w:t>
      </w:r>
      <w:r>
        <w:rPr>
          <w:color w:val="231F20"/>
          <w:spacing w:val="-35"/>
          <w:sz w:val="23"/>
        </w:rPr>
        <w:t> </w:t>
      </w:r>
      <w:r>
        <w:rPr>
          <w:color w:val="231F20"/>
          <w:sz w:val="23"/>
        </w:rPr>
        <w:t>TSA</w:t>
      </w:r>
      <w:r>
        <w:rPr>
          <w:color w:val="231F20"/>
          <w:spacing w:val="-35"/>
          <w:sz w:val="23"/>
        </w:rPr>
        <w:t> </w:t>
      </w:r>
      <w:r>
        <w:rPr>
          <w:color w:val="231F20"/>
          <w:sz w:val="23"/>
        </w:rPr>
        <w:t>to</w:t>
      </w:r>
      <w:r>
        <w:rPr>
          <w:color w:val="231F20"/>
          <w:spacing w:val="-35"/>
          <w:sz w:val="23"/>
        </w:rPr>
        <w:t> </w:t>
      </w:r>
      <w:r>
        <w:rPr>
          <w:color w:val="231F20"/>
          <w:sz w:val="23"/>
        </w:rPr>
        <w:t>include</w:t>
      </w:r>
      <w:r>
        <w:rPr>
          <w:color w:val="231F20"/>
          <w:spacing w:val="-35"/>
          <w:sz w:val="23"/>
        </w:rPr>
        <w:t> </w:t>
      </w:r>
      <w:r>
        <w:rPr>
          <w:color w:val="231F20"/>
          <w:sz w:val="23"/>
        </w:rPr>
        <w:t>all</w:t>
      </w:r>
      <w:r>
        <w:rPr>
          <w:color w:val="231F20"/>
          <w:spacing w:val="-35"/>
          <w:sz w:val="23"/>
        </w:rPr>
        <w:t> </w:t>
      </w:r>
      <w:r>
        <w:rPr>
          <w:color w:val="231F20"/>
          <w:sz w:val="23"/>
        </w:rPr>
        <w:t>Sub-vented</w:t>
      </w:r>
      <w:r>
        <w:rPr>
          <w:color w:val="231F20"/>
          <w:spacing w:val="-35"/>
          <w:sz w:val="23"/>
        </w:rPr>
        <w:t> </w:t>
      </w:r>
      <w:r>
        <w:rPr>
          <w:color w:val="231F20"/>
          <w:sz w:val="23"/>
        </w:rPr>
        <w:t>and</w:t>
      </w:r>
      <w:r>
        <w:rPr>
          <w:color w:val="231F20"/>
          <w:spacing w:val="-35"/>
          <w:sz w:val="23"/>
        </w:rPr>
        <w:t> </w:t>
      </w:r>
      <w:r>
        <w:rPr>
          <w:color w:val="231F20"/>
          <w:sz w:val="23"/>
        </w:rPr>
        <w:t>Semi- Autonomous</w:t>
      </w:r>
      <w:r>
        <w:rPr>
          <w:color w:val="231F20"/>
          <w:spacing w:val="-25"/>
          <w:sz w:val="23"/>
        </w:rPr>
        <w:t> </w:t>
      </w:r>
      <w:r>
        <w:rPr>
          <w:color w:val="231F20"/>
          <w:sz w:val="23"/>
        </w:rPr>
        <w:t>Agencies.</w:t>
      </w:r>
    </w:p>
    <w:p>
      <w:pPr>
        <w:pStyle w:val="BodyText"/>
        <w:spacing w:before="9"/>
        <w:rPr>
          <w:sz w:val="28"/>
        </w:rPr>
      </w:pPr>
    </w:p>
    <w:p>
      <w:pPr>
        <w:pStyle w:val="ListParagraph"/>
        <w:numPr>
          <w:ilvl w:val="0"/>
          <w:numId w:val="2"/>
        </w:numPr>
        <w:tabs>
          <w:tab w:pos="954" w:val="left" w:leader="none"/>
        </w:tabs>
        <w:spacing w:line="302" w:lineRule="auto" w:before="0" w:after="0"/>
        <w:ind w:left="103" w:right="120" w:firstLine="223"/>
        <w:jc w:val="both"/>
        <w:rPr>
          <w:sz w:val="23"/>
        </w:rPr>
      </w:pPr>
      <w:r>
        <w:rPr>
          <w:color w:val="231F20"/>
          <w:sz w:val="23"/>
        </w:rPr>
        <w:t>An</w:t>
      </w:r>
      <w:r>
        <w:rPr>
          <w:color w:val="231F20"/>
          <w:spacing w:val="-18"/>
          <w:sz w:val="23"/>
        </w:rPr>
        <w:t> </w:t>
      </w:r>
      <w:r>
        <w:rPr>
          <w:color w:val="231F20"/>
          <w:sz w:val="23"/>
        </w:rPr>
        <w:t>analysis</w:t>
      </w:r>
      <w:r>
        <w:rPr>
          <w:color w:val="231F20"/>
          <w:spacing w:val="-18"/>
          <w:sz w:val="23"/>
        </w:rPr>
        <w:t> </w:t>
      </w:r>
      <w:r>
        <w:rPr>
          <w:color w:val="231F20"/>
          <w:sz w:val="23"/>
        </w:rPr>
        <w:t>of</w:t>
      </w:r>
      <w:r>
        <w:rPr>
          <w:color w:val="231F20"/>
          <w:spacing w:val="-18"/>
          <w:sz w:val="23"/>
        </w:rPr>
        <w:t> </w:t>
      </w:r>
      <w:r>
        <w:rPr>
          <w:color w:val="231F20"/>
          <w:sz w:val="23"/>
        </w:rPr>
        <w:t>receipts</w:t>
      </w:r>
      <w:r>
        <w:rPr>
          <w:color w:val="231F20"/>
          <w:spacing w:val="-18"/>
          <w:sz w:val="23"/>
        </w:rPr>
        <w:t> </w:t>
      </w:r>
      <w:r>
        <w:rPr>
          <w:color w:val="231F20"/>
          <w:sz w:val="23"/>
        </w:rPr>
        <w:t>from</w:t>
      </w:r>
      <w:r>
        <w:rPr>
          <w:color w:val="231F20"/>
          <w:spacing w:val="-18"/>
          <w:sz w:val="23"/>
        </w:rPr>
        <w:t> </w:t>
      </w:r>
      <w:r>
        <w:rPr>
          <w:color w:val="231F20"/>
          <w:sz w:val="23"/>
        </w:rPr>
        <w:t>TSA</w:t>
      </w:r>
      <w:r>
        <w:rPr>
          <w:color w:val="231F20"/>
          <w:spacing w:val="-18"/>
          <w:sz w:val="23"/>
        </w:rPr>
        <w:t> </w:t>
      </w:r>
      <w:r>
        <w:rPr>
          <w:color w:val="231F20"/>
          <w:sz w:val="23"/>
        </w:rPr>
        <w:t>Agencies,</w:t>
      </w:r>
      <w:r>
        <w:rPr>
          <w:color w:val="231F20"/>
          <w:spacing w:val="-18"/>
          <w:sz w:val="23"/>
        </w:rPr>
        <w:t> </w:t>
      </w:r>
      <w:r>
        <w:rPr>
          <w:color w:val="231F20"/>
          <w:sz w:val="23"/>
        </w:rPr>
        <w:t>shows</w:t>
      </w:r>
      <w:r>
        <w:rPr>
          <w:color w:val="231F20"/>
          <w:spacing w:val="-18"/>
          <w:sz w:val="23"/>
        </w:rPr>
        <w:t> </w:t>
      </w:r>
      <w:r>
        <w:rPr>
          <w:color w:val="231F20"/>
          <w:sz w:val="23"/>
        </w:rPr>
        <w:t>that</w:t>
      </w:r>
      <w:r>
        <w:rPr>
          <w:color w:val="231F20"/>
          <w:spacing w:val="-18"/>
          <w:sz w:val="23"/>
        </w:rPr>
        <w:t> </w:t>
      </w:r>
      <w:r>
        <w:rPr>
          <w:color w:val="231F20"/>
          <w:sz w:val="23"/>
        </w:rPr>
        <w:t>in</w:t>
      </w:r>
      <w:r>
        <w:rPr>
          <w:color w:val="231F20"/>
          <w:spacing w:val="-18"/>
          <w:sz w:val="23"/>
        </w:rPr>
        <w:t> </w:t>
      </w:r>
      <w:r>
        <w:rPr>
          <w:color w:val="231F20"/>
          <w:sz w:val="23"/>
        </w:rPr>
        <w:t>2019</w:t>
      </w:r>
      <w:r>
        <w:rPr>
          <w:color w:val="231F20"/>
          <w:spacing w:val="-18"/>
          <w:sz w:val="23"/>
        </w:rPr>
        <w:t> </w:t>
      </w:r>
      <w:r>
        <w:rPr>
          <w:color w:val="231F20"/>
          <w:sz w:val="23"/>
        </w:rPr>
        <w:t>total</w:t>
      </w:r>
      <w:r>
        <w:rPr>
          <w:color w:val="231F20"/>
          <w:spacing w:val="-18"/>
          <w:sz w:val="23"/>
        </w:rPr>
        <w:t> </w:t>
      </w:r>
      <w:r>
        <w:rPr>
          <w:color w:val="231F20"/>
          <w:sz w:val="23"/>
        </w:rPr>
        <w:t>estimated collection</w:t>
      </w:r>
      <w:r>
        <w:rPr>
          <w:color w:val="231F20"/>
          <w:spacing w:val="-23"/>
          <w:sz w:val="23"/>
        </w:rPr>
        <w:t> </w:t>
      </w:r>
      <w:r>
        <w:rPr>
          <w:color w:val="231F20"/>
          <w:sz w:val="23"/>
        </w:rPr>
        <w:t>was</w:t>
      </w:r>
      <w:r>
        <w:rPr>
          <w:color w:val="231F20"/>
          <w:spacing w:val="-23"/>
          <w:sz w:val="23"/>
        </w:rPr>
        <w:t> </w:t>
      </w:r>
      <w:r>
        <w:rPr>
          <w:color w:val="231F20"/>
          <w:sz w:val="23"/>
        </w:rPr>
        <w:t>Le480.3</w:t>
      </w:r>
      <w:r>
        <w:rPr>
          <w:color w:val="231F20"/>
          <w:spacing w:val="-23"/>
          <w:sz w:val="23"/>
        </w:rPr>
        <w:t> </w:t>
      </w:r>
      <w:r>
        <w:rPr>
          <w:color w:val="231F20"/>
          <w:sz w:val="23"/>
        </w:rPr>
        <w:t>billion</w:t>
      </w:r>
      <w:r>
        <w:rPr>
          <w:color w:val="231F20"/>
          <w:spacing w:val="-23"/>
          <w:sz w:val="23"/>
        </w:rPr>
        <w:t> </w:t>
      </w:r>
      <w:r>
        <w:rPr>
          <w:color w:val="231F20"/>
          <w:sz w:val="23"/>
        </w:rPr>
        <w:t>while</w:t>
      </w:r>
      <w:r>
        <w:rPr>
          <w:color w:val="231F20"/>
          <w:spacing w:val="-23"/>
          <w:sz w:val="23"/>
        </w:rPr>
        <w:t> </w:t>
      </w:r>
      <w:r>
        <w:rPr>
          <w:color w:val="231F20"/>
          <w:sz w:val="23"/>
        </w:rPr>
        <w:t>transfers</w:t>
      </w:r>
      <w:r>
        <w:rPr>
          <w:color w:val="231F20"/>
          <w:spacing w:val="-23"/>
          <w:sz w:val="23"/>
        </w:rPr>
        <w:t> </w:t>
      </w:r>
      <w:r>
        <w:rPr>
          <w:color w:val="231F20"/>
          <w:sz w:val="23"/>
        </w:rPr>
        <w:t>were</w:t>
      </w:r>
      <w:r>
        <w:rPr>
          <w:color w:val="231F20"/>
          <w:spacing w:val="-23"/>
          <w:sz w:val="23"/>
        </w:rPr>
        <w:t> </w:t>
      </w:r>
      <w:r>
        <w:rPr>
          <w:color w:val="231F20"/>
          <w:sz w:val="23"/>
        </w:rPr>
        <w:t>Le399.7</w:t>
      </w:r>
      <w:r>
        <w:rPr>
          <w:color w:val="231F20"/>
          <w:spacing w:val="-23"/>
          <w:sz w:val="23"/>
        </w:rPr>
        <w:t> </w:t>
      </w:r>
      <w:r>
        <w:rPr>
          <w:color w:val="231F20"/>
          <w:sz w:val="23"/>
        </w:rPr>
        <w:t>billion.</w:t>
      </w:r>
      <w:r>
        <w:rPr>
          <w:color w:val="231F20"/>
          <w:spacing w:val="-23"/>
          <w:sz w:val="23"/>
        </w:rPr>
        <w:t> </w:t>
      </w:r>
      <w:r>
        <w:rPr>
          <w:color w:val="231F20"/>
          <w:sz w:val="23"/>
        </w:rPr>
        <w:t>This</w:t>
      </w:r>
      <w:r>
        <w:rPr>
          <w:color w:val="231F20"/>
          <w:spacing w:val="-23"/>
          <w:sz w:val="23"/>
        </w:rPr>
        <w:t> </w:t>
      </w:r>
      <w:r>
        <w:rPr>
          <w:color w:val="231F20"/>
          <w:sz w:val="23"/>
        </w:rPr>
        <w:t>represents</w:t>
      </w:r>
      <w:r>
        <w:rPr>
          <w:color w:val="231F20"/>
          <w:spacing w:val="-23"/>
          <w:sz w:val="23"/>
        </w:rPr>
        <w:t> </w:t>
      </w:r>
      <w:r>
        <w:rPr>
          <w:color w:val="231F20"/>
          <w:sz w:val="23"/>
        </w:rPr>
        <w:t>83 percent</w:t>
      </w:r>
      <w:r>
        <w:rPr>
          <w:color w:val="231F20"/>
          <w:spacing w:val="-5"/>
          <w:sz w:val="23"/>
        </w:rPr>
        <w:t> </w:t>
      </w:r>
      <w:r>
        <w:rPr>
          <w:color w:val="231F20"/>
          <w:sz w:val="23"/>
        </w:rPr>
        <w:t>of</w:t>
      </w:r>
      <w:r>
        <w:rPr>
          <w:color w:val="231F20"/>
          <w:spacing w:val="-5"/>
          <w:sz w:val="23"/>
        </w:rPr>
        <w:t> </w:t>
      </w:r>
      <w:r>
        <w:rPr>
          <w:color w:val="231F20"/>
          <w:sz w:val="23"/>
        </w:rPr>
        <w:t>total</w:t>
      </w:r>
      <w:r>
        <w:rPr>
          <w:color w:val="231F20"/>
          <w:spacing w:val="-5"/>
          <w:sz w:val="23"/>
        </w:rPr>
        <w:t> </w:t>
      </w:r>
      <w:r>
        <w:rPr>
          <w:color w:val="231F20"/>
          <w:sz w:val="23"/>
        </w:rPr>
        <w:t>TSA</w:t>
      </w:r>
      <w:r>
        <w:rPr>
          <w:color w:val="231F20"/>
          <w:spacing w:val="-5"/>
          <w:sz w:val="23"/>
        </w:rPr>
        <w:t> </w:t>
      </w:r>
      <w:r>
        <w:rPr>
          <w:color w:val="231F20"/>
          <w:sz w:val="23"/>
        </w:rPr>
        <w:t>collection.</w:t>
      </w:r>
      <w:r>
        <w:rPr>
          <w:color w:val="231F20"/>
          <w:spacing w:val="-5"/>
          <w:sz w:val="23"/>
        </w:rPr>
        <w:t> </w:t>
      </w:r>
      <w:r>
        <w:rPr>
          <w:color w:val="231F20"/>
          <w:sz w:val="23"/>
        </w:rPr>
        <w:t>We</w:t>
      </w:r>
      <w:r>
        <w:rPr>
          <w:color w:val="231F20"/>
          <w:spacing w:val="-5"/>
          <w:sz w:val="23"/>
        </w:rPr>
        <w:t> </w:t>
      </w:r>
      <w:r>
        <w:rPr>
          <w:color w:val="231F20"/>
          <w:sz w:val="23"/>
        </w:rPr>
        <w:t>are</w:t>
      </w:r>
      <w:r>
        <w:rPr>
          <w:color w:val="231F20"/>
          <w:spacing w:val="-5"/>
          <w:sz w:val="23"/>
        </w:rPr>
        <w:t> </w:t>
      </w:r>
      <w:r>
        <w:rPr>
          <w:color w:val="231F20"/>
          <w:sz w:val="23"/>
        </w:rPr>
        <w:t>currently</w:t>
      </w:r>
      <w:r>
        <w:rPr>
          <w:color w:val="231F20"/>
          <w:spacing w:val="-5"/>
          <w:sz w:val="23"/>
        </w:rPr>
        <w:t> </w:t>
      </w:r>
      <w:r>
        <w:rPr>
          <w:color w:val="231F20"/>
          <w:sz w:val="23"/>
        </w:rPr>
        <w:t>analysing</w:t>
      </w:r>
      <w:r>
        <w:rPr>
          <w:color w:val="231F20"/>
          <w:spacing w:val="-5"/>
          <w:sz w:val="23"/>
        </w:rPr>
        <w:t> </w:t>
      </w:r>
      <w:r>
        <w:rPr>
          <w:color w:val="231F20"/>
          <w:sz w:val="23"/>
        </w:rPr>
        <w:t>the</w:t>
      </w:r>
      <w:r>
        <w:rPr>
          <w:color w:val="231F20"/>
          <w:spacing w:val="-5"/>
          <w:sz w:val="23"/>
        </w:rPr>
        <w:t> </w:t>
      </w:r>
      <w:r>
        <w:rPr>
          <w:color w:val="231F20"/>
          <w:sz w:val="23"/>
        </w:rPr>
        <w:t>operating</w:t>
      </w:r>
      <w:r>
        <w:rPr>
          <w:color w:val="231F20"/>
          <w:spacing w:val="-5"/>
          <w:sz w:val="23"/>
        </w:rPr>
        <w:t> </w:t>
      </w:r>
      <w:r>
        <w:rPr>
          <w:color w:val="231F20"/>
          <w:sz w:val="23"/>
        </w:rPr>
        <w:t>expenses</w:t>
      </w:r>
      <w:r>
        <w:rPr>
          <w:color w:val="231F20"/>
          <w:spacing w:val="-5"/>
          <w:sz w:val="23"/>
        </w:rPr>
        <w:t> </w:t>
      </w:r>
      <w:r>
        <w:rPr>
          <w:color w:val="231F20"/>
          <w:sz w:val="23"/>
        </w:rPr>
        <w:t>of TSA Agencies and will commence negotiations with them to increase the amount to be retained for use on goods and</w:t>
      </w:r>
      <w:r>
        <w:rPr>
          <w:color w:val="231F20"/>
          <w:spacing w:val="14"/>
          <w:sz w:val="23"/>
        </w:rPr>
        <w:t> </w:t>
      </w:r>
      <w:r>
        <w:rPr>
          <w:color w:val="231F20"/>
          <w:sz w:val="23"/>
        </w:rPr>
        <w:t>services.</w:t>
      </w:r>
    </w:p>
    <w:p>
      <w:pPr>
        <w:pStyle w:val="BodyText"/>
        <w:spacing w:before="10"/>
        <w:rPr>
          <w:sz w:val="28"/>
        </w:rPr>
      </w:pPr>
    </w:p>
    <w:p>
      <w:pPr>
        <w:pStyle w:val="Heading2"/>
      </w:pPr>
      <w:r>
        <w:rPr>
          <w:color w:val="231F20"/>
        </w:rPr>
        <w:t>Strengthening the Internal Audit Function</w:t>
      </w:r>
    </w:p>
    <w:p>
      <w:pPr>
        <w:pStyle w:val="ListParagraph"/>
        <w:numPr>
          <w:ilvl w:val="0"/>
          <w:numId w:val="2"/>
        </w:numPr>
        <w:tabs>
          <w:tab w:pos="954" w:val="left" w:leader="none"/>
        </w:tabs>
        <w:spacing w:line="302" w:lineRule="auto" w:before="71" w:after="0"/>
        <w:ind w:left="103" w:right="110" w:firstLine="223"/>
        <w:jc w:val="both"/>
        <w:rPr>
          <w:sz w:val="23"/>
        </w:rPr>
      </w:pPr>
      <w:r>
        <w:rPr>
          <w:color w:val="231F20"/>
          <w:sz w:val="23"/>
        </w:rPr>
        <w:t>Mr.</w:t>
      </w:r>
      <w:r>
        <w:rPr>
          <w:color w:val="231F20"/>
          <w:spacing w:val="-37"/>
          <w:sz w:val="23"/>
        </w:rPr>
        <w:t> </w:t>
      </w:r>
      <w:r>
        <w:rPr>
          <w:color w:val="231F20"/>
          <w:sz w:val="23"/>
        </w:rPr>
        <w:t>Speaker,</w:t>
      </w:r>
      <w:r>
        <w:rPr>
          <w:color w:val="231F20"/>
          <w:spacing w:val="-37"/>
          <w:sz w:val="23"/>
        </w:rPr>
        <w:t> </w:t>
      </w:r>
      <w:r>
        <w:rPr>
          <w:color w:val="231F20"/>
          <w:sz w:val="23"/>
        </w:rPr>
        <w:t>Honourable</w:t>
      </w:r>
      <w:r>
        <w:rPr>
          <w:color w:val="231F20"/>
          <w:spacing w:val="-37"/>
          <w:sz w:val="23"/>
        </w:rPr>
        <w:t> </w:t>
      </w:r>
      <w:r>
        <w:rPr>
          <w:color w:val="231F20"/>
          <w:sz w:val="23"/>
        </w:rPr>
        <w:t>Members,</w:t>
      </w:r>
      <w:r>
        <w:rPr>
          <w:color w:val="231F20"/>
          <w:spacing w:val="-37"/>
          <w:sz w:val="23"/>
        </w:rPr>
        <w:t> </w:t>
      </w:r>
      <w:r>
        <w:rPr>
          <w:color w:val="231F20"/>
          <w:sz w:val="23"/>
        </w:rPr>
        <w:t>in</w:t>
      </w:r>
      <w:r>
        <w:rPr>
          <w:color w:val="231F20"/>
          <w:spacing w:val="-37"/>
          <w:sz w:val="23"/>
        </w:rPr>
        <w:t> </w:t>
      </w:r>
      <w:r>
        <w:rPr>
          <w:color w:val="231F20"/>
          <w:sz w:val="23"/>
        </w:rPr>
        <w:t>2019,</w:t>
      </w:r>
      <w:r>
        <w:rPr>
          <w:color w:val="231F20"/>
          <w:spacing w:val="-37"/>
          <w:sz w:val="23"/>
        </w:rPr>
        <w:t> </w:t>
      </w:r>
      <w:r>
        <w:rPr>
          <w:color w:val="231F20"/>
          <w:sz w:val="23"/>
        </w:rPr>
        <w:t>the</w:t>
      </w:r>
      <w:r>
        <w:rPr>
          <w:color w:val="231F20"/>
          <w:spacing w:val="-37"/>
          <w:sz w:val="23"/>
        </w:rPr>
        <w:t> </w:t>
      </w:r>
      <w:r>
        <w:rPr>
          <w:color w:val="231F20"/>
          <w:sz w:val="23"/>
        </w:rPr>
        <w:t>Government</w:t>
      </w:r>
      <w:r>
        <w:rPr>
          <w:color w:val="231F20"/>
          <w:spacing w:val="-37"/>
          <w:sz w:val="23"/>
        </w:rPr>
        <w:t> </w:t>
      </w:r>
      <w:r>
        <w:rPr>
          <w:color w:val="231F20"/>
          <w:sz w:val="23"/>
        </w:rPr>
        <w:t>Audit</w:t>
      </w:r>
      <w:r>
        <w:rPr>
          <w:color w:val="231F20"/>
          <w:spacing w:val="-37"/>
          <w:sz w:val="23"/>
        </w:rPr>
        <w:t> </w:t>
      </w:r>
      <w:r>
        <w:rPr>
          <w:color w:val="231F20"/>
          <w:sz w:val="23"/>
        </w:rPr>
        <w:t>Committee was</w:t>
      </w:r>
      <w:r>
        <w:rPr>
          <w:color w:val="231F20"/>
          <w:spacing w:val="-21"/>
          <w:sz w:val="23"/>
        </w:rPr>
        <w:t> </w:t>
      </w:r>
      <w:r>
        <w:rPr>
          <w:color w:val="231F20"/>
          <w:sz w:val="23"/>
        </w:rPr>
        <w:t>established</w:t>
      </w:r>
      <w:r>
        <w:rPr>
          <w:color w:val="231F20"/>
          <w:spacing w:val="-21"/>
          <w:sz w:val="23"/>
        </w:rPr>
        <w:t> </w:t>
      </w:r>
      <w:r>
        <w:rPr>
          <w:color w:val="231F20"/>
          <w:sz w:val="23"/>
        </w:rPr>
        <w:t>in</w:t>
      </w:r>
      <w:r>
        <w:rPr>
          <w:color w:val="231F20"/>
          <w:spacing w:val="-21"/>
          <w:sz w:val="23"/>
        </w:rPr>
        <w:t> </w:t>
      </w:r>
      <w:r>
        <w:rPr>
          <w:color w:val="231F20"/>
          <w:sz w:val="23"/>
        </w:rPr>
        <w:t>the</w:t>
      </w:r>
      <w:r>
        <w:rPr>
          <w:color w:val="231F20"/>
          <w:spacing w:val="-21"/>
          <w:sz w:val="23"/>
        </w:rPr>
        <w:t> </w:t>
      </w:r>
      <w:r>
        <w:rPr>
          <w:color w:val="231F20"/>
          <w:sz w:val="23"/>
        </w:rPr>
        <w:t>Ministry</w:t>
      </w:r>
      <w:r>
        <w:rPr>
          <w:color w:val="231F20"/>
          <w:spacing w:val="-21"/>
          <w:sz w:val="23"/>
        </w:rPr>
        <w:t> </w:t>
      </w:r>
      <w:r>
        <w:rPr>
          <w:color w:val="231F20"/>
          <w:sz w:val="23"/>
        </w:rPr>
        <w:t>of</w:t>
      </w:r>
      <w:r>
        <w:rPr>
          <w:color w:val="231F20"/>
          <w:spacing w:val="-21"/>
          <w:sz w:val="23"/>
        </w:rPr>
        <w:t> </w:t>
      </w:r>
      <w:r>
        <w:rPr>
          <w:color w:val="231F20"/>
          <w:sz w:val="23"/>
        </w:rPr>
        <w:t>Finance,</w:t>
      </w:r>
      <w:r>
        <w:rPr>
          <w:color w:val="231F20"/>
          <w:spacing w:val="-21"/>
          <w:sz w:val="23"/>
        </w:rPr>
        <w:t> </w:t>
      </w:r>
      <w:r>
        <w:rPr>
          <w:color w:val="231F20"/>
          <w:sz w:val="23"/>
        </w:rPr>
        <w:t>and</w:t>
      </w:r>
      <w:r>
        <w:rPr>
          <w:color w:val="231F20"/>
          <w:spacing w:val="-21"/>
          <w:sz w:val="23"/>
        </w:rPr>
        <w:t> </w:t>
      </w:r>
      <w:r>
        <w:rPr>
          <w:color w:val="231F20"/>
          <w:sz w:val="23"/>
        </w:rPr>
        <w:t>over</w:t>
      </w:r>
      <w:r>
        <w:rPr>
          <w:color w:val="231F20"/>
          <w:spacing w:val="-21"/>
          <w:sz w:val="23"/>
        </w:rPr>
        <w:t> </w:t>
      </w:r>
      <w:r>
        <w:rPr>
          <w:color w:val="231F20"/>
          <w:sz w:val="23"/>
        </w:rPr>
        <w:t>seventeen</w:t>
      </w:r>
      <w:r>
        <w:rPr>
          <w:color w:val="231F20"/>
          <w:spacing w:val="-21"/>
          <w:sz w:val="23"/>
        </w:rPr>
        <w:t> </w:t>
      </w:r>
      <w:r>
        <w:rPr>
          <w:color w:val="231F20"/>
          <w:sz w:val="23"/>
        </w:rPr>
        <w:t>(17)</w:t>
      </w:r>
      <w:r>
        <w:rPr>
          <w:color w:val="231F20"/>
          <w:spacing w:val="-21"/>
          <w:sz w:val="23"/>
        </w:rPr>
        <w:t> </w:t>
      </w:r>
      <w:r>
        <w:rPr>
          <w:color w:val="231F20"/>
          <w:sz w:val="23"/>
        </w:rPr>
        <w:t>Audit</w:t>
      </w:r>
      <w:r>
        <w:rPr>
          <w:color w:val="231F20"/>
          <w:spacing w:val="-21"/>
          <w:sz w:val="23"/>
        </w:rPr>
        <w:t> </w:t>
      </w:r>
      <w:r>
        <w:rPr>
          <w:color w:val="231F20"/>
          <w:sz w:val="23"/>
        </w:rPr>
        <w:t>Committees were</w:t>
      </w:r>
      <w:r>
        <w:rPr>
          <w:color w:val="231F20"/>
          <w:spacing w:val="-6"/>
          <w:sz w:val="23"/>
        </w:rPr>
        <w:t> </w:t>
      </w:r>
      <w:r>
        <w:rPr>
          <w:color w:val="231F20"/>
          <w:sz w:val="23"/>
        </w:rPr>
        <w:t>reconstituted</w:t>
      </w:r>
      <w:r>
        <w:rPr>
          <w:color w:val="231F20"/>
          <w:spacing w:val="-6"/>
          <w:sz w:val="23"/>
        </w:rPr>
        <w:t> </w:t>
      </w:r>
      <w:r>
        <w:rPr>
          <w:color w:val="231F20"/>
          <w:sz w:val="23"/>
        </w:rPr>
        <w:t>in</w:t>
      </w:r>
      <w:r>
        <w:rPr>
          <w:color w:val="231F20"/>
          <w:spacing w:val="-6"/>
          <w:sz w:val="23"/>
        </w:rPr>
        <w:t> </w:t>
      </w:r>
      <w:r>
        <w:rPr>
          <w:color w:val="231F20"/>
          <w:sz w:val="23"/>
        </w:rPr>
        <w:t>various</w:t>
      </w:r>
      <w:r>
        <w:rPr>
          <w:color w:val="231F20"/>
          <w:spacing w:val="-6"/>
          <w:sz w:val="23"/>
        </w:rPr>
        <w:t> </w:t>
      </w:r>
      <w:r>
        <w:rPr>
          <w:color w:val="231F20"/>
          <w:sz w:val="23"/>
        </w:rPr>
        <w:t>MDAs.</w:t>
      </w:r>
      <w:r>
        <w:rPr>
          <w:color w:val="231F20"/>
          <w:spacing w:val="-6"/>
          <w:sz w:val="23"/>
        </w:rPr>
        <w:t> </w:t>
      </w:r>
      <w:r>
        <w:rPr>
          <w:color w:val="231F20"/>
          <w:sz w:val="23"/>
        </w:rPr>
        <w:t>The</w:t>
      </w:r>
      <w:r>
        <w:rPr>
          <w:color w:val="231F20"/>
          <w:spacing w:val="-6"/>
          <w:sz w:val="23"/>
        </w:rPr>
        <w:t> </w:t>
      </w:r>
      <w:r>
        <w:rPr>
          <w:color w:val="231F20"/>
          <w:sz w:val="23"/>
        </w:rPr>
        <w:t>Government</w:t>
      </w:r>
      <w:r>
        <w:rPr>
          <w:color w:val="231F20"/>
          <w:spacing w:val="-6"/>
          <w:sz w:val="23"/>
        </w:rPr>
        <w:t> </w:t>
      </w:r>
      <w:r>
        <w:rPr>
          <w:color w:val="231F20"/>
          <w:sz w:val="23"/>
        </w:rPr>
        <w:t>Audit</w:t>
      </w:r>
      <w:r>
        <w:rPr>
          <w:color w:val="231F20"/>
          <w:spacing w:val="-7"/>
          <w:sz w:val="23"/>
        </w:rPr>
        <w:t> </w:t>
      </w:r>
      <w:r>
        <w:rPr>
          <w:color w:val="231F20"/>
          <w:sz w:val="23"/>
        </w:rPr>
        <w:t>Committee</w:t>
      </w:r>
      <w:r>
        <w:rPr>
          <w:color w:val="231F20"/>
          <w:spacing w:val="-6"/>
          <w:sz w:val="23"/>
        </w:rPr>
        <w:t> </w:t>
      </w:r>
      <w:r>
        <w:rPr>
          <w:color w:val="231F20"/>
          <w:sz w:val="23"/>
        </w:rPr>
        <w:t>oversees</w:t>
      </w:r>
      <w:r>
        <w:rPr>
          <w:color w:val="231F20"/>
          <w:spacing w:val="-6"/>
          <w:sz w:val="23"/>
        </w:rPr>
        <w:t> </w:t>
      </w:r>
      <w:r>
        <w:rPr>
          <w:color w:val="231F20"/>
          <w:sz w:val="23"/>
        </w:rPr>
        <w:t>the operations</w:t>
      </w:r>
      <w:r>
        <w:rPr>
          <w:color w:val="231F20"/>
          <w:spacing w:val="-5"/>
          <w:sz w:val="23"/>
        </w:rPr>
        <w:t> </w:t>
      </w:r>
      <w:r>
        <w:rPr>
          <w:color w:val="231F20"/>
          <w:sz w:val="23"/>
        </w:rPr>
        <w:t>of</w:t>
      </w:r>
      <w:r>
        <w:rPr>
          <w:color w:val="231F20"/>
          <w:spacing w:val="-5"/>
          <w:sz w:val="23"/>
        </w:rPr>
        <w:t> </w:t>
      </w:r>
      <w:r>
        <w:rPr>
          <w:color w:val="231F20"/>
          <w:sz w:val="23"/>
        </w:rPr>
        <w:t>the</w:t>
      </w:r>
      <w:r>
        <w:rPr>
          <w:color w:val="231F20"/>
          <w:spacing w:val="-5"/>
          <w:sz w:val="23"/>
        </w:rPr>
        <w:t> </w:t>
      </w:r>
      <w:r>
        <w:rPr>
          <w:color w:val="231F20"/>
          <w:sz w:val="23"/>
        </w:rPr>
        <w:t>other</w:t>
      </w:r>
      <w:r>
        <w:rPr>
          <w:color w:val="231F20"/>
          <w:spacing w:val="-5"/>
          <w:sz w:val="23"/>
        </w:rPr>
        <w:t> </w:t>
      </w:r>
      <w:r>
        <w:rPr>
          <w:color w:val="231F20"/>
          <w:sz w:val="23"/>
        </w:rPr>
        <w:t>audit</w:t>
      </w:r>
      <w:r>
        <w:rPr>
          <w:color w:val="231F20"/>
          <w:spacing w:val="-5"/>
          <w:sz w:val="23"/>
        </w:rPr>
        <w:t> </w:t>
      </w:r>
      <w:r>
        <w:rPr>
          <w:color w:val="231F20"/>
          <w:sz w:val="23"/>
        </w:rPr>
        <w:t>committees</w:t>
      </w:r>
      <w:r>
        <w:rPr>
          <w:color w:val="231F20"/>
          <w:spacing w:val="-5"/>
          <w:sz w:val="23"/>
        </w:rPr>
        <w:t> </w:t>
      </w:r>
      <w:r>
        <w:rPr>
          <w:color w:val="231F20"/>
          <w:sz w:val="23"/>
        </w:rPr>
        <w:t>and</w:t>
      </w:r>
      <w:r>
        <w:rPr>
          <w:color w:val="231F20"/>
          <w:spacing w:val="-5"/>
          <w:sz w:val="23"/>
        </w:rPr>
        <w:t> </w:t>
      </w:r>
      <w:r>
        <w:rPr>
          <w:color w:val="231F20"/>
          <w:sz w:val="23"/>
        </w:rPr>
        <w:t>follows</w:t>
      </w:r>
      <w:r>
        <w:rPr>
          <w:color w:val="231F20"/>
          <w:spacing w:val="-5"/>
          <w:sz w:val="23"/>
        </w:rPr>
        <w:t> </w:t>
      </w:r>
      <w:r>
        <w:rPr>
          <w:color w:val="231F20"/>
          <w:sz w:val="23"/>
        </w:rPr>
        <w:t>up</w:t>
      </w:r>
      <w:r>
        <w:rPr>
          <w:color w:val="231F20"/>
          <w:spacing w:val="-5"/>
          <w:sz w:val="23"/>
        </w:rPr>
        <w:t> </w:t>
      </w:r>
      <w:r>
        <w:rPr>
          <w:color w:val="231F20"/>
          <w:sz w:val="23"/>
        </w:rPr>
        <w:t>on</w:t>
      </w:r>
      <w:r>
        <w:rPr>
          <w:color w:val="231F20"/>
          <w:spacing w:val="-5"/>
          <w:sz w:val="23"/>
        </w:rPr>
        <w:t> </w:t>
      </w:r>
      <w:r>
        <w:rPr>
          <w:color w:val="231F20"/>
          <w:sz w:val="23"/>
        </w:rPr>
        <w:t>unresolved</w:t>
      </w:r>
      <w:r>
        <w:rPr>
          <w:color w:val="231F20"/>
          <w:spacing w:val="-5"/>
          <w:sz w:val="23"/>
        </w:rPr>
        <w:t> </w:t>
      </w:r>
      <w:r>
        <w:rPr>
          <w:color w:val="231F20"/>
          <w:sz w:val="23"/>
        </w:rPr>
        <w:t>audit</w:t>
      </w:r>
      <w:r>
        <w:rPr>
          <w:color w:val="231F20"/>
          <w:spacing w:val="-5"/>
          <w:sz w:val="23"/>
        </w:rPr>
        <w:t> </w:t>
      </w:r>
      <w:r>
        <w:rPr>
          <w:color w:val="231F20"/>
          <w:sz w:val="23"/>
        </w:rPr>
        <w:t>issues. </w:t>
      </w:r>
      <w:r>
        <w:rPr>
          <w:color w:val="231F20"/>
          <w:spacing w:val="7"/>
          <w:sz w:val="23"/>
        </w:rPr>
        <w:t>This </w:t>
      </w:r>
      <w:r>
        <w:rPr>
          <w:color w:val="231F20"/>
          <w:spacing w:val="9"/>
          <w:sz w:val="23"/>
        </w:rPr>
        <w:t>arrangement </w:t>
      </w:r>
      <w:r>
        <w:rPr>
          <w:color w:val="231F20"/>
          <w:spacing w:val="7"/>
          <w:sz w:val="23"/>
        </w:rPr>
        <w:t>will </w:t>
      </w:r>
      <w:r>
        <w:rPr>
          <w:color w:val="231F20"/>
          <w:spacing w:val="8"/>
          <w:sz w:val="23"/>
        </w:rPr>
        <w:t>continue </w:t>
      </w:r>
      <w:r>
        <w:rPr>
          <w:color w:val="231F20"/>
          <w:spacing w:val="5"/>
          <w:sz w:val="23"/>
        </w:rPr>
        <w:t>to </w:t>
      </w:r>
      <w:r>
        <w:rPr>
          <w:color w:val="231F20"/>
          <w:spacing w:val="8"/>
          <w:sz w:val="23"/>
        </w:rPr>
        <w:t>enhance </w:t>
      </w:r>
      <w:r>
        <w:rPr>
          <w:color w:val="231F20"/>
          <w:spacing w:val="6"/>
          <w:sz w:val="23"/>
        </w:rPr>
        <w:t>the </w:t>
      </w:r>
      <w:r>
        <w:rPr>
          <w:color w:val="231F20"/>
          <w:spacing w:val="9"/>
          <w:sz w:val="23"/>
        </w:rPr>
        <w:t>implementation </w:t>
      </w:r>
      <w:r>
        <w:rPr>
          <w:color w:val="231F20"/>
          <w:spacing w:val="5"/>
          <w:sz w:val="23"/>
        </w:rPr>
        <w:t>of </w:t>
      </w:r>
      <w:r>
        <w:rPr>
          <w:color w:val="231F20"/>
          <w:spacing w:val="10"/>
          <w:sz w:val="23"/>
        </w:rPr>
        <w:t>audit </w:t>
      </w:r>
      <w:r>
        <w:rPr>
          <w:color w:val="231F20"/>
          <w:sz w:val="23"/>
        </w:rPr>
        <w:t>recommendations</w:t>
      </w:r>
      <w:r>
        <w:rPr>
          <w:color w:val="231F20"/>
          <w:spacing w:val="-12"/>
          <w:sz w:val="23"/>
        </w:rPr>
        <w:t> </w:t>
      </w:r>
      <w:r>
        <w:rPr>
          <w:color w:val="231F20"/>
          <w:sz w:val="23"/>
        </w:rPr>
        <w:t>of</w:t>
      </w:r>
      <w:r>
        <w:rPr>
          <w:color w:val="231F20"/>
          <w:spacing w:val="-12"/>
          <w:sz w:val="23"/>
        </w:rPr>
        <w:t> </w:t>
      </w:r>
      <w:r>
        <w:rPr>
          <w:color w:val="231F20"/>
          <w:sz w:val="23"/>
        </w:rPr>
        <w:t>both</w:t>
      </w:r>
      <w:r>
        <w:rPr>
          <w:color w:val="231F20"/>
          <w:spacing w:val="-12"/>
          <w:sz w:val="23"/>
        </w:rPr>
        <w:t> </w:t>
      </w:r>
      <w:r>
        <w:rPr>
          <w:color w:val="231F20"/>
          <w:sz w:val="23"/>
        </w:rPr>
        <w:t>internal</w:t>
      </w:r>
      <w:r>
        <w:rPr>
          <w:color w:val="231F20"/>
          <w:spacing w:val="-12"/>
          <w:sz w:val="23"/>
        </w:rPr>
        <w:t> </w:t>
      </w:r>
      <w:r>
        <w:rPr>
          <w:color w:val="231F20"/>
          <w:sz w:val="23"/>
        </w:rPr>
        <w:t>and</w:t>
      </w:r>
      <w:r>
        <w:rPr>
          <w:color w:val="231F20"/>
          <w:spacing w:val="-12"/>
          <w:sz w:val="23"/>
        </w:rPr>
        <w:t> </w:t>
      </w:r>
      <w:r>
        <w:rPr>
          <w:color w:val="231F20"/>
          <w:sz w:val="23"/>
        </w:rPr>
        <w:t>external</w:t>
      </w:r>
      <w:r>
        <w:rPr>
          <w:color w:val="231F20"/>
          <w:spacing w:val="-12"/>
          <w:sz w:val="23"/>
        </w:rPr>
        <w:t> </w:t>
      </w:r>
      <w:r>
        <w:rPr>
          <w:color w:val="231F20"/>
          <w:sz w:val="23"/>
        </w:rPr>
        <w:t>audit</w:t>
      </w:r>
      <w:r>
        <w:rPr>
          <w:color w:val="231F20"/>
          <w:spacing w:val="-12"/>
          <w:sz w:val="23"/>
        </w:rPr>
        <w:t> </w:t>
      </w:r>
      <w:r>
        <w:rPr>
          <w:color w:val="231F20"/>
          <w:sz w:val="23"/>
        </w:rPr>
        <w:t>reports.</w:t>
      </w:r>
      <w:r>
        <w:rPr>
          <w:color w:val="231F20"/>
          <w:spacing w:val="-12"/>
          <w:sz w:val="23"/>
        </w:rPr>
        <w:t> </w:t>
      </w:r>
      <w:r>
        <w:rPr>
          <w:color w:val="231F20"/>
          <w:sz w:val="23"/>
        </w:rPr>
        <w:t>Dedicated</w:t>
      </w:r>
      <w:r>
        <w:rPr>
          <w:color w:val="231F20"/>
          <w:spacing w:val="-12"/>
          <w:sz w:val="23"/>
        </w:rPr>
        <w:t> </w:t>
      </w:r>
      <w:r>
        <w:rPr>
          <w:color w:val="231F20"/>
          <w:sz w:val="23"/>
        </w:rPr>
        <w:t>audit</w:t>
      </w:r>
      <w:r>
        <w:rPr>
          <w:color w:val="231F20"/>
          <w:spacing w:val="-12"/>
          <w:sz w:val="23"/>
        </w:rPr>
        <w:t> </w:t>
      </w:r>
      <w:r>
        <w:rPr>
          <w:color w:val="231F20"/>
          <w:sz w:val="23"/>
        </w:rPr>
        <w:t>teams have</w:t>
      </w:r>
      <w:r>
        <w:rPr>
          <w:color w:val="231F20"/>
          <w:spacing w:val="-22"/>
          <w:sz w:val="23"/>
        </w:rPr>
        <w:t> </w:t>
      </w:r>
      <w:r>
        <w:rPr>
          <w:color w:val="231F20"/>
          <w:sz w:val="23"/>
        </w:rPr>
        <w:t>been</w:t>
      </w:r>
      <w:r>
        <w:rPr>
          <w:color w:val="231F20"/>
          <w:spacing w:val="-22"/>
          <w:sz w:val="23"/>
        </w:rPr>
        <w:t> </w:t>
      </w:r>
      <w:r>
        <w:rPr>
          <w:color w:val="231F20"/>
          <w:sz w:val="23"/>
        </w:rPr>
        <w:t>established</w:t>
      </w:r>
      <w:r>
        <w:rPr>
          <w:color w:val="231F20"/>
          <w:spacing w:val="-22"/>
          <w:sz w:val="23"/>
        </w:rPr>
        <w:t> </w:t>
      </w:r>
      <w:r>
        <w:rPr>
          <w:color w:val="231F20"/>
          <w:sz w:val="23"/>
        </w:rPr>
        <w:t>to</w:t>
      </w:r>
      <w:r>
        <w:rPr>
          <w:color w:val="231F20"/>
          <w:spacing w:val="-22"/>
          <w:sz w:val="23"/>
        </w:rPr>
        <w:t> </w:t>
      </w:r>
      <w:r>
        <w:rPr>
          <w:color w:val="231F20"/>
          <w:sz w:val="23"/>
        </w:rPr>
        <w:t>carry</w:t>
      </w:r>
      <w:r>
        <w:rPr>
          <w:color w:val="231F20"/>
          <w:spacing w:val="-22"/>
          <w:sz w:val="23"/>
        </w:rPr>
        <w:t> </w:t>
      </w:r>
      <w:r>
        <w:rPr>
          <w:color w:val="231F20"/>
          <w:sz w:val="23"/>
        </w:rPr>
        <w:t>out</w:t>
      </w:r>
      <w:r>
        <w:rPr>
          <w:color w:val="231F20"/>
          <w:spacing w:val="-22"/>
          <w:sz w:val="23"/>
        </w:rPr>
        <w:t> </w:t>
      </w:r>
      <w:r>
        <w:rPr>
          <w:color w:val="231F20"/>
          <w:sz w:val="23"/>
        </w:rPr>
        <w:t>regular</w:t>
      </w:r>
      <w:r>
        <w:rPr>
          <w:color w:val="231F20"/>
          <w:spacing w:val="-22"/>
          <w:sz w:val="23"/>
        </w:rPr>
        <w:t> </w:t>
      </w:r>
      <w:r>
        <w:rPr>
          <w:color w:val="231F20"/>
          <w:sz w:val="23"/>
        </w:rPr>
        <w:t>audit</w:t>
      </w:r>
      <w:r>
        <w:rPr>
          <w:color w:val="231F20"/>
          <w:spacing w:val="-22"/>
          <w:sz w:val="23"/>
        </w:rPr>
        <w:t> </w:t>
      </w:r>
      <w:r>
        <w:rPr>
          <w:color w:val="231F20"/>
          <w:sz w:val="23"/>
        </w:rPr>
        <w:t>of</w:t>
      </w:r>
      <w:r>
        <w:rPr>
          <w:color w:val="231F20"/>
          <w:spacing w:val="-22"/>
          <w:sz w:val="23"/>
        </w:rPr>
        <w:t> </w:t>
      </w:r>
      <w:r>
        <w:rPr>
          <w:color w:val="231F20"/>
          <w:sz w:val="23"/>
        </w:rPr>
        <w:t>the</w:t>
      </w:r>
      <w:r>
        <w:rPr>
          <w:color w:val="231F20"/>
          <w:spacing w:val="-22"/>
          <w:sz w:val="23"/>
        </w:rPr>
        <w:t> </w:t>
      </w:r>
      <w:r>
        <w:rPr>
          <w:color w:val="231F20"/>
          <w:sz w:val="23"/>
        </w:rPr>
        <w:t>Government</w:t>
      </w:r>
      <w:r>
        <w:rPr>
          <w:color w:val="231F20"/>
          <w:spacing w:val="-22"/>
          <w:sz w:val="23"/>
        </w:rPr>
        <w:t> </w:t>
      </w:r>
      <w:r>
        <w:rPr>
          <w:color w:val="231F20"/>
          <w:sz w:val="23"/>
        </w:rPr>
        <w:t>payroll</w:t>
      </w:r>
      <w:r>
        <w:rPr>
          <w:color w:val="231F20"/>
          <w:spacing w:val="-22"/>
          <w:sz w:val="23"/>
        </w:rPr>
        <w:t> </w:t>
      </w:r>
      <w:r>
        <w:rPr>
          <w:color w:val="231F20"/>
          <w:sz w:val="23"/>
        </w:rPr>
        <w:t>and</w:t>
      </w:r>
      <w:r>
        <w:rPr>
          <w:color w:val="231F20"/>
          <w:spacing w:val="-22"/>
          <w:sz w:val="23"/>
        </w:rPr>
        <w:t> </w:t>
      </w:r>
      <w:r>
        <w:rPr>
          <w:color w:val="231F20"/>
          <w:sz w:val="23"/>
        </w:rPr>
        <w:t>public debt</w:t>
      </w:r>
      <w:r>
        <w:rPr>
          <w:color w:val="231F20"/>
          <w:spacing w:val="-42"/>
          <w:sz w:val="23"/>
        </w:rPr>
        <w:t> </w:t>
      </w:r>
      <w:r>
        <w:rPr>
          <w:color w:val="231F20"/>
          <w:sz w:val="23"/>
        </w:rPr>
        <w:t>payments.</w:t>
      </w:r>
      <w:r>
        <w:rPr>
          <w:color w:val="231F20"/>
          <w:spacing w:val="-42"/>
          <w:sz w:val="23"/>
        </w:rPr>
        <w:t> </w:t>
      </w:r>
      <w:r>
        <w:rPr>
          <w:color w:val="231F20"/>
          <w:sz w:val="23"/>
        </w:rPr>
        <w:t>The</w:t>
      </w:r>
      <w:r>
        <w:rPr>
          <w:color w:val="231F20"/>
          <w:spacing w:val="-42"/>
          <w:sz w:val="23"/>
        </w:rPr>
        <w:t> </w:t>
      </w:r>
      <w:r>
        <w:rPr>
          <w:color w:val="231F20"/>
          <w:sz w:val="23"/>
        </w:rPr>
        <w:t>capacity</w:t>
      </w:r>
      <w:r>
        <w:rPr>
          <w:color w:val="231F20"/>
          <w:spacing w:val="-42"/>
          <w:sz w:val="23"/>
        </w:rPr>
        <w:t> </w:t>
      </w:r>
      <w:r>
        <w:rPr>
          <w:color w:val="231F20"/>
          <w:sz w:val="23"/>
        </w:rPr>
        <w:t>of</w:t>
      </w:r>
      <w:r>
        <w:rPr>
          <w:color w:val="231F20"/>
          <w:spacing w:val="-42"/>
          <w:sz w:val="23"/>
        </w:rPr>
        <w:t> </w:t>
      </w:r>
      <w:r>
        <w:rPr>
          <w:color w:val="231F20"/>
          <w:sz w:val="23"/>
        </w:rPr>
        <w:t>the</w:t>
      </w:r>
      <w:r>
        <w:rPr>
          <w:color w:val="231F20"/>
          <w:spacing w:val="-42"/>
          <w:sz w:val="23"/>
        </w:rPr>
        <w:t> </w:t>
      </w:r>
      <w:r>
        <w:rPr>
          <w:color w:val="231F20"/>
          <w:sz w:val="23"/>
        </w:rPr>
        <w:t>Internal</w:t>
      </w:r>
      <w:r>
        <w:rPr>
          <w:color w:val="231F20"/>
          <w:spacing w:val="-42"/>
          <w:sz w:val="23"/>
        </w:rPr>
        <w:t> </w:t>
      </w:r>
      <w:r>
        <w:rPr>
          <w:color w:val="231F20"/>
          <w:sz w:val="23"/>
        </w:rPr>
        <w:t>Audit</w:t>
      </w:r>
      <w:r>
        <w:rPr>
          <w:color w:val="231F20"/>
          <w:spacing w:val="-42"/>
          <w:sz w:val="23"/>
        </w:rPr>
        <w:t> </w:t>
      </w:r>
      <w:r>
        <w:rPr>
          <w:color w:val="231F20"/>
          <w:sz w:val="23"/>
        </w:rPr>
        <w:t>Unit</w:t>
      </w:r>
      <w:r>
        <w:rPr>
          <w:color w:val="231F20"/>
          <w:spacing w:val="-41"/>
          <w:sz w:val="23"/>
        </w:rPr>
        <w:t> </w:t>
      </w:r>
      <w:r>
        <w:rPr>
          <w:color w:val="231F20"/>
          <w:sz w:val="23"/>
        </w:rPr>
        <w:t>will</w:t>
      </w:r>
      <w:r>
        <w:rPr>
          <w:color w:val="231F20"/>
          <w:spacing w:val="-42"/>
          <w:sz w:val="23"/>
        </w:rPr>
        <w:t> </w:t>
      </w:r>
      <w:r>
        <w:rPr>
          <w:color w:val="231F20"/>
          <w:sz w:val="23"/>
        </w:rPr>
        <w:t>also</w:t>
      </w:r>
      <w:r>
        <w:rPr>
          <w:color w:val="231F20"/>
          <w:spacing w:val="-42"/>
          <w:sz w:val="23"/>
        </w:rPr>
        <w:t> </w:t>
      </w:r>
      <w:r>
        <w:rPr>
          <w:color w:val="231F20"/>
          <w:sz w:val="23"/>
        </w:rPr>
        <w:t>be</w:t>
      </w:r>
      <w:r>
        <w:rPr>
          <w:color w:val="231F20"/>
          <w:spacing w:val="-42"/>
          <w:sz w:val="23"/>
        </w:rPr>
        <w:t> </w:t>
      </w:r>
      <w:r>
        <w:rPr>
          <w:color w:val="231F20"/>
          <w:sz w:val="23"/>
        </w:rPr>
        <w:t>strengthened</w:t>
      </w:r>
      <w:r>
        <w:rPr>
          <w:color w:val="231F20"/>
          <w:spacing w:val="-42"/>
          <w:sz w:val="23"/>
        </w:rPr>
        <w:t> </w:t>
      </w:r>
      <w:r>
        <w:rPr>
          <w:color w:val="231F20"/>
          <w:sz w:val="23"/>
        </w:rPr>
        <w:t>to</w:t>
      </w:r>
      <w:r>
        <w:rPr>
          <w:color w:val="231F20"/>
          <w:spacing w:val="-42"/>
          <w:sz w:val="23"/>
        </w:rPr>
        <w:t> </w:t>
      </w:r>
      <w:r>
        <w:rPr>
          <w:color w:val="231F20"/>
          <w:sz w:val="23"/>
        </w:rPr>
        <w:t>carry out ICT-related</w:t>
      </w:r>
      <w:r>
        <w:rPr>
          <w:color w:val="231F20"/>
          <w:spacing w:val="7"/>
          <w:sz w:val="23"/>
        </w:rPr>
        <w:t> </w:t>
      </w:r>
      <w:r>
        <w:rPr>
          <w:color w:val="231F20"/>
          <w:sz w:val="23"/>
        </w:rPr>
        <w:t>audits.</w:t>
      </w:r>
    </w:p>
    <w:p>
      <w:pPr>
        <w:pStyle w:val="BodyText"/>
        <w:spacing w:before="10"/>
        <w:rPr>
          <w:sz w:val="28"/>
        </w:rPr>
      </w:pPr>
    </w:p>
    <w:p>
      <w:pPr>
        <w:pStyle w:val="Heading2"/>
        <w:spacing w:before="1"/>
      </w:pPr>
      <w:r>
        <w:rPr>
          <w:color w:val="231F20"/>
        </w:rPr>
        <w:t>Institutionalising Public Expenditure Tracking Surveys</w:t>
      </w:r>
    </w:p>
    <w:p>
      <w:pPr>
        <w:pStyle w:val="ListParagraph"/>
        <w:numPr>
          <w:ilvl w:val="0"/>
          <w:numId w:val="2"/>
        </w:numPr>
        <w:tabs>
          <w:tab w:pos="954" w:val="left" w:leader="none"/>
        </w:tabs>
        <w:spacing w:line="302" w:lineRule="auto" w:before="68" w:after="0"/>
        <w:ind w:left="103" w:right="118" w:firstLine="223"/>
        <w:jc w:val="both"/>
        <w:rPr>
          <w:sz w:val="23"/>
        </w:rPr>
      </w:pPr>
      <w:r>
        <w:rPr>
          <w:color w:val="231F20"/>
          <w:sz w:val="23"/>
        </w:rPr>
        <w:t>Mr. Speaker, Honourable Members, the Public Expenditure Tracking</w:t>
      </w:r>
      <w:r>
        <w:rPr>
          <w:color w:val="231F20"/>
          <w:spacing w:val="-28"/>
          <w:sz w:val="23"/>
        </w:rPr>
        <w:t> </w:t>
      </w:r>
      <w:r>
        <w:rPr>
          <w:color w:val="231F20"/>
          <w:sz w:val="23"/>
        </w:rPr>
        <w:t>Survey (PETS) has been revived to generate baseline data for improving public financial management and service delivery. The 2019 PETS covered the procurement and distribution of drugs; teaching and learning materials, and textbooks; payment of school fee-subsidies to schools; and fertiliser to farmer-based organisations for the 2017</w:t>
      </w:r>
      <w:r>
        <w:rPr>
          <w:color w:val="231F20"/>
          <w:spacing w:val="-15"/>
          <w:sz w:val="23"/>
        </w:rPr>
        <w:t> </w:t>
      </w:r>
      <w:r>
        <w:rPr>
          <w:color w:val="231F20"/>
          <w:sz w:val="23"/>
        </w:rPr>
        <w:t>and</w:t>
      </w:r>
      <w:r>
        <w:rPr>
          <w:color w:val="231F20"/>
          <w:spacing w:val="-15"/>
          <w:sz w:val="23"/>
        </w:rPr>
        <w:t> </w:t>
      </w:r>
      <w:r>
        <w:rPr>
          <w:color w:val="231F20"/>
          <w:sz w:val="23"/>
        </w:rPr>
        <w:t>2018</w:t>
      </w:r>
      <w:r>
        <w:rPr>
          <w:color w:val="231F20"/>
          <w:spacing w:val="-15"/>
          <w:sz w:val="23"/>
        </w:rPr>
        <w:t> </w:t>
      </w:r>
      <w:r>
        <w:rPr>
          <w:color w:val="231F20"/>
          <w:sz w:val="23"/>
        </w:rPr>
        <w:t>financial</w:t>
      </w:r>
      <w:r>
        <w:rPr>
          <w:color w:val="231F20"/>
          <w:spacing w:val="-15"/>
          <w:sz w:val="23"/>
        </w:rPr>
        <w:t> </w:t>
      </w:r>
      <w:r>
        <w:rPr>
          <w:color w:val="231F20"/>
          <w:sz w:val="23"/>
        </w:rPr>
        <w:t>years.</w:t>
      </w:r>
      <w:r>
        <w:rPr>
          <w:color w:val="231F20"/>
          <w:spacing w:val="-15"/>
          <w:sz w:val="23"/>
        </w:rPr>
        <w:t> </w:t>
      </w:r>
      <w:r>
        <w:rPr>
          <w:color w:val="231F20"/>
          <w:sz w:val="23"/>
        </w:rPr>
        <w:t>The</w:t>
      </w:r>
      <w:r>
        <w:rPr>
          <w:color w:val="231F20"/>
          <w:spacing w:val="-15"/>
          <w:sz w:val="23"/>
        </w:rPr>
        <w:t> </w:t>
      </w:r>
      <w:r>
        <w:rPr>
          <w:color w:val="231F20"/>
          <w:sz w:val="23"/>
        </w:rPr>
        <w:t>findings</w:t>
      </w:r>
      <w:r>
        <w:rPr>
          <w:color w:val="231F20"/>
          <w:spacing w:val="-15"/>
          <w:sz w:val="23"/>
        </w:rPr>
        <w:t> </w:t>
      </w:r>
      <w:r>
        <w:rPr>
          <w:color w:val="231F20"/>
          <w:sz w:val="23"/>
        </w:rPr>
        <w:t>will</w:t>
      </w:r>
      <w:r>
        <w:rPr>
          <w:color w:val="231F20"/>
          <w:spacing w:val="-15"/>
          <w:sz w:val="23"/>
        </w:rPr>
        <w:t> </w:t>
      </w:r>
      <w:r>
        <w:rPr>
          <w:color w:val="231F20"/>
          <w:sz w:val="23"/>
        </w:rPr>
        <w:t>be</w:t>
      </w:r>
      <w:r>
        <w:rPr>
          <w:color w:val="231F20"/>
          <w:spacing w:val="-15"/>
          <w:sz w:val="23"/>
        </w:rPr>
        <w:t> </w:t>
      </w:r>
      <w:r>
        <w:rPr>
          <w:color w:val="231F20"/>
          <w:sz w:val="23"/>
        </w:rPr>
        <w:t>discussed</w:t>
      </w:r>
      <w:r>
        <w:rPr>
          <w:color w:val="231F20"/>
          <w:spacing w:val="-15"/>
          <w:sz w:val="23"/>
        </w:rPr>
        <w:t> </w:t>
      </w:r>
      <w:r>
        <w:rPr>
          <w:color w:val="231F20"/>
          <w:sz w:val="23"/>
        </w:rPr>
        <w:t>with</w:t>
      </w:r>
      <w:r>
        <w:rPr>
          <w:color w:val="231F20"/>
          <w:spacing w:val="-15"/>
          <w:sz w:val="23"/>
        </w:rPr>
        <w:t> </w:t>
      </w:r>
      <w:r>
        <w:rPr>
          <w:color w:val="231F20"/>
          <w:sz w:val="23"/>
        </w:rPr>
        <w:t>stake</w:t>
      </w:r>
      <w:r>
        <w:rPr>
          <w:color w:val="231F20"/>
          <w:spacing w:val="-15"/>
          <w:sz w:val="23"/>
        </w:rPr>
        <w:t> </w:t>
      </w:r>
      <w:r>
        <w:rPr>
          <w:color w:val="231F20"/>
          <w:sz w:val="23"/>
        </w:rPr>
        <w:t>holders</w:t>
      </w:r>
      <w:r>
        <w:rPr>
          <w:color w:val="231F20"/>
          <w:spacing w:val="-15"/>
          <w:sz w:val="23"/>
        </w:rPr>
        <w:t> </w:t>
      </w:r>
      <w:r>
        <w:rPr>
          <w:color w:val="231F20"/>
          <w:sz w:val="23"/>
        </w:rPr>
        <w:t>and recommendations will be implemented to improve service</w:t>
      </w:r>
      <w:r>
        <w:rPr>
          <w:color w:val="231F20"/>
          <w:spacing w:val="49"/>
          <w:sz w:val="23"/>
        </w:rPr>
        <w:t> </w:t>
      </w:r>
      <w:r>
        <w:rPr>
          <w:color w:val="231F20"/>
          <w:sz w:val="23"/>
        </w:rPr>
        <w:t>delivery.</w:t>
      </w:r>
    </w:p>
    <w:p>
      <w:pPr>
        <w:pStyle w:val="BodyText"/>
        <w:rPr>
          <w:sz w:val="29"/>
        </w:rPr>
      </w:pPr>
    </w:p>
    <w:p>
      <w:pPr>
        <w:pStyle w:val="Heading2"/>
      </w:pPr>
      <w:r>
        <w:rPr>
          <w:color w:val="231F20"/>
        </w:rPr>
        <w:t>Developing an Electronic Funds Transfer System</w:t>
      </w:r>
    </w:p>
    <w:p>
      <w:pPr>
        <w:pStyle w:val="ListParagraph"/>
        <w:numPr>
          <w:ilvl w:val="0"/>
          <w:numId w:val="2"/>
        </w:numPr>
        <w:tabs>
          <w:tab w:pos="954" w:val="left" w:leader="none"/>
        </w:tabs>
        <w:spacing w:line="302" w:lineRule="auto" w:before="68" w:after="0"/>
        <w:ind w:left="103" w:right="119" w:firstLine="223"/>
        <w:jc w:val="both"/>
        <w:rPr>
          <w:sz w:val="23"/>
        </w:rPr>
      </w:pPr>
      <w:r>
        <w:rPr>
          <w:color w:val="231F20"/>
          <w:sz w:val="23"/>
        </w:rPr>
        <w:t>Mr. Speaker, Honourable Members, the manual processing of payment instructions</w:t>
      </w:r>
      <w:r>
        <w:rPr>
          <w:color w:val="231F20"/>
          <w:spacing w:val="-40"/>
          <w:sz w:val="23"/>
        </w:rPr>
        <w:t> </w:t>
      </w:r>
      <w:r>
        <w:rPr>
          <w:color w:val="231F20"/>
          <w:sz w:val="23"/>
        </w:rPr>
        <w:t>to</w:t>
      </w:r>
      <w:r>
        <w:rPr>
          <w:color w:val="231F20"/>
          <w:spacing w:val="-41"/>
          <w:sz w:val="23"/>
        </w:rPr>
        <w:t> </w:t>
      </w:r>
      <w:r>
        <w:rPr>
          <w:color w:val="231F20"/>
          <w:sz w:val="23"/>
        </w:rPr>
        <w:t>the</w:t>
      </w:r>
      <w:r>
        <w:rPr>
          <w:color w:val="231F20"/>
          <w:spacing w:val="-40"/>
          <w:sz w:val="23"/>
        </w:rPr>
        <w:t> </w:t>
      </w:r>
      <w:r>
        <w:rPr>
          <w:color w:val="231F20"/>
          <w:sz w:val="23"/>
        </w:rPr>
        <w:t>Bank</w:t>
      </w:r>
      <w:r>
        <w:rPr>
          <w:color w:val="231F20"/>
          <w:spacing w:val="-40"/>
          <w:sz w:val="23"/>
        </w:rPr>
        <w:t> </w:t>
      </w:r>
      <w:r>
        <w:rPr>
          <w:color w:val="231F20"/>
          <w:sz w:val="23"/>
        </w:rPr>
        <w:t>of</w:t>
      </w:r>
      <w:r>
        <w:rPr>
          <w:color w:val="231F20"/>
          <w:spacing w:val="-41"/>
          <w:sz w:val="23"/>
        </w:rPr>
        <w:t> </w:t>
      </w:r>
      <w:r>
        <w:rPr>
          <w:color w:val="231F20"/>
          <w:sz w:val="23"/>
        </w:rPr>
        <w:t>Sierra</w:t>
      </w:r>
      <w:r>
        <w:rPr>
          <w:color w:val="231F20"/>
          <w:spacing w:val="-40"/>
          <w:sz w:val="23"/>
        </w:rPr>
        <w:t> </w:t>
      </w:r>
      <w:r>
        <w:rPr>
          <w:color w:val="231F20"/>
          <w:sz w:val="23"/>
        </w:rPr>
        <w:t>Leone</w:t>
      </w:r>
      <w:r>
        <w:rPr>
          <w:color w:val="231F20"/>
          <w:spacing w:val="-41"/>
          <w:sz w:val="23"/>
        </w:rPr>
        <w:t> </w:t>
      </w:r>
      <w:r>
        <w:rPr>
          <w:color w:val="231F20"/>
          <w:sz w:val="23"/>
        </w:rPr>
        <w:t>(BSL)</w:t>
      </w:r>
      <w:r>
        <w:rPr>
          <w:color w:val="231F20"/>
          <w:spacing w:val="-40"/>
          <w:sz w:val="23"/>
        </w:rPr>
        <w:t> </w:t>
      </w:r>
      <w:r>
        <w:rPr>
          <w:color w:val="231F20"/>
          <w:sz w:val="23"/>
        </w:rPr>
        <w:t>by</w:t>
      </w:r>
      <w:r>
        <w:rPr>
          <w:color w:val="231F20"/>
          <w:spacing w:val="-40"/>
          <w:sz w:val="23"/>
        </w:rPr>
        <w:t> </w:t>
      </w:r>
      <w:r>
        <w:rPr>
          <w:color w:val="231F20"/>
          <w:sz w:val="23"/>
        </w:rPr>
        <w:t>the</w:t>
      </w:r>
      <w:r>
        <w:rPr>
          <w:color w:val="231F20"/>
          <w:spacing w:val="-41"/>
          <w:sz w:val="23"/>
        </w:rPr>
        <w:t> </w:t>
      </w:r>
      <w:r>
        <w:rPr>
          <w:color w:val="231F20"/>
          <w:sz w:val="23"/>
        </w:rPr>
        <w:t>Accountant</w:t>
      </w:r>
      <w:r>
        <w:rPr>
          <w:color w:val="231F20"/>
          <w:spacing w:val="-41"/>
          <w:sz w:val="23"/>
        </w:rPr>
        <w:t> </w:t>
      </w:r>
      <w:r>
        <w:rPr>
          <w:color w:val="231F20"/>
          <w:sz w:val="23"/>
        </w:rPr>
        <w:t>General’s</w:t>
      </w:r>
      <w:r>
        <w:rPr>
          <w:color w:val="231F20"/>
          <w:spacing w:val="-39"/>
          <w:sz w:val="23"/>
        </w:rPr>
        <w:t> </w:t>
      </w:r>
      <w:r>
        <w:rPr>
          <w:color w:val="231F20"/>
          <w:sz w:val="23"/>
        </w:rPr>
        <w:t>Department (AGD)</w:t>
      </w:r>
      <w:r>
        <w:rPr>
          <w:color w:val="231F20"/>
          <w:spacing w:val="-43"/>
          <w:sz w:val="23"/>
        </w:rPr>
        <w:t> </w:t>
      </w:r>
      <w:r>
        <w:rPr>
          <w:color w:val="231F20"/>
          <w:sz w:val="23"/>
        </w:rPr>
        <w:t>has</w:t>
      </w:r>
      <w:r>
        <w:rPr>
          <w:color w:val="231F20"/>
          <w:spacing w:val="-43"/>
          <w:sz w:val="23"/>
        </w:rPr>
        <w:t> </w:t>
      </w:r>
      <w:r>
        <w:rPr>
          <w:color w:val="231F20"/>
          <w:sz w:val="23"/>
        </w:rPr>
        <w:t>resulted</w:t>
      </w:r>
      <w:r>
        <w:rPr>
          <w:color w:val="231F20"/>
          <w:spacing w:val="-42"/>
          <w:sz w:val="23"/>
        </w:rPr>
        <w:t> </w:t>
      </w:r>
      <w:r>
        <w:rPr>
          <w:color w:val="231F20"/>
          <w:sz w:val="23"/>
        </w:rPr>
        <w:t>in</w:t>
      </w:r>
      <w:r>
        <w:rPr>
          <w:color w:val="231F20"/>
          <w:spacing w:val="-43"/>
          <w:sz w:val="23"/>
        </w:rPr>
        <w:t> </w:t>
      </w:r>
      <w:r>
        <w:rPr>
          <w:color w:val="231F20"/>
          <w:sz w:val="23"/>
        </w:rPr>
        <w:t>delays</w:t>
      </w:r>
      <w:r>
        <w:rPr>
          <w:color w:val="231F20"/>
          <w:spacing w:val="-43"/>
          <w:sz w:val="23"/>
        </w:rPr>
        <w:t> </w:t>
      </w:r>
      <w:r>
        <w:rPr>
          <w:color w:val="231F20"/>
          <w:sz w:val="23"/>
        </w:rPr>
        <w:t>and</w:t>
      </w:r>
      <w:r>
        <w:rPr>
          <w:color w:val="231F20"/>
          <w:spacing w:val="-42"/>
          <w:sz w:val="23"/>
        </w:rPr>
        <w:t> </w:t>
      </w:r>
      <w:r>
        <w:rPr>
          <w:color w:val="231F20"/>
          <w:sz w:val="23"/>
        </w:rPr>
        <w:t>errors</w:t>
      </w:r>
      <w:r>
        <w:rPr>
          <w:color w:val="231F20"/>
          <w:spacing w:val="-43"/>
          <w:sz w:val="23"/>
        </w:rPr>
        <w:t> </w:t>
      </w:r>
      <w:r>
        <w:rPr>
          <w:color w:val="231F20"/>
          <w:sz w:val="23"/>
        </w:rPr>
        <w:t>of</w:t>
      </w:r>
      <w:r>
        <w:rPr>
          <w:color w:val="231F20"/>
          <w:spacing w:val="-43"/>
          <w:sz w:val="23"/>
        </w:rPr>
        <w:t> </w:t>
      </w:r>
      <w:r>
        <w:rPr>
          <w:color w:val="231F20"/>
          <w:sz w:val="23"/>
        </w:rPr>
        <w:t>omission</w:t>
      </w:r>
      <w:r>
        <w:rPr>
          <w:color w:val="231F20"/>
          <w:spacing w:val="-42"/>
          <w:sz w:val="23"/>
        </w:rPr>
        <w:t> </w:t>
      </w:r>
      <w:r>
        <w:rPr>
          <w:color w:val="231F20"/>
          <w:sz w:val="23"/>
        </w:rPr>
        <w:t>and</w:t>
      </w:r>
      <w:r>
        <w:rPr>
          <w:color w:val="231F20"/>
          <w:spacing w:val="-43"/>
          <w:sz w:val="23"/>
        </w:rPr>
        <w:t> </w:t>
      </w:r>
      <w:r>
        <w:rPr>
          <w:color w:val="231F20"/>
          <w:sz w:val="23"/>
        </w:rPr>
        <w:t>involves</w:t>
      </w:r>
      <w:r>
        <w:rPr>
          <w:color w:val="231F20"/>
          <w:spacing w:val="-43"/>
          <w:sz w:val="23"/>
        </w:rPr>
        <w:t> </w:t>
      </w:r>
      <w:r>
        <w:rPr>
          <w:color w:val="231F20"/>
          <w:sz w:val="23"/>
        </w:rPr>
        <w:t>significant</w:t>
      </w:r>
      <w:r>
        <w:rPr>
          <w:color w:val="231F20"/>
          <w:spacing w:val="-42"/>
          <w:sz w:val="23"/>
        </w:rPr>
        <w:t> </w:t>
      </w:r>
      <w:r>
        <w:rPr>
          <w:color w:val="231F20"/>
          <w:sz w:val="23"/>
        </w:rPr>
        <w:t>transaction</w:t>
      </w:r>
    </w:p>
    <w:p>
      <w:pPr>
        <w:pStyle w:val="BodyText"/>
        <w:spacing w:before="1"/>
        <w:rPr>
          <w:sz w:val="24"/>
        </w:rPr>
      </w:pPr>
    </w:p>
    <w:p>
      <w:pPr>
        <w:pStyle w:val="Heading1"/>
      </w:pPr>
      <w:r>
        <w:rPr>
          <w:color w:val="231F20"/>
        </w:rPr>
        <w:t>17</w:t>
      </w:r>
    </w:p>
    <w:p>
      <w:pPr>
        <w:spacing w:after="0"/>
        <w:sectPr>
          <w:pgSz w:w="11900" w:h="16840"/>
          <w:pgMar w:top="1180" w:bottom="280" w:left="1140" w:right="1120"/>
        </w:sectPr>
      </w:pPr>
    </w:p>
    <w:p>
      <w:pPr>
        <w:pStyle w:val="BodyText"/>
        <w:spacing w:line="302" w:lineRule="auto" w:before="77"/>
        <w:ind w:left="103" w:right="119"/>
        <w:jc w:val="both"/>
      </w:pPr>
      <w:r>
        <w:rPr>
          <w:color w:val="231F20"/>
        </w:rPr>
        <w:t>costs.</w:t>
      </w:r>
      <w:r>
        <w:rPr>
          <w:color w:val="231F20"/>
          <w:spacing w:val="-11"/>
        </w:rPr>
        <w:t> </w:t>
      </w:r>
      <w:r>
        <w:rPr>
          <w:color w:val="231F20"/>
        </w:rPr>
        <w:t>This</w:t>
      </w:r>
      <w:r>
        <w:rPr>
          <w:color w:val="231F20"/>
          <w:spacing w:val="-11"/>
        </w:rPr>
        <w:t> </w:t>
      </w:r>
      <w:r>
        <w:rPr>
          <w:color w:val="231F20"/>
        </w:rPr>
        <w:t>is</w:t>
      </w:r>
      <w:r>
        <w:rPr>
          <w:color w:val="231F20"/>
          <w:spacing w:val="-11"/>
        </w:rPr>
        <w:t> </w:t>
      </w:r>
      <w:r>
        <w:rPr>
          <w:color w:val="231F20"/>
        </w:rPr>
        <w:t>because</w:t>
      </w:r>
      <w:r>
        <w:rPr>
          <w:color w:val="231F20"/>
          <w:spacing w:val="-11"/>
        </w:rPr>
        <w:t> </w:t>
      </w:r>
      <w:r>
        <w:rPr>
          <w:color w:val="231F20"/>
        </w:rPr>
        <w:t>interbank</w:t>
      </w:r>
      <w:r>
        <w:rPr>
          <w:color w:val="231F20"/>
          <w:spacing w:val="-11"/>
        </w:rPr>
        <w:t> </w:t>
      </w:r>
      <w:r>
        <w:rPr>
          <w:color w:val="231F20"/>
        </w:rPr>
        <w:t>funds</w:t>
      </w:r>
      <w:r>
        <w:rPr>
          <w:color w:val="231F20"/>
          <w:spacing w:val="-11"/>
        </w:rPr>
        <w:t> </w:t>
      </w:r>
      <w:r>
        <w:rPr>
          <w:color w:val="231F20"/>
        </w:rPr>
        <w:t>transfer</w:t>
      </w:r>
      <w:r>
        <w:rPr>
          <w:color w:val="231F20"/>
          <w:spacing w:val="-11"/>
        </w:rPr>
        <w:t> </w:t>
      </w:r>
      <w:r>
        <w:rPr>
          <w:color w:val="231F20"/>
        </w:rPr>
        <w:t>between</w:t>
      </w:r>
      <w:r>
        <w:rPr>
          <w:color w:val="231F20"/>
          <w:spacing w:val="-11"/>
        </w:rPr>
        <w:t> </w:t>
      </w:r>
      <w:r>
        <w:rPr>
          <w:color w:val="231F20"/>
        </w:rPr>
        <w:t>BSL</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AGD</w:t>
      </w:r>
      <w:r>
        <w:rPr>
          <w:color w:val="231F20"/>
          <w:spacing w:val="-11"/>
        </w:rPr>
        <w:t> </w:t>
      </w:r>
      <w:r>
        <w:rPr>
          <w:color w:val="231F20"/>
        </w:rPr>
        <w:t>cannot</w:t>
      </w:r>
      <w:r>
        <w:rPr>
          <w:color w:val="231F20"/>
          <w:spacing w:val="-11"/>
        </w:rPr>
        <w:t> </w:t>
      </w:r>
      <w:r>
        <w:rPr>
          <w:color w:val="231F20"/>
        </w:rPr>
        <w:t>be done</w:t>
      </w:r>
      <w:r>
        <w:rPr>
          <w:color w:val="231F20"/>
          <w:spacing w:val="-11"/>
        </w:rPr>
        <w:t> </w:t>
      </w:r>
      <w:r>
        <w:rPr>
          <w:color w:val="231F20"/>
        </w:rPr>
        <w:t>electronically</w:t>
      </w:r>
      <w:r>
        <w:rPr>
          <w:color w:val="231F20"/>
          <w:spacing w:val="-11"/>
        </w:rPr>
        <w:t> </w:t>
      </w:r>
      <w:r>
        <w:rPr>
          <w:color w:val="231F20"/>
        </w:rPr>
        <w:t>as</w:t>
      </w:r>
      <w:r>
        <w:rPr>
          <w:color w:val="231F20"/>
          <w:spacing w:val="-11"/>
        </w:rPr>
        <w:t> </w:t>
      </w:r>
      <w:r>
        <w:rPr>
          <w:color w:val="231F20"/>
        </w:rPr>
        <w:t>the</w:t>
      </w:r>
      <w:r>
        <w:rPr>
          <w:color w:val="231F20"/>
          <w:spacing w:val="-11"/>
        </w:rPr>
        <w:t> </w:t>
      </w:r>
      <w:r>
        <w:rPr>
          <w:color w:val="231F20"/>
        </w:rPr>
        <w:t>IFMIS</w:t>
      </w:r>
      <w:r>
        <w:rPr>
          <w:color w:val="231F20"/>
          <w:spacing w:val="-11"/>
        </w:rPr>
        <w:t> </w:t>
      </w:r>
      <w:r>
        <w:rPr>
          <w:color w:val="231F20"/>
        </w:rPr>
        <w:t>system</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AGD</w:t>
      </w:r>
      <w:r>
        <w:rPr>
          <w:color w:val="231F20"/>
          <w:spacing w:val="-11"/>
        </w:rPr>
        <w:t> </w:t>
      </w:r>
      <w:r>
        <w:rPr>
          <w:color w:val="231F20"/>
        </w:rPr>
        <w:t>is</w:t>
      </w:r>
      <w:r>
        <w:rPr>
          <w:color w:val="231F20"/>
          <w:spacing w:val="-11"/>
        </w:rPr>
        <w:t> </w:t>
      </w:r>
      <w:r>
        <w:rPr>
          <w:color w:val="231F20"/>
        </w:rPr>
        <w:t>not</w:t>
      </w:r>
      <w:r>
        <w:rPr>
          <w:color w:val="231F20"/>
          <w:spacing w:val="-11"/>
        </w:rPr>
        <w:t> </w:t>
      </w:r>
      <w:r>
        <w:rPr>
          <w:color w:val="231F20"/>
        </w:rPr>
        <w:t>integrated</w:t>
      </w:r>
      <w:r>
        <w:rPr>
          <w:color w:val="231F20"/>
          <w:spacing w:val="-11"/>
        </w:rPr>
        <w:t> </w:t>
      </w:r>
      <w:r>
        <w:rPr>
          <w:color w:val="231F20"/>
        </w:rPr>
        <w:t>with</w:t>
      </w:r>
      <w:r>
        <w:rPr>
          <w:color w:val="231F20"/>
          <w:spacing w:val="-10"/>
        </w:rPr>
        <w:t> </w:t>
      </w:r>
      <w:r>
        <w:rPr>
          <w:color w:val="231F20"/>
        </w:rPr>
        <w:t>the</w:t>
      </w:r>
      <w:r>
        <w:rPr>
          <w:color w:val="231F20"/>
          <w:spacing w:val="-11"/>
        </w:rPr>
        <w:t> </w:t>
      </w:r>
      <w:r>
        <w:rPr>
          <w:color w:val="231F20"/>
        </w:rPr>
        <w:t>system at</w:t>
      </w:r>
      <w:r>
        <w:rPr>
          <w:color w:val="231F20"/>
          <w:spacing w:val="-30"/>
        </w:rPr>
        <w:t> </w:t>
      </w:r>
      <w:r>
        <w:rPr>
          <w:color w:val="231F20"/>
        </w:rPr>
        <w:t>BSL.</w:t>
      </w:r>
      <w:r>
        <w:rPr>
          <w:color w:val="231F20"/>
          <w:spacing w:val="-30"/>
        </w:rPr>
        <w:t> </w:t>
      </w:r>
      <w:r>
        <w:rPr>
          <w:color w:val="231F20"/>
        </w:rPr>
        <w:t>To</w:t>
      </w:r>
      <w:r>
        <w:rPr>
          <w:color w:val="231F20"/>
          <w:spacing w:val="-30"/>
        </w:rPr>
        <w:t> </w:t>
      </w:r>
      <w:r>
        <w:rPr>
          <w:color w:val="231F20"/>
        </w:rPr>
        <w:t>address</w:t>
      </w:r>
      <w:r>
        <w:rPr>
          <w:color w:val="231F20"/>
          <w:spacing w:val="-30"/>
        </w:rPr>
        <w:t> </w:t>
      </w:r>
      <w:r>
        <w:rPr>
          <w:color w:val="231F20"/>
        </w:rPr>
        <w:t>this</w:t>
      </w:r>
      <w:r>
        <w:rPr>
          <w:color w:val="231F20"/>
          <w:spacing w:val="-30"/>
        </w:rPr>
        <w:t> </w:t>
      </w:r>
      <w:r>
        <w:rPr>
          <w:color w:val="231F20"/>
        </w:rPr>
        <w:t>constraint,</w:t>
      </w:r>
      <w:r>
        <w:rPr>
          <w:color w:val="231F20"/>
          <w:spacing w:val="-30"/>
        </w:rPr>
        <w:t> </w:t>
      </w:r>
      <w:r>
        <w:rPr>
          <w:color w:val="231F20"/>
        </w:rPr>
        <w:t>an</w:t>
      </w:r>
      <w:r>
        <w:rPr>
          <w:color w:val="231F20"/>
          <w:spacing w:val="-30"/>
        </w:rPr>
        <w:t> </w:t>
      </w:r>
      <w:r>
        <w:rPr>
          <w:color w:val="231F20"/>
        </w:rPr>
        <w:t>Electronic</w:t>
      </w:r>
      <w:r>
        <w:rPr>
          <w:color w:val="231F20"/>
          <w:spacing w:val="-31"/>
        </w:rPr>
        <w:t> </w:t>
      </w:r>
      <w:r>
        <w:rPr>
          <w:color w:val="231F20"/>
        </w:rPr>
        <w:t>Funds</w:t>
      </w:r>
      <w:r>
        <w:rPr>
          <w:color w:val="231F20"/>
          <w:spacing w:val="-30"/>
        </w:rPr>
        <w:t> </w:t>
      </w:r>
      <w:r>
        <w:rPr>
          <w:color w:val="231F20"/>
        </w:rPr>
        <w:t>Transfer</w:t>
      </w:r>
      <w:r>
        <w:rPr>
          <w:color w:val="231F20"/>
          <w:spacing w:val="-30"/>
        </w:rPr>
        <w:t> </w:t>
      </w:r>
      <w:r>
        <w:rPr>
          <w:color w:val="231F20"/>
        </w:rPr>
        <w:t>(EFT)</w:t>
      </w:r>
      <w:r>
        <w:rPr>
          <w:color w:val="231F20"/>
          <w:spacing w:val="-30"/>
        </w:rPr>
        <w:t> </w:t>
      </w:r>
      <w:r>
        <w:rPr>
          <w:color w:val="231F20"/>
        </w:rPr>
        <w:t>System</w:t>
      </w:r>
      <w:r>
        <w:rPr>
          <w:color w:val="231F20"/>
          <w:spacing w:val="-30"/>
        </w:rPr>
        <w:t> </w:t>
      </w:r>
      <w:r>
        <w:rPr>
          <w:color w:val="231F20"/>
        </w:rPr>
        <w:t>is</w:t>
      </w:r>
      <w:r>
        <w:rPr>
          <w:color w:val="231F20"/>
          <w:spacing w:val="-30"/>
        </w:rPr>
        <w:t> </w:t>
      </w:r>
      <w:r>
        <w:rPr>
          <w:color w:val="231F20"/>
        </w:rPr>
        <w:t>being developed to carry out the following</w:t>
      </w:r>
      <w:r>
        <w:rPr>
          <w:color w:val="231F20"/>
          <w:spacing w:val="-17"/>
        </w:rPr>
        <w:t> </w:t>
      </w:r>
      <w:r>
        <w:rPr>
          <w:color w:val="231F20"/>
        </w:rPr>
        <w:t>functions:</w:t>
      </w:r>
    </w:p>
    <w:p>
      <w:pPr>
        <w:pStyle w:val="BodyText"/>
        <w:spacing w:before="1"/>
        <w:rPr>
          <w:sz w:val="29"/>
        </w:rPr>
      </w:pPr>
    </w:p>
    <w:p>
      <w:pPr>
        <w:pStyle w:val="ListParagraph"/>
        <w:numPr>
          <w:ilvl w:val="1"/>
          <w:numId w:val="2"/>
        </w:numPr>
        <w:tabs>
          <w:tab w:pos="1523" w:val="left" w:leader="none"/>
        </w:tabs>
        <w:spacing w:line="302" w:lineRule="auto" w:before="0" w:after="0"/>
        <w:ind w:left="1522" w:right="119" w:hanging="435"/>
        <w:jc w:val="both"/>
        <w:rPr>
          <w:sz w:val="23"/>
        </w:rPr>
      </w:pPr>
      <w:r>
        <w:rPr>
          <w:color w:val="231F20"/>
          <w:sz w:val="23"/>
        </w:rPr>
        <w:t>Provide</w:t>
      </w:r>
      <w:r>
        <w:rPr>
          <w:color w:val="231F20"/>
          <w:spacing w:val="-35"/>
          <w:sz w:val="23"/>
        </w:rPr>
        <w:t> </w:t>
      </w:r>
      <w:r>
        <w:rPr>
          <w:color w:val="231F20"/>
          <w:sz w:val="23"/>
        </w:rPr>
        <w:t>the</w:t>
      </w:r>
      <w:r>
        <w:rPr>
          <w:color w:val="231F20"/>
          <w:spacing w:val="-35"/>
          <w:sz w:val="23"/>
        </w:rPr>
        <w:t> </w:t>
      </w:r>
      <w:r>
        <w:rPr>
          <w:color w:val="231F20"/>
          <w:sz w:val="23"/>
        </w:rPr>
        <w:t>Accountant</w:t>
      </w:r>
      <w:r>
        <w:rPr>
          <w:color w:val="231F20"/>
          <w:spacing w:val="-35"/>
          <w:sz w:val="23"/>
        </w:rPr>
        <w:t> </w:t>
      </w:r>
      <w:r>
        <w:rPr>
          <w:color w:val="231F20"/>
          <w:sz w:val="23"/>
        </w:rPr>
        <w:t>General’s</w:t>
      </w:r>
      <w:r>
        <w:rPr>
          <w:color w:val="231F20"/>
          <w:spacing w:val="-35"/>
          <w:sz w:val="23"/>
        </w:rPr>
        <w:t> </w:t>
      </w:r>
      <w:r>
        <w:rPr>
          <w:color w:val="231F20"/>
          <w:sz w:val="23"/>
        </w:rPr>
        <w:t>Department</w:t>
      </w:r>
      <w:r>
        <w:rPr>
          <w:color w:val="231F20"/>
          <w:spacing w:val="-35"/>
          <w:sz w:val="23"/>
        </w:rPr>
        <w:t> </w:t>
      </w:r>
      <w:r>
        <w:rPr>
          <w:color w:val="231F20"/>
          <w:sz w:val="23"/>
        </w:rPr>
        <w:t>with</w:t>
      </w:r>
      <w:r>
        <w:rPr>
          <w:color w:val="231F20"/>
          <w:spacing w:val="-35"/>
          <w:sz w:val="23"/>
        </w:rPr>
        <w:t> </w:t>
      </w:r>
      <w:r>
        <w:rPr>
          <w:color w:val="231F20"/>
          <w:sz w:val="23"/>
        </w:rPr>
        <w:t>the</w:t>
      </w:r>
      <w:r>
        <w:rPr>
          <w:color w:val="231F20"/>
          <w:spacing w:val="-35"/>
          <w:sz w:val="23"/>
        </w:rPr>
        <w:t> </w:t>
      </w:r>
      <w:r>
        <w:rPr>
          <w:color w:val="231F20"/>
          <w:sz w:val="23"/>
        </w:rPr>
        <w:t>capability</w:t>
      </w:r>
      <w:r>
        <w:rPr>
          <w:color w:val="231F20"/>
          <w:spacing w:val="-35"/>
          <w:sz w:val="23"/>
        </w:rPr>
        <w:t> </w:t>
      </w:r>
      <w:r>
        <w:rPr>
          <w:color w:val="231F20"/>
          <w:sz w:val="23"/>
        </w:rPr>
        <w:t>to</w:t>
      </w:r>
      <w:r>
        <w:rPr>
          <w:color w:val="231F20"/>
          <w:spacing w:val="-35"/>
          <w:sz w:val="23"/>
        </w:rPr>
        <w:t> </w:t>
      </w:r>
      <w:r>
        <w:rPr>
          <w:color w:val="231F20"/>
          <w:sz w:val="23"/>
        </w:rPr>
        <w:t>make cashless</w:t>
      </w:r>
      <w:r>
        <w:rPr>
          <w:color w:val="231F20"/>
          <w:spacing w:val="-9"/>
          <w:sz w:val="23"/>
        </w:rPr>
        <w:t> </w:t>
      </w:r>
      <w:r>
        <w:rPr>
          <w:color w:val="231F20"/>
          <w:sz w:val="23"/>
        </w:rPr>
        <w:t>and</w:t>
      </w:r>
      <w:r>
        <w:rPr>
          <w:color w:val="231F20"/>
          <w:spacing w:val="-9"/>
          <w:sz w:val="23"/>
        </w:rPr>
        <w:t> </w:t>
      </w:r>
      <w:r>
        <w:rPr>
          <w:color w:val="231F20"/>
          <w:sz w:val="23"/>
        </w:rPr>
        <w:t>paperless</w:t>
      </w:r>
      <w:r>
        <w:rPr>
          <w:color w:val="231F20"/>
          <w:spacing w:val="-9"/>
          <w:sz w:val="23"/>
        </w:rPr>
        <w:t> </w:t>
      </w:r>
      <w:r>
        <w:rPr>
          <w:color w:val="231F20"/>
          <w:sz w:val="23"/>
        </w:rPr>
        <w:t>disbursements</w:t>
      </w:r>
      <w:r>
        <w:rPr>
          <w:color w:val="231F20"/>
          <w:spacing w:val="-9"/>
          <w:sz w:val="23"/>
        </w:rPr>
        <w:t> </w:t>
      </w:r>
      <w:r>
        <w:rPr>
          <w:color w:val="231F20"/>
          <w:sz w:val="23"/>
        </w:rPr>
        <w:t>to</w:t>
      </w:r>
      <w:r>
        <w:rPr>
          <w:color w:val="231F20"/>
          <w:spacing w:val="-9"/>
          <w:sz w:val="23"/>
        </w:rPr>
        <w:t> </w:t>
      </w:r>
      <w:r>
        <w:rPr>
          <w:color w:val="231F20"/>
          <w:sz w:val="23"/>
        </w:rPr>
        <w:t>recipients</w:t>
      </w:r>
      <w:r>
        <w:rPr>
          <w:color w:val="231F20"/>
          <w:spacing w:val="-9"/>
          <w:sz w:val="23"/>
        </w:rPr>
        <w:t> </w:t>
      </w:r>
      <w:r>
        <w:rPr>
          <w:color w:val="231F20"/>
          <w:sz w:val="23"/>
        </w:rPr>
        <w:t>and</w:t>
      </w:r>
      <w:r>
        <w:rPr>
          <w:color w:val="231F20"/>
          <w:spacing w:val="-9"/>
          <w:sz w:val="23"/>
        </w:rPr>
        <w:t> </w:t>
      </w:r>
      <w:r>
        <w:rPr>
          <w:color w:val="231F20"/>
          <w:sz w:val="23"/>
        </w:rPr>
        <w:t>beneficiaries</w:t>
      </w:r>
      <w:r>
        <w:rPr>
          <w:color w:val="231F20"/>
          <w:spacing w:val="-9"/>
          <w:sz w:val="23"/>
        </w:rPr>
        <w:t> </w:t>
      </w:r>
      <w:r>
        <w:rPr>
          <w:color w:val="231F20"/>
          <w:sz w:val="23"/>
        </w:rPr>
        <w:t>of Government payment obligations through the Bank of Sierra</w:t>
      </w:r>
      <w:r>
        <w:rPr>
          <w:color w:val="231F20"/>
          <w:spacing w:val="-8"/>
          <w:sz w:val="23"/>
        </w:rPr>
        <w:t> </w:t>
      </w:r>
      <w:r>
        <w:rPr>
          <w:color w:val="231F20"/>
          <w:sz w:val="23"/>
        </w:rPr>
        <w:t>Leone;</w:t>
      </w:r>
    </w:p>
    <w:p>
      <w:pPr>
        <w:pStyle w:val="BodyText"/>
        <w:spacing w:before="9"/>
        <w:rPr>
          <w:sz w:val="28"/>
        </w:rPr>
      </w:pPr>
    </w:p>
    <w:p>
      <w:pPr>
        <w:pStyle w:val="ListParagraph"/>
        <w:numPr>
          <w:ilvl w:val="1"/>
          <w:numId w:val="2"/>
        </w:numPr>
        <w:tabs>
          <w:tab w:pos="1523" w:val="left" w:leader="none"/>
        </w:tabs>
        <w:spacing w:line="302" w:lineRule="auto" w:before="0" w:after="0"/>
        <w:ind w:left="1522" w:right="120" w:hanging="509"/>
        <w:jc w:val="both"/>
        <w:rPr>
          <w:sz w:val="23"/>
        </w:rPr>
      </w:pPr>
      <w:r>
        <w:rPr>
          <w:color w:val="231F20"/>
          <w:sz w:val="23"/>
        </w:rPr>
        <w:t>Enable the real time processing of all payment transactions from </w:t>
      </w:r>
      <w:r>
        <w:rPr>
          <w:color w:val="231F20"/>
          <w:spacing w:val="-4"/>
          <w:sz w:val="23"/>
        </w:rPr>
        <w:t>the </w:t>
      </w:r>
      <w:r>
        <w:rPr>
          <w:color w:val="231F20"/>
          <w:sz w:val="23"/>
        </w:rPr>
        <w:t>Accountant-General’s Department;</w:t>
      </w:r>
      <w:r>
        <w:rPr>
          <w:color w:val="231F20"/>
          <w:spacing w:val="11"/>
          <w:sz w:val="23"/>
        </w:rPr>
        <w:t> </w:t>
      </w:r>
      <w:r>
        <w:rPr>
          <w:color w:val="231F20"/>
          <w:sz w:val="23"/>
        </w:rPr>
        <w:t>and</w:t>
      </w:r>
    </w:p>
    <w:p>
      <w:pPr>
        <w:pStyle w:val="BodyText"/>
        <w:spacing w:before="11"/>
        <w:rPr>
          <w:sz w:val="28"/>
        </w:rPr>
      </w:pPr>
    </w:p>
    <w:p>
      <w:pPr>
        <w:pStyle w:val="ListParagraph"/>
        <w:numPr>
          <w:ilvl w:val="1"/>
          <w:numId w:val="2"/>
        </w:numPr>
        <w:tabs>
          <w:tab w:pos="1521" w:val="left" w:leader="none"/>
          <w:tab w:pos="1523" w:val="left" w:leader="none"/>
        </w:tabs>
        <w:spacing w:line="302" w:lineRule="auto" w:before="0" w:after="0"/>
        <w:ind w:left="1522" w:right="121" w:hanging="584"/>
        <w:jc w:val="left"/>
        <w:rPr>
          <w:sz w:val="23"/>
        </w:rPr>
      </w:pPr>
      <w:r>
        <w:rPr>
          <w:color w:val="231F20"/>
          <w:sz w:val="23"/>
        </w:rPr>
        <w:t>Provide</w:t>
      </w:r>
      <w:r>
        <w:rPr>
          <w:color w:val="231F20"/>
          <w:spacing w:val="-16"/>
          <w:sz w:val="23"/>
        </w:rPr>
        <w:t> </w:t>
      </w:r>
      <w:r>
        <w:rPr>
          <w:color w:val="231F20"/>
          <w:sz w:val="23"/>
        </w:rPr>
        <w:t>for</w:t>
      </w:r>
      <w:r>
        <w:rPr>
          <w:color w:val="231F20"/>
          <w:spacing w:val="-15"/>
          <w:sz w:val="23"/>
        </w:rPr>
        <w:t> </w:t>
      </w:r>
      <w:r>
        <w:rPr>
          <w:color w:val="231F20"/>
          <w:sz w:val="23"/>
        </w:rPr>
        <w:t>a</w:t>
      </w:r>
      <w:r>
        <w:rPr>
          <w:color w:val="231F20"/>
          <w:spacing w:val="-16"/>
          <w:sz w:val="23"/>
        </w:rPr>
        <w:t> </w:t>
      </w:r>
      <w:r>
        <w:rPr>
          <w:color w:val="231F20"/>
          <w:sz w:val="23"/>
        </w:rPr>
        <w:t>seamless</w:t>
      </w:r>
      <w:r>
        <w:rPr>
          <w:color w:val="231F20"/>
          <w:spacing w:val="-16"/>
          <w:sz w:val="23"/>
        </w:rPr>
        <w:t> </w:t>
      </w:r>
      <w:r>
        <w:rPr>
          <w:color w:val="231F20"/>
          <w:sz w:val="23"/>
        </w:rPr>
        <w:t>reconciliation</w:t>
      </w:r>
      <w:r>
        <w:rPr>
          <w:color w:val="231F20"/>
          <w:spacing w:val="-15"/>
          <w:sz w:val="23"/>
        </w:rPr>
        <w:t> </w:t>
      </w:r>
      <w:r>
        <w:rPr>
          <w:color w:val="231F20"/>
          <w:sz w:val="23"/>
        </w:rPr>
        <w:t>process</w:t>
      </w:r>
      <w:r>
        <w:rPr>
          <w:color w:val="231F20"/>
          <w:spacing w:val="-16"/>
          <w:sz w:val="23"/>
        </w:rPr>
        <w:t> </w:t>
      </w:r>
      <w:r>
        <w:rPr>
          <w:color w:val="231F20"/>
          <w:sz w:val="23"/>
        </w:rPr>
        <w:t>between</w:t>
      </w:r>
      <w:r>
        <w:rPr>
          <w:color w:val="231F20"/>
          <w:spacing w:val="-16"/>
          <w:sz w:val="23"/>
        </w:rPr>
        <w:t> </w:t>
      </w:r>
      <w:r>
        <w:rPr>
          <w:color w:val="231F20"/>
          <w:sz w:val="23"/>
        </w:rPr>
        <w:t>the</w:t>
      </w:r>
      <w:r>
        <w:rPr>
          <w:color w:val="231F20"/>
          <w:spacing w:val="-15"/>
          <w:sz w:val="23"/>
        </w:rPr>
        <w:t> </w:t>
      </w:r>
      <w:r>
        <w:rPr>
          <w:color w:val="231F20"/>
          <w:sz w:val="23"/>
        </w:rPr>
        <w:t>Bank</w:t>
      </w:r>
      <w:r>
        <w:rPr>
          <w:color w:val="231F20"/>
          <w:spacing w:val="-15"/>
          <w:sz w:val="23"/>
        </w:rPr>
        <w:t> </w:t>
      </w:r>
      <w:r>
        <w:rPr>
          <w:color w:val="231F20"/>
          <w:sz w:val="23"/>
        </w:rPr>
        <w:t>of</w:t>
      </w:r>
      <w:r>
        <w:rPr>
          <w:color w:val="231F20"/>
          <w:spacing w:val="-16"/>
          <w:sz w:val="23"/>
        </w:rPr>
        <w:t> </w:t>
      </w:r>
      <w:r>
        <w:rPr>
          <w:color w:val="231F20"/>
          <w:sz w:val="23"/>
        </w:rPr>
        <w:t>Sierra Leone and the Accountant General’s</w:t>
      </w:r>
      <w:r>
        <w:rPr>
          <w:color w:val="231F20"/>
          <w:spacing w:val="50"/>
          <w:sz w:val="23"/>
        </w:rPr>
        <w:t> </w:t>
      </w:r>
      <w:r>
        <w:rPr>
          <w:color w:val="231F20"/>
          <w:sz w:val="23"/>
        </w:rPr>
        <w:t>Department.</w:t>
      </w:r>
    </w:p>
    <w:p>
      <w:pPr>
        <w:pStyle w:val="BodyText"/>
        <w:spacing w:before="11"/>
        <w:rPr>
          <w:sz w:val="28"/>
        </w:rPr>
      </w:pPr>
    </w:p>
    <w:p>
      <w:pPr>
        <w:pStyle w:val="Heading2"/>
      </w:pPr>
      <w:r>
        <w:rPr>
          <w:color w:val="231F20"/>
        </w:rPr>
        <w:t>Rent for Government Offices</w:t>
      </w:r>
    </w:p>
    <w:p>
      <w:pPr>
        <w:pStyle w:val="ListParagraph"/>
        <w:numPr>
          <w:ilvl w:val="0"/>
          <w:numId w:val="2"/>
        </w:numPr>
        <w:tabs>
          <w:tab w:pos="954" w:val="left" w:leader="none"/>
        </w:tabs>
        <w:spacing w:line="302" w:lineRule="auto" w:before="71" w:after="0"/>
        <w:ind w:left="103" w:right="118" w:firstLine="223"/>
        <w:jc w:val="both"/>
        <w:rPr>
          <w:sz w:val="23"/>
        </w:rPr>
      </w:pPr>
      <w:r>
        <w:rPr>
          <w:color w:val="231F20"/>
          <w:sz w:val="23"/>
        </w:rPr>
        <w:t>Mr.</w:t>
      </w:r>
      <w:r>
        <w:rPr>
          <w:color w:val="231F20"/>
          <w:spacing w:val="-18"/>
          <w:sz w:val="23"/>
        </w:rPr>
        <w:t> </w:t>
      </w:r>
      <w:r>
        <w:rPr>
          <w:color w:val="231F20"/>
          <w:sz w:val="23"/>
        </w:rPr>
        <w:t>Speaker,</w:t>
      </w:r>
      <w:r>
        <w:rPr>
          <w:color w:val="231F20"/>
          <w:spacing w:val="-18"/>
          <w:sz w:val="23"/>
        </w:rPr>
        <w:t> </w:t>
      </w:r>
      <w:r>
        <w:rPr>
          <w:color w:val="231F20"/>
          <w:sz w:val="23"/>
        </w:rPr>
        <w:t>Honourable</w:t>
      </w:r>
      <w:r>
        <w:rPr>
          <w:color w:val="231F20"/>
          <w:spacing w:val="-18"/>
          <w:sz w:val="23"/>
        </w:rPr>
        <w:t> </w:t>
      </w:r>
      <w:r>
        <w:rPr>
          <w:color w:val="231F20"/>
          <w:sz w:val="23"/>
        </w:rPr>
        <w:t>Members,</w:t>
      </w:r>
      <w:r>
        <w:rPr>
          <w:color w:val="231F20"/>
          <w:spacing w:val="-18"/>
          <w:sz w:val="23"/>
        </w:rPr>
        <w:t> </w:t>
      </w:r>
      <w:r>
        <w:rPr>
          <w:color w:val="231F20"/>
          <w:sz w:val="23"/>
        </w:rPr>
        <w:t>Government</w:t>
      </w:r>
      <w:r>
        <w:rPr>
          <w:color w:val="231F20"/>
          <w:spacing w:val="-18"/>
          <w:sz w:val="23"/>
        </w:rPr>
        <w:t> </w:t>
      </w:r>
      <w:r>
        <w:rPr>
          <w:color w:val="231F20"/>
          <w:sz w:val="23"/>
        </w:rPr>
        <w:t>spends</w:t>
      </w:r>
      <w:r>
        <w:rPr>
          <w:color w:val="231F20"/>
          <w:spacing w:val="-18"/>
          <w:sz w:val="23"/>
        </w:rPr>
        <w:t> </w:t>
      </w:r>
      <w:r>
        <w:rPr>
          <w:color w:val="231F20"/>
          <w:sz w:val="23"/>
        </w:rPr>
        <w:t>billions</w:t>
      </w:r>
      <w:r>
        <w:rPr>
          <w:color w:val="231F20"/>
          <w:spacing w:val="-18"/>
          <w:sz w:val="23"/>
        </w:rPr>
        <w:t> </w:t>
      </w:r>
      <w:r>
        <w:rPr>
          <w:color w:val="231F20"/>
          <w:sz w:val="23"/>
        </w:rPr>
        <w:t>of</w:t>
      </w:r>
      <w:r>
        <w:rPr>
          <w:color w:val="231F20"/>
          <w:spacing w:val="-18"/>
          <w:sz w:val="23"/>
        </w:rPr>
        <w:t> </w:t>
      </w:r>
      <w:r>
        <w:rPr>
          <w:color w:val="231F20"/>
          <w:sz w:val="23"/>
        </w:rPr>
        <w:t>Leones</w:t>
      </w:r>
      <w:r>
        <w:rPr>
          <w:color w:val="231F20"/>
          <w:spacing w:val="-18"/>
          <w:sz w:val="23"/>
        </w:rPr>
        <w:t> </w:t>
      </w:r>
      <w:r>
        <w:rPr>
          <w:color w:val="231F20"/>
          <w:sz w:val="23"/>
        </w:rPr>
        <w:t>on rent for Government offices. Preliminary reviews indicate that these rents are over- bloated</w:t>
      </w:r>
      <w:r>
        <w:rPr>
          <w:color w:val="231F20"/>
          <w:spacing w:val="-6"/>
          <w:sz w:val="23"/>
        </w:rPr>
        <w:t> </w:t>
      </w:r>
      <w:r>
        <w:rPr>
          <w:color w:val="231F20"/>
          <w:sz w:val="23"/>
        </w:rPr>
        <w:t>and</w:t>
      </w:r>
      <w:r>
        <w:rPr>
          <w:color w:val="231F20"/>
          <w:spacing w:val="-6"/>
          <w:sz w:val="23"/>
        </w:rPr>
        <w:t> </w:t>
      </w:r>
      <w:r>
        <w:rPr>
          <w:color w:val="231F20"/>
          <w:sz w:val="23"/>
        </w:rPr>
        <w:t>there</w:t>
      </w:r>
      <w:r>
        <w:rPr>
          <w:color w:val="231F20"/>
          <w:spacing w:val="-6"/>
          <w:sz w:val="23"/>
        </w:rPr>
        <w:t> </w:t>
      </w:r>
      <w:r>
        <w:rPr>
          <w:color w:val="231F20"/>
          <w:sz w:val="23"/>
        </w:rPr>
        <w:t>is</w:t>
      </w:r>
      <w:r>
        <w:rPr>
          <w:color w:val="231F20"/>
          <w:spacing w:val="-6"/>
          <w:sz w:val="23"/>
        </w:rPr>
        <w:t> </w:t>
      </w:r>
      <w:r>
        <w:rPr>
          <w:color w:val="231F20"/>
          <w:sz w:val="23"/>
        </w:rPr>
        <w:t>possible</w:t>
      </w:r>
      <w:r>
        <w:rPr>
          <w:color w:val="231F20"/>
          <w:spacing w:val="-6"/>
          <w:sz w:val="23"/>
        </w:rPr>
        <w:t> </w:t>
      </w:r>
      <w:r>
        <w:rPr>
          <w:color w:val="231F20"/>
          <w:sz w:val="23"/>
        </w:rPr>
        <w:t>collusion</w:t>
      </w:r>
      <w:r>
        <w:rPr>
          <w:color w:val="231F20"/>
          <w:spacing w:val="-6"/>
          <w:sz w:val="23"/>
        </w:rPr>
        <w:t> </w:t>
      </w:r>
      <w:r>
        <w:rPr>
          <w:color w:val="231F20"/>
          <w:sz w:val="23"/>
        </w:rPr>
        <w:t>between</w:t>
      </w:r>
      <w:r>
        <w:rPr>
          <w:color w:val="231F20"/>
          <w:spacing w:val="-6"/>
          <w:sz w:val="23"/>
        </w:rPr>
        <w:t> </w:t>
      </w:r>
      <w:r>
        <w:rPr>
          <w:color w:val="231F20"/>
          <w:sz w:val="23"/>
        </w:rPr>
        <w:t>occupants</w:t>
      </w:r>
      <w:r>
        <w:rPr>
          <w:color w:val="231F20"/>
          <w:spacing w:val="-6"/>
          <w:sz w:val="23"/>
        </w:rPr>
        <w:t> </w:t>
      </w:r>
      <w:r>
        <w:rPr>
          <w:color w:val="231F20"/>
          <w:sz w:val="23"/>
        </w:rPr>
        <w:t>and</w:t>
      </w:r>
      <w:r>
        <w:rPr>
          <w:color w:val="231F20"/>
          <w:spacing w:val="-6"/>
          <w:sz w:val="23"/>
        </w:rPr>
        <w:t> </w:t>
      </w:r>
      <w:r>
        <w:rPr>
          <w:color w:val="231F20"/>
          <w:sz w:val="23"/>
        </w:rPr>
        <w:t>the</w:t>
      </w:r>
      <w:r>
        <w:rPr>
          <w:color w:val="231F20"/>
          <w:spacing w:val="-6"/>
          <w:sz w:val="23"/>
        </w:rPr>
        <w:t> </w:t>
      </w:r>
      <w:r>
        <w:rPr>
          <w:color w:val="231F20"/>
          <w:sz w:val="23"/>
        </w:rPr>
        <w:t>landlords.</w:t>
      </w:r>
      <w:r>
        <w:rPr>
          <w:color w:val="231F20"/>
          <w:spacing w:val="-6"/>
          <w:sz w:val="23"/>
        </w:rPr>
        <w:t> </w:t>
      </w:r>
      <w:r>
        <w:rPr>
          <w:color w:val="231F20"/>
          <w:sz w:val="23"/>
        </w:rPr>
        <w:t>Whilst Government</w:t>
      </w:r>
      <w:r>
        <w:rPr>
          <w:color w:val="231F20"/>
          <w:spacing w:val="-28"/>
          <w:sz w:val="23"/>
        </w:rPr>
        <w:t> </w:t>
      </w:r>
      <w:r>
        <w:rPr>
          <w:color w:val="231F20"/>
          <w:sz w:val="23"/>
        </w:rPr>
        <w:t>is</w:t>
      </w:r>
      <w:r>
        <w:rPr>
          <w:color w:val="231F20"/>
          <w:spacing w:val="-28"/>
          <w:sz w:val="23"/>
        </w:rPr>
        <w:t> </w:t>
      </w:r>
      <w:r>
        <w:rPr>
          <w:color w:val="231F20"/>
          <w:sz w:val="23"/>
        </w:rPr>
        <w:t>seeking</w:t>
      </w:r>
      <w:r>
        <w:rPr>
          <w:color w:val="231F20"/>
          <w:spacing w:val="-29"/>
          <w:sz w:val="23"/>
        </w:rPr>
        <w:t> </w:t>
      </w:r>
      <w:r>
        <w:rPr>
          <w:color w:val="231F20"/>
          <w:sz w:val="23"/>
        </w:rPr>
        <w:t>funding</w:t>
      </w:r>
      <w:r>
        <w:rPr>
          <w:color w:val="231F20"/>
          <w:spacing w:val="-28"/>
          <w:sz w:val="23"/>
        </w:rPr>
        <w:t> </w:t>
      </w:r>
      <w:r>
        <w:rPr>
          <w:color w:val="231F20"/>
          <w:sz w:val="23"/>
        </w:rPr>
        <w:t>to</w:t>
      </w:r>
      <w:r>
        <w:rPr>
          <w:color w:val="231F20"/>
          <w:spacing w:val="-28"/>
          <w:sz w:val="23"/>
        </w:rPr>
        <w:t> </w:t>
      </w:r>
      <w:r>
        <w:rPr>
          <w:color w:val="231F20"/>
          <w:sz w:val="23"/>
        </w:rPr>
        <w:t>construct</w:t>
      </w:r>
      <w:r>
        <w:rPr>
          <w:color w:val="231F20"/>
          <w:spacing w:val="-29"/>
          <w:sz w:val="23"/>
        </w:rPr>
        <w:t> </w:t>
      </w:r>
      <w:r>
        <w:rPr>
          <w:color w:val="231F20"/>
          <w:sz w:val="23"/>
        </w:rPr>
        <w:t>permanent</w:t>
      </w:r>
      <w:r>
        <w:rPr>
          <w:color w:val="231F20"/>
          <w:spacing w:val="-29"/>
          <w:sz w:val="23"/>
        </w:rPr>
        <w:t> </w:t>
      </w:r>
      <w:r>
        <w:rPr>
          <w:color w:val="231F20"/>
          <w:sz w:val="23"/>
        </w:rPr>
        <w:t>structures</w:t>
      </w:r>
      <w:r>
        <w:rPr>
          <w:color w:val="231F20"/>
          <w:spacing w:val="-29"/>
          <w:sz w:val="23"/>
        </w:rPr>
        <w:t> </w:t>
      </w:r>
      <w:r>
        <w:rPr>
          <w:color w:val="231F20"/>
          <w:sz w:val="23"/>
        </w:rPr>
        <w:t>for</w:t>
      </w:r>
      <w:r>
        <w:rPr>
          <w:color w:val="231F20"/>
          <w:spacing w:val="-28"/>
          <w:sz w:val="23"/>
        </w:rPr>
        <w:t> </w:t>
      </w:r>
      <w:r>
        <w:rPr>
          <w:color w:val="231F20"/>
          <w:sz w:val="23"/>
        </w:rPr>
        <w:t>offices,</w:t>
      </w:r>
      <w:r>
        <w:rPr>
          <w:color w:val="231F20"/>
          <w:spacing w:val="-29"/>
          <w:sz w:val="23"/>
        </w:rPr>
        <w:t> </w:t>
      </w:r>
      <w:r>
        <w:rPr>
          <w:color w:val="231F20"/>
          <w:sz w:val="23"/>
        </w:rPr>
        <w:t>effective January</w:t>
      </w:r>
      <w:r>
        <w:rPr>
          <w:color w:val="231F20"/>
          <w:spacing w:val="-43"/>
          <w:sz w:val="23"/>
        </w:rPr>
        <w:t> </w:t>
      </w:r>
      <w:r>
        <w:rPr>
          <w:color w:val="231F20"/>
          <w:sz w:val="23"/>
        </w:rPr>
        <w:t>2020,</w:t>
      </w:r>
      <w:r>
        <w:rPr>
          <w:color w:val="231F20"/>
          <w:spacing w:val="-43"/>
          <w:sz w:val="23"/>
        </w:rPr>
        <w:t> </w:t>
      </w:r>
      <w:r>
        <w:rPr>
          <w:color w:val="231F20"/>
          <w:sz w:val="23"/>
        </w:rPr>
        <w:t>the</w:t>
      </w:r>
      <w:r>
        <w:rPr>
          <w:color w:val="231F20"/>
          <w:spacing w:val="-41"/>
          <w:sz w:val="23"/>
        </w:rPr>
        <w:t> </w:t>
      </w:r>
      <w:r>
        <w:rPr>
          <w:color w:val="231F20"/>
          <w:sz w:val="23"/>
        </w:rPr>
        <w:t>Ministry</w:t>
      </w:r>
      <w:r>
        <w:rPr>
          <w:color w:val="231F20"/>
          <w:spacing w:val="-42"/>
          <w:sz w:val="23"/>
        </w:rPr>
        <w:t> </w:t>
      </w:r>
      <w:r>
        <w:rPr>
          <w:color w:val="231F20"/>
          <w:sz w:val="23"/>
        </w:rPr>
        <w:t>of</w:t>
      </w:r>
      <w:r>
        <w:rPr>
          <w:color w:val="231F20"/>
          <w:spacing w:val="-43"/>
          <w:sz w:val="23"/>
        </w:rPr>
        <w:t> </w:t>
      </w:r>
      <w:r>
        <w:rPr>
          <w:color w:val="231F20"/>
          <w:sz w:val="23"/>
        </w:rPr>
        <w:t>Works</w:t>
      </w:r>
      <w:r>
        <w:rPr>
          <w:color w:val="231F20"/>
          <w:spacing w:val="-41"/>
          <w:sz w:val="23"/>
        </w:rPr>
        <w:t> </w:t>
      </w:r>
      <w:r>
        <w:rPr>
          <w:color w:val="231F20"/>
          <w:sz w:val="23"/>
        </w:rPr>
        <w:t>and</w:t>
      </w:r>
      <w:r>
        <w:rPr>
          <w:color w:val="231F20"/>
          <w:spacing w:val="-43"/>
          <w:sz w:val="23"/>
        </w:rPr>
        <w:t> </w:t>
      </w:r>
      <w:r>
        <w:rPr>
          <w:color w:val="231F20"/>
          <w:sz w:val="23"/>
        </w:rPr>
        <w:t>Public</w:t>
      </w:r>
      <w:r>
        <w:rPr>
          <w:color w:val="231F20"/>
          <w:spacing w:val="-43"/>
          <w:sz w:val="23"/>
        </w:rPr>
        <w:t> </w:t>
      </w:r>
      <w:r>
        <w:rPr>
          <w:color w:val="231F20"/>
          <w:sz w:val="23"/>
        </w:rPr>
        <w:t>Assets</w:t>
      </w:r>
      <w:r>
        <w:rPr>
          <w:color w:val="231F20"/>
          <w:spacing w:val="-42"/>
          <w:sz w:val="23"/>
        </w:rPr>
        <w:t> </w:t>
      </w:r>
      <w:r>
        <w:rPr>
          <w:color w:val="231F20"/>
          <w:sz w:val="23"/>
        </w:rPr>
        <w:t>will</w:t>
      </w:r>
      <w:r>
        <w:rPr>
          <w:color w:val="231F20"/>
          <w:spacing w:val="-42"/>
          <w:sz w:val="23"/>
        </w:rPr>
        <w:t> </w:t>
      </w:r>
      <w:r>
        <w:rPr>
          <w:color w:val="231F20"/>
          <w:sz w:val="23"/>
        </w:rPr>
        <w:t>assess</w:t>
      </w:r>
      <w:r>
        <w:rPr>
          <w:color w:val="231F20"/>
          <w:spacing w:val="-42"/>
          <w:sz w:val="23"/>
        </w:rPr>
        <w:t> </w:t>
      </w:r>
      <w:r>
        <w:rPr>
          <w:color w:val="231F20"/>
          <w:sz w:val="23"/>
        </w:rPr>
        <w:t>the</w:t>
      </w:r>
      <w:r>
        <w:rPr>
          <w:color w:val="231F20"/>
          <w:spacing w:val="-42"/>
          <w:sz w:val="23"/>
        </w:rPr>
        <w:t> </w:t>
      </w:r>
      <w:r>
        <w:rPr>
          <w:color w:val="231F20"/>
          <w:sz w:val="23"/>
        </w:rPr>
        <w:t>value</w:t>
      </w:r>
      <w:r>
        <w:rPr>
          <w:color w:val="231F20"/>
          <w:spacing w:val="-43"/>
          <w:sz w:val="23"/>
        </w:rPr>
        <w:t> </w:t>
      </w:r>
      <w:r>
        <w:rPr>
          <w:color w:val="231F20"/>
          <w:sz w:val="23"/>
        </w:rPr>
        <w:t>of</w:t>
      </w:r>
      <w:r>
        <w:rPr>
          <w:color w:val="231F20"/>
          <w:spacing w:val="-42"/>
          <w:sz w:val="23"/>
        </w:rPr>
        <w:t> </w:t>
      </w:r>
      <w:r>
        <w:rPr>
          <w:color w:val="231F20"/>
          <w:sz w:val="23"/>
        </w:rPr>
        <w:t>all</w:t>
      </w:r>
      <w:r>
        <w:rPr>
          <w:color w:val="231F20"/>
          <w:spacing w:val="-43"/>
          <w:sz w:val="23"/>
        </w:rPr>
        <w:t> </w:t>
      </w:r>
      <w:r>
        <w:rPr>
          <w:color w:val="231F20"/>
          <w:sz w:val="23"/>
        </w:rPr>
        <w:t>rented buildings.</w:t>
      </w:r>
      <w:r>
        <w:rPr>
          <w:color w:val="231F20"/>
          <w:spacing w:val="-9"/>
          <w:sz w:val="23"/>
        </w:rPr>
        <w:t> </w:t>
      </w:r>
      <w:r>
        <w:rPr>
          <w:color w:val="231F20"/>
          <w:sz w:val="23"/>
        </w:rPr>
        <w:t>Henceforth,</w:t>
      </w:r>
      <w:r>
        <w:rPr>
          <w:color w:val="231F20"/>
          <w:spacing w:val="-9"/>
          <w:sz w:val="23"/>
        </w:rPr>
        <w:t> </w:t>
      </w:r>
      <w:r>
        <w:rPr>
          <w:color w:val="231F20"/>
          <w:sz w:val="23"/>
        </w:rPr>
        <w:t>all</w:t>
      </w:r>
      <w:r>
        <w:rPr>
          <w:color w:val="231F20"/>
          <w:spacing w:val="-9"/>
          <w:sz w:val="23"/>
        </w:rPr>
        <w:t> </w:t>
      </w:r>
      <w:r>
        <w:rPr>
          <w:color w:val="231F20"/>
          <w:sz w:val="23"/>
        </w:rPr>
        <w:t>rental</w:t>
      </w:r>
      <w:r>
        <w:rPr>
          <w:color w:val="231F20"/>
          <w:spacing w:val="-9"/>
          <w:sz w:val="23"/>
        </w:rPr>
        <w:t> </w:t>
      </w:r>
      <w:r>
        <w:rPr>
          <w:color w:val="231F20"/>
          <w:sz w:val="23"/>
        </w:rPr>
        <w:t>requests</w:t>
      </w:r>
      <w:r>
        <w:rPr>
          <w:color w:val="231F20"/>
          <w:spacing w:val="-9"/>
          <w:sz w:val="23"/>
        </w:rPr>
        <w:t> </w:t>
      </w:r>
      <w:r>
        <w:rPr>
          <w:color w:val="231F20"/>
          <w:sz w:val="23"/>
        </w:rPr>
        <w:t>will</w:t>
      </w:r>
      <w:r>
        <w:rPr>
          <w:color w:val="231F20"/>
          <w:spacing w:val="-9"/>
          <w:sz w:val="23"/>
        </w:rPr>
        <w:t> </w:t>
      </w:r>
      <w:r>
        <w:rPr>
          <w:color w:val="231F20"/>
          <w:sz w:val="23"/>
        </w:rPr>
        <w:t>be</w:t>
      </w:r>
      <w:r>
        <w:rPr>
          <w:color w:val="231F20"/>
          <w:spacing w:val="-9"/>
          <w:sz w:val="23"/>
        </w:rPr>
        <w:t> </w:t>
      </w:r>
      <w:r>
        <w:rPr>
          <w:color w:val="231F20"/>
          <w:sz w:val="23"/>
        </w:rPr>
        <w:t>channelled</w:t>
      </w:r>
      <w:r>
        <w:rPr>
          <w:color w:val="231F20"/>
          <w:spacing w:val="-9"/>
          <w:sz w:val="23"/>
        </w:rPr>
        <w:t> </w:t>
      </w:r>
      <w:r>
        <w:rPr>
          <w:color w:val="231F20"/>
          <w:sz w:val="23"/>
        </w:rPr>
        <w:t>through</w:t>
      </w:r>
      <w:r>
        <w:rPr>
          <w:color w:val="231F20"/>
          <w:spacing w:val="-9"/>
          <w:sz w:val="23"/>
        </w:rPr>
        <w:t> </w:t>
      </w:r>
      <w:r>
        <w:rPr>
          <w:color w:val="231F20"/>
          <w:sz w:val="23"/>
        </w:rPr>
        <w:t>the</w:t>
      </w:r>
      <w:r>
        <w:rPr>
          <w:color w:val="231F20"/>
          <w:spacing w:val="-9"/>
          <w:sz w:val="23"/>
        </w:rPr>
        <w:t> </w:t>
      </w:r>
      <w:r>
        <w:rPr>
          <w:color w:val="231F20"/>
          <w:sz w:val="23"/>
        </w:rPr>
        <w:t>Ministry</w:t>
      </w:r>
      <w:r>
        <w:rPr>
          <w:color w:val="231F20"/>
          <w:spacing w:val="-9"/>
          <w:sz w:val="23"/>
        </w:rPr>
        <w:t> </w:t>
      </w:r>
      <w:r>
        <w:rPr>
          <w:color w:val="231F20"/>
          <w:sz w:val="23"/>
        </w:rPr>
        <w:t>for assessment and approval before</w:t>
      </w:r>
      <w:r>
        <w:rPr>
          <w:color w:val="231F20"/>
          <w:spacing w:val="-44"/>
          <w:sz w:val="23"/>
        </w:rPr>
        <w:t> </w:t>
      </w:r>
      <w:r>
        <w:rPr>
          <w:color w:val="231F20"/>
          <w:sz w:val="23"/>
        </w:rPr>
        <w:t>payment.</w:t>
      </w:r>
    </w:p>
    <w:p>
      <w:pPr>
        <w:pStyle w:val="BodyText"/>
        <w:spacing w:before="9"/>
        <w:rPr>
          <w:sz w:val="28"/>
        </w:rPr>
      </w:pPr>
    </w:p>
    <w:p>
      <w:pPr>
        <w:pStyle w:val="Heading2"/>
      </w:pPr>
      <w:r>
        <w:rPr>
          <w:color w:val="231F20"/>
        </w:rPr>
        <w:t>Strengthening Public Procurement</w:t>
      </w:r>
    </w:p>
    <w:p>
      <w:pPr>
        <w:pStyle w:val="ListParagraph"/>
        <w:numPr>
          <w:ilvl w:val="0"/>
          <w:numId w:val="2"/>
        </w:numPr>
        <w:tabs>
          <w:tab w:pos="954" w:val="left" w:leader="none"/>
        </w:tabs>
        <w:spacing w:line="302" w:lineRule="auto" w:before="71" w:after="0"/>
        <w:ind w:left="103" w:right="121" w:firstLine="223"/>
        <w:jc w:val="both"/>
        <w:rPr>
          <w:sz w:val="23"/>
        </w:rPr>
      </w:pPr>
      <w:r>
        <w:rPr>
          <w:color w:val="231F20"/>
          <w:sz w:val="23"/>
        </w:rPr>
        <w:t>Mr.</w:t>
      </w:r>
      <w:r>
        <w:rPr>
          <w:color w:val="231F20"/>
          <w:spacing w:val="-42"/>
          <w:sz w:val="23"/>
        </w:rPr>
        <w:t> </w:t>
      </w:r>
      <w:r>
        <w:rPr>
          <w:color w:val="231F20"/>
          <w:sz w:val="23"/>
        </w:rPr>
        <w:t>Speaker,</w:t>
      </w:r>
      <w:r>
        <w:rPr>
          <w:color w:val="231F20"/>
          <w:spacing w:val="-42"/>
          <w:sz w:val="23"/>
        </w:rPr>
        <w:t> </w:t>
      </w:r>
      <w:r>
        <w:rPr>
          <w:color w:val="231F20"/>
          <w:sz w:val="23"/>
        </w:rPr>
        <w:t>Honourable</w:t>
      </w:r>
      <w:r>
        <w:rPr>
          <w:color w:val="231F20"/>
          <w:spacing w:val="-42"/>
          <w:sz w:val="23"/>
        </w:rPr>
        <w:t> </w:t>
      </w:r>
      <w:r>
        <w:rPr>
          <w:color w:val="231F20"/>
          <w:sz w:val="23"/>
        </w:rPr>
        <w:t>Members,</w:t>
      </w:r>
      <w:r>
        <w:rPr>
          <w:color w:val="231F20"/>
          <w:spacing w:val="-41"/>
          <w:sz w:val="23"/>
        </w:rPr>
        <w:t> </w:t>
      </w:r>
      <w:r>
        <w:rPr>
          <w:color w:val="231F20"/>
          <w:sz w:val="23"/>
        </w:rPr>
        <w:t>the</w:t>
      </w:r>
      <w:r>
        <w:rPr>
          <w:color w:val="231F20"/>
          <w:spacing w:val="-42"/>
          <w:sz w:val="23"/>
        </w:rPr>
        <w:t> </w:t>
      </w:r>
      <w:r>
        <w:rPr>
          <w:color w:val="231F20"/>
          <w:sz w:val="23"/>
        </w:rPr>
        <w:t>stringent</w:t>
      </w:r>
      <w:r>
        <w:rPr>
          <w:color w:val="231F20"/>
          <w:spacing w:val="-42"/>
          <w:sz w:val="23"/>
        </w:rPr>
        <w:t> </w:t>
      </w:r>
      <w:r>
        <w:rPr>
          <w:color w:val="231F20"/>
          <w:sz w:val="23"/>
        </w:rPr>
        <w:t>policies</w:t>
      </w:r>
      <w:r>
        <w:rPr>
          <w:color w:val="231F20"/>
          <w:spacing w:val="-41"/>
          <w:sz w:val="23"/>
        </w:rPr>
        <w:t> </w:t>
      </w:r>
      <w:r>
        <w:rPr>
          <w:color w:val="231F20"/>
          <w:sz w:val="23"/>
        </w:rPr>
        <w:t>of</w:t>
      </w:r>
      <w:r>
        <w:rPr>
          <w:color w:val="231F20"/>
          <w:spacing w:val="-42"/>
          <w:sz w:val="23"/>
        </w:rPr>
        <w:t> </w:t>
      </w:r>
      <w:r>
        <w:rPr>
          <w:color w:val="231F20"/>
          <w:sz w:val="23"/>
        </w:rPr>
        <w:t>the</w:t>
      </w:r>
      <w:r>
        <w:rPr>
          <w:color w:val="231F20"/>
          <w:spacing w:val="-42"/>
          <w:sz w:val="23"/>
        </w:rPr>
        <w:t> </w:t>
      </w:r>
      <w:r>
        <w:rPr>
          <w:color w:val="231F20"/>
          <w:sz w:val="23"/>
        </w:rPr>
        <w:t>National</w:t>
      </w:r>
      <w:r>
        <w:rPr>
          <w:color w:val="231F20"/>
          <w:spacing w:val="-41"/>
          <w:sz w:val="23"/>
        </w:rPr>
        <w:t> </w:t>
      </w:r>
      <w:r>
        <w:rPr>
          <w:color w:val="231F20"/>
          <w:sz w:val="23"/>
        </w:rPr>
        <w:t>Public Procurement Authority (NPPA) and adherence to procurement processes resulted in huge</w:t>
      </w:r>
      <w:r>
        <w:rPr>
          <w:color w:val="231F20"/>
          <w:spacing w:val="-22"/>
          <w:sz w:val="23"/>
        </w:rPr>
        <w:t> </w:t>
      </w:r>
      <w:r>
        <w:rPr>
          <w:color w:val="231F20"/>
          <w:sz w:val="23"/>
        </w:rPr>
        <w:t>savings</w:t>
      </w:r>
      <w:r>
        <w:rPr>
          <w:color w:val="231F20"/>
          <w:spacing w:val="-22"/>
          <w:sz w:val="23"/>
        </w:rPr>
        <w:t> </w:t>
      </w:r>
      <w:r>
        <w:rPr>
          <w:color w:val="231F20"/>
          <w:sz w:val="23"/>
        </w:rPr>
        <w:t>to</w:t>
      </w:r>
      <w:r>
        <w:rPr>
          <w:color w:val="231F20"/>
          <w:spacing w:val="-22"/>
          <w:sz w:val="23"/>
        </w:rPr>
        <w:t> </w:t>
      </w:r>
      <w:r>
        <w:rPr>
          <w:color w:val="231F20"/>
          <w:sz w:val="23"/>
        </w:rPr>
        <w:t>the</w:t>
      </w:r>
      <w:r>
        <w:rPr>
          <w:color w:val="231F20"/>
          <w:spacing w:val="-22"/>
          <w:sz w:val="23"/>
        </w:rPr>
        <w:t> </w:t>
      </w:r>
      <w:r>
        <w:rPr>
          <w:color w:val="231F20"/>
          <w:sz w:val="23"/>
        </w:rPr>
        <w:t>value</w:t>
      </w:r>
      <w:r>
        <w:rPr>
          <w:color w:val="231F20"/>
          <w:spacing w:val="-22"/>
          <w:sz w:val="23"/>
        </w:rPr>
        <w:t> </w:t>
      </w:r>
      <w:r>
        <w:rPr>
          <w:color w:val="231F20"/>
          <w:sz w:val="23"/>
        </w:rPr>
        <w:t>of</w:t>
      </w:r>
      <w:r>
        <w:rPr>
          <w:color w:val="231F20"/>
          <w:spacing w:val="-22"/>
          <w:sz w:val="23"/>
        </w:rPr>
        <w:t> </w:t>
      </w:r>
      <w:r>
        <w:rPr>
          <w:color w:val="231F20"/>
          <w:sz w:val="23"/>
        </w:rPr>
        <w:t>seventy</w:t>
      </w:r>
      <w:r>
        <w:rPr>
          <w:color w:val="231F20"/>
          <w:spacing w:val="-22"/>
          <w:sz w:val="23"/>
        </w:rPr>
        <w:t> </w:t>
      </w:r>
      <w:r>
        <w:rPr>
          <w:color w:val="231F20"/>
          <w:sz w:val="23"/>
        </w:rPr>
        <w:t>million</w:t>
      </w:r>
      <w:r>
        <w:rPr>
          <w:color w:val="231F20"/>
          <w:spacing w:val="-22"/>
          <w:sz w:val="23"/>
        </w:rPr>
        <w:t> </w:t>
      </w:r>
      <w:r>
        <w:rPr>
          <w:color w:val="231F20"/>
          <w:sz w:val="23"/>
        </w:rPr>
        <w:t>dollars</w:t>
      </w:r>
      <w:r>
        <w:rPr>
          <w:color w:val="231F20"/>
          <w:spacing w:val="-22"/>
          <w:sz w:val="23"/>
        </w:rPr>
        <w:t> </w:t>
      </w:r>
      <w:r>
        <w:rPr>
          <w:color w:val="231F20"/>
          <w:sz w:val="23"/>
        </w:rPr>
        <w:t>($70</w:t>
      </w:r>
      <w:r>
        <w:rPr>
          <w:color w:val="231F20"/>
          <w:spacing w:val="-22"/>
          <w:sz w:val="23"/>
        </w:rPr>
        <w:t> </w:t>
      </w:r>
      <w:r>
        <w:rPr>
          <w:color w:val="231F20"/>
          <w:sz w:val="23"/>
        </w:rPr>
        <w:t>million).</w:t>
      </w:r>
      <w:r>
        <w:rPr>
          <w:color w:val="231F20"/>
          <w:spacing w:val="-22"/>
          <w:sz w:val="23"/>
        </w:rPr>
        <w:t> </w:t>
      </w:r>
      <w:r>
        <w:rPr>
          <w:color w:val="231F20"/>
          <w:sz w:val="23"/>
        </w:rPr>
        <w:t>Among</w:t>
      </w:r>
      <w:r>
        <w:rPr>
          <w:color w:val="231F20"/>
          <w:spacing w:val="-22"/>
          <w:sz w:val="23"/>
        </w:rPr>
        <w:t> </w:t>
      </w:r>
      <w:r>
        <w:rPr>
          <w:color w:val="231F20"/>
          <w:sz w:val="23"/>
        </w:rPr>
        <w:t>others,</w:t>
      </w:r>
      <w:r>
        <w:rPr>
          <w:color w:val="231F20"/>
          <w:spacing w:val="-22"/>
          <w:sz w:val="23"/>
        </w:rPr>
        <w:t> </w:t>
      </w:r>
      <w:r>
        <w:rPr>
          <w:color w:val="231F20"/>
          <w:sz w:val="23"/>
        </w:rPr>
        <w:t>NPPA</w:t>
      </w:r>
    </w:p>
    <w:p>
      <w:pPr>
        <w:pStyle w:val="BodyText"/>
        <w:spacing w:line="302" w:lineRule="auto"/>
        <w:ind w:left="103" w:right="120"/>
        <w:jc w:val="both"/>
      </w:pPr>
      <w:r>
        <w:rPr>
          <w:color w:val="231F20"/>
        </w:rPr>
        <w:t>(i) introduced specialised standard bidding documents and now reviews bidding documents</w:t>
      </w:r>
      <w:r>
        <w:rPr>
          <w:color w:val="231F20"/>
          <w:spacing w:val="-21"/>
        </w:rPr>
        <w:t> </w:t>
      </w:r>
      <w:r>
        <w:rPr>
          <w:color w:val="231F20"/>
        </w:rPr>
        <w:t>and</w:t>
      </w:r>
      <w:r>
        <w:rPr>
          <w:color w:val="231F20"/>
          <w:spacing w:val="-21"/>
        </w:rPr>
        <w:t> </w:t>
      </w:r>
      <w:r>
        <w:rPr>
          <w:color w:val="231F20"/>
        </w:rPr>
        <w:t>evaluation</w:t>
      </w:r>
      <w:r>
        <w:rPr>
          <w:color w:val="231F20"/>
          <w:spacing w:val="-21"/>
        </w:rPr>
        <w:t> </w:t>
      </w:r>
      <w:r>
        <w:rPr>
          <w:color w:val="231F20"/>
        </w:rPr>
        <w:t>processes</w:t>
      </w:r>
      <w:r>
        <w:rPr>
          <w:color w:val="231F20"/>
          <w:spacing w:val="32"/>
        </w:rPr>
        <w:t> </w:t>
      </w:r>
      <w:r>
        <w:rPr>
          <w:color w:val="231F20"/>
        </w:rPr>
        <w:t>before</w:t>
      </w:r>
      <w:r>
        <w:rPr>
          <w:color w:val="231F20"/>
          <w:spacing w:val="-21"/>
        </w:rPr>
        <w:t> </w:t>
      </w:r>
      <w:r>
        <w:rPr>
          <w:color w:val="231F20"/>
        </w:rPr>
        <w:t>awards</w:t>
      </w:r>
      <w:r>
        <w:rPr>
          <w:color w:val="231F20"/>
          <w:spacing w:val="-21"/>
        </w:rPr>
        <w:t> </w:t>
      </w:r>
      <w:r>
        <w:rPr>
          <w:color w:val="231F20"/>
        </w:rPr>
        <w:t>are</w:t>
      </w:r>
      <w:r>
        <w:rPr>
          <w:color w:val="231F20"/>
          <w:spacing w:val="-21"/>
        </w:rPr>
        <w:t> </w:t>
      </w:r>
      <w:r>
        <w:rPr>
          <w:color w:val="231F20"/>
        </w:rPr>
        <w:t>made;</w:t>
      </w:r>
      <w:r>
        <w:rPr>
          <w:color w:val="231F20"/>
          <w:spacing w:val="-21"/>
        </w:rPr>
        <w:t> </w:t>
      </w:r>
      <w:r>
        <w:rPr>
          <w:color w:val="231F20"/>
        </w:rPr>
        <w:t>(ii)</w:t>
      </w:r>
      <w:r>
        <w:rPr>
          <w:color w:val="231F20"/>
          <w:spacing w:val="-21"/>
        </w:rPr>
        <w:t> </w:t>
      </w:r>
      <w:r>
        <w:rPr>
          <w:color w:val="231F20"/>
        </w:rPr>
        <w:t>reviewed</w:t>
      </w:r>
      <w:r>
        <w:rPr>
          <w:color w:val="231F20"/>
          <w:spacing w:val="-21"/>
        </w:rPr>
        <w:t> </w:t>
      </w:r>
      <w:r>
        <w:rPr>
          <w:color w:val="231F20"/>
        </w:rPr>
        <w:t>the</w:t>
      </w:r>
      <w:r>
        <w:rPr>
          <w:color w:val="231F20"/>
          <w:spacing w:val="-21"/>
        </w:rPr>
        <w:t> </w:t>
      </w:r>
      <w:r>
        <w:rPr>
          <w:color w:val="231F20"/>
        </w:rPr>
        <w:t>Public Procurement Regulations to include a clear mandate for the introduction</w:t>
      </w:r>
      <w:r>
        <w:rPr>
          <w:color w:val="231F20"/>
          <w:spacing w:val="43"/>
        </w:rPr>
        <w:t> </w:t>
      </w:r>
      <w:r>
        <w:rPr>
          <w:color w:val="231F20"/>
        </w:rPr>
        <w:t>and implementation of electronic procurement; (iii) discouraged procuring entities from the use of sole source and restricted bidding; and (iv) now produces quarterly price </w:t>
      </w:r>
      <w:r>
        <w:rPr>
          <w:color w:val="231F20"/>
          <w:spacing w:val="-3"/>
        </w:rPr>
        <w:t>norms.</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In</w:t>
      </w:r>
      <w:r>
        <w:rPr>
          <w:color w:val="231F20"/>
          <w:spacing w:val="-9"/>
          <w:sz w:val="23"/>
        </w:rPr>
        <w:t> </w:t>
      </w:r>
      <w:r>
        <w:rPr>
          <w:color w:val="231F20"/>
          <w:sz w:val="23"/>
        </w:rPr>
        <w:t>the</w:t>
      </w:r>
      <w:r>
        <w:rPr>
          <w:color w:val="231F20"/>
          <w:spacing w:val="-9"/>
          <w:sz w:val="23"/>
        </w:rPr>
        <w:t> </w:t>
      </w:r>
      <w:r>
        <w:rPr>
          <w:color w:val="231F20"/>
          <w:sz w:val="23"/>
        </w:rPr>
        <w:t>coming</w:t>
      </w:r>
      <w:r>
        <w:rPr>
          <w:color w:val="231F20"/>
          <w:spacing w:val="-9"/>
          <w:sz w:val="23"/>
        </w:rPr>
        <w:t> </w:t>
      </w:r>
      <w:r>
        <w:rPr>
          <w:color w:val="231F20"/>
          <w:sz w:val="23"/>
        </w:rPr>
        <w:t>years,</w:t>
      </w:r>
      <w:r>
        <w:rPr>
          <w:color w:val="231F20"/>
          <w:spacing w:val="-9"/>
          <w:sz w:val="23"/>
        </w:rPr>
        <w:t> </w:t>
      </w:r>
      <w:r>
        <w:rPr>
          <w:color w:val="231F20"/>
          <w:sz w:val="23"/>
        </w:rPr>
        <w:t>the</w:t>
      </w:r>
      <w:r>
        <w:rPr>
          <w:color w:val="231F20"/>
          <w:spacing w:val="-9"/>
          <w:sz w:val="23"/>
        </w:rPr>
        <w:t> </w:t>
      </w:r>
      <w:r>
        <w:rPr>
          <w:color w:val="231F20"/>
          <w:sz w:val="23"/>
        </w:rPr>
        <w:t>Ministry</w:t>
      </w:r>
      <w:r>
        <w:rPr>
          <w:color w:val="231F20"/>
          <w:spacing w:val="-9"/>
          <w:sz w:val="23"/>
        </w:rPr>
        <w:t> </w:t>
      </w:r>
      <w:r>
        <w:rPr>
          <w:color w:val="231F20"/>
          <w:sz w:val="23"/>
        </w:rPr>
        <w:t>of</w:t>
      </w:r>
      <w:r>
        <w:rPr>
          <w:color w:val="231F20"/>
          <w:spacing w:val="-9"/>
          <w:sz w:val="23"/>
        </w:rPr>
        <w:t> </w:t>
      </w:r>
      <w:r>
        <w:rPr>
          <w:color w:val="231F20"/>
          <w:sz w:val="23"/>
        </w:rPr>
        <w:t>Finance,</w:t>
      </w:r>
      <w:r>
        <w:rPr>
          <w:color w:val="231F20"/>
          <w:spacing w:val="-9"/>
          <w:sz w:val="23"/>
        </w:rPr>
        <w:t> </w:t>
      </w:r>
      <w:r>
        <w:rPr>
          <w:color w:val="231F20"/>
          <w:sz w:val="23"/>
        </w:rPr>
        <w:t>in</w:t>
      </w:r>
      <w:r>
        <w:rPr>
          <w:color w:val="231F20"/>
          <w:spacing w:val="-9"/>
          <w:sz w:val="23"/>
        </w:rPr>
        <w:t> </w:t>
      </w:r>
      <w:r>
        <w:rPr>
          <w:color w:val="231F20"/>
          <w:sz w:val="23"/>
        </w:rPr>
        <w:t>collaboration</w:t>
      </w:r>
      <w:r>
        <w:rPr>
          <w:color w:val="231F20"/>
          <w:spacing w:val="-9"/>
          <w:sz w:val="23"/>
        </w:rPr>
        <w:t> </w:t>
      </w:r>
      <w:r>
        <w:rPr>
          <w:color w:val="231F20"/>
          <w:sz w:val="23"/>
        </w:rPr>
        <w:t>with</w:t>
      </w:r>
      <w:r>
        <w:rPr>
          <w:color w:val="231F20"/>
          <w:spacing w:val="-9"/>
          <w:sz w:val="23"/>
        </w:rPr>
        <w:t> </w:t>
      </w:r>
      <w:r>
        <w:rPr>
          <w:color w:val="231F20"/>
          <w:sz w:val="23"/>
        </w:rPr>
        <w:t>NPPA,</w:t>
      </w:r>
      <w:r>
        <w:rPr>
          <w:color w:val="231F20"/>
          <w:spacing w:val="-9"/>
          <w:sz w:val="23"/>
        </w:rPr>
        <w:t> </w:t>
      </w:r>
      <w:r>
        <w:rPr>
          <w:color w:val="231F20"/>
          <w:sz w:val="23"/>
        </w:rPr>
        <w:t>will ensure that all procuring entities prepare credible and realistic procurement plans which are linked to the activities in their budgets and this will be the basis for disbursement</w:t>
      </w:r>
      <w:r>
        <w:rPr>
          <w:color w:val="231F20"/>
          <w:spacing w:val="-33"/>
          <w:sz w:val="23"/>
        </w:rPr>
        <w:t> </w:t>
      </w:r>
      <w:r>
        <w:rPr>
          <w:color w:val="231F20"/>
          <w:sz w:val="23"/>
        </w:rPr>
        <w:t>of</w:t>
      </w:r>
      <w:r>
        <w:rPr>
          <w:color w:val="231F20"/>
          <w:spacing w:val="-33"/>
          <w:sz w:val="23"/>
        </w:rPr>
        <w:t> </w:t>
      </w:r>
      <w:r>
        <w:rPr>
          <w:color w:val="231F20"/>
          <w:sz w:val="23"/>
        </w:rPr>
        <w:t>budgetary</w:t>
      </w:r>
      <w:r>
        <w:rPr>
          <w:color w:val="231F20"/>
          <w:spacing w:val="-33"/>
          <w:sz w:val="23"/>
        </w:rPr>
        <w:t> </w:t>
      </w:r>
      <w:r>
        <w:rPr>
          <w:color w:val="231F20"/>
          <w:sz w:val="23"/>
        </w:rPr>
        <w:t>resources.</w:t>
      </w:r>
      <w:r>
        <w:rPr>
          <w:color w:val="231F20"/>
          <w:spacing w:val="-33"/>
          <w:sz w:val="23"/>
        </w:rPr>
        <w:t> </w:t>
      </w:r>
      <w:r>
        <w:rPr>
          <w:color w:val="231F20"/>
          <w:sz w:val="23"/>
        </w:rPr>
        <w:t>The</w:t>
      </w:r>
      <w:r>
        <w:rPr>
          <w:color w:val="231F20"/>
          <w:spacing w:val="-33"/>
          <w:sz w:val="23"/>
        </w:rPr>
        <w:t> </w:t>
      </w:r>
      <w:r>
        <w:rPr>
          <w:color w:val="231F20"/>
          <w:sz w:val="23"/>
        </w:rPr>
        <w:t>NPPA</w:t>
      </w:r>
      <w:r>
        <w:rPr>
          <w:color w:val="231F20"/>
          <w:spacing w:val="-33"/>
          <w:sz w:val="23"/>
        </w:rPr>
        <w:t> </w:t>
      </w:r>
      <w:r>
        <w:rPr>
          <w:color w:val="231F20"/>
          <w:sz w:val="23"/>
        </w:rPr>
        <w:t>will</w:t>
      </w:r>
      <w:r>
        <w:rPr>
          <w:color w:val="231F20"/>
          <w:spacing w:val="-33"/>
          <w:sz w:val="23"/>
        </w:rPr>
        <w:t> </w:t>
      </w:r>
      <w:r>
        <w:rPr>
          <w:color w:val="231F20"/>
          <w:sz w:val="23"/>
        </w:rPr>
        <w:t>also</w:t>
      </w:r>
      <w:r>
        <w:rPr>
          <w:color w:val="231F20"/>
          <w:spacing w:val="-33"/>
          <w:sz w:val="23"/>
        </w:rPr>
        <w:t> </w:t>
      </w:r>
      <w:r>
        <w:rPr>
          <w:color w:val="231F20"/>
          <w:sz w:val="23"/>
        </w:rPr>
        <w:t>publish</w:t>
      </w:r>
      <w:r>
        <w:rPr>
          <w:color w:val="231F20"/>
          <w:spacing w:val="-33"/>
          <w:sz w:val="23"/>
        </w:rPr>
        <w:t> </w:t>
      </w:r>
      <w:r>
        <w:rPr>
          <w:color w:val="231F20"/>
          <w:sz w:val="23"/>
        </w:rPr>
        <w:t>annual</w:t>
      </w:r>
      <w:r>
        <w:rPr>
          <w:color w:val="231F20"/>
          <w:spacing w:val="-33"/>
          <w:sz w:val="23"/>
        </w:rPr>
        <w:t> </w:t>
      </w:r>
      <w:r>
        <w:rPr>
          <w:color w:val="231F20"/>
          <w:sz w:val="23"/>
        </w:rPr>
        <w:t>procurement assessment reports, starting with the report on procurement activities of MDAs in </w:t>
      </w:r>
      <w:r>
        <w:rPr>
          <w:color w:val="231F20"/>
          <w:spacing w:val="-8"/>
          <w:sz w:val="23"/>
        </w:rPr>
        <w:t>2018.</w:t>
      </w:r>
    </w:p>
    <w:p>
      <w:pPr>
        <w:pStyle w:val="BodyText"/>
        <w:rPr>
          <w:sz w:val="20"/>
        </w:rPr>
      </w:pPr>
    </w:p>
    <w:p>
      <w:pPr>
        <w:pStyle w:val="BodyText"/>
        <w:rPr>
          <w:sz w:val="20"/>
        </w:rPr>
      </w:pPr>
    </w:p>
    <w:p>
      <w:pPr>
        <w:pStyle w:val="Heading1"/>
        <w:spacing w:before="251"/>
      </w:pPr>
      <w:r>
        <w:rPr>
          <w:color w:val="231F20"/>
        </w:rPr>
        <w:t>18</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20" w:firstLine="223"/>
        <w:jc w:val="both"/>
        <w:rPr>
          <w:sz w:val="23"/>
        </w:rPr>
      </w:pPr>
      <w:r>
        <w:rPr>
          <w:color w:val="231F20"/>
          <w:sz w:val="23"/>
        </w:rPr>
        <w:t>Mr.</w:t>
      </w:r>
      <w:r>
        <w:rPr>
          <w:color w:val="231F20"/>
          <w:spacing w:val="-21"/>
          <w:sz w:val="23"/>
        </w:rPr>
        <w:t> </w:t>
      </w:r>
      <w:r>
        <w:rPr>
          <w:color w:val="231F20"/>
          <w:sz w:val="23"/>
        </w:rPr>
        <w:t>Speaker,</w:t>
      </w:r>
      <w:r>
        <w:rPr>
          <w:color w:val="231F20"/>
          <w:spacing w:val="-21"/>
          <w:sz w:val="23"/>
        </w:rPr>
        <w:t> </w:t>
      </w:r>
      <w:r>
        <w:rPr>
          <w:color w:val="231F20"/>
          <w:sz w:val="23"/>
        </w:rPr>
        <w:t>Honourable</w:t>
      </w:r>
      <w:r>
        <w:rPr>
          <w:color w:val="231F20"/>
          <w:spacing w:val="-21"/>
          <w:sz w:val="23"/>
        </w:rPr>
        <w:t> </w:t>
      </w:r>
      <w:r>
        <w:rPr>
          <w:color w:val="231F20"/>
          <w:sz w:val="23"/>
        </w:rPr>
        <w:t>Members,</w:t>
      </w:r>
      <w:r>
        <w:rPr>
          <w:color w:val="231F20"/>
          <w:spacing w:val="-21"/>
          <w:sz w:val="23"/>
        </w:rPr>
        <w:t> </w:t>
      </w:r>
      <w:r>
        <w:rPr>
          <w:color w:val="231F20"/>
          <w:sz w:val="23"/>
        </w:rPr>
        <w:t>Government</w:t>
      </w:r>
      <w:r>
        <w:rPr>
          <w:color w:val="231F20"/>
          <w:spacing w:val="-21"/>
          <w:sz w:val="23"/>
        </w:rPr>
        <w:t> </w:t>
      </w:r>
      <w:r>
        <w:rPr>
          <w:color w:val="231F20"/>
          <w:sz w:val="23"/>
        </w:rPr>
        <w:t>has</w:t>
      </w:r>
      <w:r>
        <w:rPr>
          <w:color w:val="231F20"/>
          <w:spacing w:val="-21"/>
          <w:sz w:val="23"/>
        </w:rPr>
        <w:t> </w:t>
      </w:r>
      <w:r>
        <w:rPr>
          <w:color w:val="231F20"/>
          <w:sz w:val="23"/>
        </w:rPr>
        <w:t>realised</w:t>
      </w:r>
      <w:r>
        <w:rPr>
          <w:color w:val="231F20"/>
          <w:spacing w:val="-21"/>
          <w:sz w:val="23"/>
        </w:rPr>
        <w:t> </w:t>
      </w:r>
      <w:r>
        <w:rPr>
          <w:color w:val="231F20"/>
          <w:sz w:val="23"/>
        </w:rPr>
        <w:t>that</w:t>
      </w:r>
      <w:r>
        <w:rPr>
          <w:color w:val="231F20"/>
          <w:spacing w:val="-21"/>
          <w:sz w:val="23"/>
        </w:rPr>
        <w:t> </w:t>
      </w:r>
      <w:r>
        <w:rPr>
          <w:color w:val="231F20"/>
          <w:sz w:val="23"/>
        </w:rPr>
        <w:t>most</w:t>
      </w:r>
      <w:r>
        <w:rPr>
          <w:color w:val="231F20"/>
          <w:spacing w:val="-21"/>
          <w:sz w:val="23"/>
        </w:rPr>
        <w:t> </w:t>
      </w:r>
      <w:r>
        <w:rPr>
          <w:color w:val="231F20"/>
          <w:sz w:val="23"/>
        </w:rPr>
        <w:t>of</w:t>
      </w:r>
      <w:r>
        <w:rPr>
          <w:color w:val="231F20"/>
          <w:spacing w:val="-21"/>
          <w:sz w:val="23"/>
        </w:rPr>
        <w:t> </w:t>
      </w:r>
      <w:r>
        <w:rPr>
          <w:color w:val="231F20"/>
          <w:sz w:val="23"/>
        </w:rPr>
        <w:t>the beneficiaries of local contracts, even for local products like firewood, vegetables and bread, are not resident in the delivery locality (districts) but in Freetown or other regional capitals. This does not facilitate the even spread of the national wealth and encourages further migration into the cities where such opportunities</w:t>
      </w:r>
      <w:r>
        <w:rPr>
          <w:color w:val="231F20"/>
          <w:spacing w:val="16"/>
          <w:sz w:val="23"/>
        </w:rPr>
        <w:t> </w:t>
      </w:r>
      <w:r>
        <w:rPr>
          <w:color w:val="231F20"/>
          <w:sz w:val="23"/>
        </w:rPr>
        <w:t>exist.</w:t>
      </w:r>
    </w:p>
    <w:p>
      <w:pPr>
        <w:pStyle w:val="BodyText"/>
        <w:spacing w:before="11"/>
        <w:rPr>
          <w:sz w:val="28"/>
        </w:rPr>
      </w:pPr>
    </w:p>
    <w:p>
      <w:pPr>
        <w:pStyle w:val="ListParagraph"/>
        <w:numPr>
          <w:ilvl w:val="0"/>
          <w:numId w:val="2"/>
        </w:numPr>
        <w:tabs>
          <w:tab w:pos="954" w:val="left" w:leader="none"/>
        </w:tabs>
        <w:spacing w:line="302" w:lineRule="auto" w:before="0" w:after="0"/>
        <w:ind w:left="103" w:right="116" w:firstLine="223"/>
        <w:jc w:val="both"/>
        <w:rPr>
          <w:sz w:val="23"/>
        </w:rPr>
      </w:pPr>
      <w:r>
        <w:rPr>
          <w:color w:val="231F20"/>
          <w:sz w:val="23"/>
        </w:rPr>
        <w:t>In order to encourage local participation in our procurement processes, distribute</w:t>
      </w:r>
      <w:r>
        <w:rPr>
          <w:color w:val="231F20"/>
          <w:spacing w:val="-16"/>
          <w:sz w:val="23"/>
        </w:rPr>
        <w:t> </w:t>
      </w:r>
      <w:r>
        <w:rPr>
          <w:color w:val="231F20"/>
          <w:sz w:val="23"/>
        </w:rPr>
        <w:t>the</w:t>
      </w:r>
      <w:r>
        <w:rPr>
          <w:color w:val="231F20"/>
          <w:spacing w:val="-15"/>
          <w:sz w:val="23"/>
        </w:rPr>
        <w:t> </w:t>
      </w:r>
      <w:r>
        <w:rPr>
          <w:color w:val="231F20"/>
          <w:sz w:val="23"/>
        </w:rPr>
        <w:t>national</w:t>
      </w:r>
      <w:r>
        <w:rPr>
          <w:color w:val="231F20"/>
          <w:spacing w:val="-16"/>
          <w:sz w:val="23"/>
        </w:rPr>
        <w:t> </w:t>
      </w:r>
      <w:r>
        <w:rPr>
          <w:color w:val="231F20"/>
          <w:sz w:val="23"/>
        </w:rPr>
        <w:t>wealth</w:t>
      </w:r>
      <w:r>
        <w:rPr>
          <w:color w:val="231F20"/>
          <w:spacing w:val="-15"/>
          <w:sz w:val="23"/>
        </w:rPr>
        <w:t> </w:t>
      </w:r>
      <w:r>
        <w:rPr>
          <w:color w:val="231F20"/>
          <w:sz w:val="23"/>
        </w:rPr>
        <w:t>among</w:t>
      </w:r>
      <w:r>
        <w:rPr>
          <w:color w:val="231F20"/>
          <w:spacing w:val="-16"/>
          <w:sz w:val="23"/>
        </w:rPr>
        <w:t> </w:t>
      </w:r>
      <w:r>
        <w:rPr>
          <w:color w:val="231F20"/>
          <w:sz w:val="23"/>
        </w:rPr>
        <w:t>districts</w:t>
      </w:r>
      <w:r>
        <w:rPr>
          <w:color w:val="231F20"/>
          <w:spacing w:val="-16"/>
          <w:sz w:val="23"/>
        </w:rPr>
        <w:t> </w:t>
      </w:r>
      <w:r>
        <w:rPr>
          <w:color w:val="231F20"/>
          <w:sz w:val="23"/>
        </w:rPr>
        <w:t>and</w:t>
      </w:r>
      <w:r>
        <w:rPr>
          <w:color w:val="231F20"/>
          <w:spacing w:val="-16"/>
          <w:sz w:val="23"/>
        </w:rPr>
        <w:t> </w:t>
      </w:r>
      <w:r>
        <w:rPr>
          <w:color w:val="231F20"/>
          <w:sz w:val="23"/>
        </w:rPr>
        <w:t>encourage</w:t>
      </w:r>
      <w:r>
        <w:rPr>
          <w:color w:val="231F20"/>
          <w:spacing w:val="-15"/>
          <w:sz w:val="23"/>
        </w:rPr>
        <w:t> </w:t>
      </w:r>
      <w:r>
        <w:rPr>
          <w:color w:val="231F20"/>
          <w:sz w:val="23"/>
        </w:rPr>
        <w:t>people</w:t>
      </w:r>
      <w:r>
        <w:rPr>
          <w:color w:val="231F20"/>
          <w:spacing w:val="-16"/>
          <w:sz w:val="23"/>
        </w:rPr>
        <w:t> </w:t>
      </w:r>
      <w:r>
        <w:rPr>
          <w:color w:val="231F20"/>
          <w:sz w:val="23"/>
        </w:rPr>
        <w:t>to</w:t>
      </w:r>
      <w:r>
        <w:rPr>
          <w:color w:val="231F20"/>
          <w:spacing w:val="-15"/>
          <w:sz w:val="23"/>
        </w:rPr>
        <w:t> </w:t>
      </w:r>
      <w:r>
        <w:rPr>
          <w:color w:val="231F20"/>
          <w:sz w:val="23"/>
        </w:rPr>
        <w:t>be</w:t>
      </w:r>
      <w:r>
        <w:rPr>
          <w:color w:val="231F20"/>
          <w:spacing w:val="-16"/>
          <w:sz w:val="23"/>
        </w:rPr>
        <w:t> </w:t>
      </w:r>
      <w:r>
        <w:rPr>
          <w:color w:val="231F20"/>
          <w:sz w:val="23"/>
        </w:rPr>
        <w:t>resident</w:t>
      </w:r>
      <w:r>
        <w:rPr>
          <w:color w:val="231F20"/>
          <w:spacing w:val="-15"/>
          <w:sz w:val="23"/>
        </w:rPr>
        <w:t> </w:t>
      </w:r>
      <w:r>
        <w:rPr>
          <w:color w:val="231F20"/>
          <w:sz w:val="23"/>
        </w:rPr>
        <w:t>in their districts, Cabinet has directed that effective January 2020, only persons permanently resident in the delivery locality (districts) will be eligible to apply for all contracts awarded by Local and Central Government for local products, such as firewood, vegetables and bread as well as civil works contracts not exceeding Le</w:t>
      </w:r>
      <w:r>
        <w:rPr>
          <w:color w:val="231F20"/>
          <w:spacing w:val="-53"/>
          <w:sz w:val="23"/>
        </w:rPr>
        <w:t> </w:t>
      </w:r>
      <w:r>
        <w:rPr>
          <w:color w:val="231F20"/>
          <w:sz w:val="23"/>
        </w:rPr>
        <w:t>500 million.</w:t>
      </w:r>
      <w:r>
        <w:rPr>
          <w:color w:val="231F20"/>
          <w:spacing w:val="-42"/>
          <w:sz w:val="23"/>
        </w:rPr>
        <w:t> </w:t>
      </w:r>
      <w:r>
        <w:rPr>
          <w:color w:val="231F20"/>
          <w:sz w:val="23"/>
        </w:rPr>
        <w:t>The</w:t>
      </w:r>
      <w:r>
        <w:rPr>
          <w:color w:val="231F20"/>
          <w:spacing w:val="-42"/>
          <w:sz w:val="23"/>
        </w:rPr>
        <w:t> </w:t>
      </w:r>
      <w:r>
        <w:rPr>
          <w:color w:val="231F20"/>
          <w:sz w:val="23"/>
        </w:rPr>
        <w:t>Ministry</w:t>
      </w:r>
      <w:r>
        <w:rPr>
          <w:color w:val="231F20"/>
          <w:spacing w:val="-42"/>
          <w:sz w:val="23"/>
        </w:rPr>
        <w:t> </w:t>
      </w:r>
      <w:r>
        <w:rPr>
          <w:color w:val="231F20"/>
          <w:sz w:val="23"/>
        </w:rPr>
        <w:t>of</w:t>
      </w:r>
      <w:r>
        <w:rPr>
          <w:color w:val="231F20"/>
          <w:spacing w:val="-42"/>
          <w:sz w:val="23"/>
        </w:rPr>
        <w:t> </w:t>
      </w:r>
      <w:r>
        <w:rPr>
          <w:color w:val="231F20"/>
          <w:sz w:val="23"/>
        </w:rPr>
        <w:t>Finance</w:t>
      </w:r>
      <w:r>
        <w:rPr>
          <w:color w:val="231F20"/>
          <w:spacing w:val="-41"/>
          <w:sz w:val="23"/>
        </w:rPr>
        <w:t> </w:t>
      </w:r>
      <w:r>
        <w:rPr>
          <w:color w:val="231F20"/>
          <w:sz w:val="23"/>
        </w:rPr>
        <w:t>and</w:t>
      </w:r>
      <w:r>
        <w:rPr>
          <w:color w:val="231F20"/>
          <w:spacing w:val="-42"/>
          <w:sz w:val="23"/>
        </w:rPr>
        <w:t> </w:t>
      </w:r>
      <w:r>
        <w:rPr>
          <w:color w:val="231F20"/>
          <w:sz w:val="23"/>
        </w:rPr>
        <w:t>the</w:t>
      </w:r>
      <w:r>
        <w:rPr>
          <w:color w:val="231F20"/>
          <w:spacing w:val="-42"/>
          <w:sz w:val="23"/>
        </w:rPr>
        <w:t> </w:t>
      </w:r>
      <w:r>
        <w:rPr>
          <w:color w:val="231F20"/>
          <w:sz w:val="23"/>
        </w:rPr>
        <w:t>NPPA</w:t>
      </w:r>
      <w:r>
        <w:rPr>
          <w:color w:val="231F20"/>
          <w:spacing w:val="-42"/>
          <w:sz w:val="23"/>
        </w:rPr>
        <w:t> </w:t>
      </w:r>
      <w:r>
        <w:rPr>
          <w:color w:val="231F20"/>
          <w:sz w:val="23"/>
        </w:rPr>
        <w:t>shall</w:t>
      </w:r>
      <w:r>
        <w:rPr>
          <w:color w:val="231F20"/>
          <w:spacing w:val="-41"/>
          <w:sz w:val="23"/>
        </w:rPr>
        <w:t> </w:t>
      </w:r>
      <w:r>
        <w:rPr>
          <w:color w:val="231F20"/>
          <w:sz w:val="23"/>
        </w:rPr>
        <w:t>put</w:t>
      </w:r>
      <w:r>
        <w:rPr>
          <w:color w:val="231F20"/>
          <w:spacing w:val="-42"/>
          <w:sz w:val="23"/>
        </w:rPr>
        <w:t> </w:t>
      </w:r>
      <w:r>
        <w:rPr>
          <w:color w:val="231F20"/>
          <w:sz w:val="23"/>
        </w:rPr>
        <w:t>in</w:t>
      </w:r>
      <w:r>
        <w:rPr>
          <w:color w:val="231F20"/>
          <w:spacing w:val="-42"/>
          <w:sz w:val="23"/>
        </w:rPr>
        <w:t> </w:t>
      </w:r>
      <w:r>
        <w:rPr>
          <w:color w:val="231F20"/>
          <w:sz w:val="23"/>
        </w:rPr>
        <w:t>place</w:t>
      </w:r>
      <w:r>
        <w:rPr>
          <w:color w:val="231F20"/>
          <w:spacing w:val="-42"/>
          <w:sz w:val="23"/>
        </w:rPr>
        <w:t> </w:t>
      </w:r>
      <w:r>
        <w:rPr>
          <w:color w:val="231F20"/>
          <w:sz w:val="23"/>
        </w:rPr>
        <w:t>the</w:t>
      </w:r>
      <w:r>
        <w:rPr>
          <w:color w:val="231F20"/>
          <w:spacing w:val="-41"/>
          <w:sz w:val="23"/>
        </w:rPr>
        <w:t> </w:t>
      </w:r>
      <w:r>
        <w:rPr>
          <w:color w:val="231F20"/>
          <w:sz w:val="23"/>
        </w:rPr>
        <w:t>necessary</w:t>
      </w:r>
      <w:r>
        <w:rPr>
          <w:color w:val="231F20"/>
          <w:spacing w:val="-42"/>
          <w:sz w:val="23"/>
        </w:rPr>
        <w:t> </w:t>
      </w:r>
      <w:r>
        <w:rPr>
          <w:color w:val="231F20"/>
          <w:sz w:val="23"/>
        </w:rPr>
        <w:t>statutory arrangements to effect</w:t>
      </w:r>
      <w:r>
        <w:rPr>
          <w:color w:val="231F20"/>
          <w:spacing w:val="70"/>
          <w:sz w:val="23"/>
        </w:rPr>
        <w:t> </w:t>
      </w:r>
      <w:r>
        <w:rPr>
          <w:color w:val="231F20"/>
          <w:sz w:val="23"/>
        </w:rPr>
        <w:t>this.</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Mr. Speaker, Honourable Members in a bid to strengthen transparency and accountability in public procurement, Government established the Independent Procurement</w:t>
      </w:r>
      <w:r>
        <w:rPr>
          <w:color w:val="231F20"/>
          <w:spacing w:val="-36"/>
          <w:sz w:val="23"/>
        </w:rPr>
        <w:t> </w:t>
      </w:r>
      <w:r>
        <w:rPr>
          <w:color w:val="231F20"/>
          <w:sz w:val="23"/>
        </w:rPr>
        <w:t>Review</w:t>
      </w:r>
      <w:r>
        <w:rPr>
          <w:color w:val="231F20"/>
          <w:spacing w:val="-36"/>
          <w:sz w:val="23"/>
        </w:rPr>
        <w:t> </w:t>
      </w:r>
      <w:r>
        <w:rPr>
          <w:color w:val="231F20"/>
          <w:sz w:val="23"/>
        </w:rPr>
        <w:t>Panel</w:t>
      </w:r>
      <w:r>
        <w:rPr>
          <w:color w:val="231F20"/>
          <w:spacing w:val="-36"/>
          <w:sz w:val="23"/>
        </w:rPr>
        <w:t> </w:t>
      </w:r>
      <w:r>
        <w:rPr>
          <w:color w:val="231F20"/>
          <w:sz w:val="23"/>
        </w:rPr>
        <w:t>(IPRP)</w:t>
      </w:r>
      <w:r>
        <w:rPr>
          <w:color w:val="231F20"/>
          <w:spacing w:val="-36"/>
          <w:sz w:val="23"/>
        </w:rPr>
        <w:t> </w:t>
      </w:r>
      <w:r>
        <w:rPr>
          <w:color w:val="231F20"/>
          <w:sz w:val="23"/>
        </w:rPr>
        <w:t>pursuant</w:t>
      </w:r>
      <w:r>
        <w:rPr>
          <w:color w:val="231F20"/>
          <w:spacing w:val="-36"/>
          <w:sz w:val="23"/>
        </w:rPr>
        <w:t> </w:t>
      </w:r>
      <w:r>
        <w:rPr>
          <w:color w:val="231F20"/>
          <w:sz w:val="23"/>
        </w:rPr>
        <w:t>to</w:t>
      </w:r>
      <w:r>
        <w:rPr>
          <w:color w:val="231F20"/>
          <w:spacing w:val="-36"/>
          <w:sz w:val="23"/>
        </w:rPr>
        <w:t> </w:t>
      </w:r>
      <w:r>
        <w:rPr>
          <w:color w:val="231F20"/>
          <w:sz w:val="23"/>
        </w:rPr>
        <w:t>Section</w:t>
      </w:r>
      <w:r>
        <w:rPr>
          <w:color w:val="231F20"/>
          <w:spacing w:val="-36"/>
          <w:sz w:val="23"/>
        </w:rPr>
        <w:t> </w:t>
      </w:r>
      <w:r>
        <w:rPr>
          <w:color w:val="231F20"/>
          <w:sz w:val="23"/>
        </w:rPr>
        <w:t>20</w:t>
      </w:r>
      <w:r>
        <w:rPr>
          <w:color w:val="231F20"/>
          <w:spacing w:val="-36"/>
          <w:sz w:val="23"/>
        </w:rPr>
        <w:t> </w:t>
      </w:r>
      <w:r>
        <w:rPr>
          <w:color w:val="231F20"/>
          <w:sz w:val="23"/>
        </w:rPr>
        <w:t>of</w:t>
      </w:r>
      <w:r>
        <w:rPr>
          <w:color w:val="231F20"/>
          <w:spacing w:val="-36"/>
          <w:sz w:val="23"/>
        </w:rPr>
        <w:t> </w:t>
      </w:r>
      <w:r>
        <w:rPr>
          <w:color w:val="231F20"/>
          <w:sz w:val="23"/>
        </w:rPr>
        <w:t>the</w:t>
      </w:r>
      <w:r>
        <w:rPr>
          <w:color w:val="231F20"/>
          <w:spacing w:val="-36"/>
          <w:sz w:val="23"/>
        </w:rPr>
        <w:t> </w:t>
      </w:r>
      <w:r>
        <w:rPr>
          <w:color w:val="231F20"/>
          <w:sz w:val="23"/>
        </w:rPr>
        <w:t>Public</w:t>
      </w:r>
      <w:r>
        <w:rPr>
          <w:color w:val="231F20"/>
          <w:spacing w:val="-36"/>
          <w:sz w:val="23"/>
        </w:rPr>
        <w:t> </w:t>
      </w:r>
      <w:r>
        <w:rPr>
          <w:color w:val="231F20"/>
          <w:sz w:val="23"/>
        </w:rPr>
        <w:t>Procurement</w:t>
      </w:r>
      <w:r>
        <w:rPr>
          <w:color w:val="231F20"/>
          <w:spacing w:val="-36"/>
          <w:sz w:val="23"/>
        </w:rPr>
        <w:t> </w:t>
      </w:r>
      <w:r>
        <w:rPr>
          <w:color w:val="231F20"/>
          <w:sz w:val="23"/>
        </w:rPr>
        <w:t>Act 2016. The IPRP provides a complaint mechanism for dissatisfied and aggrieved contractors</w:t>
      </w:r>
      <w:r>
        <w:rPr>
          <w:color w:val="231F20"/>
          <w:spacing w:val="-11"/>
          <w:sz w:val="23"/>
        </w:rPr>
        <w:t> </w:t>
      </w:r>
      <w:r>
        <w:rPr>
          <w:color w:val="231F20"/>
          <w:sz w:val="23"/>
        </w:rPr>
        <w:t>to</w:t>
      </w:r>
      <w:r>
        <w:rPr>
          <w:color w:val="231F20"/>
          <w:spacing w:val="-11"/>
          <w:sz w:val="23"/>
        </w:rPr>
        <w:t> </w:t>
      </w:r>
      <w:r>
        <w:rPr>
          <w:color w:val="231F20"/>
          <w:sz w:val="23"/>
        </w:rPr>
        <w:t>seek</w:t>
      </w:r>
      <w:r>
        <w:rPr>
          <w:color w:val="231F20"/>
          <w:spacing w:val="-11"/>
          <w:sz w:val="23"/>
        </w:rPr>
        <w:t> </w:t>
      </w:r>
      <w:r>
        <w:rPr>
          <w:color w:val="231F20"/>
          <w:sz w:val="23"/>
        </w:rPr>
        <w:t>redress</w:t>
      </w:r>
      <w:r>
        <w:rPr>
          <w:color w:val="231F20"/>
          <w:spacing w:val="-11"/>
          <w:sz w:val="23"/>
        </w:rPr>
        <w:t> </w:t>
      </w:r>
      <w:r>
        <w:rPr>
          <w:color w:val="231F20"/>
          <w:sz w:val="23"/>
        </w:rPr>
        <w:t>if</w:t>
      </w:r>
      <w:r>
        <w:rPr>
          <w:color w:val="231F20"/>
          <w:spacing w:val="-11"/>
          <w:sz w:val="23"/>
        </w:rPr>
        <w:t> </w:t>
      </w:r>
      <w:r>
        <w:rPr>
          <w:color w:val="231F20"/>
          <w:sz w:val="23"/>
        </w:rPr>
        <w:t>they</w:t>
      </w:r>
      <w:r>
        <w:rPr>
          <w:color w:val="231F20"/>
          <w:spacing w:val="-11"/>
          <w:sz w:val="23"/>
        </w:rPr>
        <w:t> </w:t>
      </w:r>
      <w:r>
        <w:rPr>
          <w:color w:val="231F20"/>
          <w:sz w:val="23"/>
        </w:rPr>
        <w:t>believe</w:t>
      </w:r>
      <w:r>
        <w:rPr>
          <w:color w:val="231F20"/>
          <w:spacing w:val="-11"/>
          <w:sz w:val="23"/>
        </w:rPr>
        <w:t> </w:t>
      </w:r>
      <w:r>
        <w:rPr>
          <w:color w:val="231F20"/>
          <w:sz w:val="23"/>
        </w:rPr>
        <w:t>that</w:t>
      </w:r>
      <w:r>
        <w:rPr>
          <w:color w:val="231F20"/>
          <w:spacing w:val="-11"/>
          <w:sz w:val="23"/>
        </w:rPr>
        <w:t> </w:t>
      </w:r>
      <w:r>
        <w:rPr>
          <w:color w:val="231F20"/>
          <w:sz w:val="23"/>
        </w:rPr>
        <w:t>there</w:t>
      </w:r>
      <w:r>
        <w:rPr>
          <w:color w:val="231F20"/>
          <w:spacing w:val="-11"/>
          <w:sz w:val="23"/>
        </w:rPr>
        <w:t> </w:t>
      </w:r>
      <w:r>
        <w:rPr>
          <w:color w:val="231F20"/>
          <w:sz w:val="23"/>
        </w:rPr>
        <w:t>have</w:t>
      </w:r>
      <w:r>
        <w:rPr>
          <w:color w:val="231F20"/>
          <w:spacing w:val="-11"/>
          <w:sz w:val="23"/>
        </w:rPr>
        <w:t> </w:t>
      </w:r>
      <w:r>
        <w:rPr>
          <w:color w:val="231F20"/>
          <w:sz w:val="23"/>
        </w:rPr>
        <w:t>been</w:t>
      </w:r>
      <w:r>
        <w:rPr>
          <w:color w:val="231F20"/>
          <w:spacing w:val="-11"/>
          <w:sz w:val="23"/>
        </w:rPr>
        <w:t> </w:t>
      </w:r>
      <w:r>
        <w:rPr>
          <w:color w:val="231F20"/>
          <w:sz w:val="23"/>
        </w:rPr>
        <w:t>irregularities</w:t>
      </w:r>
      <w:r>
        <w:rPr>
          <w:color w:val="231F20"/>
          <w:spacing w:val="-11"/>
          <w:sz w:val="23"/>
        </w:rPr>
        <w:t> </w:t>
      </w:r>
      <w:r>
        <w:rPr>
          <w:color w:val="231F20"/>
          <w:sz w:val="23"/>
        </w:rPr>
        <w:t>with</w:t>
      </w:r>
      <w:r>
        <w:rPr>
          <w:color w:val="231F20"/>
          <w:spacing w:val="-11"/>
          <w:sz w:val="23"/>
        </w:rPr>
        <w:t> </w:t>
      </w:r>
      <w:r>
        <w:rPr>
          <w:color w:val="231F20"/>
          <w:sz w:val="23"/>
        </w:rPr>
        <w:t>the outcome of the procurement bidding and award of contract process in which they participated.</w:t>
      </w:r>
    </w:p>
    <w:p>
      <w:pPr>
        <w:pStyle w:val="BodyText"/>
        <w:spacing w:before="11"/>
        <w:rPr>
          <w:sz w:val="28"/>
        </w:rPr>
      </w:pPr>
    </w:p>
    <w:p>
      <w:pPr>
        <w:pStyle w:val="ListParagraph"/>
        <w:numPr>
          <w:ilvl w:val="0"/>
          <w:numId w:val="2"/>
        </w:numPr>
        <w:tabs>
          <w:tab w:pos="954" w:val="left" w:leader="none"/>
        </w:tabs>
        <w:spacing w:line="302" w:lineRule="auto" w:before="0" w:after="0"/>
        <w:ind w:left="103" w:right="119" w:firstLine="223"/>
        <w:jc w:val="both"/>
        <w:rPr>
          <w:sz w:val="23"/>
        </w:rPr>
      </w:pPr>
      <w:r>
        <w:rPr>
          <w:color w:val="231F20"/>
          <w:sz w:val="23"/>
        </w:rPr>
        <w:t>Since the reconstitution of the Panel, in the last six months, the IPRP has reviewed public procurement contracts amounting to Le 40 billion. The IPRP has restored</w:t>
      </w:r>
      <w:r>
        <w:rPr>
          <w:color w:val="231F20"/>
          <w:spacing w:val="-34"/>
          <w:sz w:val="23"/>
        </w:rPr>
        <w:t> </w:t>
      </w:r>
      <w:r>
        <w:rPr>
          <w:color w:val="231F20"/>
          <w:sz w:val="23"/>
        </w:rPr>
        <w:t>confidence</w:t>
      </w:r>
      <w:r>
        <w:rPr>
          <w:color w:val="231F20"/>
          <w:spacing w:val="-34"/>
          <w:sz w:val="23"/>
        </w:rPr>
        <w:t> </w:t>
      </w:r>
      <w:r>
        <w:rPr>
          <w:color w:val="231F20"/>
          <w:sz w:val="23"/>
        </w:rPr>
        <w:t>of</w:t>
      </w:r>
      <w:r>
        <w:rPr>
          <w:color w:val="231F20"/>
          <w:spacing w:val="-34"/>
          <w:sz w:val="23"/>
        </w:rPr>
        <w:t> </w:t>
      </w:r>
      <w:r>
        <w:rPr>
          <w:color w:val="231F20"/>
          <w:sz w:val="23"/>
        </w:rPr>
        <w:t>businesses</w:t>
      </w:r>
      <w:r>
        <w:rPr>
          <w:color w:val="231F20"/>
          <w:spacing w:val="-34"/>
          <w:sz w:val="23"/>
        </w:rPr>
        <w:t> </w:t>
      </w:r>
      <w:r>
        <w:rPr>
          <w:color w:val="231F20"/>
          <w:sz w:val="23"/>
        </w:rPr>
        <w:t>as</w:t>
      </w:r>
      <w:r>
        <w:rPr>
          <w:color w:val="231F20"/>
          <w:spacing w:val="-34"/>
          <w:sz w:val="23"/>
        </w:rPr>
        <w:t> </w:t>
      </w:r>
      <w:r>
        <w:rPr>
          <w:color w:val="231F20"/>
          <w:sz w:val="23"/>
        </w:rPr>
        <w:t>well</w:t>
      </w:r>
      <w:r>
        <w:rPr>
          <w:color w:val="231F20"/>
          <w:spacing w:val="-34"/>
          <w:sz w:val="23"/>
        </w:rPr>
        <w:t> </w:t>
      </w:r>
      <w:r>
        <w:rPr>
          <w:color w:val="231F20"/>
          <w:sz w:val="23"/>
        </w:rPr>
        <w:t>as</w:t>
      </w:r>
      <w:r>
        <w:rPr>
          <w:color w:val="231F20"/>
          <w:spacing w:val="5"/>
          <w:sz w:val="23"/>
        </w:rPr>
        <w:t> </w:t>
      </w:r>
      <w:r>
        <w:rPr>
          <w:color w:val="231F20"/>
          <w:sz w:val="23"/>
        </w:rPr>
        <w:t>development</w:t>
      </w:r>
      <w:r>
        <w:rPr>
          <w:color w:val="231F20"/>
          <w:spacing w:val="-34"/>
          <w:sz w:val="23"/>
        </w:rPr>
        <w:t> </w:t>
      </w:r>
      <w:r>
        <w:rPr>
          <w:color w:val="231F20"/>
          <w:sz w:val="23"/>
        </w:rPr>
        <w:t>partners</w:t>
      </w:r>
      <w:r>
        <w:rPr>
          <w:color w:val="231F20"/>
          <w:spacing w:val="-34"/>
          <w:sz w:val="23"/>
        </w:rPr>
        <w:t> </w:t>
      </w:r>
      <w:r>
        <w:rPr>
          <w:color w:val="231F20"/>
          <w:sz w:val="23"/>
        </w:rPr>
        <w:t>in</w:t>
      </w:r>
      <w:r>
        <w:rPr>
          <w:color w:val="231F20"/>
          <w:spacing w:val="-34"/>
          <w:sz w:val="23"/>
        </w:rPr>
        <w:t> </w:t>
      </w:r>
      <w:r>
        <w:rPr>
          <w:color w:val="231F20"/>
          <w:sz w:val="23"/>
        </w:rPr>
        <w:t>our</w:t>
      </w:r>
      <w:r>
        <w:rPr>
          <w:color w:val="231F20"/>
          <w:spacing w:val="-34"/>
          <w:sz w:val="23"/>
        </w:rPr>
        <w:t> </w:t>
      </w:r>
      <w:r>
        <w:rPr>
          <w:color w:val="231F20"/>
          <w:sz w:val="23"/>
        </w:rPr>
        <w:t>procurement system.</w:t>
      </w:r>
      <w:r>
        <w:rPr>
          <w:color w:val="231F20"/>
          <w:spacing w:val="-29"/>
          <w:sz w:val="23"/>
        </w:rPr>
        <w:t> </w:t>
      </w:r>
      <w:r>
        <w:rPr>
          <w:color w:val="231F20"/>
          <w:sz w:val="23"/>
        </w:rPr>
        <w:t>These</w:t>
      </w:r>
      <w:r>
        <w:rPr>
          <w:color w:val="231F20"/>
          <w:spacing w:val="-29"/>
          <w:sz w:val="23"/>
        </w:rPr>
        <w:t> </w:t>
      </w:r>
      <w:r>
        <w:rPr>
          <w:color w:val="231F20"/>
          <w:sz w:val="23"/>
        </w:rPr>
        <w:t>demonstrates</w:t>
      </w:r>
      <w:r>
        <w:rPr>
          <w:color w:val="231F20"/>
          <w:spacing w:val="-29"/>
          <w:sz w:val="23"/>
        </w:rPr>
        <w:t> </w:t>
      </w:r>
      <w:r>
        <w:rPr>
          <w:color w:val="231F20"/>
          <w:sz w:val="23"/>
        </w:rPr>
        <w:t>that</w:t>
      </w:r>
      <w:r>
        <w:rPr>
          <w:color w:val="231F20"/>
          <w:spacing w:val="-29"/>
          <w:sz w:val="23"/>
        </w:rPr>
        <w:t> </w:t>
      </w:r>
      <w:r>
        <w:rPr>
          <w:color w:val="231F20"/>
          <w:sz w:val="23"/>
        </w:rPr>
        <w:t>Government</w:t>
      </w:r>
      <w:r>
        <w:rPr>
          <w:color w:val="231F20"/>
          <w:spacing w:val="-29"/>
          <w:sz w:val="23"/>
        </w:rPr>
        <w:t> </w:t>
      </w:r>
      <w:r>
        <w:rPr>
          <w:color w:val="231F20"/>
          <w:sz w:val="23"/>
        </w:rPr>
        <w:t>is</w:t>
      </w:r>
      <w:r>
        <w:rPr>
          <w:color w:val="231F20"/>
          <w:spacing w:val="-29"/>
          <w:sz w:val="23"/>
        </w:rPr>
        <w:t> </w:t>
      </w:r>
      <w:r>
        <w:rPr>
          <w:color w:val="231F20"/>
          <w:sz w:val="23"/>
        </w:rPr>
        <w:t>serious</w:t>
      </w:r>
      <w:r>
        <w:rPr>
          <w:color w:val="231F20"/>
          <w:spacing w:val="-29"/>
          <w:sz w:val="23"/>
        </w:rPr>
        <w:t> </w:t>
      </w:r>
      <w:r>
        <w:rPr>
          <w:color w:val="231F20"/>
          <w:sz w:val="23"/>
        </w:rPr>
        <w:t>about</w:t>
      </w:r>
      <w:r>
        <w:rPr>
          <w:color w:val="231F20"/>
          <w:spacing w:val="-29"/>
          <w:sz w:val="23"/>
        </w:rPr>
        <w:t> </w:t>
      </w:r>
      <w:r>
        <w:rPr>
          <w:color w:val="231F20"/>
          <w:sz w:val="23"/>
        </w:rPr>
        <w:t>reducing</w:t>
      </w:r>
      <w:r>
        <w:rPr>
          <w:color w:val="231F20"/>
          <w:spacing w:val="-29"/>
          <w:sz w:val="23"/>
        </w:rPr>
        <w:t> </w:t>
      </w:r>
      <w:r>
        <w:rPr>
          <w:color w:val="231F20"/>
          <w:sz w:val="23"/>
        </w:rPr>
        <w:t>wastages</w:t>
      </w:r>
      <w:r>
        <w:rPr>
          <w:color w:val="231F20"/>
          <w:spacing w:val="-29"/>
          <w:sz w:val="23"/>
        </w:rPr>
        <w:t> </w:t>
      </w:r>
      <w:r>
        <w:rPr>
          <w:color w:val="231F20"/>
          <w:sz w:val="23"/>
        </w:rPr>
        <w:t>and providing</w:t>
      </w:r>
      <w:r>
        <w:rPr>
          <w:color w:val="231F20"/>
          <w:spacing w:val="-17"/>
          <w:sz w:val="23"/>
        </w:rPr>
        <w:t> </w:t>
      </w:r>
      <w:r>
        <w:rPr>
          <w:color w:val="231F20"/>
          <w:sz w:val="23"/>
        </w:rPr>
        <w:t>an</w:t>
      </w:r>
      <w:r>
        <w:rPr>
          <w:color w:val="231F20"/>
          <w:spacing w:val="-17"/>
          <w:sz w:val="23"/>
        </w:rPr>
        <w:t> </w:t>
      </w:r>
      <w:r>
        <w:rPr>
          <w:color w:val="231F20"/>
          <w:sz w:val="23"/>
        </w:rPr>
        <w:t>equitable</w:t>
      </w:r>
      <w:r>
        <w:rPr>
          <w:color w:val="231F20"/>
          <w:spacing w:val="-17"/>
          <w:sz w:val="23"/>
        </w:rPr>
        <w:t> </w:t>
      </w:r>
      <w:r>
        <w:rPr>
          <w:color w:val="231F20"/>
          <w:sz w:val="23"/>
        </w:rPr>
        <w:t>and</w:t>
      </w:r>
      <w:r>
        <w:rPr>
          <w:color w:val="231F20"/>
          <w:spacing w:val="-17"/>
          <w:sz w:val="23"/>
        </w:rPr>
        <w:t> </w:t>
      </w:r>
      <w:r>
        <w:rPr>
          <w:color w:val="231F20"/>
          <w:sz w:val="23"/>
        </w:rPr>
        <w:t>level</w:t>
      </w:r>
      <w:r>
        <w:rPr>
          <w:color w:val="231F20"/>
          <w:spacing w:val="-17"/>
          <w:sz w:val="23"/>
        </w:rPr>
        <w:t> </w:t>
      </w:r>
      <w:r>
        <w:rPr>
          <w:color w:val="231F20"/>
          <w:sz w:val="23"/>
        </w:rPr>
        <w:t>playing</w:t>
      </w:r>
      <w:r>
        <w:rPr>
          <w:color w:val="231F20"/>
          <w:spacing w:val="-17"/>
          <w:sz w:val="23"/>
        </w:rPr>
        <w:t> </w:t>
      </w:r>
      <w:r>
        <w:rPr>
          <w:color w:val="231F20"/>
          <w:sz w:val="23"/>
        </w:rPr>
        <w:t>field</w:t>
      </w:r>
      <w:r>
        <w:rPr>
          <w:color w:val="231F20"/>
          <w:spacing w:val="-17"/>
          <w:sz w:val="23"/>
        </w:rPr>
        <w:t> </w:t>
      </w:r>
      <w:r>
        <w:rPr>
          <w:color w:val="231F20"/>
          <w:sz w:val="23"/>
        </w:rPr>
        <w:t>during</w:t>
      </w:r>
      <w:r>
        <w:rPr>
          <w:color w:val="231F20"/>
          <w:spacing w:val="-17"/>
          <w:sz w:val="23"/>
        </w:rPr>
        <w:t> </w:t>
      </w:r>
      <w:r>
        <w:rPr>
          <w:color w:val="231F20"/>
          <w:sz w:val="23"/>
        </w:rPr>
        <w:t>the</w:t>
      </w:r>
      <w:r>
        <w:rPr>
          <w:color w:val="231F20"/>
          <w:spacing w:val="-17"/>
          <w:sz w:val="23"/>
        </w:rPr>
        <w:t> </w:t>
      </w:r>
      <w:r>
        <w:rPr>
          <w:color w:val="231F20"/>
          <w:sz w:val="23"/>
        </w:rPr>
        <w:t>procurement</w:t>
      </w:r>
      <w:r>
        <w:rPr>
          <w:color w:val="231F20"/>
          <w:spacing w:val="-17"/>
          <w:sz w:val="23"/>
        </w:rPr>
        <w:t> </w:t>
      </w:r>
      <w:r>
        <w:rPr>
          <w:color w:val="231F20"/>
          <w:sz w:val="23"/>
        </w:rPr>
        <w:t>of</w:t>
      </w:r>
      <w:r>
        <w:rPr>
          <w:color w:val="231F20"/>
          <w:spacing w:val="-17"/>
          <w:sz w:val="23"/>
        </w:rPr>
        <w:t> </w:t>
      </w:r>
      <w:r>
        <w:rPr>
          <w:color w:val="231F20"/>
          <w:sz w:val="23"/>
        </w:rPr>
        <w:t>goods,</w:t>
      </w:r>
      <w:r>
        <w:rPr>
          <w:color w:val="231F20"/>
          <w:spacing w:val="-17"/>
          <w:sz w:val="23"/>
        </w:rPr>
        <w:t> </w:t>
      </w:r>
      <w:r>
        <w:rPr>
          <w:color w:val="231F20"/>
          <w:sz w:val="23"/>
        </w:rPr>
        <w:t>works and</w:t>
      </w:r>
      <w:r>
        <w:rPr>
          <w:color w:val="231F20"/>
          <w:spacing w:val="19"/>
          <w:sz w:val="23"/>
        </w:rPr>
        <w:t> </w:t>
      </w:r>
      <w:r>
        <w:rPr>
          <w:color w:val="231F20"/>
          <w:sz w:val="23"/>
        </w:rPr>
        <w:t>services.</w:t>
      </w:r>
    </w:p>
    <w:p>
      <w:pPr>
        <w:pStyle w:val="BodyText"/>
        <w:spacing w:before="9"/>
        <w:rPr>
          <w:sz w:val="28"/>
        </w:rPr>
      </w:pPr>
    </w:p>
    <w:p>
      <w:pPr>
        <w:pStyle w:val="Heading2"/>
      </w:pPr>
      <w:r>
        <w:rPr>
          <w:color w:val="231F20"/>
        </w:rPr>
        <w:t>Contract Management</w:t>
      </w:r>
    </w:p>
    <w:p>
      <w:pPr>
        <w:pStyle w:val="ListParagraph"/>
        <w:numPr>
          <w:ilvl w:val="0"/>
          <w:numId w:val="2"/>
        </w:numPr>
        <w:tabs>
          <w:tab w:pos="954" w:val="left" w:leader="none"/>
        </w:tabs>
        <w:spacing w:line="302" w:lineRule="auto" w:before="71" w:after="0"/>
        <w:ind w:left="103" w:right="119" w:firstLine="223"/>
        <w:jc w:val="both"/>
        <w:rPr>
          <w:sz w:val="23"/>
        </w:rPr>
      </w:pPr>
      <w:r>
        <w:rPr>
          <w:color w:val="231F20"/>
          <w:sz w:val="23"/>
        </w:rPr>
        <w:t>In</w:t>
      </w:r>
      <w:r>
        <w:rPr>
          <w:color w:val="231F20"/>
          <w:spacing w:val="-15"/>
          <w:sz w:val="23"/>
        </w:rPr>
        <w:t> </w:t>
      </w:r>
      <w:r>
        <w:rPr>
          <w:color w:val="231F20"/>
          <w:sz w:val="23"/>
        </w:rPr>
        <w:t>the</w:t>
      </w:r>
      <w:r>
        <w:rPr>
          <w:color w:val="231F20"/>
          <w:spacing w:val="-15"/>
          <w:sz w:val="23"/>
        </w:rPr>
        <w:t> </w:t>
      </w:r>
      <w:r>
        <w:rPr>
          <w:color w:val="231F20"/>
          <w:sz w:val="23"/>
        </w:rPr>
        <w:t>area</w:t>
      </w:r>
      <w:r>
        <w:rPr>
          <w:color w:val="231F20"/>
          <w:spacing w:val="-15"/>
          <w:sz w:val="23"/>
        </w:rPr>
        <w:t> </w:t>
      </w:r>
      <w:r>
        <w:rPr>
          <w:color w:val="231F20"/>
          <w:sz w:val="23"/>
        </w:rPr>
        <w:t>of</w:t>
      </w:r>
      <w:r>
        <w:rPr>
          <w:color w:val="231F20"/>
          <w:spacing w:val="-15"/>
          <w:sz w:val="23"/>
        </w:rPr>
        <w:t> </w:t>
      </w:r>
      <w:r>
        <w:rPr>
          <w:color w:val="231F20"/>
          <w:sz w:val="23"/>
        </w:rPr>
        <w:t>contract</w:t>
      </w:r>
      <w:r>
        <w:rPr>
          <w:color w:val="231F20"/>
          <w:spacing w:val="-15"/>
          <w:sz w:val="23"/>
        </w:rPr>
        <w:t> </w:t>
      </w:r>
      <w:r>
        <w:rPr>
          <w:color w:val="231F20"/>
          <w:sz w:val="23"/>
        </w:rPr>
        <w:t>administration,</w:t>
      </w:r>
      <w:r>
        <w:rPr>
          <w:color w:val="231F20"/>
          <w:spacing w:val="-15"/>
          <w:sz w:val="23"/>
        </w:rPr>
        <w:t> </w:t>
      </w:r>
      <w:r>
        <w:rPr>
          <w:color w:val="231F20"/>
          <w:sz w:val="23"/>
        </w:rPr>
        <w:t>proper</w:t>
      </w:r>
      <w:r>
        <w:rPr>
          <w:color w:val="231F20"/>
          <w:spacing w:val="-15"/>
          <w:sz w:val="23"/>
        </w:rPr>
        <w:t> </w:t>
      </w:r>
      <w:r>
        <w:rPr>
          <w:color w:val="231F20"/>
          <w:sz w:val="23"/>
        </w:rPr>
        <w:t>and</w:t>
      </w:r>
      <w:r>
        <w:rPr>
          <w:color w:val="231F20"/>
          <w:spacing w:val="-15"/>
          <w:sz w:val="23"/>
        </w:rPr>
        <w:t> </w:t>
      </w:r>
      <w:r>
        <w:rPr>
          <w:color w:val="231F20"/>
          <w:sz w:val="23"/>
        </w:rPr>
        <w:t>effective</w:t>
      </w:r>
      <w:r>
        <w:rPr>
          <w:color w:val="231F20"/>
          <w:spacing w:val="-15"/>
          <w:sz w:val="23"/>
        </w:rPr>
        <w:t> </w:t>
      </w:r>
      <w:r>
        <w:rPr>
          <w:color w:val="231F20"/>
          <w:sz w:val="23"/>
        </w:rPr>
        <w:t>procedures</w:t>
      </w:r>
      <w:r>
        <w:rPr>
          <w:color w:val="231F20"/>
          <w:spacing w:val="-15"/>
          <w:sz w:val="23"/>
        </w:rPr>
        <w:t> </w:t>
      </w:r>
      <w:r>
        <w:rPr>
          <w:color w:val="231F20"/>
          <w:sz w:val="23"/>
        </w:rPr>
        <w:t>will</w:t>
      </w:r>
      <w:r>
        <w:rPr>
          <w:color w:val="231F20"/>
          <w:spacing w:val="-15"/>
          <w:sz w:val="23"/>
        </w:rPr>
        <w:t> </w:t>
      </w:r>
      <w:r>
        <w:rPr>
          <w:color w:val="231F20"/>
          <w:sz w:val="23"/>
        </w:rPr>
        <w:t>be established to ensure we have a firm grip over the creation, execution, and analysis of</w:t>
      </w:r>
      <w:r>
        <w:rPr>
          <w:color w:val="231F20"/>
          <w:spacing w:val="-7"/>
          <w:sz w:val="23"/>
        </w:rPr>
        <w:t> </w:t>
      </w:r>
      <w:r>
        <w:rPr>
          <w:color w:val="231F20"/>
          <w:sz w:val="23"/>
        </w:rPr>
        <w:t>Government</w:t>
      </w:r>
      <w:r>
        <w:rPr>
          <w:color w:val="231F20"/>
          <w:spacing w:val="-7"/>
          <w:sz w:val="23"/>
        </w:rPr>
        <w:t> </w:t>
      </w:r>
      <w:r>
        <w:rPr>
          <w:color w:val="231F20"/>
          <w:sz w:val="23"/>
        </w:rPr>
        <w:t>contracts.</w:t>
      </w:r>
      <w:r>
        <w:rPr>
          <w:color w:val="231F20"/>
          <w:spacing w:val="-7"/>
          <w:sz w:val="23"/>
        </w:rPr>
        <w:t> </w:t>
      </w:r>
      <w:r>
        <w:rPr>
          <w:color w:val="231F20"/>
          <w:sz w:val="23"/>
        </w:rPr>
        <w:t>This</w:t>
      </w:r>
      <w:r>
        <w:rPr>
          <w:color w:val="231F20"/>
          <w:spacing w:val="-7"/>
          <w:sz w:val="23"/>
        </w:rPr>
        <w:t> </w:t>
      </w:r>
      <w:r>
        <w:rPr>
          <w:color w:val="231F20"/>
          <w:sz w:val="23"/>
        </w:rPr>
        <w:t>is</w:t>
      </w:r>
      <w:r>
        <w:rPr>
          <w:color w:val="231F20"/>
          <w:spacing w:val="-7"/>
          <w:sz w:val="23"/>
        </w:rPr>
        <w:t> </w:t>
      </w:r>
      <w:r>
        <w:rPr>
          <w:color w:val="231F20"/>
          <w:sz w:val="23"/>
        </w:rPr>
        <w:t>to</w:t>
      </w:r>
      <w:r>
        <w:rPr>
          <w:color w:val="231F20"/>
          <w:spacing w:val="-7"/>
          <w:sz w:val="23"/>
        </w:rPr>
        <w:t> </w:t>
      </w:r>
      <w:r>
        <w:rPr>
          <w:color w:val="231F20"/>
          <w:sz w:val="23"/>
        </w:rPr>
        <w:t>maximise</w:t>
      </w:r>
      <w:r>
        <w:rPr>
          <w:color w:val="231F20"/>
          <w:spacing w:val="-7"/>
          <w:sz w:val="23"/>
        </w:rPr>
        <w:t> </w:t>
      </w:r>
      <w:r>
        <w:rPr>
          <w:color w:val="231F20"/>
          <w:sz w:val="23"/>
        </w:rPr>
        <w:t>operational</w:t>
      </w:r>
      <w:r>
        <w:rPr>
          <w:color w:val="231F20"/>
          <w:spacing w:val="-7"/>
          <w:sz w:val="23"/>
        </w:rPr>
        <w:t> </w:t>
      </w:r>
      <w:r>
        <w:rPr>
          <w:color w:val="231F20"/>
          <w:sz w:val="23"/>
        </w:rPr>
        <w:t>and</w:t>
      </w:r>
      <w:r>
        <w:rPr>
          <w:color w:val="231F20"/>
          <w:spacing w:val="-7"/>
          <w:sz w:val="23"/>
        </w:rPr>
        <w:t> </w:t>
      </w:r>
      <w:r>
        <w:rPr>
          <w:color w:val="231F20"/>
          <w:sz w:val="23"/>
        </w:rPr>
        <w:t>financial</w:t>
      </w:r>
      <w:r>
        <w:rPr>
          <w:color w:val="231F20"/>
          <w:spacing w:val="-7"/>
          <w:sz w:val="23"/>
        </w:rPr>
        <w:t> </w:t>
      </w:r>
      <w:r>
        <w:rPr>
          <w:color w:val="231F20"/>
          <w:sz w:val="23"/>
        </w:rPr>
        <w:t>performance while reducing financial risks associated with those contracts, especially the build- up of arrears that could not be detected</w:t>
      </w:r>
      <w:r>
        <w:rPr>
          <w:color w:val="231F20"/>
          <w:spacing w:val="32"/>
          <w:sz w:val="23"/>
        </w:rPr>
        <w:t> </w:t>
      </w:r>
      <w:r>
        <w:rPr>
          <w:color w:val="231F20"/>
          <w:sz w:val="23"/>
        </w:rPr>
        <w:t>easily.</w:t>
      </w:r>
    </w:p>
    <w:p>
      <w:pPr>
        <w:pStyle w:val="BodyText"/>
        <w:spacing w:before="10"/>
        <w:rPr>
          <w:sz w:val="28"/>
        </w:rPr>
      </w:pPr>
    </w:p>
    <w:p>
      <w:pPr>
        <w:pStyle w:val="Heading2"/>
      </w:pPr>
      <w:r>
        <w:rPr>
          <w:color w:val="231F20"/>
        </w:rPr>
        <w:t>Improving the Management of Donor and Domestic funded Capital projects</w:t>
      </w:r>
    </w:p>
    <w:p>
      <w:pPr>
        <w:pStyle w:val="ListParagraph"/>
        <w:numPr>
          <w:ilvl w:val="0"/>
          <w:numId w:val="2"/>
        </w:numPr>
        <w:tabs>
          <w:tab w:pos="954" w:val="left" w:leader="none"/>
        </w:tabs>
        <w:spacing w:line="302" w:lineRule="auto" w:before="71" w:after="0"/>
        <w:ind w:left="103" w:right="118" w:firstLine="223"/>
        <w:jc w:val="both"/>
        <w:rPr>
          <w:sz w:val="23"/>
        </w:rPr>
      </w:pPr>
      <w:r>
        <w:rPr>
          <w:color w:val="231F20"/>
          <w:sz w:val="23"/>
        </w:rPr>
        <w:t>Mr. Speaker, Honourable Members, Government will henceforth enter into contracts</w:t>
      </w:r>
      <w:r>
        <w:rPr>
          <w:color w:val="231F20"/>
          <w:spacing w:val="-15"/>
          <w:sz w:val="23"/>
        </w:rPr>
        <w:t> </w:t>
      </w:r>
      <w:r>
        <w:rPr>
          <w:color w:val="231F20"/>
          <w:sz w:val="23"/>
        </w:rPr>
        <w:t>for</w:t>
      </w:r>
      <w:r>
        <w:rPr>
          <w:color w:val="231F20"/>
          <w:spacing w:val="-15"/>
          <w:sz w:val="23"/>
        </w:rPr>
        <w:t> </w:t>
      </w:r>
      <w:r>
        <w:rPr>
          <w:color w:val="231F20"/>
          <w:sz w:val="23"/>
        </w:rPr>
        <w:t>the</w:t>
      </w:r>
      <w:r>
        <w:rPr>
          <w:color w:val="231F20"/>
          <w:spacing w:val="-15"/>
          <w:sz w:val="23"/>
        </w:rPr>
        <w:t> </w:t>
      </w:r>
      <w:r>
        <w:rPr>
          <w:color w:val="231F20"/>
          <w:sz w:val="23"/>
        </w:rPr>
        <w:t>implementation</w:t>
      </w:r>
      <w:r>
        <w:rPr>
          <w:color w:val="231F20"/>
          <w:spacing w:val="-15"/>
          <w:sz w:val="23"/>
        </w:rPr>
        <w:t> </w:t>
      </w:r>
      <w:r>
        <w:rPr>
          <w:color w:val="231F20"/>
          <w:sz w:val="23"/>
        </w:rPr>
        <w:t>of</w:t>
      </w:r>
      <w:r>
        <w:rPr>
          <w:color w:val="231F20"/>
          <w:spacing w:val="-15"/>
          <w:sz w:val="23"/>
        </w:rPr>
        <w:t> </w:t>
      </w:r>
      <w:r>
        <w:rPr>
          <w:color w:val="231F20"/>
          <w:sz w:val="23"/>
        </w:rPr>
        <w:t>domestically</w:t>
      </w:r>
      <w:r>
        <w:rPr>
          <w:color w:val="231F20"/>
          <w:spacing w:val="-15"/>
          <w:sz w:val="23"/>
        </w:rPr>
        <w:t> </w:t>
      </w:r>
      <w:r>
        <w:rPr>
          <w:color w:val="231F20"/>
          <w:sz w:val="23"/>
        </w:rPr>
        <w:t>funded</w:t>
      </w:r>
      <w:r>
        <w:rPr>
          <w:color w:val="231F20"/>
          <w:spacing w:val="-15"/>
          <w:sz w:val="23"/>
        </w:rPr>
        <w:t> </w:t>
      </w:r>
      <w:r>
        <w:rPr>
          <w:color w:val="231F20"/>
          <w:sz w:val="23"/>
        </w:rPr>
        <w:t>capital</w:t>
      </w:r>
      <w:r>
        <w:rPr>
          <w:color w:val="231F20"/>
          <w:spacing w:val="-15"/>
          <w:sz w:val="23"/>
        </w:rPr>
        <w:t> </w:t>
      </w:r>
      <w:r>
        <w:rPr>
          <w:color w:val="231F20"/>
          <w:sz w:val="23"/>
        </w:rPr>
        <w:t>expenditures</w:t>
      </w:r>
      <w:r>
        <w:rPr>
          <w:color w:val="231F20"/>
          <w:spacing w:val="-15"/>
          <w:sz w:val="23"/>
        </w:rPr>
        <w:t> </w:t>
      </w:r>
      <w:r>
        <w:rPr>
          <w:color w:val="231F20"/>
          <w:sz w:val="23"/>
        </w:rPr>
        <w:t>in</w:t>
      </w:r>
      <w:r>
        <w:rPr>
          <w:color w:val="231F20"/>
          <w:spacing w:val="-15"/>
          <w:sz w:val="23"/>
        </w:rPr>
        <w:t> </w:t>
      </w:r>
      <w:r>
        <w:rPr>
          <w:color w:val="231F20"/>
          <w:sz w:val="23"/>
        </w:rPr>
        <w:t>local currency to limit the exchange rate risk. To speed up implementation and improve quality</w:t>
      </w:r>
      <w:r>
        <w:rPr>
          <w:color w:val="231F20"/>
          <w:spacing w:val="23"/>
          <w:sz w:val="23"/>
        </w:rPr>
        <w:t> </w:t>
      </w:r>
      <w:r>
        <w:rPr>
          <w:color w:val="231F20"/>
          <w:sz w:val="23"/>
        </w:rPr>
        <w:t>of</w:t>
      </w:r>
      <w:r>
        <w:rPr>
          <w:color w:val="231F20"/>
          <w:spacing w:val="23"/>
          <w:sz w:val="23"/>
        </w:rPr>
        <w:t> </w:t>
      </w:r>
      <w:r>
        <w:rPr>
          <w:color w:val="231F20"/>
          <w:sz w:val="23"/>
        </w:rPr>
        <w:t>delivery</w:t>
      </w:r>
      <w:r>
        <w:rPr>
          <w:color w:val="231F20"/>
          <w:spacing w:val="23"/>
          <w:sz w:val="23"/>
        </w:rPr>
        <w:t> </w:t>
      </w:r>
      <w:r>
        <w:rPr>
          <w:color w:val="231F20"/>
          <w:sz w:val="23"/>
        </w:rPr>
        <w:t>of</w:t>
      </w:r>
      <w:r>
        <w:rPr>
          <w:color w:val="231F20"/>
          <w:spacing w:val="23"/>
          <w:sz w:val="23"/>
        </w:rPr>
        <w:t> </w:t>
      </w:r>
      <w:r>
        <w:rPr>
          <w:color w:val="231F20"/>
          <w:sz w:val="23"/>
        </w:rPr>
        <w:t>domestic</w:t>
      </w:r>
      <w:r>
        <w:rPr>
          <w:color w:val="231F20"/>
          <w:spacing w:val="23"/>
          <w:sz w:val="23"/>
        </w:rPr>
        <w:t> </w:t>
      </w:r>
      <w:r>
        <w:rPr>
          <w:color w:val="231F20"/>
          <w:sz w:val="23"/>
        </w:rPr>
        <w:t>and</w:t>
      </w:r>
      <w:r>
        <w:rPr>
          <w:color w:val="231F20"/>
          <w:spacing w:val="23"/>
          <w:sz w:val="23"/>
        </w:rPr>
        <w:t> </w:t>
      </w:r>
      <w:r>
        <w:rPr>
          <w:color w:val="231F20"/>
          <w:sz w:val="23"/>
        </w:rPr>
        <w:t>foreign</w:t>
      </w:r>
      <w:r>
        <w:rPr>
          <w:color w:val="231F20"/>
          <w:spacing w:val="23"/>
          <w:sz w:val="23"/>
        </w:rPr>
        <w:t> </w:t>
      </w:r>
      <w:r>
        <w:rPr>
          <w:color w:val="231F20"/>
          <w:sz w:val="23"/>
        </w:rPr>
        <w:t>funded</w:t>
      </w:r>
      <w:r>
        <w:rPr>
          <w:color w:val="231F20"/>
          <w:spacing w:val="23"/>
          <w:sz w:val="23"/>
        </w:rPr>
        <w:t> </w:t>
      </w:r>
      <w:r>
        <w:rPr>
          <w:color w:val="231F20"/>
          <w:sz w:val="23"/>
        </w:rPr>
        <w:t>capital</w:t>
      </w:r>
      <w:r>
        <w:rPr>
          <w:color w:val="231F20"/>
          <w:spacing w:val="23"/>
          <w:sz w:val="23"/>
        </w:rPr>
        <w:t> </w:t>
      </w:r>
      <w:r>
        <w:rPr>
          <w:color w:val="231F20"/>
          <w:sz w:val="23"/>
        </w:rPr>
        <w:t>projects,</w:t>
      </w:r>
      <w:r>
        <w:rPr>
          <w:color w:val="231F20"/>
          <w:spacing w:val="23"/>
          <w:sz w:val="23"/>
        </w:rPr>
        <w:t> </w:t>
      </w:r>
      <w:r>
        <w:rPr>
          <w:color w:val="231F20"/>
          <w:sz w:val="23"/>
        </w:rPr>
        <w:t>the</w:t>
      </w:r>
      <w:r>
        <w:rPr>
          <w:color w:val="231F20"/>
          <w:spacing w:val="23"/>
          <w:sz w:val="23"/>
        </w:rPr>
        <w:t> </w:t>
      </w:r>
      <w:r>
        <w:rPr>
          <w:color w:val="231F20"/>
          <w:sz w:val="23"/>
        </w:rPr>
        <w:t>Ministry</w:t>
      </w:r>
      <w:r>
        <w:rPr>
          <w:color w:val="231F20"/>
          <w:spacing w:val="23"/>
          <w:sz w:val="23"/>
        </w:rPr>
        <w:t> </w:t>
      </w:r>
      <w:r>
        <w:rPr>
          <w:color w:val="231F20"/>
          <w:sz w:val="23"/>
        </w:rPr>
        <w:t>of</w:t>
      </w:r>
    </w:p>
    <w:p>
      <w:pPr>
        <w:pStyle w:val="BodyText"/>
        <w:spacing w:before="10"/>
      </w:pPr>
    </w:p>
    <w:p>
      <w:pPr>
        <w:pStyle w:val="Heading1"/>
        <w:spacing w:before="101"/>
      </w:pPr>
      <w:r>
        <w:rPr>
          <w:color w:val="231F20"/>
        </w:rPr>
        <w:t>19</w:t>
      </w:r>
    </w:p>
    <w:p>
      <w:pPr>
        <w:spacing w:after="0"/>
        <w:sectPr>
          <w:pgSz w:w="11900" w:h="16840"/>
          <w:pgMar w:top="1180" w:bottom="280" w:left="1140" w:right="1120"/>
        </w:sectPr>
      </w:pPr>
    </w:p>
    <w:p>
      <w:pPr>
        <w:pStyle w:val="BodyText"/>
        <w:spacing w:line="285" w:lineRule="auto" w:before="83"/>
        <w:ind w:left="103" w:right="118"/>
        <w:jc w:val="both"/>
      </w:pPr>
      <w:r>
        <w:rPr>
          <w:color w:val="231F20"/>
        </w:rPr>
        <w:t>Finance and the Ministry of Planning and Economic Development (MoPED) have established</w:t>
      </w:r>
      <w:r>
        <w:rPr>
          <w:color w:val="231F20"/>
          <w:spacing w:val="-37"/>
        </w:rPr>
        <w:t> </w:t>
      </w:r>
      <w:r>
        <w:rPr>
          <w:color w:val="231F20"/>
        </w:rPr>
        <w:t>a</w:t>
      </w:r>
      <w:r>
        <w:rPr>
          <w:color w:val="231F20"/>
          <w:spacing w:val="-37"/>
        </w:rPr>
        <w:t> </w:t>
      </w:r>
      <w:r>
        <w:rPr>
          <w:color w:val="231F20"/>
        </w:rPr>
        <w:t>two-tier</w:t>
      </w:r>
      <w:r>
        <w:rPr>
          <w:color w:val="231F20"/>
          <w:spacing w:val="-37"/>
        </w:rPr>
        <w:t> </w:t>
      </w:r>
      <w:r>
        <w:rPr>
          <w:color w:val="231F20"/>
        </w:rPr>
        <w:t>oversight</w:t>
      </w:r>
      <w:r>
        <w:rPr>
          <w:color w:val="231F20"/>
          <w:spacing w:val="-37"/>
        </w:rPr>
        <w:t> </w:t>
      </w:r>
      <w:r>
        <w:rPr>
          <w:color w:val="231F20"/>
        </w:rPr>
        <w:t>system:</w:t>
      </w:r>
      <w:r>
        <w:rPr>
          <w:color w:val="231F20"/>
          <w:spacing w:val="-37"/>
        </w:rPr>
        <w:t> </w:t>
      </w:r>
      <w:r>
        <w:rPr>
          <w:color w:val="231F20"/>
        </w:rPr>
        <w:t>an</w:t>
      </w:r>
      <w:r>
        <w:rPr>
          <w:color w:val="231F20"/>
          <w:spacing w:val="-37"/>
        </w:rPr>
        <w:t> </w:t>
      </w:r>
      <w:r>
        <w:rPr>
          <w:color w:val="231F20"/>
        </w:rPr>
        <w:t>Inter-Ministerial</w:t>
      </w:r>
      <w:r>
        <w:rPr>
          <w:color w:val="231F20"/>
          <w:spacing w:val="-37"/>
        </w:rPr>
        <w:t> </w:t>
      </w:r>
      <w:r>
        <w:rPr>
          <w:color w:val="231F20"/>
        </w:rPr>
        <w:t>Committee</w:t>
      </w:r>
      <w:r>
        <w:rPr>
          <w:color w:val="231F20"/>
          <w:spacing w:val="-37"/>
        </w:rPr>
        <w:t> </w:t>
      </w:r>
      <w:r>
        <w:rPr>
          <w:color w:val="231F20"/>
        </w:rPr>
        <w:t>provides</w:t>
      </w:r>
      <w:r>
        <w:rPr>
          <w:color w:val="231F20"/>
          <w:spacing w:val="-37"/>
        </w:rPr>
        <w:t> </w:t>
      </w:r>
      <w:r>
        <w:rPr>
          <w:color w:val="231F20"/>
        </w:rPr>
        <w:t>policy oversight of projects without compromising laid down rules and procedures while a Technical</w:t>
      </w:r>
      <w:r>
        <w:rPr>
          <w:color w:val="231F20"/>
          <w:spacing w:val="-7"/>
        </w:rPr>
        <w:t> </w:t>
      </w:r>
      <w:r>
        <w:rPr>
          <w:color w:val="231F20"/>
        </w:rPr>
        <w:t>Implementation</w:t>
      </w:r>
      <w:r>
        <w:rPr>
          <w:color w:val="231F20"/>
          <w:spacing w:val="-7"/>
        </w:rPr>
        <w:t> </w:t>
      </w:r>
      <w:r>
        <w:rPr>
          <w:color w:val="231F20"/>
        </w:rPr>
        <w:t>Committee</w:t>
      </w:r>
      <w:r>
        <w:rPr>
          <w:color w:val="231F20"/>
          <w:spacing w:val="-7"/>
        </w:rPr>
        <w:t> </w:t>
      </w:r>
      <w:r>
        <w:rPr>
          <w:color w:val="231F20"/>
        </w:rPr>
        <w:t>monitors</w:t>
      </w:r>
      <w:r>
        <w:rPr>
          <w:color w:val="231F20"/>
          <w:spacing w:val="-7"/>
        </w:rPr>
        <w:t> </w:t>
      </w:r>
      <w:r>
        <w:rPr>
          <w:color w:val="231F20"/>
        </w:rPr>
        <w:t>and</w:t>
      </w:r>
      <w:r>
        <w:rPr>
          <w:color w:val="231F20"/>
          <w:spacing w:val="-7"/>
        </w:rPr>
        <w:t> </w:t>
      </w:r>
      <w:r>
        <w:rPr>
          <w:color w:val="231F20"/>
        </w:rPr>
        <w:t>evaluates</w:t>
      </w:r>
      <w:r>
        <w:rPr>
          <w:color w:val="231F20"/>
          <w:spacing w:val="-7"/>
        </w:rPr>
        <w:t> </w:t>
      </w:r>
      <w:r>
        <w:rPr>
          <w:color w:val="231F20"/>
        </w:rPr>
        <w:t>the</w:t>
      </w:r>
      <w:r>
        <w:rPr>
          <w:color w:val="231F20"/>
          <w:spacing w:val="-7"/>
        </w:rPr>
        <w:t> </w:t>
      </w:r>
      <w:r>
        <w:rPr>
          <w:color w:val="231F20"/>
        </w:rPr>
        <w:t>implementation</w:t>
      </w:r>
      <w:r>
        <w:rPr>
          <w:color w:val="231F20"/>
          <w:spacing w:val="-7"/>
        </w:rPr>
        <w:t> </w:t>
      </w:r>
      <w:r>
        <w:rPr>
          <w:color w:val="231F20"/>
        </w:rPr>
        <w:t>of development</w:t>
      </w:r>
      <w:r>
        <w:rPr>
          <w:color w:val="231F20"/>
          <w:spacing w:val="15"/>
        </w:rPr>
        <w:t> </w:t>
      </w:r>
      <w:r>
        <w:rPr>
          <w:color w:val="231F20"/>
        </w:rPr>
        <w:t>interventions.</w:t>
      </w:r>
    </w:p>
    <w:p>
      <w:pPr>
        <w:pStyle w:val="BodyText"/>
        <w:spacing w:before="8"/>
        <w:rPr>
          <w:sz w:val="26"/>
        </w:rPr>
      </w:pPr>
    </w:p>
    <w:p>
      <w:pPr>
        <w:pStyle w:val="ListParagraph"/>
        <w:numPr>
          <w:ilvl w:val="0"/>
          <w:numId w:val="2"/>
        </w:numPr>
        <w:tabs>
          <w:tab w:pos="954" w:val="left" w:leader="none"/>
        </w:tabs>
        <w:spacing w:line="285" w:lineRule="auto" w:before="1" w:after="0"/>
        <w:ind w:left="103" w:right="119" w:firstLine="223"/>
        <w:jc w:val="both"/>
        <w:rPr>
          <w:sz w:val="23"/>
        </w:rPr>
      </w:pPr>
      <w:r>
        <w:rPr>
          <w:color w:val="231F20"/>
          <w:sz w:val="23"/>
        </w:rPr>
        <w:t>To improve efficiency in the public investment process, Government</w:t>
      </w:r>
      <w:r>
        <w:rPr>
          <w:color w:val="231F20"/>
          <w:spacing w:val="46"/>
          <w:sz w:val="23"/>
        </w:rPr>
        <w:t> </w:t>
      </w:r>
      <w:r>
        <w:rPr>
          <w:color w:val="231F20"/>
          <w:sz w:val="23"/>
        </w:rPr>
        <w:t>in collaboration</w:t>
      </w:r>
      <w:r>
        <w:rPr>
          <w:color w:val="231F20"/>
          <w:spacing w:val="-6"/>
          <w:sz w:val="23"/>
        </w:rPr>
        <w:t> </w:t>
      </w:r>
      <w:r>
        <w:rPr>
          <w:color w:val="231F20"/>
          <w:sz w:val="23"/>
        </w:rPr>
        <w:t>with</w:t>
      </w:r>
      <w:r>
        <w:rPr>
          <w:color w:val="231F20"/>
          <w:spacing w:val="-6"/>
          <w:sz w:val="23"/>
        </w:rPr>
        <w:t> </w:t>
      </w:r>
      <w:r>
        <w:rPr>
          <w:color w:val="231F20"/>
          <w:sz w:val="23"/>
        </w:rPr>
        <w:t>the</w:t>
      </w:r>
      <w:r>
        <w:rPr>
          <w:color w:val="231F20"/>
          <w:spacing w:val="-5"/>
          <w:sz w:val="23"/>
        </w:rPr>
        <w:t> </w:t>
      </w:r>
      <w:r>
        <w:rPr>
          <w:color w:val="231F20"/>
          <w:sz w:val="23"/>
        </w:rPr>
        <w:t>Fiscal</w:t>
      </w:r>
      <w:r>
        <w:rPr>
          <w:color w:val="231F20"/>
          <w:spacing w:val="-6"/>
          <w:sz w:val="23"/>
        </w:rPr>
        <w:t> </w:t>
      </w:r>
      <w:r>
        <w:rPr>
          <w:color w:val="231F20"/>
          <w:sz w:val="23"/>
        </w:rPr>
        <w:t>Affairs</w:t>
      </w:r>
      <w:r>
        <w:rPr>
          <w:color w:val="231F20"/>
          <w:spacing w:val="-5"/>
          <w:sz w:val="23"/>
        </w:rPr>
        <w:t> </w:t>
      </w:r>
      <w:r>
        <w:rPr>
          <w:color w:val="231F20"/>
          <w:sz w:val="23"/>
        </w:rPr>
        <w:t>Department</w:t>
      </w:r>
      <w:r>
        <w:rPr>
          <w:color w:val="231F20"/>
          <w:spacing w:val="-6"/>
          <w:sz w:val="23"/>
        </w:rPr>
        <w:t> </w:t>
      </w:r>
      <w:r>
        <w:rPr>
          <w:color w:val="231F20"/>
          <w:sz w:val="23"/>
        </w:rPr>
        <w:t>of</w:t>
      </w:r>
      <w:r>
        <w:rPr>
          <w:color w:val="231F20"/>
          <w:spacing w:val="-6"/>
          <w:sz w:val="23"/>
        </w:rPr>
        <w:t> </w:t>
      </w:r>
      <w:r>
        <w:rPr>
          <w:color w:val="231F20"/>
          <w:sz w:val="23"/>
        </w:rPr>
        <w:t>the</w:t>
      </w:r>
      <w:r>
        <w:rPr>
          <w:color w:val="231F20"/>
          <w:spacing w:val="-5"/>
          <w:sz w:val="23"/>
        </w:rPr>
        <w:t> </w:t>
      </w:r>
      <w:r>
        <w:rPr>
          <w:color w:val="231F20"/>
          <w:sz w:val="23"/>
        </w:rPr>
        <w:t>International</w:t>
      </w:r>
      <w:r>
        <w:rPr>
          <w:color w:val="231F20"/>
          <w:spacing w:val="-6"/>
          <w:sz w:val="23"/>
        </w:rPr>
        <w:t> </w:t>
      </w:r>
      <w:r>
        <w:rPr>
          <w:color w:val="231F20"/>
          <w:sz w:val="23"/>
        </w:rPr>
        <w:t>Monetary</w:t>
      </w:r>
      <w:r>
        <w:rPr>
          <w:color w:val="231F20"/>
          <w:spacing w:val="-5"/>
          <w:sz w:val="23"/>
        </w:rPr>
        <w:t> </w:t>
      </w:r>
      <w:r>
        <w:rPr>
          <w:color w:val="231F20"/>
          <w:sz w:val="23"/>
        </w:rPr>
        <w:t>Fund (IMF)</w:t>
      </w:r>
      <w:r>
        <w:rPr>
          <w:color w:val="231F20"/>
          <w:spacing w:val="-13"/>
          <w:sz w:val="23"/>
        </w:rPr>
        <w:t> </w:t>
      </w:r>
      <w:r>
        <w:rPr>
          <w:color w:val="231F20"/>
          <w:sz w:val="23"/>
        </w:rPr>
        <w:t>will</w:t>
      </w:r>
      <w:r>
        <w:rPr>
          <w:color w:val="231F20"/>
          <w:spacing w:val="-13"/>
          <w:sz w:val="23"/>
        </w:rPr>
        <w:t> </w:t>
      </w:r>
      <w:r>
        <w:rPr>
          <w:color w:val="231F20"/>
          <w:sz w:val="23"/>
        </w:rPr>
        <w:t>conduct</w:t>
      </w:r>
      <w:r>
        <w:rPr>
          <w:color w:val="231F20"/>
          <w:spacing w:val="-13"/>
          <w:sz w:val="23"/>
        </w:rPr>
        <w:t> </w:t>
      </w:r>
      <w:r>
        <w:rPr>
          <w:color w:val="231F20"/>
          <w:sz w:val="23"/>
        </w:rPr>
        <w:t>a</w:t>
      </w:r>
      <w:r>
        <w:rPr>
          <w:color w:val="231F20"/>
          <w:spacing w:val="-14"/>
          <w:sz w:val="23"/>
        </w:rPr>
        <w:t> </w:t>
      </w:r>
      <w:r>
        <w:rPr>
          <w:color w:val="231F20"/>
          <w:sz w:val="23"/>
        </w:rPr>
        <w:t>Public</w:t>
      </w:r>
      <w:r>
        <w:rPr>
          <w:color w:val="231F20"/>
          <w:spacing w:val="-14"/>
          <w:sz w:val="23"/>
        </w:rPr>
        <w:t> </w:t>
      </w:r>
      <w:r>
        <w:rPr>
          <w:color w:val="231F20"/>
          <w:sz w:val="23"/>
        </w:rPr>
        <w:t>Investment</w:t>
      </w:r>
      <w:r>
        <w:rPr>
          <w:color w:val="231F20"/>
          <w:spacing w:val="-13"/>
          <w:sz w:val="23"/>
        </w:rPr>
        <w:t> </w:t>
      </w:r>
      <w:r>
        <w:rPr>
          <w:color w:val="231F20"/>
          <w:sz w:val="23"/>
        </w:rPr>
        <w:t>Management</w:t>
      </w:r>
      <w:r>
        <w:rPr>
          <w:color w:val="231F20"/>
          <w:spacing w:val="-13"/>
          <w:sz w:val="23"/>
        </w:rPr>
        <w:t> </w:t>
      </w:r>
      <w:r>
        <w:rPr>
          <w:color w:val="231F20"/>
          <w:sz w:val="23"/>
        </w:rPr>
        <w:t>Assessment</w:t>
      </w:r>
      <w:r>
        <w:rPr>
          <w:color w:val="231F20"/>
          <w:spacing w:val="-14"/>
          <w:sz w:val="23"/>
        </w:rPr>
        <w:t> </w:t>
      </w:r>
      <w:r>
        <w:rPr>
          <w:color w:val="231F20"/>
          <w:sz w:val="23"/>
        </w:rPr>
        <w:t>(PIMA)</w:t>
      </w:r>
      <w:r>
        <w:rPr>
          <w:color w:val="231F20"/>
          <w:spacing w:val="-13"/>
          <w:sz w:val="23"/>
        </w:rPr>
        <w:t> </w:t>
      </w:r>
      <w:r>
        <w:rPr>
          <w:color w:val="231F20"/>
          <w:sz w:val="23"/>
        </w:rPr>
        <w:t>in</w:t>
      </w:r>
      <w:r>
        <w:rPr>
          <w:color w:val="231F20"/>
          <w:spacing w:val="-13"/>
          <w:sz w:val="23"/>
        </w:rPr>
        <w:t> </w:t>
      </w:r>
      <w:r>
        <w:rPr>
          <w:color w:val="231F20"/>
          <w:sz w:val="23"/>
        </w:rPr>
        <w:t>December 2019. This assessment will highlight the strengths and weaknesses of our public investment systems and proffer recommendations for improving decision-making process and capital expenditure</w:t>
      </w:r>
      <w:r>
        <w:rPr>
          <w:color w:val="231F20"/>
          <w:spacing w:val="8"/>
          <w:sz w:val="23"/>
        </w:rPr>
        <w:t> </w:t>
      </w:r>
      <w:r>
        <w:rPr>
          <w:color w:val="231F20"/>
          <w:sz w:val="23"/>
        </w:rPr>
        <w:t>rationalisation.</w:t>
      </w:r>
    </w:p>
    <w:p>
      <w:pPr>
        <w:pStyle w:val="BodyText"/>
        <w:spacing w:before="8"/>
        <w:rPr>
          <w:sz w:val="26"/>
        </w:rPr>
      </w:pPr>
    </w:p>
    <w:p>
      <w:pPr>
        <w:pStyle w:val="ListParagraph"/>
        <w:numPr>
          <w:ilvl w:val="0"/>
          <w:numId w:val="2"/>
        </w:numPr>
        <w:tabs>
          <w:tab w:pos="954" w:val="left" w:leader="none"/>
        </w:tabs>
        <w:spacing w:line="285" w:lineRule="auto" w:before="0" w:after="0"/>
        <w:ind w:left="103" w:right="120" w:firstLine="223"/>
        <w:jc w:val="both"/>
        <w:rPr>
          <w:sz w:val="23"/>
        </w:rPr>
      </w:pPr>
      <w:r>
        <w:rPr>
          <w:color w:val="231F20"/>
          <w:sz w:val="23"/>
        </w:rPr>
        <w:t>Mr.</w:t>
      </w:r>
      <w:r>
        <w:rPr>
          <w:color w:val="231F20"/>
          <w:spacing w:val="-11"/>
          <w:sz w:val="23"/>
        </w:rPr>
        <w:t> </w:t>
      </w:r>
      <w:r>
        <w:rPr>
          <w:color w:val="231F20"/>
          <w:sz w:val="23"/>
        </w:rPr>
        <w:t>Speaker,</w:t>
      </w:r>
      <w:r>
        <w:rPr>
          <w:color w:val="231F20"/>
          <w:spacing w:val="-12"/>
          <w:sz w:val="23"/>
        </w:rPr>
        <w:t> </w:t>
      </w:r>
      <w:r>
        <w:rPr>
          <w:color w:val="231F20"/>
          <w:sz w:val="23"/>
        </w:rPr>
        <w:t>Honourable</w:t>
      </w:r>
      <w:r>
        <w:rPr>
          <w:color w:val="231F20"/>
          <w:spacing w:val="-11"/>
          <w:sz w:val="23"/>
        </w:rPr>
        <w:t> </w:t>
      </w:r>
      <w:r>
        <w:rPr>
          <w:color w:val="231F20"/>
          <w:sz w:val="23"/>
        </w:rPr>
        <w:t>Members,</w:t>
      </w:r>
      <w:r>
        <w:rPr>
          <w:color w:val="231F20"/>
          <w:spacing w:val="-11"/>
          <w:sz w:val="23"/>
        </w:rPr>
        <w:t> </w:t>
      </w:r>
      <w:r>
        <w:rPr>
          <w:color w:val="231F20"/>
          <w:sz w:val="23"/>
        </w:rPr>
        <w:t>in</w:t>
      </w:r>
      <w:r>
        <w:rPr>
          <w:color w:val="231F20"/>
          <w:spacing w:val="-11"/>
          <w:sz w:val="23"/>
        </w:rPr>
        <w:t> </w:t>
      </w:r>
      <w:r>
        <w:rPr>
          <w:color w:val="231F20"/>
          <w:sz w:val="23"/>
        </w:rPr>
        <w:t>addition,</w:t>
      </w:r>
      <w:r>
        <w:rPr>
          <w:color w:val="231F20"/>
          <w:spacing w:val="-12"/>
          <w:sz w:val="23"/>
        </w:rPr>
        <w:t> </w:t>
      </w:r>
      <w:r>
        <w:rPr>
          <w:color w:val="231F20"/>
          <w:sz w:val="23"/>
        </w:rPr>
        <w:t>Government</w:t>
      </w:r>
      <w:r>
        <w:rPr>
          <w:color w:val="231F20"/>
          <w:spacing w:val="-11"/>
          <w:sz w:val="23"/>
        </w:rPr>
        <w:t> </w:t>
      </w:r>
      <w:r>
        <w:rPr>
          <w:color w:val="231F20"/>
          <w:sz w:val="23"/>
        </w:rPr>
        <w:t>is</w:t>
      </w:r>
      <w:r>
        <w:rPr>
          <w:color w:val="231F20"/>
          <w:spacing w:val="-11"/>
          <w:sz w:val="23"/>
        </w:rPr>
        <w:t> </w:t>
      </w:r>
      <w:r>
        <w:rPr>
          <w:color w:val="231F20"/>
          <w:sz w:val="23"/>
        </w:rPr>
        <w:t>reviewing</w:t>
      </w:r>
      <w:r>
        <w:rPr>
          <w:color w:val="231F20"/>
          <w:spacing w:val="-11"/>
          <w:sz w:val="23"/>
        </w:rPr>
        <w:t> </w:t>
      </w:r>
      <w:r>
        <w:rPr>
          <w:color w:val="231F20"/>
          <w:sz w:val="23"/>
        </w:rPr>
        <w:t>the draft</w:t>
      </w:r>
      <w:r>
        <w:rPr>
          <w:color w:val="231F20"/>
          <w:spacing w:val="-45"/>
          <w:sz w:val="23"/>
        </w:rPr>
        <w:t> </w:t>
      </w:r>
      <w:r>
        <w:rPr>
          <w:color w:val="231F20"/>
          <w:sz w:val="23"/>
        </w:rPr>
        <w:t>National</w:t>
      </w:r>
      <w:r>
        <w:rPr>
          <w:color w:val="231F20"/>
          <w:spacing w:val="-44"/>
          <w:sz w:val="23"/>
        </w:rPr>
        <w:t> </w:t>
      </w:r>
      <w:r>
        <w:rPr>
          <w:color w:val="231F20"/>
          <w:sz w:val="23"/>
        </w:rPr>
        <w:t>Public</w:t>
      </w:r>
      <w:r>
        <w:rPr>
          <w:color w:val="231F20"/>
          <w:spacing w:val="-44"/>
          <w:sz w:val="23"/>
        </w:rPr>
        <w:t> </w:t>
      </w:r>
      <w:r>
        <w:rPr>
          <w:color w:val="231F20"/>
          <w:sz w:val="23"/>
        </w:rPr>
        <w:t>Investment</w:t>
      </w:r>
      <w:r>
        <w:rPr>
          <w:color w:val="231F20"/>
          <w:spacing w:val="-44"/>
          <w:sz w:val="23"/>
        </w:rPr>
        <w:t> </w:t>
      </w:r>
      <w:r>
        <w:rPr>
          <w:color w:val="231F20"/>
          <w:sz w:val="23"/>
        </w:rPr>
        <w:t>Management</w:t>
      </w:r>
      <w:r>
        <w:rPr>
          <w:color w:val="231F20"/>
          <w:spacing w:val="-44"/>
          <w:sz w:val="23"/>
        </w:rPr>
        <w:t> </w:t>
      </w:r>
      <w:r>
        <w:rPr>
          <w:color w:val="231F20"/>
          <w:sz w:val="23"/>
        </w:rPr>
        <w:t>Policy</w:t>
      </w:r>
      <w:r>
        <w:rPr>
          <w:color w:val="231F20"/>
          <w:spacing w:val="-44"/>
          <w:sz w:val="23"/>
        </w:rPr>
        <w:t> </w:t>
      </w:r>
      <w:r>
        <w:rPr>
          <w:color w:val="231F20"/>
          <w:sz w:val="23"/>
        </w:rPr>
        <w:t>for</w:t>
      </w:r>
      <w:r>
        <w:rPr>
          <w:color w:val="231F20"/>
          <w:spacing w:val="-44"/>
          <w:sz w:val="23"/>
        </w:rPr>
        <w:t> </w:t>
      </w:r>
      <w:r>
        <w:rPr>
          <w:color w:val="231F20"/>
          <w:sz w:val="23"/>
        </w:rPr>
        <w:t>adoption</w:t>
      </w:r>
      <w:r>
        <w:rPr>
          <w:color w:val="231F20"/>
          <w:spacing w:val="-44"/>
          <w:sz w:val="23"/>
        </w:rPr>
        <w:t> </w:t>
      </w:r>
      <w:r>
        <w:rPr>
          <w:color w:val="231F20"/>
          <w:sz w:val="23"/>
        </w:rPr>
        <w:t>before</w:t>
      </w:r>
      <w:r>
        <w:rPr>
          <w:color w:val="231F20"/>
          <w:spacing w:val="-44"/>
          <w:sz w:val="23"/>
        </w:rPr>
        <w:t> </w:t>
      </w:r>
      <w:r>
        <w:rPr>
          <w:color w:val="231F20"/>
          <w:sz w:val="23"/>
        </w:rPr>
        <w:t>the</w:t>
      </w:r>
      <w:r>
        <w:rPr>
          <w:color w:val="231F20"/>
          <w:spacing w:val="-44"/>
          <w:sz w:val="23"/>
        </w:rPr>
        <w:t> </w:t>
      </w:r>
      <w:r>
        <w:rPr>
          <w:color w:val="231F20"/>
          <w:sz w:val="23"/>
        </w:rPr>
        <w:t>end</w:t>
      </w:r>
      <w:r>
        <w:rPr>
          <w:color w:val="231F20"/>
          <w:spacing w:val="-44"/>
          <w:sz w:val="23"/>
        </w:rPr>
        <w:t> </w:t>
      </w:r>
      <w:r>
        <w:rPr>
          <w:color w:val="231F20"/>
          <w:sz w:val="23"/>
        </w:rPr>
        <w:t>of</w:t>
      </w:r>
      <w:r>
        <w:rPr>
          <w:color w:val="231F20"/>
          <w:spacing w:val="-44"/>
          <w:sz w:val="23"/>
        </w:rPr>
        <w:t> </w:t>
      </w:r>
      <w:r>
        <w:rPr>
          <w:color w:val="231F20"/>
          <w:sz w:val="23"/>
        </w:rPr>
        <w:t>2020 guide</w:t>
      </w:r>
      <w:r>
        <w:rPr>
          <w:color w:val="231F20"/>
          <w:spacing w:val="-9"/>
          <w:sz w:val="23"/>
        </w:rPr>
        <w:t> </w:t>
      </w:r>
      <w:r>
        <w:rPr>
          <w:color w:val="231F20"/>
          <w:sz w:val="23"/>
        </w:rPr>
        <w:t>capital</w:t>
      </w:r>
      <w:r>
        <w:rPr>
          <w:color w:val="231F20"/>
          <w:spacing w:val="-9"/>
          <w:sz w:val="23"/>
        </w:rPr>
        <w:t> </w:t>
      </w:r>
      <w:r>
        <w:rPr>
          <w:color w:val="231F20"/>
          <w:sz w:val="23"/>
        </w:rPr>
        <w:t>expenditure</w:t>
      </w:r>
      <w:r>
        <w:rPr>
          <w:color w:val="231F20"/>
          <w:spacing w:val="-9"/>
          <w:sz w:val="23"/>
        </w:rPr>
        <w:t> </w:t>
      </w:r>
      <w:r>
        <w:rPr>
          <w:color w:val="231F20"/>
          <w:sz w:val="23"/>
        </w:rPr>
        <w:t>planning,</w:t>
      </w:r>
      <w:r>
        <w:rPr>
          <w:color w:val="231F20"/>
          <w:spacing w:val="-9"/>
          <w:sz w:val="23"/>
        </w:rPr>
        <w:t> </w:t>
      </w:r>
      <w:r>
        <w:rPr>
          <w:color w:val="231F20"/>
          <w:sz w:val="23"/>
        </w:rPr>
        <w:t>execution</w:t>
      </w:r>
      <w:r>
        <w:rPr>
          <w:color w:val="231F20"/>
          <w:spacing w:val="-9"/>
          <w:sz w:val="23"/>
        </w:rPr>
        <w:t> </w:t>
      </w:r>
      <w:r>
        <w:rPr>
          <w:color w:val="231F20"/>
          <w:sz w:val="23"/>
        </w:rPr>
        <w:t>and</w:t>
      </w:r>
      <w:r>
        <w:rPr>
          <w:color w:val="231F20"/>
          <w:spacing w:val="-9"/>
          <w:sz w:val="23"/>
        </w:rPr>
        <w:t> </w:t>
      </w:r>
      <w:r>
        <w:rPr>
          <w:color w:val="231F20"/>
          <w:sz w:val="23"/>
        </w:rPr>
        <w:t>coordination;</w:t>
      </w:r>
      <w:r>
        <w:rPr>
          <w:color w:val="231F20"/>
          <w:spacing w:val="-9"/>
          <w:sz w:val="23"/>
        </w:rPr>
        <w:t> </w:t>
      </w:r>
      <w:r>
        <w:rPr>
          <w:color w:val="231F20"/>
          <w:sz w:val="23"/>
        </w:rPr>
        <w:t>as</w:t>
      </w:r>
      <w:r>
        <w:rPr>
          <w:color w:val="231F20"/>
          <w:spacing w:val="-9"/>
          <w:sz w:val="23"/>
        </w:rPr>
        <w:t> </w:t>
      </w:r>
      <w:r>
        <w:rPr>
          <w:color w:val="231F20"/>
          <w:sz w:val="23"/>
        </w:rPr>
        <w:t>well</w:t>
      </w:r>
      <w:r>
        <w:rPr>
          <w:color w:val="231F20"/>
          <w:spacing w:val="-9"/>
          <w:sz w:val="23"/>
        </w:rPr>
        <w:t> </w:t>
      </w:r>
      <w:r>
        <w:rPr>
          <w:color w:val="231F20"/>
          <w:sz w:val="23"/>
        </w:rPr>
        <w:t>as</w:t>
      </w:r>
      <w:r>
        <w:rPr>
          <w:color w:val="231F20"/>
          <w:spacing w:val="-9"/>
          <w:sz w:val="23"/>
        </w:rPr>
        <w:t> </w:t>
      </w:r>
      <w:r>
        <w:rPr>
          <w:color w:val="231F20"/>
          <w:sz w:val="23"/>
        </w:rPr>
        <w:t>appraisal of developmental projects for informed</w:t>
      </w:r>
      <w:r>
        <w:rPr>
          <w:color w:val="231F20"/>
          <w:spacing w:val="-15"/>
          <w:sz w:val="23"/>
        </w:rPr>
        <w:t> </w:t>
      </w:r>
      <w:r>
        <w:rPr>
          <w:color w:val="231F20"/>
          <w:sz w:val="23"/>
        </w:rPr>
        <w:t>decision-making.</w:t>
      </w:r>
    </w:p>
    <w:p>
      <w:pPr>
        <w:pStyle w:val="BodyText"/>
        <w:spacing w:before="8"/>
        <w:rPr>
          <w:sz w:val="26"/>
        </w:rPr>
      </w:pPr>
    </w:p>
    <w:p>
      <w:pPr>
        <w:pStyle w:val="ListParagraph"/>
        <w:numPr>
          <w:ilvl w:val="0"/>
          <w:numId w:val="2"/>
        </w:numPr>
        <w:tabs>
          <w:tab w:pos="954" w:val="left" w:leader="none"/>
        </w:tabs>
        <w:spacing w:line="285" w:lineRule="auto" w:before="0" w:after="0"/>
        <w:ind w:left="103" w:right="119" w:firstLine="223"/>
        <w:jc w:val="both"/>
        <w:rPr>
          <w:sz w:val="23"/>
        </w:rPr>
      </w:pPr>
      <w:r>
        <w:rPr>
          <w:color w:val="231F20"/>
          <w:sz w:val="23"/>
        </w:rPr>
        <w:t>To improve on the design of projects and preparation of national plans, Government will introduce a planning system that links Ward-level planning with Districts</w:t>
      </w:r>
      <w:r>
        <w:rPr>
          <w:color w:val="231F20"/>
          <w:spacing w:val="-45"/>
          <w:sz w:val="23"/>
        </w:rPr>
        <w:t> </w:t>
      </w:r>
      <w:r>
        <w:rPr>
          <w:color w:val="231F20"/>
          <w:sz w:val="23"/>
        </w:rPr>
        <w:t>to</w:t>
      </w:r>
      <w:r>
        <w:rPr>
          <w:color w:val="231F20"/>
          <w:spacing w:val="-44"/>
          <w:sz w:val="23"/>
        </w:rPr>
        <w:t> </w:t>
      </w:r>
      <w:r>
        <w:rPr>
          <w:color w:val="231F20"/>
          <w:sz w:val="23"/>
        </w:rPr>
        <w:t>MDAs</w:t>
      </w:r>
      <w:r>
        <w:rPr>
          <w:color w:val="231F20"/>
          <w:spacing w:val="-44"/>
          <w:sz w:val="23"/>
        </w:rPr>
        <w:t> </w:t>
      </w:r>
      <w:r>
        <w:rPr>
          <w:color w:val="231F20"/>
          <w:sz w:val="23"/>
        </w:rPr>
        <w:t>and</w:t>
      </w:r>
      <w:r>
        <w:rPr>
          <w:color w:val="231F20"/>
          <w:spacing w:val="-44"/>
          <w:sz w:val="23"/>
        </w:rPr>
        <w:t> </w:t>
      </w:r>
      <w:r>
        <w:rPr>
          <w:color w:val="231F20"/>
          <w:sz w:val="23"/>
        </w:rPr>
        <w:t>the</w:t>
      </w:r>
      <w:r>
        <w:rPr>
          <w:color w:val="231F20"/>
          <w:spacing w:val="-44"/>
          <w:sz w:val="23"/>
        </w:rPr>
        <w:t> </w:t>
      </w:r>
      <w:r>
        <w:rPr>
          <w:color w:val="231F20"/>
          <w:sz w:val="23"/>
        </w:rPr>
        <w:t>national</w:t>
      </w:r>
      <w:r>
        <w:rPr>
          <w:color w:val="231F20"/>
          <w:spacing w:val="-44"/>
          <w:sz w:val="23"/>
        </w:rPr>
        <w:t> </w:t>
      </w:r>
      <w:r>
        <w:rPr>
          <w:color w:val="231F20"/>
          <w:sz w:val="23"/>
        </w:rPr>
        <w:t>portfolio</w:t>
      </w:r>
      <w:r>
        <w:rPr>
          <w:color w:val="231F20"/>
          <w:spacing w:val="-45"/>
          <w:sz w:val="23"/>
        </w:rPr>
        <w:t> </w:t>
      </w:r>
      <w:r>
        <w:rPr>
          <w:color w:val="231F20"/>
          <w:sz w:val="23"/>
        </w:rPr>
        <w:t>of</w:t>
      </w:r>
      <w:r>
        <w:rPr>
          <w:color w:val="231F20"/>
          <w:spacing w:val="-44"/>
          <w:sz w:val="23"/>
        </w:rPr>
        <w:t> </w:t>
      </w:r>
      <w:r>
        <w:rPr>
          <w:color w:val="231F20"/>
          <w:sz w:val="23"/>
        </w:rPr>
        <w:t>Public</w:t>
      </w:r>
      <w:r>
        <w:rPr>
          <w:color w:val="231F20"/>
          <w:spacing w:val="-44"/>
          <w:sz w:val="23"/>
        </w:rPr>
        <w:t> </w:t>
      </w:r>
      <w:r>
        <w:rPr>
          <w:color w:val="231F20"/>
          <w:sz w:val="23"/>
        </w:rPr>
        <w:t>Investments</w:t>
      </w:r>
      <w:r>
        <w:rPr>
          <w:color w:val="231F20"/>
          <w:spacing w:val="-44"/>
          <w:sz w:val="23"/>
        </w:rPr>
        <w:t> </w:t>
      </w:r>
      <w:r>
        <w:rPr>
          <w:color w:val="231F20"/>
          <w:sz w:val="23"/>
        </w:rPr>
        <w:t>Projects</w:t>
      </w:r>
      <w:r>
        <w:rPr>
          <w:color w:val="231F20"/>
          <w:spacing w:val="-44"/>
          <w:sz w:val="23"/>
        </w:rPr>
        <w:t> </w:t>
      </w:r>
      <w:r>
        <w:rPr>
          <w:color w:val="231F20"/>
          <w:sz w:val="23"/>
        </w:rPr>
        <w:t>(PIP).</w:t>
      </w:r>
      <w:r>
        <w:rPr>
          <w:color w:val="231F20"/>
          <w:spacing w:val="-44"/>
          <w:sz w:val="23"/>
        </w:rPr>
        <w:t> </w:t>
      </w:r>
      <w:r>
        <w:rPr>
          <w:color w:val="231F20"/>
          <w:sz w:val="23"/>
        </w:rPr>
        <w:t>MoPED will collaborate with the Ministry of Local Government to develop the</w:t>
      </w:r>
      <w:r>
        <w:rPr>
          <w:color w:val="231F20"/>
          <w:spacing w:val="33"/>
          <w:sz w:val="23"/>
        </w:rPr>
        <w:t> </w:t>
      </w:r>
      <w:r>
        <w:rPr>
          <w:color w:val="231F20"/>
          <w:sz w:val="23"/>
        </w:rPr>
        <w:t>system.</w:t>
      </w:r>
    </w:p>
    <w:p>
      <w:pPr>
        <w:pStyle w:val="BodyText"/>
        <w:spacing w:before="11"/>
        <w:rPr>
          <w:sz w:val="26"/>
        </w:rPr>
      </w:pPr>
    </w:p>
    <w:p>
      <w:pPr>
        <w:pStyle w:val="ListParagraph"/>
        <w:numPr>
          <w:ilvl w:val="0"/>
          <w:numId w:val="2"/>
        </w:numPr>
        <w:tabs>
          <w:tab w:pos="954" w:val="left" w:leader="none"/>
        </w:tabs>
        <w:spacing w:line="285" w:lineRule="auto" w:before="0" w:after="0"/>
        <w:ind w:left="103" w:right="119" w:firstLine="223"/>
        <w:jc w:val="both"/>
        <w:rPr>
          <w:sz w:val="23"/>
        </w:rPr>
      </w:pPr>
      <w:r>
        <w:rPr>
          <w:color w:val="231F20"/>
          <w:sz w:val="23"/>
        </w:rPr>
        <w:t>Furthermore, Government has operationalised the National Monitoring and </w:t>
      </w:r>
      <w:r>
        <w:rPr>
          <w:color w:val="231F20"/>
          <w:spacing w:val="-3"/>
          <w:sz w:val="23"/>
        </w:rPr>
        <w:t>Evaluation</w:t>
      </w:r>
      <w:r>
        <w:rPr>
          <w:color w:val="231F20"/>
          <w:spacing w:val="-43"/>
          <w:sz w:val="23"/>
        </w:rPr>
        <w:t> </w:t>
      </w:r>
      <w:r>
        <w:rPr>
          <w:color w:val="231F20"/>
          <w:spacing w:val="-3"/>
          <w:sz w:val="23"/>
        </w:rPr>
        <w:t>Department</w:t>
      </w:r>
      <w:r>
        <w:rPr>
          <w:color w:val="231F20"/>
          <w:spacing w:val="-42"/>
          <w:sz w:val="23"/>
        </w:rPr>
        <w:t> </w:t>
      </w:r>
      <w:r>
        <w:rPr>
          <w:color w:val="231F20"/>
          <w:spacing w:val="-3"/>
          <w:sz w:val="23"/>
        </w:rPr>
        <w:t>(NaMED)</w:t>
      </w:r>
      <w:r>
        <w:rPr>
          <w:color w:val="231F20"/>
          <w:spacing w:val="-42"/>
          <w:sz w:val="23"/>
        </w:rPr>
        <w:t> </w:t>
      </w:r>
      <w:r>
        <w:rPr>
          <w:color w:val="231F20"/>
          <w:sz w:val="23"/>
        </w:rPr>
        <w:t>in</w:t>
      </w:r>
      <w:r>
        <w:rPr>
          <w:color w:val="231F20"/>
          <w:spacing w:val="-42"/>
          <w:sz w:val="23"/>
        </w:rPr>
        <w:t> </w:t>
      </w:r>
      <w:r>
        <w:rPr>
          <w:color w:val="231F20"/>
          <w:sz w:val="23"/>
        </w:rPr>
        <w:t>the</w:t>
      </w:r>
      <w:r>
        <w:rPr>
          <w:color w:val="231F20"/>
          <w:spacing w:val="-43"/>
          <w:sz w:val="23"/>
        </w:rPr>
        <w:t> </w:t>
      </w:r>
      <w:r>
        <w:rPr>
          <w:color w:val="231F20"/>
          <w:spacing w:val="-3"/>
          <w:sz w:val="23"/>
        </w:rPr>
        <w:t>Ministry</w:t>
      </w:r>
      <w:r>
        <w:rPr>
          <w:color w:val="231F20"/>
          <w:spacing w:val="-43"/>
          <w:sz w:val="23"/>
        </w:rPr>
        <w:t> </w:t>
      </w:r>
      <w:r>
        <w:rPr>
          <w:color w:val="231F20"/>
          <w:sz w:val="23"/>
        </w:rPr>
        <w:t>of</w:t>
      </w:r>
      <w:r>
        <w:rPr>
          <w:color w:val="231F20"/>
          <w:spacing w:val="-43"/>
          <w:sz w:val="23"/>
        </w:rPr>
        <w:t> </w:t>
      </w:r>
      <w:r>
        <w:rPr>
          <w:color w:val="231F20"/>
          <w:spacing w:val="-3"/>
          <w:sz w:val="23"/>
        </w:rPr>
        <w:t>Planning</w:t>
      </w:r>
      <w:r>
        <w:rPr>
          <w:color w:val="231F20"/>
          <w:spacing w:val="-43"/>
          <w:sz w:val="23"/>
        </w:rPr>
        <w:t> </w:t>
      </w:r>
      <w:r>
        <w:rPr>
          <w:color w:val="231F20"/>
          <w:sz w:val="23"/>
        </w:rPr>
        <w:t>and</w:t>
      </w:r>
      <w:r>
        <w:rPr>
          <w:color w:val="231F20"/>
          <w:spacing w:val="-43"/>
          <w:sz w:val="23"/>
        </w:rPr>
        <w:t> </w:t>
      </w:r>
      <w:r>
        <w:rPr>
          <w:color w:val="231F20"/>
          <w:spacing w:val="-3"/>
          <w:sz w:val="23"/>
        </w:rPr>
        <w:t>Economic</w:t>
      </w:r>
      <w:r>
        <w:rPr>
          <w:color w:val="231F20"/>
          <w:spacing w:val="-43"/>
          <w:sz w:val="23"/>
        </w:rPr>
        <w:t> </w:t>
      </w:r>
      <w:r>
        <w:rPr>
          <w:color w:val="231F20"/>
          <w:spacing w:val="-3"/>
          <w:sz w:val="23"/>
        </w:rPr>
        <w:t>Development </w:t>
      </w:r>
      <w:r>
        <w:rPr>
          <w:color w:val="231F20"/>
          <w:sz w:val="23"/>
        </w:rPr>
        <w:t>(MoPED).</w:t>
      </w:r>
      <w:r>
        <w:rPr>
          <w:color w:val="231F20"/>
          <w:spacing w:val="-45"/>
          <w:sz w:val="23"/>
        </w:rPr>
        <w:t> </w:t>
      </w:r>
      <w:r>
        <w:rPr>
          <w:color w:val="231F20"/>
          <w:sz w:val="23"/>
        </w:rPr>
        <w:t>NaMED,</w:t>
      </w:r>
      <w:r>
        <w:rPr>
          <w:color w:val="231F20"/>
          <w:spacing w:val="-45"/>
          <w:sz w:val="23"/>
        </w:rPr>
        <w:t> </w:t>
      </w:r>
      <w:r>
        <w:rPr>
          <w:color w:val="231F20"/>
          <w:sz w:val="23"/>
        </w:rPr>
        <w:t>in</w:t>
      </w:r>
      <w:r>
        <w:rPr>
          <w:color w:val="231F20"/>
          <w:spacing w:val="-44"/>
          <w:sz w:val="23"/>
        </w:rPr>
        <w:t> </w:t>
      </w:r>
      <w:r>
        <w:rPr>
          <w:color w:val="231F20"/>
          <w:sz w:val="23"/>
        </w:rPr>
        <w:t>collaboration</w:t>
      </w:r>
      <w:r>
        <w:rPr>
          <w:color w:val="231F20"/>
          <w:spacing w:val="-45"/>
          <w:sz w:val="23"/>
        </w:rPr>
        <w:t> </w:t>
      </w:r>
      <w:r>
        <w:rPr>
          <w:color w:val="231F20"/>
          <w:sz w:val="23"/>
        </w:rPr>
        <w:t>with</w:t>
      </w:r>
      <w:r>
        <w:rPr>
          <w:color w:val="231F20"/>
          <w:spacing w:val="-44"/>
          <w:sz w:val="23"/>
        </w:rPr>
        <w:t> </w:t>
      </w:r>
      <w:r>
        <w:rPr>
          <w:color w:val="231F20"/>
          <w:sz w:val="23"/>
        </w:rPr>
        <w:t>DSTI,</w:t>
      </w:r>
      <w:r>
        <w:rPr>
          <w:color w:val="231F20"/>
          <w:spacing w:val="-45"/>
          <w:sz w:val="23"/>
        </w:rPr>
        <w:t> </w:t>
      </w:r>
      <w:r>
        <w:rPr>
          <w:color w:val="231F20"/>
          <w:sz w:val="23"/>
        </w:rPr>
        <w:t>is</w:t>
      </w:r>
      <w:r>
        <w:rPr>
          <w:color w:val="231F20"/>
          <w:spacing w:val="-44"/>
          <w:sz w:val="23"/>
        </w:rPr>
        <w:t> </w:t>
      </w:r>
      <w:r>
        <w:rPr>
          <w:color w:val="231F20"/>
          <w:sz w:val="23"/>
        </w:rPr>
        <w:t>developing</w:t>
      </w:r>
      <w:r>
        <w:rPr>
          <w:color w:val="231F20"/>
          <w:spacing w:val="-45"/>
          <w:sz w:val="23"/>
        </w:rPr>
        <w:t> </w:t>
      </w:r>
      <w:r>
        <w:rPr>
          <w:color w:val="231F20"/>
          <w:sz w:val="23"/>
        </w:rPr>
        <w:t>an</w:t>
      </w:r>
      <w:r>
        <w:rPr>
          <w:color w:val="231F20"/>
          <w:spacing w:val="-44"/>
          <w:sz w:val="23"/>
        </w:rPr>
        <w:t> </w:t>
      </w:r>
      <w:r>
        <w:rPr>
          <w:color w:val="231F20"/>
          <w:sz w:val="23"/>
        </w:rPr>
        <w:t>automated</w:t>
      </w:r>
      <w:r>
        <w:rPr>
          <w:color w:val="231F20"/>
          <w:spacing w:val="-45"/>
          <w:sz w:val="23"/>
        </w:rPr>
        <w:t> </w:t>
      </w:r>
      <w:r>
        <w:rPr>
          <w:color w:val="231F20"/>
          <w:sz w:val="23"/>
        </w:rPr>
        <w:t>Management Information</w:t>
      </w:r>
      <w:r>
        <w:rPr>
          <w:color w:val="231F20"/>
          <w:spacing w:val="-54"/>
          <w:sz w:val="23"/>
        </w:rPr>
        <w:t> </w:t>
      </w:r>
      <w:r>
        <w:rPr>
          <w:color w:val="231F20"/>
          <w:sz w:val="23"/>
        </w:rPr>
        <w:t>System</w:t>
      </w:r>
      <w:r>
        <w:rPr>
          <w:color w:val="231F20"/>
          <w:spacing w:val="-53"/>
          <w:sz w:val="23"/>
        </w:rPr>
        <w:t> </w:t>
      </w:r>
      <w:r>
        <w:rPr>
          <w:color w:val="231F20"/>
          <w:sz w:val="23"/>
        </w:rPr>
        <w:t>for</w:t>
      </w:r>
      <w:r>
        <w:rPr>
          <w:color w:val="231F20"/>
          <w:spacing w:val="-53"/>
          <w:sz w:val="23"/>
        </w:rPr>
        <w:t> </w:t>
      </w:r>
      <w:r>
        <w:rPr>
          <w:color w:val="231F20"/>
          <w:sz w:val="23"/>
        </w:rPr>
        <w:t>monitoring</w:t>
      </w:r>
      <w:r>
        <w:rPr>
          <w:color w:val="231F20"/>
          <w:spacing w:val="-54"/>
          <w:sz w:val="23"/>
        </w:rPr>
        <w:t> </w:t>
      </w:r>
      <w:r>
        <w:rPr>
          <w:color w:val="231F20"/>
          <w:sz w:val="23"/>
        </w:rPr>
        <w:t>and</w:t>
      </w:r>
      <w:r>
        <w:rPr>
          <w:color w:val="231F20"/>
          <w:spacing w:val="-53"/>
          <w:sz w:val="23"/>
        </w:rPr>
        <w:t> </w:t>
      </w:r>
      <w:r>
        <w:rPr>
          <w:color w:val="231F20"/>
          <w:sz w:val="23"/>
        </w:rPr>
        <w:t>evaluation</w:t>
      </w:r>
      <w:r>
        <w:rPr>
          <w:color w:val="231F20"/>
          <w:spacing w:val="-53"/>
          <w:sz w:val="23"/>
        </w:rPr>
        <w:t> </w:t>
      </w:r>
      <w:r>
        <w:rPr>
          <w:color w:val="231F20"/>
          <w:sz w:val="23"/>
        </w:rPr>
        <w:t>of</w:t>
      </w:r>
      <w:r>
        <w:rPr>
          <w:color w:val="231F20"/>
          <w:spacing w:val="-54"/>
          <w:sz w:val="23"/>
        </w:rPr>
        <w:t> </w:t>
      </w:r>
      <w:r>
        <w:rPr>
          <w:color w:val="231F20"/>
          <w:sz w:val="23"/>
        </w:rPr>
        <w:t>public</w:t>
      </w:r>
      <w:r>
        <w:rPr>
          <w:color w:val="231F20"/>
          <w:spacing w:val="-53"/>
          <w:sz w:val="23"/>
        </w:rPr>
        <w:t> </w:t>
      </w:r>
      <w:r>
        <w:rPr>
          <w:color w:val="231F20"/>
          <w:sz w:val="23"/>
        </w:rPr>
        <w:t>expenditure</w:t>
      </w:r>
      <w:r>
        <w:rPr>
          <w:color w:val="231F20"/>
          <w:spacing w:val="-53"/>
          <w:sz w:val="23"/>
        </w:rPr>
        <w:t> </w:t>
      </w:r>
      <w:r>
        <w:rPr>
          <w:color w:val="231F20"/>
          <w:sz w:val="23"/>
        </w:rPr>
        <w:t>on</w:t>
      </w:r>
      <w:r>
        <w:rPr>
          <w:color w:val="231F20"/>
          <w:spacing w:val="-54"/>
          <w:sz w:val="23"/>
        </w:rPr>
        <w:t> </w:t>
      </w:r>
      <w:r>
        <w:rPr>
          <w:color w:val="231F20"/>
          <w:sz w:val="23"/>
        </w:rPr>
        <w:t>development projects in the Medium-Term National Development Plan. The disbursement of budgetary allocations to projects will henceforth be triggered by the submission of satisfactory</w:t>
      </w:r>
      <w:r>
        <w:rPr>
          <w:color w:val="231F20"/>
          <w:spacing w:val="-19"/>
          <w:sz w:val="23"/>
        </w:rPr>
        <w:t> </w:t>
      </w:r>
      <w:r>
        <w:rPr>
          <w:color w:val="231F20"/>
          <w:sz w:val="23"/>
        </w:rPr>
        <w:t>monitoring</w:t>
      </w:r>
      <w:r>
        <w:rPr>
          <w:color w:val="231F20"/>
          <w:spacing w:val="-19"/>
          <w:sz w:val="23"/>
        </w:rPr>
        <w:t> </w:t>
      </w:r>
      <w:r>
        <w:rPr>
          <w:color w:val="231F20"/>
          <w:sz w:val="23"/>
        </w:rPr>
        <w:t>reports</w:t>
      </w:r>
      <w:r>
        <w:rPr>
          <w:color w:val="231F20"/>
          <w:spacing w:val="-19"/>
          <w:sz w:val="23"/>
        </w:rPr>
        <w:t> </w:t>
      </w:r>
      <w:r>
        <w:rPr>
          <w:color w:val="231F20"/>
          <w:sz w:val="23"/>
        </w:rPr>
        <w:t>by</w:t>
      </w:r>
      <w:r>
        <w:rPr>
          <w:color w:val="231F20"/>
          <w:spacing w:val="-19"/>
          <w:sz w:val="23"/>
        </w:rPr>
        <w:t> </w:t>
      </w:r>
      <w:r>
        <w:rPr>
          <w:color w:val="231F20"/>
          <w:sz w:val="23"/>
        </w:rPr>
        <w:t>NaMED.</w:t>
      </w:r>
    </w:p>
    <w:p>
      <w:pPr>
        <w:pStyle w:val="BodyText"/>
        <w:spacing w:before="6"/>
        <w:rPr>
          <w:sz w:val="26"/>
        </w:rPr>
      </w:pPr>
    </w:p>
    <w:p>
      <w:pPr>
        <w:pStyle w:val="ListParagraph"/>
        <w:numPr>
          <w:ilvl w:val="0"/>
          <w:numId w:val="2"/>
        </w:numPr>
        <w:tabs>
          <w:tab w:pos="954" w:val="left" w:leader="none"/>
        </w:tabs>
        <w:spacing w:line="283" w:lineRule="auto" w:before="1" w:after="0"/>
        <w:ind w:left="103" w:right="120" w:firstLine="223"/>
        <w:jc w:val="both"/>
        <w:rPr>
          <w:sz w:val="23"/>
        </w:rPr>
      </w:pPr>
      <w:r>
        <w:rPr>
          <w:color w:val="231F20"/>
          <w:sz w:val="23"/>
        </w:rPr>
        <w:t>On the implementation of feeder roads, Government will establish a Feeder Road Basket Fund in which all funds for feeder roads will be channelled. This is to facilitate the coordination of the implementation of feeder roads</w:t>
      </w:r>
      <w:r>
        <w:rPr>
          <w:color w:val="231F20"/>
          <w:spacing w:val="13"/>
          <w:sz w:val="23"/>
        </w:rPr>
        <w:t> </w:t>
      </w:r>
      <w:r>
        <w:rPr>
          <w:color w:val="231F20"/>
          <w:sz w:val="23"/>
        </w:rPr>
        <w:t>projects.</w:t>
      </w:r>
    </w:p>
    <w:p>
      <w:pPr>
        <w:pStyle w:val="BodyText"/>
        <w:spacing w:before="6"/>
        <w:rPr>
          <w:sz w:val="27"/>
        </w:rPr>
      </w:pPr>
    </w:p>
    <w:p>
      <w:pPr>
        <w:pStyle w:val="Heading2"/>
        <w:tabs>
          <w:tab w:pos="953" w:val="left" w:leader="none"/>
        </w:tabs>
        <w:ind w:left="295"/>
      </w:pPr>
      <w:r>
        <w:rPr>
          <w:color w:val="231F20"/>
          <w:spacing w:val="-3"/>
        </w:rPr>
        <w:t>4.2</w:t>
        <w:tab/>
      </w:r>
      <w:r>
        <w:rPr>
          <w:color w:val="231F20"/>
        </w:rPr>
        <w:t>Public</w:t>
      </w:r>
      <w:r>
        <w:rPr>
          <w:color w:val="231F20"/>
          <w:spacing w:val="-34"/>
        </w:rPr>
        <w:t> </w:t>
      </w:r>
      <w:r>
        <w:rPr>
          <w:color w:val="231F20"/>
        </w:rPr>
        <w:t>Debt</w:t>
      </w:r>
      <w:r>
        <w:rPr>
          <w:color w:val="231F20"/>
          <w:spacing w:val="-33"/>
        </w:rPr>
        <w:t> </w:t>
      </w:r>
      <w:r>
        <w:rPr>
          <w:color w:val="231F20"/>
        </w:rPr>
        <w:t>Policy</w:t>
      </w:r>
    </w:p>
    <w:p>
      <w:pPr>
        <w:pStyle w:val="ListParagraph"/>
        <w:numPr>
          <w:ilvl w:val="0"/>
          <w:numId w:val="2"/>
        </w:numPr>
        <w:tabs>
          <w:tab w:pos="954" w:val="left" w:leader="none"/>
        </w:tabs>
        <w:spacing w:line="285" w:lineRule="auto" w:before="49" w:after="0"/>
        <w:ind w:left="103" w:right="120" w:firstLine="223"/>
        <w:jc w:val="both"/>
        <w:rPr>
          <w:sz w:val="23"/>
        </w:rPr>
      </w:pPr>
      <w:r>
        <w:rPr>
          <w:color w:val="231F20"/>
          <w:sz w:val="23"/>
        </w:rPr>
        <w:t>Mr. Speaker, Honourable Members, as reported earlier, external debt is estimated</w:t>
      </w:r>
      <w:r>
        <w:rPr>
          <w:color w:val="231F20"/>
          <w:spacing w:val="-25"/>
          <w:sz w:val="23"/>
        </w:rPr>
        <w:t> </w:t>
      </w:r>
      <w:r>
        <w:rPr>
          <w:color w:val="231F20"/>
          <w:sz w:val="23"/>
        </w:rPr>
        <w:t>at</w:t>
      </w:r>
      <w:r>
        <w:rPr>
          <w:color w:val="231F20"/>
          <w:spacing w:val="-25"/>
          <w:sz w:val="23"/>
        </w:rPr>
        <w:t> </w:t>
      </w:r>
      <w:r>
        <w:rPr>
          <w:color w:val="231F20"/>
          <w:sz w:val="23"/>
        </w:rPr>
        <w:t>US$1.6</w:t>
      </w:r>
      <w:r>
        <w:rPr>
          <w:color w:val="231F20"/>
          <w:spacing w:val="-25"/>
          <w:sz w:val="23"/>
        </w:rPr>
        <w:t> </w:t>
      </w:r>
      <w:r>
        <w:rPr>
          <w:color w:val="231F20"/>
          <w:sz w:val="23"/>
        </w:rPr>
        <w:t>billion</w:t>
      </w:r>
      <w:r>
        <w:rPr>
          <w:color w:val="231F20"/>
          <w:spacing w:val="-25"/>
          <w:sz w:val="23"/>
        </w:rPr>
        <w:t> </w:t>
      </w:r>
      <w:r>
        <w:rPr>
          <w:color w:val="231F20"/>
          <w:sz w:val="23"/>
        </w:rPr>
        <w:t>and</w:t>
      </w:r>
      <w:r>
        <w:rPr>
          <w:color w:val="231F20"/>
          <w:spacing w:val="-25"/>
          <w:sz w:val="23"/>
        </w:rPr>
        <w:t> </w:t>
      </w:r>
      <w:r>
        <w:rPr>
          <w:color w:val="231F20"/>
          <w:sz w:val="23"/>
        </w:rPr>
        <w:t>domestic</w:t>
      </w:r>
      <w:r>
        <w:rPr>
          <w:color w:val="231F20"/>
          <w:spacing w:val="-25"/>
          <w:sz w:val="23"/>
        </w:rPr>
        <w:t> </w:t>
      </w:r>
      <w:r>
        <w:rPr>
          <w:color w:val="231F20"/>
          <w:sz w:val="23"/>
        </w:rPr>
        <w:t>debt</w:t>
      </w:r>
      <w:r>
        <w:rPr>
          <w:color w:val="231F20"/>
          <w:spacing w:val="-25"/>
          <w:sz w:val="23"/>
        </w:rPr>
        <w:t> </w:t>
      </w:r>
      <w:r>
        <w:rPr>
          <w:color w:val="231F20"/>
          <w:sz w:val="23"/>
        </w:rPr>
        <w:t>at</w:t>
      </w:r>
      <w:r>
        <w:rPr>
          <w:color w:val="231F20"/>
          <w:spacing w:val="-25"/>
          <w:sz w:val="23"/>
        </w:rPr>
        <w:t> </w:t>
      </w:r>
      <w:r>
        <w:rPr>
          <w:color w:val="231F20"/>
          <w:sz w:val="23"/>
        </w:rPr>
        <w:t>Le6.1</w:t>
      </w:r>
      <w:r>
        <w:rPr>
          <w:color w:val="231F20"/>
          <w:spacing w:val="-25"/>
          <w:sz w:val="23"/>
        </w:rPr>
        <w:t> </w:t>
      </w:r>
      <w:r>
        <w:rPr>
          <w:color w:val="231F20"/>
          <w:sz w:val="23"/>
        </w:rPr>
        <w:t>trillion</w:t>
      </w:r>
      <w:r>
        <w:rPr>
          <w:color w:val="231F20"/>
          <w:spacing w:val="-25"/>
          <w:sz w:val="23"/>
        </w:rPr>
        <w:t> </w:t>
      </w:r>
      <w:r>
        <w:rPr>
          <w:color w:val="231F20"/>
          <w:sz w:val="23"/>
        </w:rPr>
        <w:t>(about</w:t>
      </w:r>
      <w:r>
        <w:rPr>
          <w:color w:val="231F20"/>
          <w:spacing w:val="-25"/>
          <w:sz w:val="23"/>
        </w:rPr>
        <w:t> </w:t>
      </w:r>
      <w:r>
        <w:rPr>
          <w:color w:val="231F20"/>
          <w:sz w:val="23"/>
        </w:rPr>
        <w:t>US$650</w:t>
      </w:r>
      <w:r>
        <w:rPr>
          <w:color w:val="231F20"/>
          <w:spacing w:val="-25"/>
          <w:sz w:val="23"/>
        </w:rPr>
        <w:t> </w:t>
      </w:r>
      <w:r>
        <w:rPr>
          <w:color w:val="231F20"/>
          <w:sz w:val="23"/>
        </w:rPr>
        <w:t>million) as</w:t>
      </w:r>
      <w:r>
        <w:rPr>
          <w:color w:val="231F20"/>
          <w:spacing w:val="-43"/>
          <w:sz w:val="23"/>
        </w:rPr>
        <w:t> </w:t>
      </w:r>
      <w:r>
        <w:rPr>
          <w:color w:val="231F20"/>
          <w:sz w:val="23"/>
        </w:rPr>
        <w:t>at</w:t>
      </w:r>
      <w:r>
        <w:rPr>
          <w:color w:val="231F20"/>
          <w:spacing w:val="-43"/>
          <w:sz w:val="23"/>
        </w:rPr>
        <w:t> </w:t>
      </w:r>
      <w:r>
        <w:rPr>
          <w:color w:val="231F20"/>
          <w:sz w:val="23"/>
        </w:rPr>
        <w:t>end</w:t>
      </w:r>
      <w:r>
        <w:rPr>
          <w:color w:val="231F20"/>
          <w:spacing w:val="-42"/>
          <w:sz w:val="23"/>
        </w:rPr>
        <w:t> </w:t>
      </w:r>
      <w:r>
        <w:rPr>
          <w:color w:val="231F20"/>
          <w:sz w:val="23"/>
        </w:rPr>
        <w:t>June</w:t>
      </w:r>
      <w:r>
        <w:rPr>
          <w:color w:val="231F20"/>
          <w:spacing w:val="-43"/>
          <w:sz w:val="23"/>
        </w:rPr>
        <w:t> </w:t>
      </w:r>
      <w:r>
        <w:rPr>
          <w:color w:val="231F20"/>
          <w:sz w:val="23"/>
        </w:rPr>
        <w:t>2019.</w:t>
      </w:r>
      <w:r>
        <w:rPr>
          <w:color w:val="231F20"/>
          <w:spacing w:val="-42"/>
          <w:sz w:val="23"/>
        </w:rPr>
        <w:t> </w:t>
      </w:r>
      <w:r>
        <w:rPr>
          <w:color w:val="231F20"/>
          <w:sz w:val="23"/>
        </w:rPr>
        <w:t>The</w:t>
      </w:r>
      <w:r>
        <w:rPr>
          <w:color w:val="231F20"/>
          <w:spacing w:val="-43"/>
          <w:sz w:val="23"/>
        </w:rPr>
        <w:t> </w:t>
      </w:r>
      <w:r>
        <w:rPr>
          <w:color w:val="231F20"/>
          <w:sz w:val="23"/>
        </w:rPr>
        <w:t>total</w:t>
      </w:r>
      <w:r>
        <w:rPr>
          <w:color w:val="231F20"/>
          <w:spacing w:val="-42"/>
          <w:sz w:val="23"/>
        </w:rPr>
        <w:t> </w:t>
      </w:r>
      <w:r>
        <w:rPr>
          <w:color w:val="231F20"/>
          <w:sz w:val="23"/>
        </w:rPr>
        <w:t>stock</w:t>
      </w:r>
      <w:r>
        <w:rPr>
          <w:color w:val="231F20"/>
          <w:spacing w:val="-43"/>
          <w:sz w:val="23"/>
        </w:rPr>
        <w:t> </w:t>
      </w:r>
      <w:r>
        <w:rPr>
          <w:color w:val="231F20"/>
          <w:sz w:val="23"/>
        </w:rPr>
        <w:t>of</w:t>
      </w:r>
      <w:r>
        <w:rPr>
          <w:color w:val="231F20"/>
          <w:spacing w:val="-43"/>
          <w:sz w:val="23"/>
        </w:rPr>
        <w:t> </w:t>
      </w:r>
      <w:r>
        <w:rPr>
          <w:color w:val="231F20"/>
          <w:sz w:val="23"/>
        </w:rPr>
        <w:t>public</w:t>
      </w:r>
      <w:r>
        <w:rPr>
          <w:color w:val="231F20"/>
          <w:spacing w:val="-42"/>
          <w:sz w:val="23"/>
        </w:rPr>
        <w:t> </w:t>
      </w:r>
      <w:r>
        <w:rPr>
          <w:color w:val="231F20"/>
          <w:sz w:val="23"/>
        </w:rPr>
        <w:t>debt</w:t>
      </w:r>
      <w:r>
        <w:rPr>
          <w:color w:val="231F20"/>
          <w:spacing w:val="-11"/>
          <w:sz w:val="23"/>
        </w:rPr>
        <w:t> </w:t>
      </w:r>
      <w:r>
        <w:rPr>
          <w:color w:val="231F20"/>
          <w:sz w:val="23"/>
        </w:rPr>
        <w:t>(external</w:t>
      </w:r>
      <w:r>
        <w:rPr>
          <w:color w:val="231F20"/>
          <w:spacing w:val="-42"/>
          <w:sz w:val="23"/>
        </w:rPr>
        <w:t> </w:t>
      </w:r>
      <w:r>
        <w:rPr>
          <w:color w:val="231F20"/>
          <w:sz w:val="23"/>
        </w:rPr>
        <w:t>plus</w:t>
      </w:r>
      <w:r>
        <w:rPr>
          <w:color w:val="231F20"/>
          <w:spacing w:val="-43"/>
          <w:sz w:val="23"/>
        </w:rPr>
        <w:t> </w:t>
      </w:r>
      <w:r>
        <w:rPr>
          <w:color w:val="231F20"/>
          <w:sz w:val="23"/>
        </w:rPr>
        <w:t>domestic)</w:t>
      </w:r>
      <w:r>
        <w:rPr>
          <w:color w:val="231F20"/>
          <w:spacing w:val="-42"/>
          <w:sz w:val="23"/>
        </w:rPr>
        <w:t> </w:t>
      </w:r>
      <w:r>
        <w:rPr>
          <w:color w:val="231F20"/>
          <w:sz w:val="23"/>
        </w:rPr>
        <w:t>is</w:t>
      </w:r>
      <w:r>
        <w:rPr>
          <w:color w:val="231F20"/>
          <w:spacing w:val="-43"/>
          <w:sz w:val="23"/>
        </w:rPr>
        <w:t> </w:t>
      </w:r>
      <w:r>
        <w:rPr>
          <w:color w:val="231F20"/>
          <w:sz w:val="23"/>
        </w:rPr>
        <w:t>equivalent to</w:t>
      </w:r>
      <w:r>
        <w:rPr>
          <w:color w:val="231F20"/>
          <w:spacing w:val="-4"/>
          <w:sz w:val="23"/>
        </w:rPr>
        <w:t> </w:t>
      </w:r>
      <w:r>
        <w:rPr>
          <w:color w:val="231F20"/>
          <w:sz w:val="23"/>
        </w:rPr>
        <w:t>62.8</w:t>
      </w:r>
      <w:r>
        <w:rPr>
          <w:color w:val="231F20"/>
          <w:spacing w:val="-4"/>
          <w:sz w:val="23"/>
        </w:rPr>
        <w:t> </w:t>
      </w:r>
      <w:r>
        <w:rPr>
          <w:color w:val="231F20"/>
          <w:sz w:val="23"/>
        </w:rPr>
        <w:t>percent</w:t>
      </w:r>
      <w:r>
        <w:rPr>
          <w:color w:val="231F20"/>
          <w:spacing w:val="-4"/>
          <w:sz w:val="23"/>
        </w:rPr>
        <w:t> </w:t>
      </w:r>
      <w:r>
        <w:rPr>
          <w:color w:val="231F20"/>
          <w:sz w:val="23"/>
        </w:rPr>
        <w:t>of</w:t>
      </w:r>
      <w:r>
        <w:rPr>
          <w:color w:val="231F20"/>
          <w:spacing w:val="-4"/>
          <w:sz w:val="23"/>
        </w:rPr>
        <w:t> </w:t>
      </w:r>
      <w:r>
        <w:rPr>
          <w:color w:val="231F20"/>
          <w:sz w:val="23"/>
        </w:rPr>
        <w:t>GDP</w:t>
      </w:r>
      <w:r>
        <w:rPr>
          <w:color w:val="231F20"/>
          <w:spacing w:val="-4"/>
          <w:sz w:val="23"/>
        </w:rPr>
        <w:t> </w:t>
      </w:r>
      <w:r>
        <w:rPr>
          <w:color w:val="231F20"/>
          <w:sz w:val="23"/>
        </w:rPr>
        <w:t>as</w:t>
      </w:r>
      <w:r>
        <w:rPr>
          <w:color w:val="231F20"/>
          <w:spacing w:val="-4"/>
          <w:sz w:val="23"/>
        </w:rPr>
        <w:t> </w:t>
      </w:r>
      <w:r>
        <w:rPr>
          <w:color w:val="231F20"/>
          <w:sz w:val="23"/>
        </w:rPr>
        <w:t>at</w:t>
      </w:r>
      <w:r>
        <w:rPr>
          <w:color w:val="231F20"/>
          <w:spacing w:val="-4"/>
          <w:sz w:val="23"/>
        </w:rPr>
        <w:t> </w:t>
      </w:r>
      <w:r>
        <w:rPr>
          <w:color w:val="231F20"/>
          <w:sz w:val="23"/>
        </w:rPr>
        <w:t>end</w:t>
      </w:r>
      <w:r>
        <w:rPr>
          <w:color w:val="231F20"/>
          <w:spacing w:val="-4"/>
          <w:sz w:val="23"/>
        </w:rPr>
        <w:t> </w:t>
      </w:r>
      <w:r>
        <w:rPr>
          <w:color w:val="231F20"/>
          <w:sz w:val="23"/>
        </w:rPr>
        <w:t>June</w:t>
      </w:r>
      <w:r>
        <w:rPr>
          <w:color w:val="231F20"/>
          <w:spacing w:val="-4"/>
          <w:sz w:val="23"/>
        </w:rPr>
        <w:t> </w:t>
      </w:r>
      <w:r>
        <w:rPr>
          <w:color w:val="231F20"/>
          <w:sz w:val="23"/>
        </w:rPr>
        <w:t>2019,</w:t>
      </w:r>
      <w:r>
        <w:rPr>
          <w:color w:val="231F20"/>
          <w:spacing w:val="-4"/>
          <w:sz w:val="23"/>
        </w:rPr>
        <w:t> </w:t>
      </w:r>
      <w:r>
        <w:rPr>
          <w:color w:val="231F20"/>
          <w:sz w:val="23"/>
        </w:rPr>
        <w:t>making</w:t>
      </w:r>
      <w:r>
        <w:rPr>
          <w:color w:val="231F20"/>
          <w:spacing w:val="-4"/>
          <w:sz w:val="23"/>
        </w:rPr>
        <w:t> </w:t>
      </w:r>
      <w:r>
        <w:rPr>
          <w:color w:val="231F20"/>
          <w:sz w:val="23"/>
        </w:rPr>
        <w:t>Sierra</w:t>
      </w:r>
      <w:r>
        <w:rPr>
          <w:color w:val="231F20"/>
          <w:spacing w:val="-4"/>
          <w:sz w:val="23"/>
        </w:rPr>
        <w:t> </w:t>
      </w:r>
      <w:r>
        <w:rPr>
          <w:color w:val="231F20"/>
          <w:sz w:val="23"/>
        </w:rPr>
        <w:t>Leone</w:t>
      </w:r>
      <w:r>
        <w:rPr>
          <w:color w:val="231F20"/>
          <w:spacing w:val="-4"/>
          <w:sz w:val="23"/>
        </w:rPr>
        <w:t> </w:t>
      </w:r>
      <w:r>
        <w:rPr>
          <w:color w:val="231F20"/>
          <w:sz w:val="23"/>
        </w:rPr>
        <w:t>one</w:t>
      </w:r>
      <w:r>
        <w:rPr>
          <w:color w:val="231F20"/>
          <w:spacing w:val="-4"/>
          <w:sz w:val="23"/>
        </w:rPr>
        <w:t> </w:t>
      </w:r>
      <w:r>
        <w:rPr>
          <w:color w:val="231F20"/>
          <w:sz w:val="23"/>
        </w:rPr>
        <w:t>of</w:t>
      </w:r>
      <w:r>
        <w:rPr>
          <w:color w:val="231F20"/>
          <w:spacing w:val="-4"/>
          <w:sz w:val="23"/>
        </w:rPr>
        <w:t> </w:t>
      </w:r>
      <w:r>
        <w:rPr>
          <w:color w:val="231F20"/>
          <w:sz w:val="23"/>
        </w:rPr>
        <w:t>the</w:t>
      </w:r>
      <w:r>
        <w:rPr>
          <w:color w:val="231F20"/>
          <w:spacing w:val="-4"/>
          <w:sz w:val="23"/>
        </w:rPr>
        <w:t> </w:t>
      </w:r>
      <w:r>
        <w:rPr>
          <w:color w:val="231F20"/>
          <w:sz w:val="23"/>
        </w:rPr>
        <w:t>highly- indebted countries in Sub-Saharan Africa. The current level of public debt is a consequence of aggressive borrowing by the past administration, particularly after Sierra</w:t>
      </w:r>
      <w:r>
        <w:rPr>
          <w:color w:val="231F20"/>
          <w:spacing w:val="-32"/>
          <w:sz w:val="23"/>
        </w:rPr>
        <w:t> </w:t>
      </w:r>
      <w:r>
        <w:rPr>
          <w:color w:val="231F20"/>
          <w:sz w:val="23"/>
        </w:rPr>
        <w:t>Leone</w:t>
      </w:r>
      <w:r>
        <w:rPr>
          <w:color w:val="231F20"/>
          <w:spacing w:val="-32"/>
          <w:sz w:val="23"/>
        </w:rPr>
        <w:t> </w:t>
      </w:r>
      <w:r>
        <w:rPr>
          <w:color w:val="231F20"/>
          <w:sz w:val="23"/>
        </w:rPr>
        <w:t>benefitted</w:t>
      </w:r>
      <w:r>
        <w:rPr>
          <w:color w:val="231F20"/>
          <w:spacing w:val="-32"/>
          <w:sz w:val="23"/>
        </w:rPr>
        <w:t> </w:t>
      </w:r>
      <w:r>
        <w:rPr>
          <w:color w:val="231F20"/>
          <w:sz w:val="23"/>
        </w:rPr>
        <w:t>from</w:t>
      </w:r>
      <w:r>
        <w:rPr>
          <w:color w:val="231F20"/>
          <w:spacing w:val="-32"/>
          <w:sz w:val="23"/>
        </w:rPr>
        <w:t> </w:t>
      </w:r>
      <w:r>
        <w:rPr>
          <w:color w:val="231F20"/>
          <w:sz w:val="23"/>
        </w:rPr>
        <w:t>about</w:t>
      </w:r>
      <w:r>
        <w:rPr>
          <w:color w:val="231F20"/>
          <w:spacing w:val="-32"/>
          <w:sz w:val="23"/>
        </w:rPr>
        <w:t> </w:t>
      </w:r>
      <w:r>
        <w:rPr>
          <w:color w:val="231F20"/>
          <w:sz w:val="23"/>
        </w:rPr>
        <w:t>70.0</w:t>
      </w:r>
      <w:r>
        <w:rPr>
          <w:color w:val="231F20"/>
          <w:spacing w:val="-32"/>
          <w:sz w:val="23"/>
        </w:rPr>
        <w:t> </w:t>
      </w:r>
      <w:r>
        <w:rPr>
          <w:color w:val="231F20"/>
          <w:sz w:val="23"/>
        </w:rPr>
        <w:t>percent</w:t>
      </w:r>
      <w:r>
        <w:rPr>
          <w:color w:val="231F20"/>
          <w:spacing w:val="-32"/>
          <w:sz w:val="23"/>
        </w:rPr>
        <w:t> </w:t>
      </w:r>
      <w:r>
        <w:rPr>
          <w:color w:val="231F20"/>
          <w:sz w:val="23"/>
        </w:rPr>
        <w:t>reduction</w:t>
      </w:r>
      <w:r>
        <w:rPr>
          <w:color w:val="231F20"/>
          <w:spacing w:val="-32"/>
          <w:sz w:val="23"/>
        </w:rPr>
        <w:t> </w:t>
      </w:r>
      <w:r>
        <w:rPr>
          <w:color w:val="231F20"/>
          <w:sz w:val="23"/>
        </w:rPr>
        <w:t>in</w:t>
      </w:r>
      <w:r>
        <w:rPr>
          <w:color w:val="231F20"/>
          <w:spacing w:val="-32"/>
          <w:sz w:val="23"/>
        </w:rPr>
        <w:t> </w:t>
      </w:r>
      <w:r>
        <w:rPr>
          <w:color w:val="231F20"/>
          <w:sz w:val="23"/>
        </w:rPr>
        <w:t>the</w:t>
      </w:r>
      <w:r>
        <w:rPr>
          <w:color w:val="231F20"/>
          <w:spacing w:val="-32"/>
          <w:sz w:val="23"/>
        </w:rPr>
        <w:t> </w:t>
      </w:r>
      <w:r>
        <w:rPr>
          <w:color w:val="231F20"/>
          <w:sz w:val="23"/>
        </w:rPr>
        <w:t>stock</w:t>
      </w:r>
      <w:r>
        <w:rPr>
          <w:color w:val="231F20"/>
          <w:spacing w:val="-32"/>
          <w:sz w:val="23"/>
        </w:rPr>
        <w:t> </w:t>
      </w:r>
      <w:r>
        <w:rPr>
          <w:color w:val="231F20"/>
          <w:sz w:val="23"/>
        </w:rPr>
        <w:t>of</w:t>
      </w:r>
      <w:r>
        <w:rPr>
          <w:color w:val="231F20"/>
          <w:spacing w:val="9"/>
          <w:sz w:val="23"/>
        </w:rPr>
        <w:t> </w:t>
      </w:r>
      <w:r>
        <w:rPr>
          <w:color w:val="231F20"/>
          <w:sz w:val="23"/>
        </w:rPr>
        <w:t>external</w:t>
      </w:r>
      <w:r>
        <w:rPr>
          <w:color w:val="231F20"/>
          <w:spacing w:val="-32"/>
          <w:sz w:val="23"/>
        </w:rPr>
        <w:t> </w:t>
      </w:r>
      <w:r>
        <w:rPr>
          <w:color w:val="231F20"/>
          <w:sz w:val="23"/>
        </w:rPr>
        <w:t>debt under the HIPC and MDRI debt relief Initiatives in 2016.</w:t>
      </w:r>
    </w:p>
    <w:p>
      <w:pPr>
        <w:pStyle w:val="BodyText"/>
        <w:rPr>
          <w:sz w:val="20"/>
        </w:rPr>
      </w:pPr>
    </w:p>
    <w:p>
      <w:pPr>
        <w:pStyle w:val="BodyText"/>
        <w:spacing w:before="5"/>
        <w:rPr>
          <w:sz w:val="21"/>
        </w:rPr>
      </w:pPr>
    </w:p>
    <w:p>
      <w:pPr>
        <w:pStyle w:val="Heading1"/>
        <w:spacing w:before="101"/>
      </w:pPr>
      <w:r>
        <w:rPr>
          <w:color w:val="231F20"/>
        </w:rPr>
        <w:t>20</w:t>
      </w:r>
    </w:p>
    <w:p>
      <w:pPr>
        <w:spacing w:after="0"/>
        <w:sectPr>
          <w:pgSz w:w="11900" w:h="16840"/>
          <w:pgMar w:top="1160" w:bottom="280" w:left="1140" w:right="1120"/>
        </w:sectPr>
      </w:pPr>
    </w:p>
    <w:p>
      <w:pPr>
        <w:pStyle w:val="ListParagraph"/>
        <w:numPr>
          <w:ilvl w:val="0"/>
          <w:numId w:val="2"/>
        </w:numPr>
        <w:tabs>
          <w:tab w:pos="954" w:val="left" w:leader="none"/>
        </w:tabs>
        <w:spacing w:line="240" w:lineRule="auto" w:before="77" w:after="0"/>
        <w:ind w:left="953" w:right="0" w:hanging="763"/>
        <w:jc w:val="both"/>
        <w:rPr>
          <w:sz w:val="23"/>
        </w:rPr>
      </w:pPr>
      <w:r>
        <w:rPr>
          <w:color w:val="231F20"/>
          <w:sz w:val="23"/>
        </w:rPr>
        <w:t>Given</w:t>
      </w:r>
      <w:r>
        <w:rPr>
          <w:color w:val="231F20"/>
          <w:spacing w:val="-34"/>
          <w:sz w:val="23"/>
        </w:rPr>
        <w:t> </w:t>
      </w:r>
      <w:r>
        <w:rPr>
          <w:color w:val="231F20"/>
          <w:sz w:val="23"/>
        </w:rPr>
        <w:t>the</w:t>
      </w:r>
      <w:r>
        <w:rPr>
          <w:color w:val="231F20"/>
          <w:spacing w:val="-34"/>
          <w:sz w:val="23"/>
        </w:rPr>
        <w:t> </w:t>
      </w:r>
      <w:r>
        <w:rPr>
          <w:color w:val="231F20"/>
          <w:sz w:val="23"/>
        </w:rPr>
        <w:t>high</w:t>
      </w:r>
      <w:r>
        <w:rPr>
          <w:color w:val="231F20"/>
          <w:spacing w:val="-34"/>
          <w:sz w:val="23"/>
        </w:rPr>
        <w:t> </w:t>
      </w:r>
      <w:r>
        <w:rPr>
          <w:color w:val="231F20"/>
          <w:sz w:val="23"/>
        </w:rPr>
        <w:t>stock</w:t>
      </w:r>
      <w:r>
        <w:rPr>
          <w:color w:val="231F20"/>
          <w:spacing w:val="-34"/>
          <w:sz w:val="23"/>
        </w:rPr>
        <w:t> </w:t>
      </w:r>
      <w:r>
        <w:rPr>
          <w:color w:val="231F20"/>
          <w:sz w:val="23"/>
        </w:rPr>
        <w:t>of</w:t>
      </w:r>
      <w:r>
        <w:rPr>
          <w:color w:val="231F20"/>
          <w:spacing w:val="-34"/>
          <w:sz w:val="23"/>
        </w:rPr>
        <w:t> </w:t>
      </w:r>
      <w:r>
        <w:rPr>
          <w:color w:val="231F20"/>
          <w:sz w:val="23"/>
        </w:rPr>
        <w:t>domestic</w:t>
      </w:r>
      <w:r>
        <w:rPr>
          <w:color w:val="231F20"/>
          <w:spacing w:val="-34"/>
          <w:sz w:val="23"/>
        </w:rPr>
        <w:t> </w:t>
      </w:r>
      <w:r>
        <w:rPr>
          <w:color w:val="231F20"/>
          <w:sz w:val="23"/>
        </w:rPr>
        <w:t>debt,</w:t>
      </w:r>
      <w:r>
        <w:rPr>
          <w:color w:val="231F20"/>
          <w:spacing w:val="-34"/>
          <w:sz w:val="23"/>
        </w:rPr>
        <w:t> </w:t>
      </w:r>
      <w:r>
        <w:rPr>
          <w:color w:val="231F20"/>
          <w:sz w:val="23"/>
        </w:rPr>
        <w:t>debt</w:t>
      </w:r>
      <w:r>
        <w:rPr>
          <w:color w:val="231F20"/>
          <w:spacing w:val="-34"/>
          <w:sz w:val="23"/>
        </w:rPr>
        <w:t> </w:t>
      </w:r>
      <w:r>
        <w:rPr>
          <w:color w:val="231F20"/>
          <w:sz w:val="23"/>
        </w:rPr>
        <w:t>service</w:t>
      </w:r>
      <w:r>
        <w:rPr>
          <w:color w:val="231F20"/>
          <w:spacing w:val="-34"/>
          <w:sz w:val="23"/>
        </w:rPr>
        <w:t> </w:t>
      </w:r>
      <w:r>
        <w:rPr>
          <w:color w:val="231F20"/>
          <w:sz w:val="23"/>
        </w:rPr>
        <w:t>payments</w:t>
      </w:r>
      <w:r>
        <w:rPr>
          <w:color w:val="231F20"/>
          <w:spacing w:val="-34"/>
          <w:sz w:val="23"/>
        </w:rPr>
        <w:t> </w:t>
      </w:r>
      <w:r>
        <w:rPr>
          <w:color w:val="231F20"/>
          <w:sz w:val="23"/>
        </w:rPr>
        <w:t>account</w:t>
      </w:r>
      <w:r>
        <w:rPr>
          <w:color w:val="231F20"/>
          <w:spacing w:val="-34"/>
          <w:sz w:val="23"/>
        </w:rPr>
        <w:t> </w:t>
      </w:r>
      <w:r>
        <w:rPr>
          <w:color w:val="231F20"/>
          <w:sz w:val="23"/>
        </w:rPr>
        <w:t>for</w:t>
      </w:r>
      <w:r>
        <w:rPr>
          <w:color w:val="231F20"/>
          <w:spacing w:val="-34"/>
          <w:sz w:val="23"/>
        </w:rPr>
        <w:t> </w:t>
      </w:r>
      <w:r>
        <w:rPr>
          <w:color w:val="231F20"/>
          <w:sz w:val="23"/>
        </w:rPr>
        <w:t>about</w:t>
      </w:r>
    </w:p>
    <w:p>
      <w:pPr>
        <w:pStyle w:val="BodyText"/>
        <w:spacing w:line="285" w:lineRule="auto" w:before="57"/>
        <w:ind w:left="103" w:right="119"/>
        <w:jc w:val="both"/>
      </w:pPr>
      <w:r>
        <w:rPr>
          <w:color w:val="231F20"/>
        </w:rPr>
        <w:t>25.0</w:t>
      </w:r>
      <w:r>
        <w:rPr>
          <w:color w:val="231F20"/>
          <w:spacing w:val="-28"/>
        </w:rPr>
        <w:t> </w:t>
      </w:r>
      <w:r>
        <w:rPr>
          <w:color w:val="231F20"/>
        </w:rPr>
        <w:t>percent</w:t>
      </w:r>
      <w:r>
        <w:rPr>
          <w:color w:val="231F20"/>
          <w:spacing w:val="-28"/>
        </w:rPr>
        <w:t> </w:t>
      </w:r>
      <w:r>
        <w:rPr>
          <w:color w:val="231F20"/>
        </w:rPr>
        <w:t>of</w:t>
      </w:r>
      <w:r>
        <w:rPr>
          <w:color w:val="231F20"/>
          <w:spacing w:val="-28"/>
        </w:rPr>
        <w:t> </w:t>
      </w:r>
      <w:r>
        <w:rPr>
          <w:color w:val="231F20"/>
        </w:rPr>
        <w:t>domestic</w:t>
      </w:r>
      <w:r>
        <w:rPr>
          <w:color w:val="231F20"/>
          <w:spacing w:val="-28"/>
        </w:rPr>
        <w:t> </w:t>
      </w:r>
      <w:r>
        <w:rPr>
          <w:color w:val="231F20"/>
        </w:rPr>
        <w:t>revenue,</w:t>
      </w:r>
      <w:r>
        <w:rPr>
          <w:color w:val="231F20"/>
          <w:spacing w:val="-28"/>
        </w:rPr>
        <w:t> </w:t>
      </w:r>
      <w:r>
        <w:rPr>
          <w:color w:val="231F20"/>
        </w:rPr>
        <w:t>crowding</w:t>
      </w:r>
      <w:r>
        <w:rPr>
          <w:color w:val="231F20"/>
          <w:spacing w:val="-28"/>
        </w:rPr>
        <w:t> </w:t>
      </w:r>
      <w:r>
        <w:rPr>
          <w:color w:val="231F20"/>
        </w:rPr>
        <w:t>out</w:t>
      </w:r>
      <w:r>
        <w:rPr>
          <w:color w:val="231F20"/>
          <w:spacing w:val="-28"/>
        </w:rPr>
        <w:t> </w:t>
      </w:r>
      <w:r>
        <w:rPr>
          <w:color w:val="231F20"/>
        </w:rPr>
        <w:t>poverty-related</w:t>
      </w:r>
      <w:r>
        <w:rPr>
          <w:color w:val="231F20"/>
          <w:spacing w:val="-28"/>
        </w:rPr>
        <w:t> </w:t>
      </w:r>
      <w:r>
        <w:rPr>
          <w:color w:val="231F20"/>
        </w:rPr>
        <w:t>spending,</w:t>
      </w:r>
      <w:r>
        <w:rPr>
          <w:color w:val="231F20"/>
          <w:spacing w:val="-28"/>
        </w:rPr>
        <w:t> </w:t>
      </w:r>
      <w:r>
        <w:rPr>
          <w:color w:val="231F20"/>
        </w:rPr>
        <w:t>particularly in</w:t>
      </w:r>
      <w:r>
        <w:rPr>
          <w:color w:val="231F20"/>
          <w:spacing w:val="-16"/>
        </w:rPr>
        <w:t> </w:t>
      </w:r>
      <w:r>
        <w:rPr>
          <w:color w:val="231F20"/>
        </w:rPr>
        <w:t>health</w:t>
      </w:r>
      <w:r>
        <w:rPr>
          <w:color w:val="231F20"/>
          <w:spacing w:val="-16"/>
        </w:rPr>
        <w:t> </w:t>
      </w:r>
      <w:r>
        <w:rPr>
          <w:color w:val="231F20"/>
        </w:rPr>
        <w:t>and</w:t>
      </w:r>
      <w:r>
        <w:rPr>
          <w:color w:val="231F20"/>
          <w:spacing w:val="-16"/>
        </w:rPr>
        <w:t> </w:t>
      </w:r>
      <w:r>
        <w:rPr>
          <w:color w:val="231F20"/>
        </w:rPr>
        <w:t>education.</w:t>
      </w:r>
      <w:r>
        <w:rPr>
          <w:color w:val="231F20"/>
          <w:spacing w:val="-16"/>
        </w:rPr>
        <w:t> </w:t>
      </w:r>
      <w:r>
        <w:rPr>
          <w:color w:val="231F20"/>
        </w:rPr>
        <w:t>It</w:t>
      </w:r>
      <w:r>
        <w:rPr>
          <w:color w:val="231F20"/>
          <w:spacing w:val="-16"/>
        </w:rPr>
        <w:t> </w:t>
      </w:r>
      <w:r>
        <w:rPr>
          <w:color w:val="231F20"/>
        </w:rPr>
        <w:t>also</w:t>
      </w:r>
      <w:r>
        <w:rPr>
          <w:color w:val="231F20"/>
          <w:spacing w:val="-16"/>
        </w:rPr>
        <w:t> </w:t>
      </w:r>
      <w:r>
        <w:rPr>
          <w:color w:val="231F20"/>
        </w:rPr>
        <w:t>poses</w:t>
      </w:r>
      <w:r>
        <w:rPr>
          <w:color w:val="231F20"/>
          <w:spacing w:val="-16"/>
        </w:rPr>
        <w:t> </w:t>
      </w:r>
      <w:r>
        <w:rPr>
          <w:color w:val="231F20"/>
        </w:rPr>
        <w:t>significant</w:t>
      </w:r>
      <w:r>
        <w:rPr>
          <w:color w:val="231F20"/>
          <w:spacing w:val="-16"/>
        </w:rPr>
        <w:t> </w:t>
      </w:r>
      <w:r>
        <w:rPr>
          <w:color w:val="231F20"/>
        </w:rPr>
        <w:t>rollover</w:t>
      </w:r>
      <w:r>
        <w:rPr>
          <w:color w:val="231F20"/>
          <w:spacing w:val="-16"/>
        </w:rPr>
        <w:t> </w:t>
      </w:r>
      <w:r>
        <w:rPr>
          <w:color w:val="231F20"/>
        </w:rPr>
        <w:t>and</w:t>
      </w:r>
      <w:r>
        <w:rPr>
          <w:color w:val="231F20"/>
          <w:spacing w:val="-16"/>
        </w:rPr>
        <w:t> </w:t>
      </w:r>
      <w:r>
        <w:rPr>
          <w:color w:val="231F20"/>
        </w:rPr>
        <w:t>refinancing</w:t>
      </w:r>
      <w:r>
        <w:rPr>
          <w:color w:val="231F20"/>
          <w:spacing w:val="-16"/>
        </w:rPr>
        <w:t> </w:t>
      </w:r>
      <w:r>
        <w:rPr>
          <w:color w:val="231F20"/>
        </w:rPr>
        <w:t>risks</w:t>
      </w:r>
      <w:r>
        <w:rPr>
          <w:color w:val="231F20"/>
          <w:spacing w:val="-16"/>
        </w:rPr>
        <w:t> </w:t>
      </w:r>
      <w:r>
        <w:rPr>
          <w:color w:val="231F20"/>
        </w:rPr>
        <w:t>which impedes Government efforts to drive domestic interest rates</w:t>
      </w:r>
      <w:r>
        <w:rPr>
          <w:color w:val="231F20"/>
          <w:spacing w:val="64"/>
        </w:rPr>
        <w:t> </w:t>
      </w:r>
      <w:r>
        <w:rPr>
          <w:color w:val="231F20"/>
        </w:rPr>
        <w:t>downwards.</w:t>
      </w:r>
    </w:p>
    <w:p>
      <w:pPr>
        <w:pStyle w:val="BodyText"/>
        <w:spacing w:before="10"/>
        <w:rPr>
          <w:sz w:val="26"/>
        </w:rPr>
      </w:pPr>
    </w:p>
    <w:p>
      <w:pPr>
        <w:pStyle w:val="ListParagraph"/>
        <w:numPr>
          <w:ilvl w:val="0"/>
          <w:numId w:val="2"/>
        </w:numPr>
        <w:tabs>
          <w:tab w:pos="954" w:val="left" w:leader="none"/>
        </w:tabs>
        <w:spacing w:line="285" w:lineRule="auto" w:before="0" w:after="0"/>
        <w:ind w:left="103" w:right="117" w:firstLine="87"/>
        <w:jc w:val="both"/>
        <w:rPr>
          <w:sz w:val="23"/>
        </w:rPr>
      </w:pPr>
      <w:r>
        <w:rPr>
          <w:color w:val="231F20"/>
          <w:sz w:val="23"/>
        </w:rPr>
        <w:t>Mr.</w:t>
      </w:r>
      <w:r>
        <w:rPr>
          <w:color w:val="231F20"/>
          <w:spacing w:val="-54"/>
          <w:sz w:val="23"/>
        </w:rPr>
        <w:t> </w:t>
      </w:r>
      <w:r>
        <w:rPr>
          <w:color w:val="231F20"/>
          <w:sz w:val="23"/>
        </w:rPr>
        <w:t>Speaker,</w:t>
      </w:r>
      <w:r>
        <w:rPr>
          <w:color w:val="231F20"/>
          <w:spacing w:val="-53"/>
          <w:sz w:val="23"/>
        </w:rPr>
        <w:t> </w:t>
      </w:r>
      <w:r>
        <w:rPr>
          <w:color w:val="231F20"/>
          <w:sz w:val="23"/>
        </w:rPr>
        <w:t>Honourable</w:t>
      </w:r>
      <w:r>
        <w:rPr>
          <w:color w:val="231F20"/>
          <w:spacing w:val="-53"/>
          <w:sz w:val="23"/>
        </w:rPr>
        <w:t> </w:t>
      </w:r>
      <w:r>
        <w:rPr>
          <w:color w:val="231F20"/>
          <w:sz w:val="23"/>
        </w:rPr>
        <w:t>Members,</w:t>
      </w:r>
      <w:r>
        <w:rPr>
          <w:color w:val="231F20"/>
          <w:spacing w:val="-54"/>
          <w:sz w:val="23"/>
        </w:rPr>
        <w:t> </w:t>
      </w:r>
      <w:r>
        <w:rPr>
          <w:color w:val="231F20"/>
          <w:sz w:val="23"/>
        </w:rPr>
        <w:t>Government</w:t>
      </w:r>
      <w:r>
        <w:rPr>
          <w:color w:val="231F20"/>
          <w:spacing w:val="-53"/>
          <w:sz w:val="23"/>
        </w:rPr>
        <w:t> </w:t>
      </w:r>
      <w:r>
        <w:rPr>
          <w:color w:val="231F20"/>
          <w:sz w:val="23"/>
        </w:rPr>
        <w:t>remains</w:t>
      </w:r>
      <w:r>
        <w:rPr>
          <w:color w:val="231F20"/>
          <w:spacing w:val="-53"/>
          <w:sz w:val="23"/>
        </w:rPr>
        <w:t> </w:t>
      </w:r>
      <w:r>
        <w:rPr>
          <w:color w:val="231F20"/>
          <w:sz w:val="23"/>
        </w:rPr>
        <w:t>committed</w:t>
      </w:r>
      <w:r>
        <w:rPr>
          <w:color w:val="231F20"/>
          <w:spacing w:val="-54"/>
          <w:sz w:val="23"/>
        </w:rPr>
        <w:t> </w:t>
      </w:r>
      <w:r>
        <w:rPr>
          <w:color w:val="231F20"/>
          <w:sz w:val="23"/>
        </w:rPr>
        <w:t>to</w:t>
      </w:r>
      <w:r>
        <w:rPr>
          <w:color w:val="231F20"/>
          <w:spacing w:val="-53"/>
          <w:sz w:val="23"/>
        </w:rPr>
        <w:t> </w:t>
      </w:r>
      <w:r>
        <w:rPr>
          <w:color w:val="231F20"/>
          <w:sz w:val="23"/>
        </w:rPr>
        <w:t>prudent debt management practices anchored on the Medium-Term Debt Management Strategy,</w:t>
      </w:r>
      <w:r>
        <w:rPr>
          <w:color w:val="231F20"/>
          <w:spacing w:val="-28"/>
          <w:sz w:val="23"/>
        </w:rPr>
        <w:t> </w:t>
      </w:r>
      <w:r>
        <w:rPr>
          <w:color w:val="231F20"/>
          <w:sz w:val="23"/>
        </w:rPr>
        <w:t>which</w:t>
      </w:r>
      <w:r>
        <w:rPr>
          <w:color w:val="231F20"/>
          <w:spacing w:val="-28"/>
          <w:sz w:val="23"/>
        </w:rPr>
        <w:t> </w:t>
      </w:r>
      <w:r>
        <w:rPr>
          <w:color w:val="231F20"/>
          <w:sz w:val="23"/>
        </w:rPr>
        <w:t>addresses</w:t>
      </w:r>
      <w:r>
        <w:rPr>
          <w:color w:val="231F20"/>
          <w:spacing w:val="-28"/>
          <w:sz w:val="23"/>
        </w:rPr>
        <w:t> </w:t>
      </w:r>
      <w:r>
        <w:rPr>
          <w:color w:val="231F20"/>
          <w:sz w:val="23"/>
        </w:rPr>
        <w:t>key</w:t>
      </w:r>
      <w:r>
        <w:rPr>
          <w:color w:val="231F20"/>
          <w:spacing w:val="-28"/>
          <w:sz w:val="23"/>
        </w:rPr>
        <w:t> </w:t>
      </w:r>
      <w:r>
        <w:rPr>
          <w:color w:val="231F20"/>
          <w:sz w:val="23"/>
        </w:rPr>
        <w:t>issues</w:t>
      </w:r>
      <w:r>
        <w:rPr>
          <w:color w:val="231F20"/>
          <w:spacing w:val="-28"/>
          <w:sz w:val="23"/>
        </w:rPr>
        <w:t> </w:t>
      </w:r>
      <w:r>
        <w:rPr>
          <w:color w:val="231F20"/>
          <w:sz w:val="23"/>
        </w:rPr>
        <w:t>in</w:t>
      </w:r>
      <w:r>
        <w:rPr>
          <w:color w:val="231F20"/>
          <w:spacing w:val="-28"/>
          <w:sz w:val="23"/>
        </w:rPr>
        <w:t> </w:t>
      </w:r>
      <w:r>
        <w:rPr>
          <w:color w:val="231F20"/>
          <w:sz w:val="23"/>
        </w:rPr>
        <w:t>both</w:t>
      </w:r>
      <w:r>
        <w:rPr>
          <w:color w:val="231F20"/>
          <w:spacing w:val="-28"/>
          <w:sz w:val="23"/>
        </w:rPr>
        <w:t> </w:t>
      </w:r>
      <w:r>
        <w:rPr>
          <w:color w:val="231F20"/>
          <w:sz w:val="23"/>
        </w:rPr>
        <w:t>domestic</w:t>
      </w:r>
      <w:r>
        <w:rPr>
          <w:color w:val="231F20"/>
          <w:spacing w:val="-28"/>
          <w:sz w:val="23"/>
        </w:rPr>
        <w:t> </w:t>
      </w:r>
      <w:r>
        <w:rPr>
          <w:color w:val="231F20"/>
          <w:sz w:val="23"/>
        </w:rPr>
        <w:t>and</w:t>
      </w:r>
      <w:r>
        <w:rPr>
          <w:color w:val="231F20"/>
          <w:spacing w:val="-28"/>
          <w:sz w:val="23"/>
        </w:rPr>
        <w:t> </w:t>
      </w:r>
      <w:r>
        <w:rPr>
          <w:color w:val="231F20"/>
          <w:sz w:val="23"/>
        </w:rPr>
        <w:t>external</w:t>
      </w:r>
      <w:r>
        <w:rPr>
          <w:color w:val="231F20"/>
          <w:spacing w:val="-28"/>
          <w:sz w:val="23"/>
        </w:rPr>
        <w:t> </w:t>
      </w:r>
      <w:r>
        <w:rPr>
          <w:color w:val="231F20"/>
          <w:sz w:val="23"/>
        </w:rPr>
        <w:t>debt.</w:t>
      </w:r>
      <w:r>
        <w:rPr>
          <w:color w:val="231F20"/>
          <w:spacing w:val="-28"/>
          <w:sz w:val="23"/>
        </w:rPr>
        <w:t> </w:t>
      </w:r>
      <w:r>
        <w:rPr>
          <w:color w:val="231F20"/>
          <w:sz w:val="23"/>
        </w:rPr>
        <w:t>Government will implement the new Strategy to enable it to meet its financing needs at minimal cost consistent with prudent degree of risks. Regular Debt Sustainability Analyses (DSA)</w:t>
      </w:r>
      <w:r>
        <w:rPr>
          <w:color w:val="231F20"/>
          <w:spacing w:val="-38"/>
          <w:sz w:val="23"/>
        </w:rPr>
        <w:t> </w:t>
      </w:r>
      <w:r>
        <w:rPr>
          <w:color w:val="231F20"/>
          <w:sz w:val="23"/>
        </w:rPr>
        <w:t>will</w:t>
      </w:r>
      <w:r>
        <w:rPr>
          <w:color w:val="231F20"/>
          <w:spacing w:val="-38"/>
          <w:sz w:val="23"/>
        </w:rPr>
        <w:t> </w:t>
      </w:r>
      <w:r>
        <w:rPr>
          <w:color w:val="231F20"/>
          <w:sz w:val="23"/>
        </w:rPr>
        <w:t>also</w:t>
      </w:r>
      <w:r>
        <w:rPr>
          <w:color w:val="231F20"/>
          <w:spacing w:val="-37"/>
          <w:sz w:val="23"/>
        </w:rPr>
        <w:t> </w:t>
      </w:r>
      <w:r>
        <w:rPr>
          <w:color w:val="231F20"/>
          <w:sz w:val="23"/>
        </w:rPr>
        <w:t>be</w:t>
      </w:r>
      <w:r>
        <w:rPr>
          <w:color w:val="231F20"/>
          <w:spacing w:val="-38"/>
          <w:sz w:val="23"/>
        </w:rPr>
        <w:t> </w:t>
      </w:r>
      <w:r>
        <w:rPr>
          <w:color w:val="231F20"/>
          <w:sz w:val="23"/>
        </w:rPr>
        <w:t>undertaken</w:t>
      </w:r>
      <w:r>
        <w:rPr>
          <w:color w:val="231F20"/>
          <w:spacing w:val="-38"/>
          <w:sz w:val="23"/>
        </w:rPr>
        <w:t> </w:t>
      </w:r>
      <w:r>
        <w:rPr>
          <w:color w:val="231F20"/>
          <w:sz w:val="23"/>
        </w:rPr>
        <w:t>ahead</w:t>
      </w:r>
      <w:r>
        <w:rPr>
          <w:color w:val="231F20"/>
          <w:spacing w:val="-37"/>
          <w:sz w:val="23"/>
        </w:rPr>
        <w:t> </w:t>
      </w:r>
      <w:r>
        <w:rPr>
          <w:color w:val="231F20"/>
          <w:sz w:val="23"/>
        </w:rPr>
        <w:t>of</w:t>
      </w:r>
      <w:r>
        <w:rPr>
          <w:color w:val="231F20"/>
          <w:spacing w:val="-38"/>
          <w:sz w:val="23"/>
        </w:rPr>
        <w:t> </w:t>
      </w:r>
      <w:r>
        <w:rPr>
          <w:color w:val="231F20"/>
          <w:sz w:val="23"/>
        </w:rPr>
        <w:t>the</w:t>
      </w:r>
      <w:r>
        <w:rPr>
          <w:color w:val="231F20"/>
          <w:spacing w:val="-37"/>
          <w:sz w:val="23"/>
        </w:rPr>
        <w:t> </w:t>
      </w:r>
      <w:r>
        <w:rPr>
          <w:color w:val="231F20"/>
          <w:sz w:val="23"/>
        </w:rPr>
        <w:t>annual</w:t>
      </w:r>
      <w:r>
        <w:rPr>
          <w:color w:val="231F20"/>
          <w:spacing w:val="-38"/>
          <w:sz w:val="23"/>
        </w:rPr>
        <w:t> </w:t>
      </w:r>
      <w:r>
        <w:rPr>
          <w:color w:val="231F20"/>
          <w:sz w:val="23"/>
        </w:rPr>
        <w:t>budget</w:t>
      </w:r>
      <w:r>
        <w:rPr>
          <w:color w:val="231F20"/>
          <w:spacing w:val="-38"/>
          <w:sz w:val="23"/>
        </w:rPr>
        <w:t> </w:t>
      </w:r>
      <w:r>
        <w:rPr>
          <w:color w:val="231F20"/>
          <w:sz w:val="23"/>
        </w:rPr>
        <w:t>cycle</w:t>
      </w:r>
      <w:r>
        <w:rPr>
          <w:color w:val="231F20"/>
          <w:spacing w:val="-37"/>
          <w:sz w:val="23"/>
        </w:rPr>
        <w:t> </w:t>
      </w:r>
      <w:r>
        <w:rPr>
          <w:color w:val="231F20"/>
          <w:sz w:val="23"/>
        </w:rPr>
        <w:t>to</w:t>
      </w:r>
      <w:r>
        <w:rPr>
          <w:color w:val="231F20"/>
          <w:spacing w:val="-38"/>
          <w:sz w:val="23"/>
        </w:rPr>
        <w:t> </w:t>
      </w:r>
      <w:r>
        <w:rPr>
          <w:color w:val="231F20"/>
          <w:sz w:val="23"/>
        </w:rPr>
        <w:t>provide</w:t>
      </w:r>
      <w:r>
        <w:rPr>
          <w:color w:val="231F20"/>
          <w:spacing w:val="-38"/>
          <w:sz w:val="23"/>
        </w:rPr>
        <w:t> </w:t>
      </w:r>
      <w:r>
        <w:rPr>
          <w:color w:val="231F20"/>
          <w:sz w:val="23"/>
        </w:rPr>
        <w:t>early</w:t>
      </w:r>
      <w:r>
        <w:rPr>
          <w:color w:val="231F20"/>
          <w:spacing w:val="-37"/>
          <w:sz w:val="23"/>
        </w:rPr>
        <w:t> </w:t>
      </w:r>
      <w:r>
        <w:rPr>
          <w:color w:val="231F20"/>
          <w:sz w:val="23"/>
        </w:rPr>
        <w:t>warning signals</w:t>
      </w:r>
      <w:r>
        <w:rPr>
          <w:color w:val="231F20"/>
          <w:spacing w:val="-25"/>
          <w:sz w:val="23"/>
        </w:rPr>
        <w:t> </w:t>
      </w:r>
      <w:r>
        <w:rPr>
          <w:color w:val="231F20"/>
          <w:sz w:val="23"/>
        </w:rPr>
        <w:t>on</w:t>
      </w:r>
      <w:r>
        <w:rPr>
          <w:color w:val="231F20"/>
          <w:spacing w:val="-25"/>
          <w:sz w:val="23"/>
        </w:rPr>
        <w:t> </w:t>
      </w:r>
      <w:r>
        <w:rPr>
          <w:color w:val="231F20"/>
          <w:sz w:val="23"/>
        </w:rPr>
        <w:t>debt</w:t>
      </w:r>
      <w:r>
        <w:rPr>
          <w:color w:val="231F20"/>
          <w:spacing w:val="-25"/>
          <w:sz w:val="23"/>
        </w:rPr>
        <w:t> </w:t>
      </w:r>
      <w:r>
        <w:rPr>
          <w:color w:val="231F20"/>
          <w:sz w:val="23"/>
        </w:rPr>
        <w:t>levels</w:t>
      </w:r>
      <w:r>
        <w:rPr>
          <w:color w:val="231F20"/>
          <w:spacing w:val="-25"/>
          <w:sz w:val="23"/>
        </w:rPr>
        <w:t> </w:t>
      </w:r>
      <w:r>
        <w:rPr>
          <w:color w:val="231F20"/>
          <w:sz w:val="23"/>
        </w:rPr>
        <w:t>and</w:t>
      </w:r>
      <w:r>
        <w:rPr>
          <w:color w:val="231F20"/>
          <w:spacing w:val="-25"/>
          <w:sz w:val="23"/>
        </w:rPr>
        <w:t> </w:t>
      </w:r>
      <w:r>
        <w:rPr>
          <w:color w:val="231F20"/>
          <w:sz w:val="23"/>
        </w:rPr>
        <w:t>the</w:t>
      </w:r>
      <w:r>
        <w:rPr>
          <w:color w:val="231F20"/>
          <w:spacing w:val="-25"/>
          <w:sz w:val="23"/>
        </w:rPr>
        <w:t> </w:t>
      </w:r>
      <w:r>
        <w:rPr>
          <w:color w:val="231F20"/>
          <w:sz w:val="23"/>
        </w:rPr>
        <w:t>risks</w:t>
      </w:r>
      <w:r>
        <w:rPr>
          <w:color w:val="231F20"/>
          <w:spacing w:val="-25"/>
          <w:sz w:val="23"/>
        </w:rPr>
        <w:t> </w:t>
      </w:r>
      <w:r>
        <w:rPr>
          <w:color w:val="231F20"/>
          <w:sz w:val="23"/>
        </w:rPr>
        <w:t>of</w:t>
      </w:r>
      <w:r>
        <w:rPr>
          <w:color w:val="231F20"/>
          <w:spacing w:val="-25"/>
          <w:sz w:val="23"/>
        </w:rPr>
        <w:t> </w:t>
      </w:r>
      <w:r>
        <w:rPr>
          <w:color w:val="231F20"/>
          <w:sz w:val="23"/>
        </w:rPr>
        <w:t>debt</w:t>
      </w:r>
      <w:r>
        <w:rPr>
          <w:color w:val="231F20"/>
          <w:spacing w:val="-25"/>
          <w:sz w:val="23"/>
        </w:rPr>
        <w:t> </w:t>
      </w:r>
      <w:r>
        <w:rPr>
          <w:color w:val="231F20"/>
          <w:sz w:val="23"/>
        </w:rPr>
        <w:t>distress</w:t>
      </w:r>
      <w:r>
        <w:rPr>
          <w:color w:val="231F20"/>
          <w:spacing w:val="-25"/>
          <w:sz w:val="23"/>
        </w:rPr>
        <w:t> </w:t>
      </w:r>
      <w:r>
        <w:rPr>
          <w:color w:val="231F20"/>
          <w:sz w:val="23"/>
        </w:rPr>
        <w:t>to</w:t>
      </w:r>
      <w:r>
        <w:rPr>
          <w:color w:val="231F20"/>
          <w:spacing w:val="-25"/>
          <w:sz w:val="23"/>
        </w:rPr>
        <w:t> </w:t>
      </w:r>
      <w:r>
        <w:rPr>
          <w:color w:val="231F20"/>
          <w:sz w:val="23"/>
        </w:rPr>
        <w:t>inform</w:t>
      </w:r>
      <w:r>
        <w:rPr>
          <w:color w:val="231F20"/>
          <w:spacing w:val="-25"/>
          <w:sz w:val="23"/>
        </w:rPr>
        <w:t> </w:t>
      </w:r>
      <w:r>
        <w:rPr>
          <w:color w:val="231F20"/>
          <w:sz w:val="23"/>
        </w:rPr>
        <w:t>debt</w:t>
      </w:r>
      <w:r>
        <w:rPr>
          <w:color w:val="231F20"/>
          <w:spacing w:val="-25"/>
          <w:sz w:val="23"/>
        </w:rPr>
        <w:t> </w:t>
      </w:r>
      <w:r>
        <w:rPr>
          <w:color w:val="231F20"/>
          <w:sz w:val="23"/>
        </w:rPr>
        <w:t>management</w:t>
      </w:r>
      <w:r>
        <w:rPr>
          <w:color w:val="231F20"/>
          <w:spacing w:val="-25"/>
          <w:sz w:val="23"/>
        </w:rPr>
        <w:t> </w:t>
      </w:r>
      <w:r>
        <w:rPr>
          <w:color w:val="231F20"/>
          <w:sz w:val="23"/>
        </w:rPr>
        <w:t>policy. In line with the Medium-Term Debt Strategy, Government will introduce medium to long-term</w:t>
      </w:r>
      <w:r>
        <w:rPr>
          <w:color w:val="231F20"/>
          <w:spacing w:val="-7"/>
          <w:sz w:val="23"/>
        </w:rPr>
        <w:t> </w:t>
      </w:r>
      <w:r>
        <w:rPr>
          <w:color w:val="231F20"/>
          <w:sz w:val="23"/>
        </w:rPr>
        <w:t>bonds</w:t>
      </w:r>
      <w:r>
        <w:rPr>
          <w:color w:val="231F20"/>
          <w:spacing w:val="-7"/>
          <w:sz w:val="23"/>
        </w:rPr>
        <w:t> </w:t>
      </w:r>
      <w:r>
        <w:rPr>
          <w:color w:val="231F20"/>
          <w:sz w:val="23"/>
        </w:rPr>
        <w:t>for</w:t>
      </w:r>
      <w:r>
        <w:rPr>
          <w:color w:val="231F20"/>
          <w:spacing w:val="-7"/>
          <w:sz w:val="23"/>
        </w:rPr>
        <w:t> </w:t>
      </w:r>
      <w:r>
        <w:rPr>
          <w:color w:val="231F20"/>
          <w:sz w:val="23"/>
        </w:rPr>
        <w:t>long-term</w:t>
      </w:r>
      <w:r>
        <w:rPr>
          <w:color w:val="231F20"/>
          <w:spacing w:val="-7"/>
          <w:sz w:val="23"/>
        </w:rPr>
        <w:t> </w:t>
      </w:r>
      <w:r>
        <w:rPr>
          <w:color w:val="231F20"/>
          <w:sz w:val="23"/>
        </w:rPr>
        <w:t>financing</w:t>
      </w:r>
      <w:r>
        <w:rPr>
          <w:color w:val="231F20"/>
          <w:spacing w:val="-7"/>
          <w:sz w:val="23"/>
        </w:rPr>
        <w:t> </w:t>
      </w:r>
      <w:r>
        <w:rPr>
          <w:color w:val="231F20"/>
          <w:sz w:val="23"/>
        </w:rPr>
        <w:t>needs</w:t>
      </w:r>
      <w:r>
        <w:rPr>
          <w:color w:val="231F20"/>
          <w:spacing w:val="-7"/>
          <w:sz w:val="23"/>
        </w:rPr>
        <w:t> </w:t>
      </w:r>
      <w:r>
        <w:rPr>
          <w:color w:val="231F20"/>
          <w:sz w:val="23"/>
        </w:rPr>
        <w:t>such</w:t>
      </w:r>
      <w:r>
        <w:rPr>
          <w:color w:val="231F20"/>
          <w:spacing w:val="-7"/>
          <w:sz w:val="23"/>
        </w:rPr>
        <w:t> </w:t>
      </w:r>
      <w:r>
        <w:rPr>
          <w:color w:val="231F20"/>
          <w:sz w:val="23"/>
        </w:rPr>
        <w:t>as</w:t>
      </w:r>
      <w:r>
        <w:rPr>
          <w:color w:val="231F20"/>
          <w:spacing w:val="-7"/>
          <w:sz w:val="23"/>
        </w:rPr>
        <w:t> </w:t>
      </w:r>
      <w:r>
        <w:rPr>
          <w:color w:val="231F20"/>
          <w:sz w:val="23"/>
        </w:rPr>
        <w:t>infrastructure</w:t>
      </w:r>
      <w:r>
        <w:rPr>
          <w:color w:val="231F20"/>
          <w:spacing w:val="-7"/>
          <w:sz w:val="23"/>
        </w:rPr>
        <w:t> </w:t>
      </w:r>
      <w:r>
        <w:rPr>
          <w:color w:val="231F20"/>
          <w:sz w:val="23"/>
        </w:rPr>
        <w:t>while</w:t>
      </w:r>
      <w:r>
        <w:rPr>
          <w:color w:val="231F20"/>
          <w:spacing w:val="-7"/>
          <w:sz w:val="23"/>
        </w:rPr>
        <w:t> </w:t>
      </w:r>
      <w:r>
        <w:rPr>
          <w:color w:val="231F20"/>
          <w:sz w:val="23"/>
        </w:rPr>
        <w:t>utilizing short-term treasury bills for cash management and short-term budget financing needs.</w:t>
      </w:r>
      <w:r>
        <w:rPr>
          <w:color w:val="231F20"/>
          <w:spacing w:val="10"/>
          <w:sz w:val="23"/>
        </w:rPr>
        <w:t> </w:t>
      </w:r>
      <w:r>
        <w:rPr>
          <w:color w:val="231F20"/>
          <w:sz w:val="23"/>
        </w:rPr>
        <w:t>This</w:t>
      </w:r>
      <w:r>
        <w:rPr>
          <w:color w:val="231F20"/>
          <w:spacing w:val="10"/>
          <w:sz w:val="23"/>
        </w:rPr>
        <w:t> </w:t>
      </w:r>
      <w:r>
        <w:rPr>
          <w:color w:val="231F20"/>
          <w:sz w:val="23"/>
        </w:rPr>
        <w:t>will</w:t>
      </w:r>
      <w:r>
        <w:rPr>
          <w:color w:val="231F20"/>
          <w:spacing w:val="10"/>
          <w:sz w:val="23"/>
        </w:rPr>
        <w:t> </w:t>
      </w:r>
      <w:r>
        <w:rPr>
          <w:color w:val="231F20"/>
          <w:sz w:val="23"/>
        </w:rPr>
        <w:t>also</w:t>
      </w:r>
      <w:r>
        <w:rPr>
          <w:color w:val="231F20"/>
          <w:spacing w:val="10"/>
          <w:sz w:val="23"/>
        </w:rPr>
        <w:t> </w:t>
      </w:r>
      <w:r>
        <w:rPr>
          <w:color w:val="231F20"/>
          <w:sz w:val="23"/>
        </w:rPr>
        <w:t>help</w:t>
      </w:r>
      <w:r>
        <w:rPr>
          <w:color w:val="231F20"/>
          <w:spacing w:val="10"/>
          <w:sz w:val="23"/>
        </w:rPr>
        <w:t> </w:t>
      </w:r>
      <w:r>
        <w:rPr>
          <w:color w:val="231F20"/>
          <w:sz w:val="23"/>
        </w:rPr>
        <w:t>lower</w:t>
      </w:r>
      <w:r>
        <w:rPr>
          <w:color w:val="231F20"/>
          <w:spacing w:val="10"/>
          <w:sz w:val="23"/>
        </w:rPr>
        <w:t> </w:t>
      </w:r>
      <w:r>
        <w:rPr>
          <w:color w:val="231F20"/>
          <w:sz w:val="23"/>
        </w:rPr>
        <w:t>refinancing</w:t>
      </w:r>
      <w:r>
        <w:rPr>
          <w:color w:val="231F20"/>
          <w:spacing w:val="10"/>
          <w:sz w:val="23"/>
        </w:rPr>
        <w:t> </w:t>
      </w:r>
      <w:r>
        <w:rPr>
          <w:color w:val="231F20"/>
          <w:sz w:val="23"/>
        </w:rPr>
        <w:t>and</w:t>
      </w:r>
      <w:r>
        <w:rPr>
          <w:color w:val="231F20"/>
          <w:spacing w:val="10"/>
          <w:sz w:val="23"/>
        </w:rPr>
        <w:t> </w:t>
      </w:r>
      <w:r>
        <w:rPr>
          <w:color w:val="231F20"/>
          <w:sz w:val="23"/>
        </w:rPr>
        <w:t>foreign</w:t>
      </w:r>
      <w:r>
        <w:rPr>
          <w:color w:val="231F20"/>
          <w:spacing w:val="10"/>
          <w:sz w:val="23"/>
        </w:rPr>
        <w:t> </w:t>
      </w:r>
      <w:r>
        <w:rPr>
          <w:color w:val="231F20"/>
          <w:sz w:val="23"/>
        </w:rPr>
        <w:t>currency</w:t>
      </w:r>
      <w:r>
        <w:rPr>
          <w:color w:val="231F20"/>
          <w:spacing w:val="10"/>
          <w:sz w:val="23"/>
        </w:rPr>
        <w:t> </w:t>
      </w:r>
      <w:r>
        <w:rPr>
          <w:color w:val="231F20"/>
          <w:sz w:val="23"/>
        </w:rPr>
        <w:t>risks.</w:t>
      </w:r>
    </w:p>
    <w:p>
      <w:pPr>
        <w:pStyle w:val="BodyText"/>
        <w:spacing w:before="1"/>
        <w:rPr>
          <w:sz w:val="26"/>
        </w:rPr>
      </w:pPr>
    </w:p>
    <w:p>
      <w:pPr>
        <w:pStyle w:val="ListParagraph"/>
        <w:numPr>
          <w:ilvl w:val="0"/>
          <w:numId w:val="2"/>
        </w:numPr>
        <w:tabs>
          <w:tab w:pos="954" w:val="left" w:leader="none"/>
        </w:tabs>
        <w:spacing w:line="285" w:lineRule="auto" w:before="0" w:after="0"/>
        <w:ind w:left="103" w:right="116" w:firstLine="87"/>
        <w:jc w:val="both"/>
        <w:rPr>
          <w:sz w:val="23"/>
        </w:rPr>
      </w:pPr>
      <w:r>
        <w:rPr>
          <w:color w:val="231F20"/>
          <w:sz w:val="23"/>
        </w:rPr>
        <w:t>To ensure debt sustainability, Government will continue to seek grant financing</w:t>
      </w:r>
      <w:r>
        <w:rPr>
          <w:color w:val="231F20"/>
          <w:spacing w:val="-27"/>
          <w:sz w:val="23"/>
        </w:rPr>
        <w:t> </w:t>
      </w:r>
      <w:r>
        <w:rPr>
          <w:color w:val="231F20"/>
          <w:sz w:val="23"/>
        </w:rPr>
        <w:t>or</w:t>
      </w:r>
      <w:r>
        <w:rPr>
          <w:color w:val="231F20"/>
          <w:spacing w:val="-27"/>
          <w:sz w:val="23"/>
        </w:rPr>
        <w:t> </w:t>
      </w:r>
      <w:r>
        <w:rPr>
          <w:color w:val="231F20"/>
          <w:sz w:val="23"/>
        </w:rPr>
        <w:t>borrow</w:t>
      </w:r>
      <w:r>
        <w:rPr>
          <w:color w:val="231F20"/>
          <w:spacing w:val="-27"/>
          <w:sz w:val="23"/>
        </w:rPr>
        <w:t> </w:t>
      </w:r>
      <w:r>
        <w:rPr>
          <w:color w:val="231F20"/>
          <w:sz w:val="23"/>
        </w:rPr>
        <w:t>at</w:t>
      </w:r>
      <w:r>
        <w:rPr>
          <w:color w:val="231F20"/>
          <w:spacing w:val="-27"/>
          <w:sz w:val="23"/>
        </w:rPr>
        <w:t> </w:t>
      </w:r>
      <w:r>
        <w:rPr>
          <w:color w:val="231F20"/>
          <w:sz w:val="23"/>
        </w:rPr>
        <w:t>highly</w:t>
      </w:r>
      <w:r>
        <w:rPr>
          <w:color w:val="231F20"/>
          <w:spacing w:val="-27"/>
          <w:sz w:val="23"/>
        </w:rPr>
        <w:t> </w:t>
      </w:r>
      <w:r>
        <w:rPr>
          <w:color w:val="231F20"/>
          <w:sz w:val="23"/>
        </w:rPr>
        <w:t>concessional</w:t>
      </w:r>
      <w:r>
        <w:rPr>
          <w:color w:val="231F20"/>
          <w:spacing w:val="-27"/>
          <w:sz w:val="23"/>
        </w:rPr>
        <w:t> </w:t>
      </w:r>
      <w:r>
        <w:rPr>
          <w:color w:val="231F20"/>
          <w:sz w:val="23"/>
        </w:rPr>
        <w:t>terms</w:t>
      </w:r>
      <w:r>
        <w:rPr>
          <w:color w:val="231F20"/>
          <w:spacing w:val="-27"/>
          <w:sz w:val="23"/>
        </w:rPr>
        <w:t> </w:t>
      </w:r>
      <w:r>
        <w:rPr>
          <w:color w:val="231F20"/>
          <w:sz w:val="23"/>
        </w:rPr>
        <w:t>to</w:t>
      </w:r>
      <w:r>
        <w:rPr>
          <w:color w:val="231F20"/>
          <w:spacing w:val="-27"/>
          <w:sz w:val="23"/>
        </w:rPr>
        <w:t> </w:t>
      </w:r>
      <w:r>
        <w:rPr>
          <w:color w:val="231F20"/>
          <w:sz w:val="23"/>
        </w:rPr>
        <w:t>finance</w:t>
      </w:r>
      <w:r>
        <w:rPr>
          <w:color w:val="231F20"/>
          <w:spacing w:val="-27"/>
          <w:sz w:val="23"/>
        </w:rPr>
        <w:t> </w:t>
      </w:r>
      <w:r>
        <w:rPr>
          <w:color w:val="231F20"/>
          <w:sz w:val="23"/>
        </w:rPr>
        <w:t>investments</w:t>
      </w:r>
      <w:r>
        <w:rPr>
          <w:color w:val="231F20"/>
          <w:spacing w:val="-27"/>
          <w:sz w:val="23"/>
        </w:rPr>
        <w:t> </w:t>
      </w:r>
      <w:r>
        <w:rPr>
          <w:color w:val="231F20"/>
          <w:sz w:val="23"/>
        </w:rPr>
        <w:t>in</w:t>
      </w:r>
      <w:r>
        <w:rPr>
          <w:color w:val="231F20"/>
          <w:spacing w:val="-27"/>
          <w:sz w:val="23"/>
        </w:rPr>
        <w:t> </w:t>
      </w:r>
      <w:r>
        <w:rPr>
          <w:color w:val="231F20"/>
          <w:sz w:val="23"/>
        </w:rPr>
        <w:t>key</w:t>
      </w:r>
      <w:r>
        <w:rPr>
          <w:color w:val="231F20"/>
          <w:spacing w:val="-27"/>
          <w:sz w:val="23"/>
        </w:rPr>
        <w:t> </w:t>
      </w:r>
      <w:r>
        <w:rPr>
          <w:color w:val="231F20"/>
          <w:sz w:val="23"/>
        </w:rPr>
        <w:t>sectors of the economy including infrastructure. Government will also explore non-debt creating</w:t>
      </w:r>
      <w:r>
        <w:rPr>
          <w:color w:val="231F20"/>
          <w:spacing w:val="-46"/>
          <w:sz w:val="23"/>
        </w:rPr>
        <w:t> </w:t>
      </w:r>
      <w:r>
        <w:rPr>
          <w:color w:val="231F20"/>
          <w:sz w:val="23"/>
        </w:rPr>
        <w:t>financing</w:t>
      </w:r>
      <w:r>
        <w:rPr>
          <w:color w:val="231F20"/>
          <w:spacing w:val="-45"/>
          <w:sz w:val="23"/>
        </w:rPr>
        <w:t> </w:t>
      </w:r>
      <w:r>
        <w:rPr>
          <w:color w:val="231F20"/>
          <w:sz w:val="23"/>
        </w:rPr>
        <w:t>models</w:t>
      </w:r>
      <w:r>
        <w:rPr>
          <w:color w:val="231F20"/>
          <w:spacing w:val="-45"/>
          <w:sz w:val="23"/>
        </w:rPr>
        <w:t> </w:t>
      </w:r>
      <w:r>
        <w:rPr>
          <w:color w:val="231F20"/>
          <w:sz w:val="23"/>
        </w:rPr>
        <w:t>such</w:t>
      </w:r>
      <w:r>
        <w:rPr>
          <w:color w:val="231F20"/>
          <w:spacing w:val="-45"/>
          <w:sz w:val="23"/>
        </w:rPr>
        <w:t> </w:t>
      </w:r>
      <w:r>
        <w:rPr>
          <w:color w:val="231F20"/>
          <w:sz w:val="23"/>
        </w:rPr>
        <w:t>as</w:t>
      </w:r>
      <w:r>
        <w:rPr>
          <w:color w:val="231F20"/>
          <w:spacing w:val="-45"/>
          <w:sz w:val="23"/>
        </w:rPr>
        <w:t> </w:t>
      </w:r>
      <w:r>
        <w:rPr>
          <w:color w:val="231F20"/>
          <w:sz w:val="23"/>
        </w:rPr>
        <w:t>Public-Private</w:t>
      </w:r>
      <w:r>
        <w:rPr>
          <w:color w:val="231F20"/>
          <w:spacing w:val="-46"/>
          <w:sz w:val="23"/>
        </w:rPr>
        <w:t> </w:t>
      </w:r>
      <w:r>
        <w:rPr>
          <w:color w:val="231F20"/>
          <w:sz w:val="23"/>
        </w:rPr>
        <w:t>Partnerships</w:t>
      </w:r>
      <w:r>
        <w:rPr>
          <w:color w:val="231F20"/>
          <w:spacing w:val="-45"/>
          <w:sz w:val="23"/>
        </w:rPr>
        <w:t> </w:t>
      </w:r>
      <w:r>
        <w:rPr>
          <w:color w:val="231F20"/>
          <w:sz w:val="23"/>
        </w:rPr>
        <w:t>supported</w:t>
      </w:r>
      <w:r>
        <w:rPr>
          <w:color w:val="231F20"/>
          <w:spacing w:val="-45"/>
          <w:sz w:val="23"/>
        </w:rPr>
        <w:t> </w:t>
      </w:r>
      <w:r>
        <w:rPr>
          <w:color w:val="231F20"/>
          <w:sz w:val="23"/>
        </w:rPr>
        <w:t>by</w:t>
      </w:r>
      <w:r>
        <w:rPr>
          <w:color w:val="231F20"/>
          <w:spacing w:val="-45"/>
          <w:sz w:val="23"/>
        </w:rPr>
        <w:t> </w:t>
      </w:r>
      <w:r>
        <w:rPr>
          <w:color w:val="231F20"/>
          <w:sz w:val="23"/>
        </w:rPr>
        <w:t>a</w:t>
      </w:r>
      <w:r>
        <w:rPr>
          <w:color w:val="231F20"/>
          <w:spacing w:val="-45"/>
          <w:sz w:val="23"/>
        </w:rPr>
        <w:t> </w:t>
      </w:r>
      <w:r>
        <w:rPr>
          <w:color w:val="231F20"/>
          <w:sz w:val="23"/>
        </w:rPr>
        <w:t>thorough analysis</w:t>
      </w:r>
      <w:r>
        <w:rPr>
          <w:color w:val="231F20"/>
          <w:spacing w:val="-17"/>
          <w:sz w:val="23"/>
        </w:rPr>
        <w:t> </w:t>
      </w:r>
      <w:r>
        <w:rPr>
          <w:color w:val="231F20"/>
          <w:sz w:val="23"/>
        </w:rPr>
        <w:t>of</w:t>
      </w:r>
      <w:r>
        <w:rPr>
          <w:color w:val="231F20"/>
          <w:spacing w:val="-17"/>
          <w:sz w:val="23"/>
        </w:rPr>
        <w:t> </w:t>
      </w:r>
      <w:r>
        <w:rPr>
          <w:color w:val="231F20"/>
          <w:sz w:val="23"/>
        </w:rPr>
        <w:t>the</w:t>
      </w:r>
      <w:r>
        <w:rPr>
          <w:color w:val="231F20"/>
          <w:spacing w:val="-17"/>
          <w:sz w:val="23"/>
        </w:rPr>
        <w:t> </w:t>
      </w:r>
      <w:r>
        <w:rPr>
          <w:color w:val="231F20"/>
          <w:sz w:val="23"/>
        </w:rPr>
        <w:t>potential</w:t>
      </w:r>
      <w:r>
        <w:rPr>
          <w:color w:val="231F20"/>
          <w:spacing w:val="-17"/>
          <w:sz w:val="23"/>
        </w:rPr>
        <w:t> </w:t>
      </w:r>
      <w:r>
        <w:rPr>
          <w:color w:val="231F20"/>
          <w:sz w:val="23"/>
        </w:rPr>
        <w:t>fiscal</w:t>
      </w:r>
      <w:r>
        <w:rPr>
          <w:color w:val="231F20"/>
          <w:spacing w:val="-17"/>
          <w:sz w:val="23"/>
        </w:rPr>
        <w:t> </w:t>
      </w:r>
      <w:r>
        <w:rPr>
          <w:color w:val="231F20"/>
          <w:sz w:val="23"/>
        </w:rPr>
        <w:t>risks</w:t>
      </w:r>
      <w:r>
        <w:rPr>
          <w:color w:val="231F20"/>
          <w:spacing w:val="-17"/>
          <w:sz w:val="23"/>
        </w:rPr>
        <w:t> </w:t>
      </w:r>
      <w:r>
        <w:rPr>
          <w:color w:val="231F20"/>
          <w:sz w:val="23"/>
        </w:rPr>
        <w:t>and</w:t>
      </w:r>
      <w:r>
        <w:rPr>
          <w:color w:val="231F20"/>
          <w:spacing w:val="-17"/>
          <w:sz w:val="23"/>
        </w:rPr>
        <w:t> </w:t>
      </w:r>
      <w:r>
        <w:rPr>
          <w:color w:val="231F20"/>
          <w:sz w:val="23"/>
        </w:rPr>
        <w:t>without</w:t>
      </w:r>
      <w:r>
        <w:rPr>
          <w:color w:val="231F20"/>
          <w:spacing w:val="-17"/>
          <w:sz w:val="23"/>
        </w:rPr>
        <w:t> </w:t>
      </w:r>
      <w:r>
        <w:rPr>
          <w:color w:val="231F20"/>
          <w:sz w:val="23"/>
        </w:rPr>
        <w:t>recourse</w:t>
      </w:r>
      <w:r>
        <w:rPr>
          <w:color w:val="231F20"/>
          <w:spacing w:val="-17"/>
          <w:sz w:val="23"/>
        </w:rPr>
        <w:t> </w:t>
      </w:r>
      <w:r>
        <w:rPr>
          <w:color w:val="231F20"/>
          <w:sz w:val="23"/>
        </w:rPr>
        <w:t>to</w:t>
      </w:r>
      <w:r>
        <w:rPr>
          <w:color w:val="231F20"/>
          <w:spacing w:val="-17"/>
          <w:sz w:val="23"/>
        </w:rPr>
        <w:t> </w:t>
      </w:r>
      <w:r>
        <w:rPr>
          <w:color w:val="231F20"/>
          <w:sz w:val="23"/>
        </w:rPr>
        <w:t>Government</w:t>
      </w:r>
      <w:r>
        <w:rPr>
          <w:color w:val="231F20"/>
          <w:spacing w:val="-17"/>
          <w:sz w:val="23"/>
        </w:rPr>
        <w:t> </w:t>
      </w:r>
      <w:r>
        <w:rPr>
          <w:color w:val="231F20"/>
          <w:sz w:val="23"/>
        </w:rPr>
        <w:t>guarantees.</w:t>
      </w:r>
    </w:p>
    <w:p>
      <w:pPr>
        <w:pStyle w:val="BodyText"/>
        <w:spacing w:before="8"/>
        <w:rPr>
          <w:sz w:val="26"/>
        </w:rPr>
      </w:pPr>
    </w:p>
    <w:p>
      <w:pPr>
        <w:pStyle w:val="Heading2"/>
        <w:jc w:val="both"/>
      </w:pPr>
      <w:r>
        <w:rPr>
          <w:color w:val="231F20"/>
        </w:rPr>
        <w:t>Clearance of Verified Domestic Suppliers and Contractors Arrears</w:t>
      </w:r>
    </w:p>
    <w:p>
      <w:pPr>
        <w:pStyle w:val="ListParagraph"/>
        <w:numPr>
          <w:ilvl w:val="0"/>
          <w:numId w:val="2"/>
        </w:numPr>
        <w:tabs>
          <w:tab w:pos="954" w:val="left" w:leader="none"/>
        </w:tabs>
        <w:spacing w:line="283" w:lineRule="auto" w:before="52" w:after="0"/>
        <w:ind w:left="103" w:right="118" w:firstLine="87"/>
        <w:jc w:val="both"/>
        <w:rPr>
          <w:sz w:val="23"/>
        </w:rPr>
      </w:pPr>
      <w:r>
        <w:rPr>
          <w:color w:val="231F20"/>
          <w:sz w:val="23"/>
        </w:rPr>
        <w:t>Mr.</w:t>
      </w:r>
      <w:r>
        <w:rPr>
          <w:color w:val="231F20"/>
          <w:spacing w:val="-9"/>
          <w:sz w:val="23"/>
        </w:rPr>
        <w:t> </w:t>
      </w:r>
      <w:r>
        <w:rPr>
          <w:color w:val="231F20"/>
          <w:sz w:val="23"/>
        </w:rPr>
        <w:t>Speaker,</w:t>
      </w:r>
      <w:r>
        <w:rPr>
          <w:color w:val="231F20"/>
          <w:spacing w:val="-9"/>
          <w:sz w:val="23"/>
        </w:rPr>
        <w:t> </w:t>
      </w:r>
      <w:r>
        <w:rPr>
          <w:color w:val="231F20"/>
          <w:sz w:val="23"/>
        </w:rPr>
        <w:t>Honourable</w:t>
      </w:r>
      <w:r>
        <w:rPr>
          <w:color w:val="231F20"/>
          <w:spacing w:val="-9"/>
          <w:sz w:val="23"/>
        </w:rPr>
        <w:t> </w:t>
      </w:r>
      <w:r>
        <w:rPr>
          <w:color w:val="231F20"/>
          <w:sz w:val="23"/>
        </w:rPr>
        <w:t>Members,</w:t>
      </w:r>
      <w:r>
        <w:rPr>
          <w:color w:val="231F20"/>
          <w:spacing w:val="-9"/>
          <w:sz w:val="23"/>
        </w:rPr>
        <w:t> </w:t>
      </w:r>
      <w:r>
        <w:rPr>
          <w:color w:val="231F20"/>
          <w:sz w:val="23"/>
        </w:rPr>
        <w:t>the</w:t>
      </w:r>
      <w:r>
        <w:rPr>
          <w:color w:val="231F20"/>
          <w:spacing w:val="-9"/>
          <w:sz w:val="23"/>
        </w:rPr>
        <w:t> </w:t>
      </w:r>
      <w:r>
        <w:rPr>
          <w:color w:val="231F20"/>
          <w:sz w:val="23"/>
        </w:rPr>
        <w:t>debt</w:t>
      </w:r>
      <w:r>
        <w:rPr>
          <w:color w:val="231F20"/>
          <w:spacing w:val="-10"/>
          <w:sz w:val="23"/>
        </w:rPr>
        <w:t> </w:t>
      </w:r>
      <w:r>
        <w:rPr>
          <w:color w:val="231F20"/>
          <w:sz w:val="23"/>
        </w:rPr>
        <w:t>situation</w:t>
      </w:r>
      <w:r>
        <w:rPr>
          <w:color w:val="231F20"/>
          <w:spacing w:val="-9"/>
          <w:sz w:val="23"/>
        </w:rPr>
        <w:t> </w:t>
      </w:r>
      <w:r>
        <w:rPr>
          <w:color w:val="231F20"/>
          <w:sz w:val="23"/>
        </w:rPr>
        <w:t>is</w:t>
      </w:r>
      <w:r>
        <w:rPr>
          <w:color w:val="231F20"/>
          <w:spacing w:val="-9"/>
          <w:sz w:val="23"/>
        </w:rPr>
        <w:t> </w:t>
      </w:r>
      <w:r>
        <w:rPr>
          <w:color w:val="231F20"/>
          <w:sz w:val="23"/>
        </w:rPr>
        <w:t>compounded</w:t>
      </w:r>
      <w:r>
        <w:rPr>
          <w:color w:val="231F20"/>
          <w:spacing w:val="-9"/>
          <w:sz w:val="23"/>
        </w:rPr>
        <w:t> </w:t>
      </w:r>
      <w:r>
        <w:rPr>
          <w:color w:val="231F20"/>
          <w:sz w:val="23"/>
        </w:rPr>
        <w:t>by</w:t>
      </w:r>
      <w:r>
        <w:rPr>
          <w:color w:val="231F20"/>
          <w:spacing w:val="-10"/>
          <w:sz w:val="23"/>
        </w:rPr>
        <w:t> </w:t>
      </w:r>
      <w:r>
        <w:rPr>
          <w:color w:val="231F20"/>
          <w:sz w:val="23"/>
        </w:rPr>
        <w:t>the huge stock of domestic suppliers and contractors’ arrears accrued by the past Administration.</w:t>
      </w:r>
      <w:r>
        <w:rPr>
          <w:color w:val="231F20"/>
          <w:spacing w:val="-43"/>
          <w:sz w:val="23"/>
        </w:rPr>
        <w:t> </w:t>
      </w:r>
      <w:r>
        <w:rPr>
          <w:color w:val="231F20"/>
          <w:sz w:val="23"/>
        </w:rPr>
        <w:t>The</w:t>
      </w:r>
      <w:r>
        <w:rPr>
          <w:color w:val="231F20"/>
          <w:spacing w:val="-43"/>
          <w:sz w:val="23"/>
        </w:rPr>
        <w:t> </w:t>
      </w:r>
      <w:r>
        <w:rPr>
          <w:color w:val="231F20"/>
          <w:sz w:val="23"/>
        </w:rPr>
        <w:t>total</w:t>
      </w:r>
      <w:r>
        <w:rPr>
          <w:color w:val="231F20"/>
          <w:spacing w:val="-42"/>
          <w:sz w:val="23"/>
        </w:rPr>
        <w:t> </w:t>
      </w:r>
      <w:r>
        <w:rPr>
          <w:color w:val="231F20"/>
          <w:sz w:val="23"/>
        </w:rPr>
        <w:t>amount</w:t>
      </w:r>
      <w:r>
        <w:rPr>
          <w:color w:val="231F20"/>
          <w:spacing w:val="-43"/>
          <w:sz w:val="23"/>
        </w:rPr>
        <w:t> </w:t>
      </w:r>
      <w:r>
        <w:rPr>
          <w:color w:val="231F20"/>
          <w:sz w:val="23"/>
        </w:rPr>
        <w:t>of</w:t>
      </w:r>
      <w:r>
        <w:rPr>
          <w:color w:val="231F20"/>
          <w:spacing w:val="-43"/>
          <w:sz w:val="23"/>
        </w:rPr>
        <w:t> </w:t>
      </w:r>
      <w:r>
        <w:rPr>
          <w:color w:val="231F20"/>
          <w:sz w:val="23"/>
        </w:rPr>
        <w:t>claims</w:t>
      </w:r>
      <w:r>
        <w:rPr>
          <w:color w:val="231F20"/>
          <w:spacing w:val="-42"/>
          <w:sz w:val="23"/>
        </w:rPr>
        <w:t> </w:t>
      </w:r>
      <w:r>
        <w:rPr>
          <w:color w:val="231F20"/>
          <w:sz w:val="23"/>
        </w:rPr>
        <w:t>of</w:t>
      </w:r>
      <w:r>
        <w:rPr>
          <w:color w:val="231F20"/>
          <w:spacing w:val="-43"/>
          <w:sz w:val="23"/>
        </w:rPr>
        <w:t> </w:t>
      </w:r>
      <w:r>
        <w:rPr>
          <w:color w:val="231F20"/>
          <w:sz w:val="23"/>
        </w:rPr>
        <w:t>arrears,</w:t>
      </w:r>
      <w:r>
        <w:rPr>
          <w:color w:val="231F20"/>
          <w:spacing w:val="-43"/>
          <w:sz w:val="23"/>
        </w:rPr>
        <w:t> </w:t>
      </w:r>
      <w:r>
        <w:rPr>
          <w:color w:val="231F20"/>
          <w:sz w:val="23"/>
        </w:rPr>
        <w:t>submitted</w:t>
      </w:r>
      <w:r>
        <w:rPr>
          <w:color w:val="231F20"/>
          <w:spacing w:val="-42"/>
          <w:sz w:val="23"/>
        </w:rPr>
        <w:t> </w:t>
      </w:r>
      <w:r>
        <w:rPr>
          <w:color w:val="231F20"/>
          <w:sz w:val="23"/>
        </w:rPr>
        <w:t>to</w:t>
      </w:r>
      <w:r>
        <w:rPr>
          <w:color w:val="231F20"/>
          <w:spacing w:val="-43"/>
          <w:sz w:val="23"/>
        </w:rPr>
        <w:t> </w:t>
      </w:r>
      <w:r>
        <w:rPr>
          <w:color w:val="231F20"/>
          <w:sz w:val="23"/>
        </w:rPr>
        <w:t>the</w:t>
      </w:r>
      <w:r>
        <w:rPr>
          <w:color w:val="231F20"/>
          <w:spacing w:val="-43"/>
          <w:sz w:val="23"/>
        </w:rPr>
        <w:t> </w:t>
      </w:r>
      <w:r>
        <w:rPr>
          <w:color w:val="231F20"/>
          <w:sz w:val="23"/>
        </w:rPr>
        <w:t>Auditor</w:t>
      </w:r>
      <w:r>
        <w:rPr>
          <w:color w:val="231F20"/>
          <w:spacing w:val="-42"/>
          <w:sz w:val="23"/>
        </w:rPr>
        <w:t> </w:t>
      </w:r>
      <w:r>
        <w:rPr>
          <w:color w:val="231F20"/>
          <w:sz w:val="23"/>
        </w:rPr>
        <w:t>General for</w:t>
      </w:r>
      <w:r>
        <w:rPr>
          <w:color w:val="231F20"/>
          <w:spacing w:val="-18"/>
          <w:sz w:val="23"/>
        </w:rPr>
        <w:t> </w:t>
      </w:r>
      <w:r>
        <w:rPr>
          <w:color w:val="231F20"/>
          <w:sz w:val="23"/>
        </w:rPr>
        <w:t>verification,</w:t>
      </w:r>
      <w:r>
        <w:rPr>
          <w:color w:val="231F20"/>
          <w:spacing w:val="-18"/>
          <w:sz w:val="23"/>
        </w:rPr>
        <w:t> </w:t>
      </w:r>
      <w:r>
        <w:rPr>
          <w:color w:val="231F20"/>
          <w:sz w:val="23"/>
        </w:rPr>
        <w:t>was</w:t>
      </w:r>
      <w:r>
        <w:rPr>
          <w:color w:val="231F20"/>
          <w:spacing w:val="-18"/>
          <w:sz w:val="23"/>
        </w:rPr>
        <w:t> </w:t>
      </w:r>
      <w:r>
        <w:rPr>
          <w:color w:val="231F20"/>
          <w:sz w:val="23"/>
        </w:rPr>
        <w:t>estimated</w:t>
      </w:r>
      <w:r>
        <w:rPr>
          <w:color w:val="231F20"/>
          <w:spacing w:val="-18"/>
          <w:sz w:val="23"/>
        </w:rPr>
        <w:t> </w:t>
      </w:r>
      <w:r>
        <w:rPr>
          <w:color w:val="231F20"/>
          <w:sz w:val="23"/>
        </w:rPr>
        <w:t>at</w:t>
      </w:r>
      <w:r>
        <w:rPr>
          <w:color w:val="231F20"/>
          <w:spacing w:val="-18"/>
          <w:sz w:val="23"/>
        </w:rPr>
        <w:t> </w:t>
      </w:r>
      <w:r>
        <w:rPr>
          <w:color w:val="231F20"/>
          <w:sz w:val="23"/>
        </w:rPr>
        <w:t>Le10.7</w:t>
      </w:r>
      <w:r>
        <w:rPr>
          <w:color w:val="231F20"/>
          <w:spacing w:val="-18"/>
          <w:sz w:val="23"/>
        </w:rPr>
        <w:t> </w:t>
      </w:r>
      <w:r>
        <w:rPr>
          <w:color w:val="231F20"/>
          <w:sz w:val="23"/>
        </w:rPr>
        <w:t>trillion</w:t>
      </w:r>
      <w:r>
        <w:rPr>
          <w:color w:val="231F20"/>
          <w:spacing w:val="-18"/>
          <w:sz w:val="23"/>
        </w:rPr>
        <w:t> </w:t>
      </w:r>
      <w:r>
        <w:rPr>
          <w:color w:val="231F20"/>
          <w:sz w:val="23"/>
        </w:rPr>
        <w:t>inclusive</w:t>
      </w:r>
      <w:r>
        <w:rPr>
          <w:color w:val="231F20"/>
          <w:spacing w:val="-18"/>
          <w:sz w:val="23"/>
        </w:rPr>
        <w:t> </w:t>
      </w:r>
      <w:r>
        <w:rPr>
          <w:color w:val="231F20"/>
          <w:sz w:val="23"/>
        </w:rPr>
        <w:t>of</w:t>
      </w:r>
      <w:r>
        <w:rPr>
          <w:color w:val="231F20"/>
          <w:spacing w:val="-18"/>
          <w:sz w:val="23"/>
        </w:rPr>
        <w:t> </w:t>
      </w:r>
      <w:r>
        <w:rPr>
          <w:color w:val="231F20"/>
          <w:sz w:val="23"/>
        </w:rPr>
        <w:t>unpaid</w:t>
      </w:r>
      <w:r>
        <w:rPr>
          <w:color w:val="231F20"/>
          <w:spacing w:val="-18"/>
          <w:sz w:val="23"/>
        </w:rPr>
        <w:t> </w:t>
      </w:r>
      <w:r>
        <w:rPr>
          <w:color w:val="231F20"/>
          <w:sz w:val="23"/>
        </w:rPr>
        <w:t>cheques</w:t>
      </w:r>
      <w:r>
        <w:rPr>
          <w:color w:val="231F20"/>
          <w:spacing w:val="-18"/>
          <w:sz w:val="23"/>
        </w:rPr>
        <w:t> </w:t>
      </w:r>
      <w:r>
        <w:rPr>
          <w:color w:val="231F20"/>
          <w:sz w:val="23"/>
        </w:rPr>
        <w:t>of</w:t>
      </w:r>
      <w:r>
        <w:rPr>
          <w:color w:val="231F20"/>
          <w:spacing w:val="-18"/>
          <w:sz w:val="23"/>
        </w:rPr>
        <w:t> </w:t>
      </w:r>
      <w:r>
        <w:rPr>
          <w:color w:val="231F20"/>
          <w:sz w:val="23"/>
        </w:rPr>
        <w:t>Le</w:t>
      </w:r>
      <w:r>
        <w:rPr>
          <w:color w:val="231F20"/>
          <w:spacing w:val="-18"/>
          <w:sz w:val="23"/>
        </w:rPr>
        <w:t> </w:t>
      </w:r>
      <w:r>
        <w:rPr>
          <w:color w:val="231F20"/>
          <w:sz w:val="23"/>
        </w:rPr>
        <w:t>909 billion held at the Bank of Sierra Leone. Recent arrears verification by Government, in collaboration with the IMF, estimates that as at April 2018, domestic arrears amounted</w:t>
      </w:r>
      <w:r>
        <w:rPr>
          <w:color w:val="231F20"/>
          <w:spacing w:val="-17"/>
          <w:sz w:val="23"/>
        </w:rPr>
        <w:t> </w:t>
      </w:r>
      <w:r>
        <w:rPr>
          <w:color w:val="231F20"/>
          <w:sz w:val="23"/>
        </w:rPr>
        <w:t>to</w:t>
      </w:r>
      <w:r>
        <w:rPr>
          <w:color w:val="231F20"/>
          <w:spacing w:val="-17"/>
          <w:sz w:val="23"/>
        </w:rPr>
        <w:t> </w:t>
      </w:r>
      <w:r>
        <w:rPr>
          <w:color w:val="231F20"/>
          <w:sz w:val="23"/>
        </w:rPr>
        <w:t>Le</w:t>
      </w:r>
      <w:r>
        <w:rPr>
          <w:color w:val="231F20"/>
          <w:spacing w:val="-17"/>
          <w:sz w:val="23"/>
        </w:rPr>
        <w:t> </w:t>
      </w:r>
      <w:r>
        <w:rPr>
          <w:color w:val="231F20"/>
          <w:sz w:val="23"/>
        </w:rPr>
        <w:t>3.2</w:t>
      </w:r>
      <w:r>
        <w:rPr>
          <w:color w:val="231F20"/>
          <w:spacing w:val="-17"/>
          <w:sz w:val="23"/>
        </w:rPr>
        <w:t> </w:t>
      </w:r>
      <w:r>
        <w:rPr>
          <w:color w:val="231F20"/>
          <w:sz w:val="23"/>
        </w:rPr>
        <w:t>trillion</w:t>
      </w:r>
      <w:r>
        <w:rPr>
          <w:color w:val="231F20"/>
          <w:spacing w:val="-17"/>
          <w:sz w:val="23"/>
        </w:rPr>
        <w:t> </w:t>
      </w:r>
      <w:r>
        <w:rPr>
          <w:color w:val="231F20"/>
          <w:sz w:val="23"/>
        </w:rPr>
        <w:t>(about</w:t>
      </w:r>
      <w:r>
        <w:rPr>
          <w:color w:val="231F20"/>
          <w:spacing w:val="-17"/>
          <w:sz w:val="23"/>
        </w:rPr>
        <w:t> </w:t>
      </w:r>
      <w:r>
        <w:rPr>
          <w:color w:val="231F20"/>
          <w:sz w:val="23"/>
        </w:rPr>
        <w:t>US$340</w:t>
      </w:r>
      <w:r>
        <w:rPr>
          <w:color w:val="231F20"/>
          <w:spacing w:val="-17"/>
          <w:sz w:val="23"/>
        </w:rPr>
        <w:t> </w:t>
      </w:r>
      <w:r>
        <w:rPr>
          <w:color w:val="231F20"/>
          <w:sz w:val="23"/>
        </w:rPr>
        <w:t>million)</w:t>
      </w:r>
      <w:r>
        <w:rPr>
          <w:color w:val="231F20"/>
          <w:spacing w:val="-17"/>
          <w:sz w:val="23"/>
        </w:rPr>
        <w:t> </w:t>
      </w:r>
      <w:r>
        <w:rPr>
          <w:color w:val="231F20"/>
          <w:sz w:val="23"/>
        </w:rPr>
        <w:t>of</w:t>
      </w:r>
      <w:r>
        <w:rPr>
          <w:color w:val="231F20"/>
          <w:spacing w:val="-17"/>
          <w:sz w:val="23"/>
        </w:rPr>
        <w:t> </w:t>
      </w:r>
      <w:r>
        <w:rPr>
          <w:color w:val="231F20"/>
          <w:sz w:val="23"/>
        </w:rPr>
        <w:t>which,</w:t>
      </w:r>
      <w:r>
        <w:rPr>
          <w:color w:val="231F20"/>
          <w:spacing w:val="-17"/>
          <w:sz w:val="23"/>
        </w:rPr>
        <w:t> </w:t>
      </w:r>
      <w:r>
        <w:rPr>
          <w:color w:val="231F20"/>
          <w:sz w:val="23"/>
        </w:rPr>
        <w:t>90</w:t>
      </w:r>
      <w:r>
        <w:rPr>
          <w:color w:val="231F20"/>
          <w:spacing w:val="-17"/>
          <w:sz w:val="23"/>
        </w:rPr>
        <w:t> </w:t>
      </w:r>
      <w:r>
        <w:rPr>
          <w:color w:val="231F20"/>
          <w:sz w:val="23"/>
        </w:rPr>
        <w:t>percent</w:t>
      </w:r>
      <w:r>
        <w:rPr>
          <w:color w:val="231F20"/>
          <w:spacing w:val="-17"/>
          <w:sz w:val="23"/>
        </w:rPr>
        <w:t> </w:t>
      </w:r>
      <w:r>
        <w:rPr>
          <w:color w:val="231F20"/>
          <w:sz w:val="23"/>
        </w:rPr>
        <w:t>were</w:t>
      </w:r>
      <w:r>
        <w:rPr>
          <w:color w:val="231F20"/>
          <w:spacing w:val="-17"/>
          <w:sz w:val="23"/>
        </w:rPr>
        <w:t> </w:t>
      </w:r>
      <w:r>
        <w:rPr>
          <w:color w:val="231F20"/>
          <w:sz w:val="23"/>
        </w:rPr>
        <w:t>accrued in</w:t>
      </w:r>
      <w:r>
        <w:rPr>
          <w:color w:val="231F20"/>
          <w:spacing w:val="-21"/>
          <w:sz w:val="23"/>
        </w:rPr>
        <w:t> </w:t>
      </w:r>
      <w:r>
        <w:rPr>
          <w:color w:val="231F20"/>
          <w:sz w:val="23"/>
        </w:rPr>
        <w:t>2016</w:t>
      </w:r>
      <w:r>
        <w:rPr>
          <w:color w:val="231F20"/>
          <w:spacing w:val="-21"/>
          <w:sz w:val="23"/>
        </w:rPr>
        <w:t> </w:t>
      </w:r>
      <w:r>
        <w:rPr>
          <w:color w:val="231F20"/>
          <w:sz w:val="23"/>
        </w:rPr>
        <w:t>and</w:t>
      </w:r>
      <w:r>
        <w:rPr>
          <w:color w:val="231F20"/>
          <w:spacing w:val="-21"/>
          <w:sz w:val="23"/>
        </w:rPr>
        <w:t> </w:t>
      </w:r>
      <w:r>
        <w:rPr>
          <w:color w:val="231F20"/>
          <w:sz w:val="23"/>
        </w:rPr>
        <w:t>2017.</w:t>
      </w:r>
    </w:p>
    <w:p>
      <w:pPr>
        <w:pStyle w:val="BodyText"/>
        <w:spacing w:before="2"/>
        <w:rPr>
          <w:sz w:val="28"/>
        </w:rPr>
      </w:pPr>
    </w:p>
    <w:p>
      <w:pPr>
        <w:pStyle w:val="ListParagraph"/>
        <w:numPr>
          <w:ilvl w:val="0"/>
          <w:numId w:val="2"/>
        </w:numPr>
        <w:tabs>
          <w:tab w:pos="954" w:val="left" w:leader="none"/>
        </w:tabs>
        <w:spacing w:line="283" w:lineRule="auto" w:before="1" w:after="0"/>
        <w:ind w:left="103" w:right="120" w:firstLine="87"/>
        <w:jc w:val="both"/>
        <w:rPr>
          <w:sz w:val="23"/>
        </w:rPr>
      </w:pPr>
      <w:r>
        <w:rPr>
          <w:color w:val="231F20"/>
          <w:sz w:val="23"/>
        </w:rPr>
        <w:t>The accumulation of arrears owed to domestic contractors does not only threaten</w:t>
      </w:r>
      <w:r>
        <w:rPr>
          <w:color w:val="231F20"/>
          <w:spacing w:val="-51"/>
          <w:sz w:val="23"/>
        </w:rPr>
        <w:t> </w:t>
      </w:r>
      <w:r>
        <w:rPr>
          <w:color w:val="231F20"/>
          <w:sz w:val="23"/>
        </w:rPr>
        <w:t>macroeconomic</w:t>
      </w:r>
      <w:r>
        <w:rPr>
          <w:color w:val="231F20"/>
          <w:spacing w:val="-51"/>
          <w:sz w:val="23"/>
        </w:rPr>
        <w:t> </w:t>
      </w:r>
      <w:r>
        <w:rPr>
          <w:color w:val="231F20"/>
          <w:sz w:val="23"/>
        </w:rPr>
        <w:t>and</w:t>
      </w:r>
      <w:r>
        <w:rPr>
          <w:color w:val="231F20"/>
          <w:spacing w:val="-50"/>
          <w:sz w:val="23"/>
        </w:rPr>
        <w:t> </w:t>
      </w:r>
      <w:r>
        <w:rPr>
          <w:color w:val="231F20"/>
          <w:sz w:val="23"/>
        </w:rPr>
        <w:t>banking</w:t>
      </w:r>
      <w:r>
        <w:rPr>
          <w:color w:val="231F20"/>
          <w:spacing w:val="-51"/>
          <w:sz w:val="23"/>
        </w:rPr>
        <w:t> </w:t>
      </w:r>
      <w:r>
        <w:rPr>
          <w:color w:val="231F20"/>
          <w:sz w:val="23"/>
        </w:rPr>
        <w:t>sector</w:t>
      </w:r>
      <w:r>
        <w:rPr>
          <w:color w:val="231F20"/>
          <w:spacing w:val="-50"/>
          <w:sz w:val="23"/>
        </w:rPr>
        <w:t> </w:t>
      </w:r>
      <w:r>
        <w:rPr>
          <w:color w:val="231F20"/>
          <w:sz w:val="23"/>
        </w:rPr>
        <w:t>stability,</w:t>
      </w:r>
      <w:r>
        <w:rPr>
          <w:color w:val="231F20"/>
          <w:spacing w:val="-51"/>
          <w:sz w:val="23"/>
        </w:rPr>
        <w:t> </w:t>
      </w:r>
      <w:r>
        <w:rPr>
          <w:color w:val="231F20"/>
          <w:sz w:val="23"/>
        </w:rPr>
        <w:t>it</w:t>
      </w:r>
      <w:r>
        <w:rPr>
          <w:color w:val="231F20"/>
          <w:spacing w:val="-50"/>
          <w:sz w:val="23"/>
        </w:rPr>
        <w:t> </w:t>
      </w:r>
      <w:r>
        <w:rPr>
          <w:color w:val="231F20"/>
          <w:sz w:val="23"/>
        </w:rPr>
        <w:t>also</w:t>
      </w:r>
      <w:r>
        <w:rPr>
          <w:color w:val="231F20"/>
          <w:spacing w:val="-51"/>
          <w:sz w:val="23"/>
        </w:rPr>
        <w:t> </w:t>
      </w:r>
      <w:r>
        <w:rPr>
          <w:color w:val="231F20"/>
          <w:sz w:val="23"/>
        </w:rPr>
        <w:t>undermines</w:t>
      </w:r>
      <w:r>
        <w:rPr>
          <w:color w:val="231F20"/>
          <w:spacing w:val="-50"/>
          <w:sz w:val="23"/>
        </w:rPr>
        <w:t> </w:t>
      </w:r>
      <w:r>
        <w:rPr>
          <w:color w:val="231F20"/>
          <w:spacing w:val="-2"/>
          <w:sz w:val="23"/>
        </w:rPr>
        <w:t>Government’s </w:t>
      </w:r>
      <w:r>
        <w:rPr>
          <w:color w:val="231F20"/>
          <w:sz w:val="23"/>
        </w:rPr>
        <w:t>efforts</w:t>
      </w:r>
      <w:r>
        <w:rPr>
          <w:color w:val="231F20"/>
          <w:spacing w:val="-16"/>
          <w:sz w:val="23"/>
        </w:rPr>
        <w:t> </w:t>
      </w:r>
      <w:r>
        <w:rPr>
          <w:color w:val="231F20"/>
          <w:sz w:val="23"/>
        </w:rPr>
        <w:t>in</w:t>
      </w:r>
      <w:r>
        <w:rPr>
          <w:color w:val="231F20"/>
          <w:spacing w:val="-16"/>
          <w:sz w:val="23"/>
        </w:rPr>
        <w:t> </w:t>
      </w:r>
      <w:r>
        <w:rPr>
          <w:color w:val="231F20"/>
          <w:sz w:val="23"/>
        </w:rPr>
        <w:t>implementing</w:t>
      </w:r>
      <w:r>
        <w:rPr>
          <w:color w:val="231F20"/>
          <w:spacing w:val="-16"/>
          <w:sz w:val="23"/>
        </w:rPr>
        <w:t> </w:t>
      </w:r>
      <w:r>
        <w:rPr>
          <w:color w:val="231F20"/>
          <w:sz w:val="23"/>
        </w:rPr>
        <w:t>economic</w:t>
      </w:r>
      <w:r>
        <w:rPr>
          <w:color w:val="231F20"/>
          <w:spacing w:val="-16"/>
          <w:sz w:val="23"/>
        </w:rPr>
        <w:t> </w:t>
      </w:r>
      <w:r>
        <w:rPr>
          <w:color w:val="231F20"/>
          <w:sz w:val="23"/>
        </w:rPr>
        <w:t>recovery</w:t>
      </w:r>
      <w:r>
        <w:rPr>
          <w:color w:val="231F20"/>
          <w:spacing w:val="-16"/>
          <w:sz w:val="23"/>
        </w:rPr>
        <w:t> </w:t>
      </w:r>
      <w:r>
        <w:rPr>
          <w:color w:val="231F20"/>
          <w:sz w:val="23"/>
        </w:rPr>
        <w:t>programmes.</w:t>
      </w:r>
      <w:r>
        <w:rPr>
          <w:color w:val="231F20"/>
          <w:spacing w:val="-16"/>
          <w:sz w:val="23"/>
        </w:rPr>
        <w:t> </w:t>
      </w:r>
      <w:r>
        <w:rPr>
          <w:color w:val="231F20"/>
          <w:sz w:val="23"/>
        </w:rPr>
        <w:t>It</w:t>
      </w:r>
      <w:r>
        <w:rPr>
          <w:color w:val="231F20"/>
          <w:spacing w:val="-16"/>
          <w:sz w:val="23"/>
        </w:rPr>
        <w:t> </w:t>
      </w:r>
      <w:r>
        <w:rPr>
          <w:color w:val="231F20"/>
          <w:sz w:val="23"/>
        </w:rPr>
        <w:t>also</w:t>
      </w:r>
      <w:r>
        <w:rPr>
          <w:color w:val="231F20"/>
          <w:spacing w:val="-16"/>
          <w:sz w:val="23"/>
        </w:rPr>
        <w:t> </w:t>
      </w:r>
      <w:r>
        <w:rPr>
          <w:color w:val="231F20"/>
          <w:sz w:val="23"/>
        </w:rPr>
        <w:t>impacts</w:t>
      </w:r>
      <w:r>
        <w:rPr>
          <w:color w:val="231F20"/>
          <w:spacing w:val="-16"/>
          <w:sz w:val="23"/>
        </w:rPr>
        <w:t> </w:t>
      </w:r>
      <w:r>
        <w:rPr>
          <w:color w:val="231F20"/>
          <w:sz w:val="23"/>
        </w:rPr>
        <w:t>negatively</w:t>
      </w:r>
      <w:r>
        <w:rPr>
          <w:color w:val="231F20"/>
          <w:spacing w:val="-16"/>
          <w:sz w:val="23"/>
        </w:rPr>
        <w:t> </w:t>
      </w:r>
      <w:r>
        <w:rPr>
          <w:color w:val="231F20"/>
          <w:sz w:val="23"/>
        </w:rPr>
        <w:t>on private sector businesses, particularly those whose exposures to their bankers continue to accumulate interest</w:t>
      </w:r>
      <w:r>
        <w:rPr>
          <w:color w:val="231F20"/>
          <w:spacing w:val="72"/>
          <w:sz w:val="23"/>
        </w:rPr>
        <w:t> </w:t>
      </w:r>
      <w:r>
        <w:rPr>
          <w:color w:val="231F20"/>
          <w:sz w:val="23"/>
        </w:rPr>
        <w:t>charges.</w:t>
      </w:r>
    </w:p>
    <w:p>
      <w:pPr>
        <w:pStyle w:val="BodyText"/>
        <w:spacing w:before="10"/>
        <w:rPr>
          <w:sz w:val="27"/>
        </w:rPr>
      </w:pPr>
    </w:p>
    <w:p>
      <w:pPr>
        <w:pStyle w:val="ListParagraph"/>
        <w:numPr>
          <w:ilvl w:val="0"/>
          <w:numId w:val="2"/>
        </w:numPr>
        <w:tabs>
          <w:tab w:pos="954" w:val="left" w:leader="none"/>
        </w:tabs>
        <w:spacing w:line="288" w:lineRule="auto" w:before="0" w:after="0"/>
        <w:ind w:left="103" w:right="119" w:firstLine="87"/>
        <w:jc w:val="both"/>
        <w:rPr>
          <w:sz w:val="23"/>
        </w:rPr>
      </w:pPr>
      <w:r>
        <w:rPr>
          <w:color w:val="231F20"/>
          <w:sz w:val="23"/>
        </w:rPr>
        <w:t>Mr.</w:t>
      </w:r>
      <w:r>
        <w:rPr>
          <w:color w:val="231F20"/>
          <w:spacing w:val="-20"/>
          <w:sz w:val="23"/>
        </w:rPr>
        <w:t> </w:t>
      </w:r>
      <w:r>
        <w:rPr>
          <w:color w:val="231F20"/>
          <w:sz w:val="23"/>
        </w:rPr>
        <w:t>Speaker,</w:t>
      </w:r>
      <w:r>
        <w:rPr>
          <w:color w:val="231F20"/>
          <w:spacing w:val="-20"/>
          <w:sz w:val="23"/>
        </w:rPr>
        <w:t> </w:t>
      </w:r>
      <w:r>
        <w:rPr>
          <w:color w:val="231F20"/>
          <w:sz w:val="23"/>
        </w:rPr>
        <w:t>Honourable</w:t>
      </w:r>
      <w:r>
        <w:rPr>
          <w:color w:val="231F20"/>
          <w:spacing w:val="-20"/>
          <w:sz w:val="23"/>
        </w:rPr>
        <w:t> </w:t>
      </w:r>
      <w:r>
        <w:rPr>
          <w:color w:val="231F20"/>
          <w:sz w:val="23"/>
        </w:rPr>
        <w:t>Members,</w:t>
      </w:r>
      <w:r>
        <w:rPr>
          <w:color w:val="231F20"/>
          <w:spacing w:val="-20"/>
          <w:sz w:val="23"/>
        </w:rPr>
        <w:t> </w:t>
      </w:r>
      <w:r>
        <w:rPr>
          <w:color w:val="231F20"/>
          <w:sz w:val="23"/>
        </w:rPr>
        <w:t>to</w:t>
      </w:r>
      <w:r>
        <w:rPr>
          <w:color w:val="231F20"/>
          <w:spacing w:val="-20"/>
          <w:sz w:val="23"/>
        </w:rPr>
        <w:t> </w:t>
      </w:r>
      <w:r>
        <w:rPr>
          <w:color w:val="231F20"/>
          <w:sz w:val="23"/>
        </w:rPr>
        <w:t>address</w:t>
      </w:r>
      <w:r>
        <w:rPr>
          <w:color w:val="231F20"/>
          <w:spacing w:val="-20"/>
          <w:sz w:val="23"/>
        </w:rPr>
        <w:t> </w:t>
      </w:r>
      <w:r>
        <w:rPr>
          <w:color w:val="231F20"/>
          <w:sz w:val="23"/>
        </w:rPr>
        <w:t>this</w:t>
      </w:r>
      <w:r>
        <w:rPr>
          <w:color w:val="231F20"/>
          <w:spacing w:val="-20"/>
          <w:sz w:val="23"/>
        </w:rPr>
        <w:t> </w:t>
      </w:r>
      <w:r>
        <w:rPr>
          <w:color w:val="231F20"/>
          <w:sz w:val="23"/>
        </w:rPr>
        <w:t>situation,</w:t>
      </w:r>
      <w:r>
        <w:rPr>
          <w:color w:val="231F20"/>
          <w:spacing w:val="-20"/>
          <w:sz w:val="23"/>
        </w:rPr>
        <w:t> </w:t>
      </w:r>
      <w:r>
        <w:rPr>
          <w:color w:val="231F20"/>
          <w:sz w:val="23"/>
        </w:rPr>
        <w:t>Government,</w:t>
      </w:r>
      <w:r>
        <w:rPr>
          <w:color w:val="231F20"/>
          <w:spacing w:val="-20"/>
          <w:sz w:val="23"/>
        </w:rPr>
        <w:t> </w:t>
      </w:r>
      <w:r>
        <w:rPr>
          <w:color w:val="231F20"/>
          <w:sz w:val="23"/>
        </w:rPr>
        <w:t>in collaboration with the IMF, has developed an Arrears Clearance Strategy within the context</w:t>
      </w:r>
      <w:r>
        <w:rPr>
          <w:color w:val="231F20"/>
          <w:spacing w:val="-15"/>
          <w:sz w:val="23"/>
        </w:rPr>
        <w:t> </w:t>
      </w:r>
      <w:r>
        <w:rPr>
          <w:color w:val="231F20"/>
          <w:sz w:val="23"/>
        </w:rPr>
        <w:t>of</w:t>
      </w:r>
      <w:r>
        <w:rPr>
          <w:color w:val="231F20"/>
          <w:spacing w:val="-15"/>
          <w:sz w:val="23"/>
        </w:rPr>
        <w:t> </w:t>
      </w:r>
      <w:r>
        <w:rPr>
          <w:color w:val="231F20"/>
          <w:sz w:val="23"/>
        </w:rPr>
        <w:t>the</w:t>
      </w:r>
      <w:r>
        <w:rPr>
          <w:color w:val="231F20"/>
          <w:spacing w:val="-15"/>
          <w:sz w:val="23"/>
        </w:rPr>
        <w:t> </w:t>
      </w:r>
      <w:r>
        <w:rPr>
          <w:color w:val="231F20"/>
          <w:sz w:val="23"/>
        </w:rPr>
        <w:t>Medium-Term</w:t>
      </w:r>
      <w:r>
        <w:rPr>
          <w:color w:val="231F20"/>
          <w:spacing w:val="-15"/>
          <w:sz w:val="23"/>
        </w:rPr>
        <w:t> </w:t>
      </w:r>
      <w:r>
        <w:rPr>
          <w:color w:val="231F20"/>
          <w:sz w:val="23"/>
        </w:rPr>
        <w:t>Expenditure</w:t>
      </w:r>
      <w:r>
        <w:rPr>
          <w:color w:val="231F20"/>
          <w:spacing w:val="-15"/>
          <w:sz w:val="23"/>
        </w:rPr>
        <w:t> </w:t>
      </w:r>
      <w:r>
        <w:rPr>
          <w:color w:val="231F20"/>
          <w:sz w:val="23"/>
        </w:rPr>
        <w:t>Framework</w:t>
      </w:r>
      <w:r>
        <w:rPr>
          <w:color w:val="231F20"/>
          <w:spacing w:val="-15"/>
          <w:sz w:val="23"/>
        </w:rPr>
        <w:t> </w:t>
      </w:r>
      <w:r>
        <w:rPr>
          <w:color w:val="231F20"/>
          <w:sz w:val="23"/>
        </w:rPr>
        <w:t>without</w:t>
      </w:r>
      <w:r>
        <w:rPr>
          <w:color w:val="231F20"/>
          <w:spacing w:val="-15"/>
          <w:sz w:val="23"/>
        </w:rPr>
        <w:t> </w:t>
      </w:r>
      <w:r>
        <w:rPr>
          <w:color w:val="231F20"/>
          <w:sz w:val="23"/>
        </w:rPr>
        <w:t>constraining</w:t>
      </w:r>
      <w:r>
        <w:rPr>
          <w:color w:val="231F20"/>
          <w:spacing w:val="-15"/>
          <w:sz w:val="23"/>
        </w:rPr>
        <w:t> </w:t>
      </w:r>
      <w:r>
        <w:rPr>
          <w:color w:val="231F20"/>
          <w:sz w:val="23"/>
        </w:rPr>
        <w:t>financing of</w:t>
      </w:r>
      <w:r>
        <w:rPr>
          <w:color w:val="231F20"/>
          <w:spacing w:val="-8"/>
          <w:sz w:val="23"/>
        </w:rPr>
        <w:t> </w:t>
      </w:r>
      <w:r>
        <w:rPr>
          <w:color w:val="231F20"/>
          <w:sz w:val="23"/>
        </w:rPr>
        <w:t>new</w:t>
      </w:r>
      <w:r>
        <w:rPr>
          <w:color w:val="231F20"/>
          <w:spacing w:val="-8"/>
          <w:sz w:val="23"/>
        </w:rPr>
        <w:t> </w:t>
      </w:r>
      <w:r>
        <w:rPr>
          <w:color w:val="231F20"/>
          <w:sz w:val="23"/>
        </w:rPr>
        <w:t>programmes.</w:t>
      </w:r>
      <w:r>
        <w:rPr>
          <w:color w:val="231F20"/>
          <w:spacing w:val="-8"/>
          <w:sz w:val="23"/>
        </w:rPr>
        <w:t> </w:t>
      </w:r>
      <w:r>
        <w:rPr>
          <w:color w:val="231F20"/>
          <w:sz w:val="23"/>
        </w:rPr>
        <w:t>The</w:t>
      </w:r>
      <w:r>
        <w:rPr>
          <w:color w:val="231F20"/>
          <w:spacing w:val="-8"/>
          <w:sz w:val="23"/>
        </w:rPr>
        <w:t> </w:t>
      </w:r>
      <w:r>
        <w:rPr>
          <w:color w:val="231F20"/>
          <w:sz w:val="23"/>
        </w:rPr>
        <w:t>strategy</w:t>
      </w:r>
      <w:r>
        <w:rPr>
          <w:color w:val="231F20"/>
          <w:spacing w:val="-8"/>
          <w:sz w:val="23"/>
        </w:rPr>
        <w:t> </w:t>
      </w:r>
      <w:r>
        <w:rPr>
          <w:color w:val="231F20"/>
          <w:sz w:val="23"/>
        </w:rPr>
        <w:t>will</w:t>
      </w:r>
      <w:r>
        <w:rPr>
          <w:color w:val="231F20"/>
          <w:spacing w:val="-8"/>
          <w:sz w:val="23"/>
        </w:rPr>
        <w:t> </w:t>
      </w:r>
      <w:r>
        <w:rPr>
          <w:color w:val="231F20"/>
          <w:sz w:val="23"/>
        </w:rPr>
        <w:t>be</w:t>
      </w:r>
      <w:r>
        <w:rPr>
          <w:color w:val="231F20"/>
          <w:spacing w:val="-8"/>
          <w:sz w:val="23"/>
        </w:rPr>
        <w:t> </w:t>
      </w:r>
      <w:r>
        <w:rPr>
          <w:color w:val="231F20"/>
          <w:sz w:val="23"/>
        </w:rPr>
        <w:t>underpinned</w:t>
      </w:r>
      <w:r>
        <w:rPr>
          <w:color w:val="231F20"/>
          <w:spacing w:val="-8"/>
          <w:sz w:val="23"/>
        </w:rPr>
        <w:t> </w:t>
      </w:r>
      <w:r>
        <w:rPr>
          <w:color w:val="231F20"/>
          <w:sz w:val="23"/>
        </w:rPr>
        <w:t>by</w:t>
      </w:r>
      <w:r>
        <w:rPr>
          <w:color w:val="231F20"/>
          <w:spacing w:val="-8"/>
          <w:sz w:val="23"/>
        </w:rPr>
        <w:t> </w:t>
      </w:r>
      <w:r>
        <w:rPr>
          <w:color w:val="231F20"/>
          <w:sz w:val="23"/>
        </w:rPr>
        <w:t>transparency,</w:t>
      </w:r>
      <w:r>
        <w:rPr>
          <w:color w:val="231F20"/>
          <w:spacing w:val="-8"/>
          <w:sz w:val="23"/>
        </w:rPr>
        <w:t> </w:t>
      </w:r>
      <w:r>
        <w:rPr>
          <w:color w:val="231F20"/>
          <w:sz w:val="23"/>
        </w:rPr>
        <w:t>fairness</w:t>
      </w:r>
      <w:r>
        <w:rPr>
          <w:color w:val="231F20"/>
          <w:spacing w:val="-8"/>
          <w:sz w:val="23"/>
        </w:rPr>
        <w:t> </w:t>
      </w:r>
      <w:r>
        <w:rPr>
          <w:color w:val="231F20"/>
          <w:sz w:val="23"/>
        </w:rPr>
        <w:t>and equity in the treatment of the suppliers and</w:t>
      </w:r>
      <w:r>
        <w:rPr>
          <w:color w:val="231F20"/>
          <w:spacing w:val="40"/>
          <w:sz w:val="23"/>
        </w:rPr>
        <w:t> </w:t>
      </w:r>
      <w:r>
        <w:rPr>
          <w:color w:val="231F20"/>
          <w:sz w:val="23"/>
        </w:rPr>
        <w:t>contractors.</w:t>
      </w:r>
    </w:p>
    <w:p>
      <w:pPr>
        <w:pStyle w:val="BodyText"/>
        <w:rPr>
          <w:sz w:val="20"/>
        </w:rPr>
      </w:pPr>
    </w:p>
    <w:p>
      <w:pPr>
        <w:pStyle w:val="BodyText"/>
        <w:spacing w:before="9"/>
        <w:rPr>
          <w:sz w:val="18"/>
        </w:rPr>
      </w:pPr>
    </w:p>
    <w:p>
      <w:pPr>
        <w:pStyle w:val="Heading1"/>
      </w:pPr>
      <w:r>
        <w:rPr>
          <w:color w:val="231F20"/>
        </w:rPr>
        <w:t>21</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20" w:firstLine="87"/>
        <w:jc w:val="both"/>
        <w:rPr>
          <w:sz w:val="23"/>
        </w:rPr>
      </w:pPr>
      <w:r>
        <w:rPr>
          <w:color w:val="231F20"/>
          <w:sz w:val="23"/>
        </w:rPr>
        <w:t>Given</w:t>
      </w:r>
      <w:r>
        <w:rPr>
          <w:color w:val="231F20"/>
          <w:spacing w:val="-11"/>
          <w:sz w:val="23"/>
        </w:rPr>
        <w:t> </w:t>
      </w:r>
      <w:r>
        <w:rPr>
          <w:color w:val="231F20"/>
          <w:sz w:val="23"/>
        </w:rPr>
        <w:t>the</w:t>
      </w:r>
      <w:r>
        <w:rPr>
          <w:color w:val="231F20"/>
          <w:spacing w:val="-11"/>
          <w:sz w:val="23"/>
        </w:rPr>
        <w:t> </w:t>
      </w:r>
      <w:r>
        <w:rPr>
          <w:color w:val="231F20"/>
          <w:sz w:val="23"/>
        </w:rPr>
        <w:t>limited</w:t>
      </w:r>
      <w:r>
        <w:rPr>
          <w:color w:val="231F20"/>
          <w:spacing w:val="-11"/>
          <w:sz w:val="23"/>
        </w:rPr>
        <w:t> </w:t>
      </w:r>
      <w:r>
        <w:rPr>
          <w:color w:val="231F20"/>
          <w:sz w:val="23"/>
        </w:rPr>
        <w:t>fiscal</w:t>
      </w:r>
      <w:r>
        <w:rPr>
          <w:color w:val="231F20"/>
          <w:spacing w:val="-11"/>
          <w:sz w:val="23"/>
        </w:rPr>
        <w:t> </w:t>
      </w:r>
      <w:r>
        <w:rPr>
          <w:color w:val="231F20"/>
          <w:sz w:val="23"/>
        </w:rPr>
        <w:t>space,</w:t>
      </w:r>
      <w:r>
        <w:rPr>
          <w:color w:val="231F20"/>
          <w:spacing w:val="-11"/>
          <w:sz w:val="23"/>
        </w:rPr>
        <w:t> </w:t>
      </w:r>
      <w:r>
        <w:rPr>
          <w:color w:val="231F20"/>
          <w:sz w:val="23"/>
        </w:rPr>
        <w:t>the</w:t>
      </w:r>
      <w:r>
        <w:rPr>
          <w:color w:val="231F20"/>
          <w:spacing w:val="-11"/>
          <w:sz w:val="23"/>
        </w:rPr>
        <w:t> </w:t>
      </w:r>
      <w:r>
        <w:rPr>
          <w:color w:val="231F20"/>
          <w:sz w:val="23"/>
        </w:rPr>
        <w:t>strategy</w:t>
      </w:r>
      <w:r>
        <w:rPr>
          <w:color w:val="231F20"/>
          <w:spacing w:val="-11"/>
          <w:sz w:val="23"/>
        </w:rPr>
        <w:t> </w:t>
      </w:r>
      <w:r>
        <w:rPr>
          <w:color w:val="231F20"/>
          <w:sz w:val="23"/>
        </w:rPr>
        <w:t>involves</w:t>
      </w:r>
      <w:r>
        <w:rPr>
          <w:color w:val="231F20"/>
          <w:spacing w:val="-11"/>
          <w:sz w:val="23"/>
        </w:rPr>
        <w:t> </w:t>
      </w:r>
      <w:r>
        <w:rPr>
          <w:color w:val="231F20"/>
          <w:sz w:val="23"/>
        </w:rPr>
        <w:t>a</w:t>
      </w:r>
      <w:r>
        <w:rPr>
          <w:color w:val="231F20"/>
          <w:spacing w:val="-11"/>
          <w:sz w:val="23"/>
        </w:rPr>
        <w:t> </w:t>
      </w:r>
      <w:r>
        <w:rPr>
          <w:color w:val="231F20"/>
          <w:sz w:val="23"/>
        </w:rPr>
        <w:t>combination</w:t>
      </w:r>
      <w:r>
        <w:rPr>
          <w:color w:val="231F20"/>
          <w:spacing w:val="-11"/>
          <w:sz w:val="23"/>
        </w:rPr>
        <w:t> </w:t>
      </w:r>
      <w:r>
        <w:rPr>
          <w:color w:val="231F20"/>
          <w:sz w:val="23"/>
        </w:rPr>
        <w:t>of</w:t>
      </w:r>
      <w:r>
        <w:rPr>
          <w:color w:val="231F20"/>
          <w:spacing w:val="-11"/>
          <w:sz w:val="23"/>
        </w:rPr>
        <w:t> </w:t>
      </w:r>
      <w:r>
        <w:rPr>
          <w:color w:val="231F20"/>
          <w:sz w:val="23"/>
        </w:rPr>
        <w:t>outright cash</w:t>
      </w:r>
      <w:r>
        <w:rPr>
          <w:color w:val="231F20"/>
          <w:spacing w:val="-25"/>
          <w:sz w:val="23"/>
        </w:rPr>
        <w:t> </w:t>
      </w:r>
      <w:r>
        <w:rPr>
          <w:color w:val="231F20"/>
          <w:sz w:val="23"/>
        </w:rPr>
        <w:t>payments</w:t>
      </w:r>
      <w:r>
        <w:rPr>
          <w:color w:val="231F20"/>
          <w:spacing w:val="-25"/>
          <w:sz w:val="23"/>
        </w:rPr>
        <w:t> </w:t>
      </w:r>
      <w:r>
        <w:rPr>
          <w:color w:val="231F20"/>
          <w:sz w:val="23"/>
        </w:rPr>
        <w:t>at</w:t>
      </w:r>
      <w:r>
        <w:rPr>
          <w:color w:val="231F20"/>
          <w:spacing w:val="-25"/>
          <w:sz w:val="23"/>
        </w:rPr>
        <w:t> </w:t>
      </w:r>
      <w:r>
        <w:rPr>
          <w:color w:val="231F20"/>
          <w:sz w:val="23"/>
        </w:rPr>
        <w:t>deep</w:t>
      </w:r>
      <w:r>
        <w:rPr>
          <w:color w:val="231F20"/>
          <w:spacing w:val="-25"/>
          <w:sz w:val="23"/>
        </w:rPr>
        <w:t> </w:t>
      </w:r>
      <w:r>
        <w:rPr>
          <w:color w:val="231F20"/>
          <w:sz w:val="23"/>
        </w:rPr>
        <w:t>discounts</w:t>
      </w:r>
      <w:r>
        <w:rPr>
          <w:color w:val="231F20"/>
          <w:spacing w:val="-25"/>
          <w:sz w:val="23"/>
        </w:rPr>
        <w:t> </w:t>
      </w:r>
      <w:r>
        <w:rPr>
          <w:color w:val="231F20"/>
          <w:sz w:val="23"/>
        </w:rPr>
        <w:t>or</w:t>
      </w:r>
      <w:r>
        <w:rPr>
          <w:color w:val="231F20"/>
          <w:spacing w:val="-25"/>
          <w:sz w:val="23"/>
        </w:rPr>
        <w:t> </w:t>
      </w:r>
      <w:r>
        <w:rPr>
          <w:color w:val="231F20"/>
          <w:sz w:val="23"/>
        </w:rPr>
        <w:t>‘haircut’</w:t>
      </w:r>
      <w:r>
        <w:rPr>
          <w:color w:val="231F20"/>
          <w:spacing w:val="-25"/>
          <w:sz w:val="23"/>
        </w:rPr>
        <w:t> </w:t>
      </w:r>
      <w:r>
        <w:rPr>
          <w:color w:val="231F20"/>
          <w:sz w:val="23"/>
        </w:rPr>
        <w:t>and</w:t>
      </w:r>
      <w:r>
        <w:rPr>
          <w:color w:val="231F20"/>
          <w:spacing w:val="-25"/>
          <w:sz w:val="23"/>
        </w:rPr>
        <w:t> </w:t>
      </w:r>
      <w:r>
        <w:rPr>
          <w:color w:val="231F20"/>
          <w:sz w:val="23"/>
        </w:rPr>
        <w:t>agreeing</w:t>
      </w:r>
      <w:r>
        <w:rPr>
          <w:color w:val="231F20"/>
          <w:spacing w:val="-25"/>
          <w:sz w:val="23"/>
        </w:rPr>
        <w:t> </w:t>
      </w:r>
      <w:r>
        <w:rPr>
          <w:color w:val="231F20"/>
          <w:sz w:val="23"/>
        </w:rPr>
        <w:t>on</w:t>
      </w:r>
      <w:r>
        <w:rPr>
          <w:color w:val="231F20"/>
          <w:spacing w:val="-25"/>
          <w:sz w:val="23"/>
        </w:rPr>
        <w:t> </w:t>
      </w:r>
      <w:r>
        <w:rPr>
          <w:color w:val="231F20"/>
          <w:sz w:val="23"/>
        </w:rPr>
        <w:t>a</w:t>
      </w:r>
      <w:r>
        <w:rPr>
          <w:color w:val="231F20"/>
          <w:spacing w:val="-25"/>
          <w:sz w:val="23"/>
        </w:rPr>
        <w:t> </w:t>
      </w:r>
      <w:r>
        <w:rPr>
          <w:color w:val="231F20"/>
          <w:sz w:val="23"/>
        </w:rPr>
        <w:t>credible</w:t>
      </w:r>
      <w:r>
        <w:rPr>
          <w:color w:val="231F20"/>
          <w:spacing w:val="-25"/>
          <w:sz w:val="23"/>
        </w:rPr>
        <w:t> </w:t>
      </w:r>
      <w:r>
        <w:rPr>
          <w:color w:val="231F20"/>
          <w:sz w:val="23"/>
        </w:rPr>
        <w:t>medium-term payment</w:t>
      </w:r>
      <w:r>
        <w:rPr>
          <w:color w:val="231F20"/>
          <w:spacing w:val="-6"/>
          <w:sz w:val="23"/>
        </w:rPr>
        <w:t> </w:t>
      </w:r>
      <w:r>
        <w:rPr>
          <w:color w:val="231F20"/>
          <w:sz w:val="23"/>
        </w:rPr>
        <w:t>plan</w:t>
      </w:r>
      <w:r>
        <w:rPr>
          <w:color w:val="231F20"/>
          <w:spacing w:val="-6"/>
          <w:sz w:val="23"/>
        </w:rPr>
        <w:t> </w:t>
      </w:r>
      <w:r>
        <w:rPr>
          <w:color w:val="231F20"/>
          <w:sz w:val="23"/>
        </w:rPr>
        <w:t>with</w:t>
      </w:r>
      <w:r>
        <w:rPr>
          <w:color w:val="231F20"/>
          <w:spacing w:val="-6"/>
          <w:sz w:val="23"/>
        </w:rPr>
        <w:t> </w:t>
      </w:r>
      <w:r>
        <w:rPr>
          <w:color w:val="231F20"/>
          <w:sz w:val="23"/>
        </w:rPr>
        <w:t>the</w:t>
      </w:r>
      <w:r>
        <w:rPr>
          <w:color w:val="231F20"/>
          <w:spacing w:val="-6"/>
          <w:sz w:val="23"/>
        </w:rPr>
        <w:t> </w:t>
      </w:r>
      <w:r>
        <w:rPr>
          <w:color w:val="231F20"/>
          <w:sz w:val="23"/>
        </w:rPr>
        <w:t>creditors,</w:t>
      </w:r>
      <w:r>
        <w:rPr>
          <w:color w:val="231F20"/>
          <w:spacing w:val="-6"/>
          <w:sz w:val="23"/>
        </w:rPr>
        <w:t> </w:t>
      </w:r>
      <w:r>
        <w:rPr>
          <w:color w:val="231F20"/>
          <w:sz w:val="23"/>
        </w:rPr>
        <w:t>backed</w:t>
      </w:r>
      <w:r>
        <w:rPr>
          <w:color w:val="231F20"/>
          <w:spacing w:val="-6"/>
          <w:sz w:val="23"/>
        </w:rPr>
        <w:t> </w:t>
      </w:r>
      <w:r>
        <w:rPr>
          <w:color w:val="231F20"/>
          <w:sz w:val="23"/>
        </w:rPr>
        <w:t>by</w:t>
      </w:r>
      <w:r>
        <w:rPr>
          <w:color w:val="231F20"/>
          <w:spacing w:val="-6"/>
          <w:sz w:val="23"/>
        </w:rPr>
        <w:t> </w:t>
      </w:r>
      <w:r>
        <w:rPr>
          <w:color w:val="231F20"/>
          <w:sz w:val="23"/>
        </w:rPr>
        <w:t>the</w:t>
      </w:r>
      <w:r>
        <w:rPr>
          <w:color w:val="231F20"/>
          <w:spacing w:val="-6"/>
          <w:sz w:val="23"/>
        </w:rPr>
        <w:t> </w:t>
      </w:r>
      <w:r>
        <w:rPr>
          <w:color w:val="231F20"/>
          <w:sz w:val="23"/>
        </w:rPr>
        <w:t>issuance</w:t>
      </w:r>
      <w:r>
        <w:rPr>
          <w:color w:val="231F20"/>
          <w:spacing w:val="-6"/>
          <w:sz w:val="23"/>
        </w:rPr>
        <w:t> </w:t>
      </w:r>
      <w:r>
        <w:rPr>
          <w:color w:val="231F20"/>
          <w:sz w:val="23"/>
        </w:rPr>
        <w:t>of</w:t>
      </w:r>
      <w:r>
        <w:rPr>
          <w:color w:val="231F20"/>
          <w:spacing w:val="-6"/>
          <w:sz w:val="23"/>
        </w:rPr>
        <w:t> </w:t>
      </w:r>
      <w:r>
        <w:rPr>
          <w:color w:val="231F20"/>
          <w:sz w:val="23"/>
        </w:rPr>
        <w:t>promisory</w:t>
      </w:r>
      <w:r>
        <w:rPr>
          <w:color w:val="231F20"/>
          <w:spacing w:val="-6"/>
          <w:sz w:val="23"/>
        </w:rPr>
        <w:t> </w:t>
      </w:r>
      <w:r>
        <w:rPr>
          <w:color w:val="231F20"/>
          <w:sz w:val="23"/>
        </w:rPr>
        <w:t>notes</w:t>
      </w:r>
      <w:r>
        <w:rPr>
          <w:color w:val="231F20"/>
          <w:spacing w:val="-6"/>
          <w:sz w:val="23"/>
        </w:rPr>
        <w:t> </w:t>
      </w:r>
      <w:r>
        <w:rPr>
          <w:color w:val="231F20"/>
          <w:sz w:val="23"/>
        </w:rPr>
        <w:t>or</w:t>
      </w:r>
      <w:r>
        <w:rPr>
          <w:color w:val="231F20"/>
          <w:spacing w:val="-6"/>
          <w:sz w:val="23"/>
        </w:rPr>
        <w:t> </w:t>
      </w:r>
      <w:r>
        <w:rPr>
          <w:color w:val="231F20"/>
          <w:sz w:val="23"/>
        </w:rPr>
        <w:t>zero- coupon instruments. Securitisation is considered as the last option. Priority will be given to social security and wage arrears as well as those affecting growth sectors. Arrears</w:t>
      </w:r>
      <w:r>
        <w:rPr>
          <w:color w:val="231F20"/>
          <w:spacing w:val="12"/>
          <w:sz w:val="23"/>
        </w:rPr>
        <w:t> </w:t>
      </w:r>
      <w:r>
        <w:rPr>
          <w:color w:val="231F20"/>
          <w:sz w:val="23"/>
        </w:rPr>
        <w:t>that</w:t>
      </w:r>
      <w:r>
        <w:rPr>
          <w:color w:val="231F20"/>
          <w:spacing w:val="13"/>
          <w:sz w:val="23"/>
        </w:rPr>
        <w:t> </w:t>
      </w:r>
      <w:r>
        <w:rPr>
          <w:color w:val="231F20"/>
          <w:sz w:val="23"/>
        </w:rPr>
        <w:t>threaten</w:t>
      </w:r>
      <w:r>
        <w:rPr>
          <w:color w:val="231F20"/>
          <w:spacing w:val="13"/>
          <w:sz w:val="23"/>
        </w:rPr>
        <w:t> </w:t>
      </w:r>
      <w:r>
        <w:rPr>
          <w:color w:val="231F20"/>
          <w:sz w:val="23"/>
        </w:rPr>
        <w:t>financial</w:t>
      </w:r>
      <w:r>
        <w:rPr>
          <w:color w:val="231F20"/>
          <w:spacing w:val="13"/>
          <w:sz w:val="23"/>
        </w:rPr>
        <w:t> </w:t>
      </w:r>
      <w:r>
        <w:rPr>
          <w:color w:val="231F20"/>
          <w:sz w:val="23"/>
        </w:rPr>
        <w:t>sector</w:t>
      </w:r>
      <w:r>
        <w:rPr>
          <w:color w:val="231F20"/>
          <w:spacing w:val="12"/>
          <w:sz w:val="23"/>
        </w:rPr>
        <w:t> </w:t>
      </w:r>
      <w:r>
        <w:rPr>
          <w:color w:val="231F20"/>
          <w:sz w:val="23"/>
        </w:rPr>
        <w:t>stability</w:t>
      </w:r>
      <w:r>
        <w:rPr>
          <w:color w:val="231F20"/>
          <w:spacing w:val="13"/>
          <w:sz w:val="23"/>
        </w:rPr>
        <w:t> </w:t>
      </w:r>
      <w:r>
        <w:rPr>
          <w:color w:val="231F20"/>
          <w:sz w:val="23"/>
        </w:rPr>
        <w:t>will</w:t>
      </w:r>
      <w:r>
        <w:rPr>
          <w:color w:val="231F20"/>
          <w:spacing w:val="13"/>
          <w:sz w:val="23"/>
        </w:rPr>
        <w:t> </w:t>
      </w:r>
      <w:r>
        <w:rPr>
          <w:color w:val="231F20"/>
          <w:sz w:val="23"/>
        </w:rPr>
        <w:t>also</w:t>
      </w:r>
      <w:r>
        <w:rPr>
          <w:color w:val="231F20"/>
          <w:spacing w:val="13"/>
          <w:sz w:val="23"/>
        </w:rPr>
        <w:t> </w:t>
      </w:r>
      <w:r>
        <w:rPr>
          <w:color w:val="231F20"/>
          <w:sz w:val="23"/>
        </w:rPr>
        <w:t>be</w:t>
      </w:r>
      <w:r>
        <w:rPr>
          <w:color w:val="231F20"/>
          <w:spacing w:val="12"/>
          <w:sz w:val="23"/>
        </w:rPr>
        <w:t> </w:t>
      </w:r>
      <w:r>
        <w:rPr>
          <w:color w:val="231F20"/>
          <w:sz w:val="23"/>
        </w:rPr>
        <w:t>prioritised.</w:t>
      </w:r>
    </w:p>
    <w:p>
      <w:pPr>
        <w:pStyle w:val="BodyText"/>
        <w:rPr>
          <w:sz w:val="29"/>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Mr. Speaker, Honourable Members, the clearance strategy will be financed from increased budgetary support disbursement from our donor partners as well</w:t>
      </w:r>
      <w:r>
        <w:rPr>
          <w:color w:val="231F20"/>
          <w:spacing w:val="-22"/>
          <w:sz w:val="23"/>
        </w:rPr>
        <w:t> </w:t>
      </w:r>
      <w:r>
        <w:rPr>
          <w:color w:val="231F20"/>
          <w:sz w:val="23"/>
        </w:rPr>
        <w:t>as resources from our enhanced domestic revenue mobilisation drive. Government</w:t>
      </w:r>
      <w:r>
        <w:rPr>
          <w:color w:val="231F20"/>
          <w:spacing w:val="-29"/>
          <w:sz w:val="23"/>
        </w:rPr>
        <w:t> </w:t>
      </w:r>
      <w:r>
        <w:rPr>
          <w:color w:val="231F20"/>
          <w:sz w:val="23"/>
        </w:rPr>
        <w:t>has committed</w:t>
      </w:r>
      <w:r>
        <w:rPr>
          <w:color w:val="231F20"/>
          <w:spacing w:val="-35"/>
          <w:sz w:val="23"/>
        </w:rPr>
        <w:t> </w:t>
      </w:r>
      <w:r>
        <w:rPr>
          <w:color w:val="231F20"/>
          <w:sz w:val="23"/>
        </w:rPr>
        <w:t>about</w:t>
      </w:r>
      <w:r>
        <w:rPr>
          <w:color w:val="231F20"/>
          <w:spacing w:val="-35"/>
          <w:sz w:val="23"/>
        </w:rPr>
        <w:t> </w:t>
      </w:r>
      <w:r>
        <w:rPr>
          <w:color w:val="231F20"/>
          <w:sz w:val="23"/>
        </w:rPr>
        <w:t>US$30</w:t>
      </w:r>
      <w:r>
        <w:rPr>
          <w:color w:val="231F20"/>
          <w:spacing w:val="-35"/>
          <w:sz w:val="23"/>
        </w:rPr>
        <w:t> </w:t>
      </w:r>
      <w:r>
        <w:rPr>
          <w:color w:val="231F20"/>
          <w:sz w:val="23"/>
        </w:rPr>
        <w:t>million</w:t>
      </w:r>
      <w:r>
        <w:rPr>
          <w:color w:val="231F20"/>
          <w:spacing w:val="-35"/>
          <w:sz w:val="23"/>
        </w:rPr>
        <w:t> </w:t>
      </w:r>
      <w:r>
        <w:rPr>
          <w:color w:val="231F20"/>
          <w:sz w:val="23"/>
        </w:rPr>
        <w:t>in</w:t>
      </w:r>
      <w:r>
        <w:rPr>
          <w:color w:val="231F20"/>
          <w:spacing w:val="-35"/>
          <w:sz w:val="23"/>
        </w:rPr>
        <w:t> </w:t>
      </w:r>
      <w:r>
        <w:rPr>
          <w:color w:val="231F20"/>
          <w:sz w:val="23"/>
        </w:rPr>
        <w:t>2020</w:t>
      </w:r>
      <w:r>
        <w:rPr>
          <w:color w:val="231F20"/>
          <w:spacing w:val="-35"/>
          <w:sz w:val="23"/>
        </w:rPr>
        <w:t> </w:t>
      </w:r>
      <w:r>
        <w:rPr>
          <w:color w:val="231F20"/>
          <w:sz w:val="23"/>
        </w:rPr>
        <w:t>as</w:t>
      </w:r>
      <w:r>
        <w:rPr>
          <w:color w:val="231F20"/>
          <w:spacing w:val="-35"/>
          <w:sz w:val="23"/>
        </w:rPr>
        <w:t> </w:t>
      </w:r>
      <w:r>
        <w:rPr>
          <w:color w:val="231F20"/>
          <w:sz w:val="23"/>
        </w:rPr>
        <w:t>outright</w:t>
      </w:r>
      <w:r>
        <w:rPr>
          <w:color w:val="231F20"/>
          <w:spacing w:val="-35"/>
          <w:sz w:val="23"/>
        </w:rPr>
        <w:t> </w:t>
      </w:r>
      <w:r>
        <w:rPr>
          <w:color w:val="231F20"/>
          <w:sz w:val="23"/>
        </w:rPr>
        <w:t>cash</w:t>
      </w:r>
      <w:r>
        <w:rPr>
          <w:color w:val="231F20"/>
          <w:spacing w:val="-35"/>
          <w:sz w:val="23"/>
        </w:rPr>
        <w:t> </w:t>
      </w:r>
      <w:r>
        <w:rPr>
          <w:color w:val="231F20"/>
          <w:sz w:val="23"/>
        </w:rPr>
        <w:t>payment</w:t>
      </w:r>
      <w:r>
        <w:rPr>
          <w:color w:val="231F20"/>
          <w:spacing w:val="-35"/>
          <w:sz w:val="23"/>
        </w:rPr>
        <w:t> </w:t>
      </w:r>
      <w:r>
        <w:rPr>
          <w:color w:val="231F20"/>
          <w:sz w:val="23"/>
        </w:rPr>
        <w:t>to</w:t>
      </w:r>
      <w:r>
        <w:rPr>
          <w:color w:val="231F20"/>
          <w:spacing w:val="-35"/>
          <w:sz w:val="23"/>
        </w:rPr>
        <w:t> </w:t>
      </w:r>
      <w:r>
        <w:rPr>
          <w:color w:val="231F20"/>
          <w:sz w:val="23"/>
        </w:rPr>
        <w:t>partially</w:t>
      </w:r>
      <w:r>
        <w:rPr>
          <w:color w:val="231F20"/>
          <w:spacing w:val="-35"/>
          <w:sz w:val="23"/>
        </w:rPr>
        <w:t> </w:t>
      </w:r>
      <w:r>
        <w:rPr>
          <w:color w:val="231F20"/>
          <w:sz w:val="23"/>
        </w:rPr>
        <w:t>liquidate the stock of</w:t>
      </w:r>
      <w:r>
        <w:rPr>
          <w:color w:val="231F20"/>
          <w:spacing w:val="27"/>
          <w:sz w:val="23"/>
        </w:rPr>
        <w:t> </w:t>
      </w:r>
      <w:r>
        <w:rPr>
          <w:color w:val="231F20"/>
          <w:sz w:val="23"/>
        </w:rPr>
        <w:t>arrears.</w:t>
      </w:r>
    </w:p>
    <w:p>
      <w:pPr>
        <w:pStyle w:val="BodyText"/>
        <w:spacing w:before="10"/>
        <w:rPr>
          <w:sz w:val="28"/>
        </w:rPr>
      </w:pPr>
    </w:p>
    <w:p>
      <w:pPr>
        <w:pStyle w:val="Heading2"/>
        <w:jc w:val="both"/>
      </w:pPr>
      <w:r>
        <w:rPr>
          <w:color w:val="231F20"/>
        </w:rPr>
        <w:t>Monetary Policy</w:t>
      </w:r>
    </w:p>
    <w:p>
      <w:pPr>
        <w:pStyle w:val="ListParagraph"/>
        <w:numPr>
          <w:ilvl w:val="0"/>
          <w:numId w:val="2"/>
        </w:numPr>
        <w:tabs>
          <w:tab w:pos="954" w:val="left" w:leader="none"/>
        </w:tabs>
        <w:spacing w:line="302" w:lineRule="auto" w:before="71" w:after="0"/>
        <w:ind w:left="103" w:right="119" w:firstLine="87"/>
        <w:jc w:val="both"/>
        <w:rPr>
          <w:sz w:val="23"/>
        </w:rPr>
      </w:pPr>
      <w:r>
        <w:rPr>
          <w:color w:val="231F20"/>
          <w:sz w:val="23"/>
        </w:rPr>
        <w:t>Mr.</w:t>
      </w:r>
      <w:r>
        <w:rPr>
          <w:color w:val="231F20"/>
          <w:spacing w:val="-26"/>
          <w:sz w:val="23"/>
        </w:rPr>
        <w:t> </w:t>
      </w:r>
      <w:r>
        <w:rPr>
          <w:color w:val="231F20"/>
          <w:sz w:val="23"/>
        </w:rPr>
        <w:t>Speaker,</w:t>
      </w:r>
      <w:r>
        <w:rPr>
          <w:color w:val="231F20"/>
          <w:spacing w:val="-26"/>
          <w:sz w:val="23"/>
        </w:rPr>
        <w:t> </w:t>
      </w:r>
      <w:r>
        <w:rPr>
          <w:color w:val="231F20"/>
          <w:sz w:val="23"/>
        </w:rPr>
        <w:t>Honourable</w:t>
      </w:r>
      <w:r>
        <w:rPr>
          <w:color w:val="231F20"/>
          <w:spacing w:val="-26"/>
          <w:sz w:val="23"/>
        </w:rPr>
        <w:t> </w:t>
      </w:r>
      <w:r>
        <w:rPr>
          <w:color w:val="231F20"/>
          <w:sz w:val="23"/>
        </w:rPr>
        <w:t>Members,</w:t>
      </w:r>
      <w:r>
        <w:rPr>
          <w:color w:val="231F20"/>
          <w:spacing w:val="-26"/>
          <w:sz w:val="23"/>
        </w:rPr>
        <w:t> </w:t>
      </w:r>
      <w:r>
        <w:rPr>
          <w:color w:val="231F20"/>
          <w:sz w:val="23"/>
        </w:rPr>
        <w:t>the</w:t>
      </w:r>
      <w:r>
        <w:rPr>
          <w:color w:val="231F20"/>
          <w:spacing w:val="-26"/>
          <w:sz w:val="23"/>
        </w:rPr>
        <w:t> </w:t>
      </w:r>
      <w:r>
        <w:rPr>
          <w:color w:val="231F20"/>
          <w:sz w:val="23"/>
        </w:rPr>
        <w:t>objective</w:t>
      </w:r>
      <w:r>
        <w:rPr>
          <w:color w:val="231F20"/>
          <w:spacing w:val="-26"/>
          <w:sz w:val="23"/>
        </w:rPr>
        <w:t> </w:t>
      </w:r>
      <w:r>
        <w:rPr>
          <w:color w:val="231F20"/>
          <w:sz w:val="23"/>
        </w:rPr>
        <w:t>of</w:t>
      </w:r>
      <w:r>
        <w:rPr>
          <w:color w:val="231F20"/>
          <w:spacing w:val="-26"/>
          <w:sz w:val="23"/>
        </w:rPr>
        <w:t> </w:t>
      </w:r>
      <w:r>
        <w:rPr>
          <w:color w:val="231F20"/>
          <w:sz w:val="23"/>
        </w:rPr>
        <w:t>monetary</w:t>
      </w:r>
      <w:r>
        <w:rPr>
          <w:color w:val="231F20"/>
          <w:spacing w:val="-26"/>
          <w:sz w:val="23"/>
        </w:rPr>
        <w:t> </w:t>
      </w:r>
      <w:r>
        <w:rPr>
          <w:color w:val="231F20"/>
          <w:sz w:val="23"/>
        </w:rPr>
        <w:t>policy</w:t>
      </w:r>
      <w:r>
        <w:rPr>
          <w:color w:val="231F20"/>
          <w:spacing w:val="-26"/>
          <w:sz w:val="23"/>
        </w:rPr>
        <w:t> </w:t>
      </w:r>
      <w:r>
        <w:rPr>
          <w:color w:val="231F20"/>
          <w:sz w:val="23"/>
        </w:rPr>
        <w:t>in</w:t>
      </w:r>
      <w:r>
        <w:rPr>
          <w:color w:val="231F20"/>
          <w:spacing w:val="-26"/>
          <w:sz w:val="23"/>
        </w:rPr>
        <w:t> </w:t>
      </w:r>
      <w:r>
        <w:rPr>
          <w:color w:val="231F20"/>
          <w:sz w:val="23"/>
        </w:rPr>
        <w:t>2020</w:t>
      </w:r>
      <w:r>
        <w:rPr>
          <w:color w:val="231F20"/>
          <w:spacing w:val="-26"/>
          <w:sz w:val="23"/>
        </w:rPr>
        <w:t> </w:t>
      </w:r>
      <w:r>
        <w:rPr>
          <w:color w:val="231F20"/>
          <w:sz w:val="23"/>
        </w:rPr>
        <w:t>is to</w:t>
      </w:r>
      <w:r>
        <w:rPr>
          <w:color w:val="231F20"/>
          <w:spacing w:val="-43"/>
          <w:sz w:val="23"/>
        </w:rPr>
        <w:t> </w:t>
      </w:r>
      <w:r>
        <w:rPr>
          <w:color w:val="231F20"/>
          <w:sz w:val="23"/>
        </w:rPr>
        <w:t>lower</w:t>
      </w:r>
      <w:r>
        <w:rPr>
          <w:color w:val="231F20"/>
          <w:spacing w:val="-43"/>
          <w:sz w:val="23"/>
        </w:rPr>
        <w:t> </w:t>
      </w:r>
      <w:r>
        <w:rPr>
          <w:color w:val="231F20"/>
          <w:sz w:val="23"/>
        </w:rPr>
        <w:t>and</w:t>
      </w:r>
      <w:r>
        <w:rPr>
          <w:color w:val="231F20"/>
          <w:spacing w:val="-42"/>
          <w:sz w:val="23"/>
        </w:rPr>
        <w:t> </w:t>
      </w:r>
      <w:r>
        <w:rPr>
          <w:color w:val="231F20"/>
          <w:sz w:val="23"/>
        </w:rPr>
        <w:t>stabilize</w:t>
      </w:r>
      <w:r>
        <w:rPr>
          <w:color w:val="231F20"/>
          <w:spacing w:val="-43"/>
          <w:sz w:val="23"/>
        </w:rPr>
        <w:t> </w:t>
      </w:r>
      <w:r>
        <w:rPr>
          <w:color w:val="231F20"/>
          <w:sz w:val="23"/>
        </w:rPr>
        <w:t>domestic</w:t>
      </w:r>
      <w:r>
        <w:rPr>
          <w:color w:val="231F20"/>
          <w:spacing w:val="-42"/>
          <w:sz w:val="23"/>
        </w:rPr>
        <w:t> </w:t>
      </w:r>
      <w:r>
        <w:rPr>
          <w:color w:val="231F20"/>
          <w:sz w:val="23"/>
        </w:rPr>
        <w:t>prices</w:t>
      </w:r>
      <w:r>
        <w:rPr>
          <w:color w:val="231F20"/>
          <w:spacing w:val="-43"/>
          <w:sz w:val="23"/>
        </w:rPr>
        <w:t> </w:t>
      </w:r>
      <w:r>
        <w:rPr>
          <w:color w:val="231F20"/>
          <w:sz w:val="23"/>
        </w:rPr>
        <w:t>in</w:t>
      </w:r>
      <w:r>
        <w:rPr>
          <w:color w:val="231F20"/>
          <w:spacing w:val="-42"/>
          <w:sz w:val="23"/>
        </w:rPr>
        <w:t> </w:t>
      </w:r>
      <w:r>
        <w:rPr>
          <w:color w:val="231F20"/>
          <w:sz w:val="23"/>
        </w:rPr>
        <w:t>order</w:t>
      </w:r>
      <w:r>
        <w:rPr>
          <w:color w:val="231F20"/>
          <w:spacing w:val="-43"/>
          <w:sz w:val="23"/>
        </w:rPr>
        <w:t> </w:t>
      </w:r>
      <w:r>
        <w:rPr>
          <w:color w:val="231F20"/>
          <w:sz w:val="23"/>
        </w:rPr>
        <w:t>to</w:t>
      </w:r>
      <w:r>
        <w:rPr>
          <w:color w:val="231F20"/>
          <w:spacing w:val="-43"/>
          <w:sz w:val="23"/>
        </w:rPr>
        <w:t> </w:t>
      </w:r>
      <w:r>
        <w:rPr>
          <w:color w:val="231F20"/>
          <w:sz w:val="23"/>
        </w:rPr>
        <w:t>support</w:t>
      </w:r>
      <w:r>
        <w:rPr>
          <w:color w:val="231F20"/>
          <w:spacing w:val="-42"/>
          <w:sz w:val="23"/>
        </w:rPr>
        <w:t> </w:t>
      </w:r>
      <w:r>
        <w:rPr>
          <w:color w:val="231F20"/>
          <w:sz w:val="23"/>
        </w:rPr>
        <w:t>the</w:t>
      </w:r>
      <w:r>
        <w:rPr>
          <w:color w:val="231F20"/>
          <w:spacing w:val="-43"/>
          <w:sz w:val="23"/>
        </w:rPr>
        <w:t> </w:t>
      </w:r>
      <w:r>
        <w:rPr>
          <w:color w:val="231F20"/>
          <w:sz w:val="23"/>
        </w:rPr>
        <w:t>much-needed</w:t>
      </w:r>
      <w:r>
        <w:rPr>
          <w:color w:val="231F20"/>
          <w:spacing w:val="-42"/>
          <w:sz w:val="23"/>
        </w:rPr>
        <w:t> </w:t>
      </w:r>
      <w:r>
        <w:rPr>
          <w:color w:val="231F20"/>
          <w:sz w:val="23"/>
        </w:rPr>
        <w:t>investments that</w:t>
      </w:r>
      <w:r>
        <w:rPr>
          <w:color w:val="231F20"/>
          <w:spacing w:val="-26"/>
          <w:sz w:val="23"/>
        </w:rPr>
        <w:t> </w:t>
      </w:r>
      <w:r>
        <w:rPr>
          <w:color w:val="231F20"/>
          <w:sz w:val="23"/>
        </w:rPr>
        <w:t>would</w:t>
      </w:r>
      <w:r>
        <w:rPr>
          <w:color w:val="231F20"/>
          <w:spacing w:val="-26"/>
          <w:sz w:val="23"/>
        </w:rPr>
        <w:t> </w:t>
      </w:r>
      <w:r>
        <w:rPr>
          <w:color w:val="231F20"/>
          <w:sz w:val="23"/>
        </w:rPr>
        <w:t>lead</w:t>
      </w:r>
      <w:r>
        <w:rPr>
          <w:color w:val="231F20"/>
          <w:spacing w:val="-26"/>
          <w:sz w:val="23"/>
        </w:rPr>
        <w:t> </w:t>
      </w:r>
      <w:r>
        <w:rPr>
          <w:color w:val="231F20"/>
          <w:sz w:val="23"/>
        </w:rPr>
        <w:t>to</w:t>
      </w:r>
      <w:r>
        <w:rPr>
          <w:color w:val="231F20"/>
          <w:spacing w:val="-26"/>
          <w:sz w:val="23"/>
        </w:rPr>
        <w:t> </w:t>
      </w:r>
      <w:r>
        <w:rPr>
          <w:color w:val="231F20"/>
          <w:sz w:val="23"/>
        </w:rPr>
        <w:t>sustainable</w:t>
      </w:r>
      <w:r>
        <w:rPr>
          <w:color w:val="231F20"/>
          <w:spacing w:val="-26"/>
          <w:sz w:val="23"/>
        </w:rPr>
        <w:t> </w:t>
      </w:r>
      <w:r>
        <w:rPr>
          <w:color w:val="231F20"/>
          <w:sz w:val="23"/>
        </w:rPr>
        <w:t>economic</w:t>
      </w:r>
      <w:r>
        <w:rPr>
          <w:color w:val="231F20"/>
          <w:spacing w:val="-26"/>
          <w:sz w:val="23"/>
        </w:rPr>
        <w:t> </w:t>
      </w:r>
      <w:r>
        <w:rPr>
          <w:color w:val="231F20"/>
          <w:sz w:val="23"/>
        </w:rPr>
        <w:t>growth</w:t>
      </w:r>
      <w:r>
        <w:rPr>
          <w:color w:val="231F20"/>
          <w:spacing w:val="-26"/>
          <w:sz w:val="23"/>
        </w:rPr>
        <w:t> </w:t>
      </w:r>
      <w:r>
        <w:rPr>
          <w:color w:val="231F20"/>
          <w:sz w:val="23"/>
        </w:rPr>
        <w:t>and</w:t>
      </w:r>
      <w:r>
        <w:rPr>
          <w:color w:val="231F20"/>
          <w:spacing w:val="-26"/>
          <w:sz w:val="23"/>
        </w:rPr>
        <w:t> </w:t>
      </w:r>
      <w:r>
        <w:rPr>
          <w:color w:val="231F20"/>
          <w:sz w:val="23"/>
        </w:rPr>
        <w:t>job</w:t>
      </w:r>
      <w:r>
        <w:rPr>
          <w:color w:val="231F20"/>
          <w:spacing w:val="-26"/>
          <w:sz w:val="23"/>
        </w:rPr>
        <w:t> </w:t>
      </w:r>
      <w:r>
        <w:rPr>
          <w:color w:val="231F20"/>
          <w:sz w:val="23"/>
        </w:rPr>
        <w:t>creation.</w:t>
      </w:r>
      <w:r>
        <w:rPr>
          <w:color w:val="231F20"/>
          <w:spacing w:val="22"/>
          <w:sz w:val="23"/>
        </w:rPr>
        <w:t> </w:t>
      </w:r>
      <w:r>
        <w:rPr>
          <w:color w:val="231F20"/>
          <w:sz w:val="23"/>
        </w:rPr>
        <w:t>While</w:t>
      </w:r>
      <w:r>
        <w:rPr>
          <w:color w:val="231F20"/>
          <w:spacing w:val="-26"/>
          <w:sz w:val="23"/>
        </w:rPr>
        <w:t> </w:t>
      </w:r>
      <w:r>
        <w:rPr>
          <w:color w:val="231F20"/>
          <w:sz w:val="23"/>
        </w:rPr>
        <w:t>price</w:t>
      </w:r>
      <w:r>
        <w:rPr>
          <w:color w:val="231F20"/>
          <w:spacing w:val="-26"/>
          <w:sz w:val="23"/>
        </w:rPr>
        <w:t> </w:t>
      </w:r>
      <w:r>
        <w:rPr>
          <w:color w:val="231F20"/>
          <w:sz w:val="23"/>
        </w:rPr>
        <w:t>stability remains</w:t>
      </w:r>
      <w:r>
        <w:rPr>
          <w:color w:val="231F20"/>
          <w:spacing w:val="-9"/>
          <w:sz w:val="23"/>
        </w:rPr>
        <w:t> </w:t>
      </w:r>
      <w:r>
        <w:rPr>
          <w:color w:val="231F20"/>
          <w:sz w:val="23"/>
        </w:rPr>
        <w:t>the</w:t>
      </w:r>
      <w:r>
        <w:rPr>
          <w:color w:val="231F20"/>
          <w:spacing w:val="-9"/>
          <w:sz w:val="23"/>
        </w:rPr>
        <w:t> </w:t>
      </w:r>
      <w:r>
        <w:rPr>
          <w:color w:val="231F20"/>
          <w:sz w:val="23"/>
        </w:rPr>
        <w:t>core</w:t>
      </w:r>
      <w:r>
        <w:rPr>
          <w:color w:val="231F20"/>
          <w:spacing w:val="-9"/>
          <w:sz w:val="23"/>
        </w:rPr>
        <w:t> </w:t>
      </w:r>
      <w:r>
        <w:rPr>
          <w:color w:val="231F20"/>
          <w:sz w:val="23"/>
        </w:rPr>
        <w:t>mandate</w:t>
      </w:r>
      <w:r>
        <w:rPr>
          <w:color w:val="231F20"/>
          <w:spacing w:val="-9"/>
          <w:sz w:val="23"/>
        </w:rPr>
        <w:t> </w:t>
      </w:r>
      <w:r>
        <w:rPr>
          <w:color w:val="231F20"/>
          <w:sz w:val="23"/>
        </w:rPr>
        <w:t>of</w:t>
      </w:r>
      <w:r>
        <w:rPr>
          <w:color w:val="231F20"/>
          <w:spacing w:val="-9"/>
          <w:sz w:val="23"/>
        </w:rPr>
        <w:t> </w:t>
      </w:r>
      <w:r>
        <w:rPr>
          <w:color w:val="231F20"/>
          <w:sz w:val="23"/>
        </w:rPr>
        <w:t>the</w:t>
      </w:r>
      <w:r>
        <w:rPr>
          <w:color w:val="231F20"/>
          <w:spacing w:val="-9"/>
          <w:sz w:val="23"/>
        </w:rPr>
        <w:t> </w:t>
      </w:r>
      <w:r>
        <w:rPr>
          <w:color w:val="231F20"/>
          <w:sz w:val="23"/>
        </w:rPr>
        <w:t>Bank</w:t>
      </w:r>
      <w:r>
        <w:rPr>
          <w:color w:val="231F20"/>
          <w:spacing w:val="-9"/>
          <w:sz w:val="23"/>
        </w:rPr>
        <w:t> </w:t>
      </w:r>
      <w:r>
        <w:rPr>
          <w:color w:val="231F20"/>
          <w:sz w:val="23"/>
        </w:rPr>
        <w:t>of</w:t>
      </w:r>
      <w:r>
        <w:rPr>
          <w:color w:val="231F20"/>
          <w:spacing w:val="-9"/>
          <w:sz w:val="23"/>
        </w:rPr>
        <w:t> </w:t>
      </w:r>
      <w:r>
        <w:rPr>
          <w:color w:val="231F20"/>
          <w:sz w:val="23"/>
        </w:rPr>
        <w:t>Sierra</w:t>
      </w:r>
      <w:r>
        <w:rPr>
          <w:color w:val="231F20"/>
          <w:spacing w:val="-10"/>
          <w:sz w:val="23"/>
        </w:rPr>
        <w:t> </w:t>
      </w:r>
      <w:r>
        <w:rPr>
          <w:color w:val="231F20"/>
          <w:sz w:val="23"/>
        </w:rPr>
        <w:t>Leone,</w:t>
      </w:r>
      <w:r>
        <w:rPr>
          <w:color w:val="231F20"/>
          <w:spacing w:val="-9"/>
          <w:sz w:val="23"/>
        </w:rPr>
        <w:t> </w:t>
      </w:r>
      <w:r>
        <w:rPr>
          <w:color w:val="231F20"/>
          <w:sz w:val="23"/>
        </w:rPr>
        <w:t>the</w:t>
      </w:r>
      <w:r>
        <w:rPr>
          <w:color w:val="231F20"/>
          <w:spacing w:val="-9"/>
          <w:sz w:val="23"/>
        </w:rPr>
        <w:t> </w:t>
      </w:r>
      <w:r>
        <w:rPr>
          <w:color w:val="231F20"/>
          <w:sz w:val="23"/>
        </w:rPr>
        <w:t>stance</w:t>
      </w:r>
      <w:r>
        <w:rPr>
          <w:color w:val="231F20"/>
          <w:spacing w:val="-9"/>
          <w:sz w:val="23"/>
        </w:rPr>
        <w:t> </w:t>
      </w:r>
      <w:r>
        <w:rPr>
          <w:color w:val="231F20"/>
          <w:sz w:val="23"/>
        </w:rPr>
        <w:t>of</w:t>
      </w:r>
      <w:r>
        <w:rPr>
          <w:color w:val="231F20"/>
          <w:spacing w:val="-9"/>
          <w:sz w:val="23"/>
        </w:rPr>
        <w:t> </w:t>
      </w:r>
      <w:r>
        <w:rPr>
          <w:color w:val="231F20"/>
          <w:sz w:val="23"/>
        </w:rPr>
        <w:t>monetary</w:t>
      </w:r>
      <w:r>
        <w:rPr>
          <w:color w:val="231F20"/>
          <w:spacing w:val="-9"/>
          <w:sz w:val="23"/>
        </w:rPr>
        <w:t> </w:t>
      </w:r>
      <w:r>
        <w:rPr>
          <w:color w:val="231F20"/>
          <w:sz w:val="23"/>
        </w:rPr>
        <w:t>policy will</w:t>
      </w:r>
      <w:r>
        <w:rPr>
          <w:color w:val="231F20"/>
          <w:spacing w:val="-10"/>
          <w:sz w:val="23"/>
        </w:rPr>
        <w:t> </w:t>
      </w:r>
      <w:r>
        <w:rPr>
          <w:color w:val="231F20"/>
          <w:sz w:val="23"/>
        </w:rPr>
        <w:t>also</w:t>
      </w:r>
      <w:r>
        <w:rPr>
          <w:color w:val="231F20"/>
          <w:spacing w:val="-10"/>
          <w:sz w:val="23"/>
        </w:rPr>
        <w:t> </w:t>
      </w:r>
      <w:r>
        <w:rPr>
          <w:color w:val="231F20"/>
          <w:sz w:val="23"/>
        </w:rPr>
        <w:t>take</w:t>
      </w:r>
      <w:r>
        <w:rPr>
          <w:color w:val="231F20"/>
          <w:spacing w:val="-10"/>
          <w:sz w:val="23"/>
        </w:rPr>
        <w:t> </w:t>
      </w:r>
      <w:r>
        <w:rPr>
          <w:color w:val="231F20"/>
          <w:sz w:val="23"/>
        </w:rPr>
        <w:t>into</w:t>
      </w:r>
      <w:r>
        <w:rPr>
          <w:color w:val="231F20"/>
          <w:spacing w:val="-10"/>
          <w:sz w:val="23"/>
        </w:rPr>
        <w:t> </w:t>
      </w:r>
      <w:r>
        <w:rPr>
          <w:color w:val="231F20"/>
          <w:sz w:val="23"/>
        </w:rPr>
        <w:t>consideration</w:t>
      </w:r>
      <w:r>
        <w:rPr>
          <w:color w:val="231F20"/>
          <w:spacing w:val="-10"/>
          <w:sz w:val="23"/>
        </w:rPr>
        <w:t> </w:t>
      </w:r>
      <w:r>
        <w:rPr>
          <w:color w:val="231F20"/>
          <w:sz w:val="23"/>
        </w:rPr>
        <w:t>the</w:t>
      </w:r>
      <w:r>
        <w:rPr>
          <w:color w:val="231F20"/>
          <w:spacing w:val="-10"/>
          <w:sz w:val="23"/>
        </w:rPr>
        <w:t> </w:t>
      </w:r>
      <w:r>
        <w:rPr>
          <w:color w:val="231F20"/>
          <w:sz w:val="23"/>
        </w:rPr>
        <w:t>need</w:t>
      </w:r>
      <w:r>
        <w:rPr>
          <w:color w:val="231F20"/>
          <w:spacing w:val="-10"/>
          <w:sz w:val="23"/>
        </w:rPr>
        <w:t> </w:t>
      </w:r>
      <w:r>
        <w:rPr>
          <w:color w:val="231F20"/>
          <w:sz w:val="23"/>
        </w:rPr>
        <w:t>to</w:t>
      </w:r>
      <w:r>
        <w:rPr>
          <w:color w:val="231F20"/>
          <w:spacing w:val="-10"/>
          <w:sz w:val="23"/>
        </w:rPr>
        <w:t> </w:t>
      </w:r>
      <w:r>
        <w:rPr>
          <w:color w:val="231F20"/>
          <w:sz w:val="23"/>
        </w:rPr>
        <w:t>support</w:t>
      </w:r>
      <w:r>
        <w:rPr>
          <w:color w:val="231F20"/>
          <w:spacing w:val="-10"/>
          <w:sz w:val="23"/>
        </w:rPr>
        <w:t> </w:t>
      </w:r>
      <w:r>
        <w:rPr>
          <w:color w:val="231F20"/>
          <w:sz w:val="23"/>
        </w:rPr>
        <w:t>private</w:t>
      </w:r>
      <w:r>
        <w:rPr>
          <w:color w:val="231F20"/>
          <w:spacing w:val="-10"/>
          <w:sz w:val="23"/>
        </w:rPr>
        <w:t> </w:t>
      </w:r>
      <w:r>
        <w:rPr>
          <w:color w:val="231F20"/>
          <w:sz w:val="23"/>
        </w:rPr>
        <w:t>sector</w:t>
      </w:r>
      <w:r>
        <w:rPr>
          <w:color w:val="231F20"/>
          <w:spacing w:val="-10"/>
          <w:sz w:val="23"/>
        </w:rPr>
        <w:t> </w:t>
      </w:r>
      <w:r>
        <w:rPr>
          <w:color w:val="231F20"/>
          <w:sz w:val="23"/>
        </w:rPr>
        <w:t>investments.</w:t>
      </w:r>
      <w:r>
        <w:rPr>
          <w:color w:val="231F20"/>
          <w:spacing w:val="-10"/>
          <w:sz w:val="23"/>
        </w:rPr>
        <w:t> </w:t>
      </w:r>
      <w:r>
        <w:rPr>
          <w:color w:val="231F20"/>
          <w:sz w:val="23"/>
        </w:rPr>
        <w:t>This would</w:t>
      </w:r>
      <w:r>
        <w:rPr>
          <w:color w:val="231F20"/>
          <w:spacing w:val="-11"/>
          <w:sz w:val="23"/>
        </w:rPr>
        <w:t> </w:t>
      </w:r>
      <w:r>
        <w:rPr>
          <w:color w:val="231F20"/>
          <w:sz w:val="23"/>
        </w:rPr>
        <w:t>be</w:t>
      </w:r>
      <w:r>
        <w:rPr>
          <w:color w:val="231F20"/>
          <w:spacing w:val="-11"/>
          <w:sz w:val="23"/>
        </w:rPr>
        <w:t> </w:t>
      </w:r>
      <w:r>
        <w:rPr>
          <w:color w:val="231F20"/>
          <w:sz w:val="23"/>
        </w:rPr>
        <w:t>through</w:t>
      </w:r>
      <w:r>
        <w:rPr>
          <w:color w:val="231F20"/>
          <w:spacing w:val="-11"/>
          <w:sz w:val="23"/>
        </w:rPr>
        <w:t> </w:t>
      </w:r>
      <w:r>
        <w:rPr>
          <w:color w:val="231F20"/>
          <w:sz w:val="23"/>
        </w:rPr>
        <w:t>increased</w:t>
      </w:r>
      <w:r>
        <w:rPr>
          <w:color w:val="231F20"/>
          <w:spacing w:val="-11"/>
          <w:sz w:val="23"/>
        </w:rPr>
        <w:t> </w:t>
      </w:r>
      <w:r>
        <w:rPr>
          <w:color w:val="231F20"/>
          <w:sz w:val="23"/>
        </w:rPr>
        <w:t>and</w:t>
      </w:r>
      <w:r>
        <w:rPr>
          <w:color w:val="231F20"/>
          <w:spacing w:val="-11"/>
          <w:sz w:val="23"/>
        </w:rPr>
        <w:t> </w:t>
      </w:r>
      <w:r>
        <w:rPr>
          <w:color w:val="231F20"/>
          <w:sz w:val="23"/>
        </w:rPr>
        <w:t>affordable</w:t>
      </w:r>
      <w:r>
        <w:rPr>
          <w:color w:val="231F20"/>
          <w:spacing w:val="-11"/>
          <w:sz w:val="23"/>
        </w:rPr>
        <w:t> </w:t>
      </w:r>
      <w:r>
        <w:rPr>
          <w:color w:val="231F20"/>
          <w:sz w:val="23"/>
        </w:rPr>
        <w:t>credit</w:t>
      </w:r>
      <w:r>
        <w:rPr>
          <w:color w:val="231F20"/>
          <w:spacing w:val="-11"/>
          <w:sz w:val="23"/>
        </w:rPr>
        <w:t> </w:t>
      </w:r>
      <w:r>
        <w:rPr>
          <w:color w:val="231F20"/>
          <w:sz w:val="23"/>
        </w:rPr>
        <w:t>to</w:t>
      </w:r>
      <w:r>
        <w:rPr>
          <w:color w:val="231F20"/>
          <w:spacing w:val="-11"/>
          <w:sz w:val="23"/>
        </w:rPr>
        <w:t> </w:t>
      </w:r>
      <w:r>
        <w:rPr>
          <w:color w:val="231F20"/>
          <w:sz w:val="23"/>
        </w:rPr>
        <w:t>the</w:t>
      </w:r>
      <w:r>
        <w:rPr>
          <w:color w:val="231F20"/>
          <w:spacing w:val="-11"/>
          <w:sz w:val="23"/>
        </w:rPr>
        <w:t> </w:t>
      </w:r>
      <w:r>
        <w:rPr>
          <w:color w:val="231F20"/>
          <w:sz w:val="23"/>
        </w:rPr>
        <w:t>private</w:t>
      </w:r>
      <w:r>
        <w:rPr>
          <w:color w:val="231F20"/>
          <w:spacing w:val="-11"/>
          <w:sz w:val="23"/>
        </w:rPr>
        <w:t> </w:t>
      </w:r>
      <w:r>
        <w:rPr>
          <w:color w:val="231F20"/>
          <w:sz w:val="23"/>
        </w:rPr>
        <w:t>sector,</w:t>
      </w:r>
      <w:r>
        <w:rPr>
          <w:color w:val="231F20"/>
          <w:spacing w:val="-11"/>
          <w:sz w:val="23"/>
        </w:rPr>
        <w:t> </w:t>
      </w:r>
      <w:r>
        <w:rPr>
          <w:color w:val="231F20"/>
          <w:sz w:val="23"/>
        </w:rPr>
        <w:t>with</w:t>
      </w:r>
      <w:r>
        <w:rPr>
          <w:color w:val="231F20"/>
          <w:spacing w:val="-11"/>
          <w:sz w:val="23"/>
        </w:rPr>
        <w:t> </w:t>
      </w:r>
      <w:r>
        <w:rPr>
          <w:color w:val="231F20"/>
          <w:sz w:val="23"/>
        </w:rPr>
        <w:t>a</w:t>
      </w:r>
      <w:r>
        <w:rPr>
          <w:color w:val="231F20"/>
          <w:spacing w:val="-11"/>
          <w:sz w:val="23"/>
        </w:rPr>
        <w:t> </w:t>
      </w:r>
      <w:r>
        <w:rPr>
          <w:color w:val="231F20"/>
          <w:sz w:val="23"/>
        </w:rPr>
        <w:t>view</w:t>
      </w:r>
      <w:r>
        <w:rPr>
          <w:color w:val="231F20"/>
          <w:spacing w:val="-11"/>
          <w:sz w:val="23"/>
        </w:rPr>
        <w:t> </w:t>
      </w:r>
      <w:r>
        <w:rPr>
          <w:color w:val="231F20"/>
          <w:sz w:val="23"/>
        </w:rPr>
        <w:t>to creating</w:t>
      </w:r>
      <w:r>
        <w:rPr>
          <w:color w:val="231F20"/>
          <w:spacing w:val="-38"/>
          <w:sz w:val="23"/>
        </w:rPr>
        <w:t> </w:t>
      </w:r>
      <w:r>
        <w:rPr>
          <w:color w:val="231F20"/>
          <w:sz w:val="23"/>
        </w:rPr>
        <w:t>job</w:t>
      </w:r>
      <w:r>
        <w:rPr>
          <w:color w:val="231F20"/>
          <w:spacing w:val="-38"/>
          <w:sz w:val="23"/>
        </w:rPr>
        <w:t> </w:t>
      </w:r>
      <w:r>
        <w:rPr>
          <w:color w:val="231F20"/>
          <w:sz w:val="23"/>
        </w:rPr>
        <w:t>opportunities.</w:t>
      </w:r>
      <w:r>
        <w:rPr>
          <w:color w:val="231F20"/>
          <w:spacing w:val="-38"/>
          <w:sz w:val="23"/>
        </w:rPr>
        <w:t> </w:t>
      </w:r>
      <w:r>
        <w:rPr>
          <w:color w:val="231F20"/>
          <w:sz w:val="23"/>
        </w:rPr>
        <w:t>The</w:t>
      </w:r>
      <w:r>
        <w:rPr>
          <w:color w:val="231F20"/>
          <w:spacing w:val="-38"/>
          <w:sz w:val="23"/>
        </w:rPr>
        <w:t> </w:t>
      </w:r>
      <w:r>
        <w:rPr>
          <w:color w:val="231F20"/>
          <w:sz w:val="23"/>
        </w:rPr>
        <w:t>BSL</w:t>
      </w:r>
      <w:r>
        <w:rPr>
          <w:color w:val="231F20"/>
          <w:spacing w:val="-38"/>
          <w:sz w:val="23"/>
        </w:rPr>
        <w:t> </w:t>
      </w:r>
      <w:r>
        <w:rPr>
          <w:color w:val="231F20"/>
          <w:sz w:val="23"/>
        </w:rPr>
        <w:t>will</w:t>
      </w:r>
      <w:r>
        <w:rPr>
          <w:color w:val="231F20"/>
          <w:spacing w:val="-38"/>
          <w:sz w:val="23"/>
        </w:rPr>
        <w:t> </w:t>
      </w:r>
      <w:r>
        <w:rPr>
          <w:color w:val="231F20"/>
          <w:sz w:val="23"/>
        </w:rPr>
        <w:t>continue</w:t>
      </w:r>
      <w:r>
        <w:rPr>
          <w:color w:val="231F20"/>
          <w:spacing w:val="-38"/>
          <w:sz w:val="23"/>
        </w:rPr>
        <w:t> </w:t>
      </w:r>
      <w:r>
        <w:rPr>
          <w:color w:val="231F20"/>
          <w:sz w:val="23"/>
        </w:rPr>
        <w:t>its</w:t>
      </w:r>
      <w:r>
        <w:rPr>
          <w:color w:val="231F20"/>
          <w:spacing w:val="-38"/>
          <w:sz w:val="23"/>
        </w:rPr>
        <w:t> </w:t>
      </w:r>
      <w:r>
        <w:rPr>
          <w:color w:val="231F20"/>
          <w:sz w:val="23"/>
        </w:rPr>
        <w:t>assessment</w:t>
      </w:r>
      <w:r>
        <w:rPr>
          <w:color w:val="231F20"/>
          <w:spacing w:val="-38"/>
          <w:sz w:val="23"/>
        </w:rPr>
        <w:t> </w:t>
      </w:r>
      <w:r>
        <w:rPr>
          <w:color w:val="231F20"/>
          <w:sz w:val="23"/>
        </w:rPr>
        <w:t>of</w:t>
      </w:r>
      <w:r>
        <w:rPr>
          <w:color w:val="231F20"/>
          <w:spacing w:val="-38"/>
          <w:sz w:val="23"/>
        </w:rPr>
        <w:t> </w:t>
      </w:r>
      <w:r>
        <w:rPr>
          <w:color w:val="231F20"/>
          <w:sz w:val="23"/>
        </w:rPr>
        <w:t>prevailing</w:t>
      </w:r>
      <w:r>
        <w:rPr>
          <w:color w:val="231F20"/>
          <w:spacing w:val="-38"/>
          <w:sz w:val="23"/>
        </w:rPr>
        <w:t> </w:t>
      </w:r>
      <w:r>
        <w:rPr>
          <w:color w:val="231F20"/>
          <w:sz w:val="23"/>
        </w:rPr>
        <w:t>economic conditions and make adjustments to the monetary policy rate to control</w:t>
      </w:r>
      <w:r>
        <w:rPr>
          <w:color w:val="231F20"/>
          <w:spacing w:val="-44"/>
          <w:sz w:val="23"/>
        </w:rPr>
        <w:t> </w:t>
      </w:r>
      <w:r>
        <w:rPr>
          <w:color w:val="231F20"/>
          <w:sz w:val="23"/>
        </w:rPr>
        <w:t>inflationary pressures</w:t>
      </w:r>
      <w:r>
        <w:rPr>
          <w:color w:val="231F20"/>
          <w:spacing w:val="-44"/>
          <w:sz w:val="23"/>
        </w:rPr>
        <w:t> </w:t>
      </w:r>
      <w:r>
        <w:rPr>
          <w:color w:val="231F20"/>
          <w:sz w:val="23"/>
        </w:rPr>
        <w:t>without</w:t>
      </w:r>
      <w:r>
        <w:rPr>
          <w:color w:val="231F20"/>
          <w:spacing w:val="-44"/>
          <w:sz w:val="23"/>
        </w:rPr>
        <w:t> </w:t>
      </w:r>
      <w:r>
        <w:rPr>
          <w:color w:val="231F20"/>
          <w:sz w:val="23"/>
        </w:rPr>
        <w:t>constraining</w:t>
      </w:r>
      <w:r>
        <w:rPr>
          <w:color w:val="231F20"/>
          <w:spacing w:val="-44"/>
          <w:sz w:val="23"/>
        </w:rPr>
        <w:t> </w:t>
      </w:r>
      <w:r>
        <w:rPr>
          <w:color w:val="231F20"/>
          <w:sz w:val="23"/>
        </w:rPr>
        <w:t>economic</w:t>
      </w:r>
      <w:r>
        <w:rPr>
          <w:color w:val="231F20"/>
          <w:spacing w:val="-44"/>
          <w:sz w:val="23"/>
        </w:rPr>
        <w:t> </w:t>
      </w:r>
      <w:r>
        <w:rPr>
          <w:color w:val="231F20"/>
          <w:sz w:val="23"/>
        </w:rPr>
        <w:t>recovery.</w:t>
      </w:r>
      <w:r>
        <w:rPr>
          <w:color w:val="231F20"/>
          <w:spacing w:val="-44"/>
          <w:sz w:val="23"/>
        </w:rPr>
        <w:t> </w:t>
      </w:r>
      <w:r>
        <w:rPr>
          <w:color w:val="231F20"/>
          <w:sz w:val="23"/>
        </w:rPr>
        <w:t>This</w:t>
      </w:r>
      <w:r>
        <w:rPr>
          <w:color w:val="231F20"/>
          <w:spacing w:val="-44"/>
          <w:sz w:val="23"/>
        </w:rPr>
        <w:t> </w:t>
      </w:r>
      <w:r>
        <w:rPr>
          <w:color w:val="231F20"/>
          <w:sz w:val="23"/>
        </w:rPr>
        <w:t>policy</w:t>
      </w:r>
      <w:r>
        <w:rPr>
          <w:color w:val="231F20"/>
          <w:spacing w:val="-44"/>
          <w:sz w:val="23"/>
        </w:rPr>
        <w:t> </w:t>
      </w:r>
      <w:r>
        <w:rPr>
          <w:color w:val="231F20"/>
          <w:sz w:val="23"/>
        </w:rPr>
        <w:t>stance</w:t>
      </w:r>
      <w:r>
        <w:rPr>
          <w:color w:val="231F20"/>
          <w:spacing w:val="-44"/>
          <w:sz w:val="23"/>
        </w:rPr>
        <w:t> </w:t>
      </w:r>
      <w:r>
        <w:rPr>
          <w:color w:val="231F20"/>
          <w:sz w:val="23"/>
        </w:rPr>
        <w:t>will</w:t>
      </w:r>
      <w:r>
        <w:rPr>
          <w:color w:val="231F20"/>
          <w:spacing w:val="-43"/>
          <w:sz w:val="23"/>
        </w:rPr>
        <w:t> </w:t>
      </w:r>
      <w:r>
        <w:rPr>
          <w:color w:val="231F20"/>
          <w:sz w:val="23"/>
        </w:rPr>
        <w:t>be</w:t>
      </w:r>
      <w:r>
        <w:rPr>
          <w:color w:val="231F20"/>
          <w:spacing w:val="-44"/>
          <w:sz w:val="23"/>
        </w:rPr>
        <w:t> </w:t>
      </w:r>
      <w:r>
        <w:rPr>
          <w:color w:val="231F20"/>
          <w:sz w:val="23"/>
        </w:rPr>
        <w:t>supported by the fiscal consolidation efforts of Government and the ongoing financial sector reforms.</w:t>
      </w:r>
    </w:p>
    <w:p>
      <w:pPr>
        <w:pStyle w:val="BodyText"/>
        <w:spacing w:before="9"/>
        <w:rPr>
          <w:sz w:val="28"/>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The availability of unique identification numbers from the biometric civil registration exercise and KIVA project, will enhance credit risk assessment by the Credit Reference Bureau. This combined with the Collateral Registry will increase commercial bank lending to the private sector, thereby supporting investments and creating jobs.</w:t>
      </w:r>
    </w:p>
    <w:p>
      <w:pPr>
        <w:pStyle w:val="BodyText"/>
        <w:spacing w:before="11"/>
        <w:rPr>
          <w:sz w:val="28"/>
        </w:rPr>
      </w:pPr>
    </w:p>
    <w:p>
      <w:pPr>
        <w:pStyle w:val="ListParagraph"/>
        <w:numPr>
          <w:ilvl w:val="0"/>
          <w:numId w:val="2"/>
        </w:numPr>
        <w:tabs>
          <w:tab w:pos="954" w:val="left" w:leader="none"/>
        </w:tabs>
        <w:spacing w:line="302" w:lineRule="auto" w:before="0" w:after="0"/>
        <w:ind w:left="103" w:right="117" w:firstLine="87"/>
        <w:jc w:val="both"/>
        <w:rPr>
          <w:sz w:val="23"/>
        </w:rPr>
      </w:pPr>
      <w:r>
        <w:rPr>
          <w:color w:val="231F20"/>
          <w:sz w:val="23"/>
        </w:rPr>
        <w:t>Mr.</w:t>
      </w:r>
      <w:r>
        <w:rPr>
          <w:color w:val="231F20"/>
          <w:spacing w:val="-5"/>
          <w:sz w:val="23"/>
        </w:rPr>
        <w:t> </w:t>
      </w:r>
      <w:r>
        <w:rPr>
          <w:color w:val="231F20"/>
          <w:sz w:val="23"/>
        </w:rPr>
        <w:t>Speaker,</w:t>
      </w:r>
      <w:r>
        <w:rPr>
          <w:color w:val="231F20"/>
          <w:spacing w:val="-5"/>
          <w:sz w:val="23"/>
        </w:rPr>
        <w:t> </w:t>
      </w:r>
      <w:r>
        <w:rPr>
          <w:color w:val="231F20"/>
          <w:sz w:val="23"/>
        </w:rPr>
        <w:t>Honourable</w:t>
      </w:r>
      <w:r>
        <w:rPr>
          <w:color w:val="231F20"/>
          <w:spacing w:val="-5"/>
          <w:sz w:val="23"/>
        </w:rPr>
        <w:t> </w:t>
      </w:r>
      <w:r>
        <w:rPr>
          <w:color w:val="231F20"/>
          <w:sz w:val="23"/>
        </w:rPr>
        <w:t>Members,</w:t>
      </w:r>
      <w:r>
        <w:rPr>
          <w:color w:val="231F20"/>
          <w:spacing w:val="-5"/>
          <w:sz w:val="23"/>
        </w:rPr>
        <w:t> </w:t>
      </w:r>
      <w:r>
        <w:rPr>
          <w:color w:val="231F20"/>
          <w:sz w:val="23"/>
        </w:rPr>
        <w:t>the</w:t>
      </w:r>
      <w:r>
        <w:rPr>
          <w:color w:val="231F20"/>
          <w:spacing w:val="-5"/>
          <w:sz w:val="23"/>
        </w:rPr>
        <w:t> </w:t>
      </w:r>
      <w:r>
        <w:rPr>
          <w:color w:val="231F20"/>
          <w:sz w:val="23"/>
        </w:rPr>
        <w:t>BSL</w:t>
      </w:r>
      <w:r>
        <w:rPr>
          <w:color w:val="231F20"/>
          <w:spacing w:val="-5"/>
          <w:sz w:val="23"/>
        </w:rPr>
        <w:t> </w:t>
      </w:r>
      <w:r>
        <w:rPr>
          <w:color w:val="231F20"/>
          <w:sz w:val="23"/>
        </w:rPr>
        <w:t>will</w:t>
      </w:r>
      <w:r>
        <w:rPr>
          <w:color w:val="231F20"/>
          <w:spacing w:val="-5"/>
          <w:sz w:val="23"/>
        </w:rPr>
        <w:t> </w:t>
      </w:r>
      <w:r>
        <w:rPr>
          <w:color w:val="231F20"/>
          <w:sz w:val="23"/>
        </w:rPr>
        <w:t>also</w:t>
      </w:r>
      <w:r>
        <w:rPr>
          <w:color w:val="231F20"/>
          <w:spacing w:val="-5"/>
          <w:sz w:val="23"/>
        </w:rPr>
        <w:t> </w:t>
      </w:r>
      <w:r>
        <w:rPr>
          <w:color w:val="231F20"/>
          <w:sz w:val="23"/>
        </w:rPr>
        <w:t>seek</w:t>
      </w:r>
      <w:r>
        <w:rPr>
          <w:color w:val="231F20"/>
          <w:spacing w:val="-5"/>
          <w:sz w:val="23"/>
        </w:rPr>
        <w:t> </w:t>
      </w:r>
      <w:r>
        <w:rPr>
          <w:color w:val="231F20"/>
          <w:sz w:val="23"/>
        </w:rPr>
        <w:t>to</w:t>
      </w:r>
      <w:r>
        <w:rPr>
          <w:color w:val="231F20"/>
          <w:spacing w:val="-5"/>
          <w:sz w:val="23"/>
        </w:rPr>
        <w:t> </w:t>
      </w:r>
      <w:r>
        <w:rPr>
          <w:color w:val="231F20"/>
          <w:sz w:val="23"/>
        </w:rPr>
        <w:t>further</w:t>
      </w:r>
      <w:r>
        <w:rPr>
          <w:color w:val="231F20"/>
          <w:spacing w:val="-5"/>
          <w:sz w:val="23"/>
        </w:rPr>
        <w:t> </w:t>
      </w:r>
      <w:r>
        <w:rPr>
          <w:color w:val="231F20"/>
          <w:sz w:val="23"/>
        </w:rPr>
        <w:t>develop and</w:t>
      </w:r>
      <w:r>
        <w:rPr>
          <w:color w:val="231F20"/>
          <w:spacing w:val="-20"/>
          <w:sz w:val="23"/>
        </w:rPr>
        <w:t> </w:t>
      </w:r>
      <w:r>
        <w:rPr>
          <w:color w:val="231F20"/>
          <w:sz w:val="23"/>
        </w:rPr>
        <w:t>deepen</w:t>
      </w:r>
      <w:r>
        <w:rPr>
          <w:color w:val="231F20"/>
          <w:spacing w:val="-20"/>
          <w:sz w:val="23"/>
        </w:rPr>
        <w:t> </w:t>
      </w:r>
      <w:r>
        <w:rPr>
          <w:color w:val="231F20"/>
          <w:sz w:val="23"/>
        </w:rPr>
        <w:t>the</w:t>
      </w:r>
      <w:r>
        <w:rPr>
          <w:color w:val="231F20"/>
          <w:spacing w:val="-20"/>
          <w:sz w:val="23"/>
        </w:rPr>
        <w:t> </w:t>
      </w:r>
      <w:r>
        <w:rPr>
          <w:color w:val="231F20"/>
          <w:sz w:val="23"/>
        </w:rPr>
        <w:t>interbank</w:t>
      </w:r>
      <w:r>
        <w:rPr>
          <w:color w:val="231F20"/>
          <w:spacing w:val="-20"/>
          <w:sz w:val="23"/>
        </w:rPr>
        <w:t> </w:t>
      </w:r>
      <w:r>
        <w:rPr>
          <w:color w:val="231F20"/>
          <w:sz w:val="23"/>
        </w:rPr>
        <w:t>market</w:t>
      </w:r>
      <w:r>
        <w:rPr>
          <w:color w:val="231F20"/>
          <w:spacing w:val="-20"/>
          <w:sz w:val="23"/>
        </w:rPr>
        <w:t> </w:t>
      </w:r>
      <w:r>
        <w:rPr>
          <w:color w:val="231F20"/>
          <w:sz w:val="23"/>
        </w:rPr>
        <w:t>to</w:t>
      </w:r>
      <w:r>
        <w:rPr>
          <w:color w:val="231F20"/>
          <w:spacing w:val="-20"/>
          <w:sz w:val="23"/>
        </w:rPr>
        <w:t> </w:t>
      </w:r>
      <w:r>
        <w:rPr>
          <w:color w:val="231F20"/>
          <w:sz w:val="23"/>
        </w:rPr>
        <w:t>enable</w:t>
      </w:r>
      <w:r>
        <w:rPr>
          <w:color w:val="231F20"/>
          <w:spacing w:val="-20"/>
          <w:sz w:val="23"/>
        </w:rPr>
        <w:t> </w:t>
      </w:r>
      <w:r>
        <w:rPr>
          <w:color w:val="231F20"/>
          <w:sz w:val="23"/>
        </w:rPr>
        <w:t>market</w:t>
      </w:r>
      <w:r>
        <w:rPr>
          <w:color w:val="231F20"/>
          <w:spacing w:val="-20"/>
          <w:sz w:val="23"/>
        </w:rPr>
        <w:t> </w:t>
      </w:r>
      <w:r>
        <w:rPr>
          <w:color w:val="231F20"/>
          <w:sz w:val="23"/>
        </w:rPr>
        <w:t>participants</w:t>
      </w:r>
      <w:r>
        <w:rPr>
          <w:color w:val="231F20"/>
          <w:spacing w:val="-20"/>
          <w:sz w:val="23"/>
        </w:rPr>
        <w:t> </w:t>
      </w:r>
      <w:r>
        <w:rPr>
          <w:color w:val="231F20"/>
          <w:sz w:val="23"/>
        </w:rPr>
        <w:t>to</w:t>
      </w:r>
      <w:r>
        <w:rPr>
          <w:color w:val="231F20"/>
          <w:spacing w:val="-20"/>
          <w:sz w:val="23"/>
        </w:rPr>
        <w:t> </w:t>
      </w:r>
      <w:r>
        <w:rPr>
          <w:color w:val="231F20"/>
          <w:sz w:val="23"/>
        </w:rPr>
        <w:t>respond</w:t>
      </w:r>
      <w:r>
        <w:rPr>
          <w:color w:val="231F20"/>
          <w:spacing w:val="-20"/>
          <w:sz w:val="23"/>
        </w:rPr>
        <w:t> </w:t>
      </w:r>
      <w:r>
        <w:rPr>
          <w:color w:val="231F20"/>
          <w:sz w:val="23"/>
        </w:rPr>
        <w:t>effectively and</w:t>
      </w:r>
      <w:r>
        <w:rPr>
          <w:color w:val="231F20"/>
          <w:spacing w:val="-10"/>
          <w:sz w:val="23"/>
        </w:rPr>
        <w:t> </w:t>
      </w:r>
      <w:r>
        <w:rPr>
          <w:color w:val="231F20"/>
          <w:sz w:val="23"/>
        </w:rPr>
        <w:t>appropriately</w:t>
      </w:r>
      <w:r>
        <w:rPr>
          <w:color w:val="231F20"/>
          <w:spacing w:val="-10"/>
          <w:sz w:val="23"/>
        </w:rPr>
        <w:t> </w:t>
      </w:r>
      <w:r>
        <w:rPr>
          <w:color w:val="231F20"/>
          <w:sz w:val="23"/>
        </w:rPr>
        <w:t>to</w:t>
      </w:r>
      <w:r>
        <w:rPr>
          <w:color w:val="231F20"/>
          <w:spacing w:val="-10"/>
          <w:sz w:val="23"/>
        </w:rPr>
        <w:t> </w:t>
      </w:r>
      <w:r>
        <w:rPr>
          <w:color w:val="231F20"/>
          <w:sz w:val="23"/>
        </w:rPr>
        <w:t>monetary</w:t>
      </w:r>
      <w:r>
        <w:rPr>
          <w:color w:val="231F20"/>
          <w:spacing w:val="-10"/>
          <w:sz w:val="23"/>
        </w:rPr>
        <w:t> </w:t>
      </w:r>
      <w:r>
        <w:rPr>
          <w:color w:val="231F20"/>
          <w:sz w:val="23"/>
        </w:rPr>
        <w:t>policy</w:t>
      </w:r>
      <w:r>
        <w:rPr>
          <w:color w:val="231F20"/>
          <w:spacing w:val="-10"/>
          <w:sz w:val="23"/>
        </w:rPr>
        <w:t> </w:t>
      </w:r>
      <w:r>
        <w:rPr>
          <w:color w:val="231F20"/>
          <w:sz w:val="23"/>
        </w:rPr>
        <w:t>signals.</w:t>
      </w:r>
      <w:r>
        <w:rPr>
          <w:color w:val="231F20"/>
          <w:spacing w:val="-10"/>
          <w:sz w:val="23"/>
        </w:rPr>
        <w:t> </w:t>
      </w:r>
      <w:r>
        <w:rPr>
          <w:color w:val="231F20"/>
          <w:sz w:val="23"/>
        </w:rPr>
        <w:t>The</w:t>
      </w:r>
      <w:r>
        <w:rPr>
          <w:color w:val="231F20"/>
          <w:spacing w:val="-10"/>
          <w:sz w:val="23"/>
        </w:rPr>
        <w:t> </w:t>
      </w:r>
      <w:r>
        <w:rPr>
          <w:color w:val="231F20"/>
          <w:sz w:val="23"/>
        </w:rPr>
        <w:t>Bank</w:t>
      </w:r>
      <w:r>
        <w:rPr>
          <w:color w:val="231F20"/>
          <w:spacing w:val="-9"/>
          <w:sz w:val="23"/>
        </w:rPr>
        <w:t> </w:t>
      </w:r>
      <w:r>
        <w:rPr>
          <w:color w:val="231F20"/>
          <w:sz w:val="23"/>
        </w:rPr>
        <w:t>of</w:t>
      </w:r>
      <w:r>
        <w:rPr>
          <w:color w:val="231F20"/>
          <w:spacing w:val="-10"/>
          <w:sz w:val="23"/>
        </w:rPr>
        <w:t> </w:t>
      </w:r>
      <w:r>
        <w:rPr>
          <w:color w:val="231F20"/>
          <w:sz w:val="23"/>
        </w:rPr>
        <w:t>Sierra</w:t>
      </w:r>
      <w:r>
        <w:rPr>
          <w:color w:val="231F20"/>
          <w:spacing w:val="-10"/>
          <w:sz w:val="23"/>
        </w:rPr>
        <w:t> </w:t>
      </w:r>
      <w:r>
        <w:rPr>
          <w:color w:val="231F20"/>
          <w:sz w:val="23"/>
        </w:rPr>
        <w:t>Leone</w:t>
      </w:r>
      <w:r>
        <w:rPr>
          <w:color w:val="231F20"/>
          <w:spacing w:val="-10"/>
          <w:sz w:val="23"/>
        </w:rPr>
        <w:t> </w:t>
      </w:r>
      <w:r>
        <w:rPr>
          <w:color w:val="231F20"/>
          <w:sz w:val="23"/>
        </w:rPr>
        <w:t>will</w:t>
      </w:r>
      <w:r>
        <w:rPr>
          <w:color w:val="231F20"/>
          <w:spacing w:val="-10"/>
          <w:sz w:val="23"/>
        </w:rPr>
        <w:t> </w:t>
      </w:r>
      <w:r>
        <w:rPr>
          <w:color w:val="231F20"/>
          <w:sz w:val="23"/>
        </w:rPr>
        <w:t>continue to</w:t>
      </w:r>
      <w:r>
        <w:rPr>
          <w:color w:val="231F20"/>
          <w:spacing w:val="-20"/>
          <w:sz w:val="23"/>
        </w:rPr>
        <w:t> </w:t>
      </w:r>
      <w:r>
        <w:rPr>
          <w:color w:val="231F20"/>
          <w:sz w:val="23"/>
        </w:rPr>
        <w:t>enhance</w:t>
      </w:r>
      <w:r>
        <w:rPr>
          <w:color w:val="231F20"/>
          <w:spacing w:val="-20"/>
          <w:sz w:val="23"/>
        </w:rPr>
        <w:t> </w:t>
      </w:r>
      <w:r>
        <w:rPr>
          <w:color w:val="231F20"/>
          <w:sz w:val="23"/>
        </w:rPr>
        <w:t>its</w:t>
      </w:r>
      <w:r>
        <w:rPr>
          <w:color w:val="231F20"/>
          <w:spacing w:val="-20"/>
          <w:sz w:val="23"/>
        </w:rPr>
        <w:t> </w:t>
      </w:r>
      <w:r>
        <w:rPr>
          <w:color w:val="231F20"/>
          <w:sz w:val="23"/>
        </w:rPr>
        <w:t>communication</w:t>
      </w:r>
      <w:r>
        <w:rPr>
          <w:color w:val="231F20"/>
          <w:spacing w:val="-20"/>
          <w:sz w:val="23"/>
        </w:rPr>
        <w:t> </w:t>
      </w:r>
      <w:r>
        <w:rPr>
          <w:color w:val="231F20"/>
          <w:sz w:val="23"/>
        </w:rPr>
        <w:t>strategy</w:t>
      </w:r>
      <w:r>
        <w:rPr>
          <w:color w:val="231F20"/>
          <w:spacing w:val="-20"/>
          <w:sz w:val="23"/>
        </w:rPr>
        <w:t> </w:t>
      </w:r>
      <w:r>
        <w:rPr>
          <w:color w:val="231F20"/>
          <w:sz w:val="23"/>
        </w:rPr>
        <w:t>with</w:t>
      </w:r>
      <w:r>
        <w:rPr>
          <w:color w:val="231F20"/>
          <w:spacing w:val="-20"/>
          <w:sz w:val="23"/>
        </w:rPr>
        <w:t> </w:t>
      </w:r>
      <w:r>
        <w:rPr>
          <w:color w:val="231F20"/>
          <w:sz w:val="23"/>
        </w:rPr>
        <w:t>stakeholders</w:t>
      </w:r>
      <w:r>
        <w:rPr>
          <w:color w:val="231F20"/>
          <w:spacing w:val="-20"/>
          <w:sz w:val="23"/>
        </w:rPr>
        <w:t> </w:t>
      </w:r>
      <w:r>
        <w:rPr>
          <w:color w:val="231F20"/>
          <w:sz w:val="23"/>
        </w:rPr>
        <w:t>such</w:t>
      </w:r>
      <w:r>
        <w:rPr>
          <w:color w:val="231F20"/>
          <w:spacing w:val="-20"/>
          <w:sz w:val="23"/>
        </w:rPr>
        <w:t> </w:t>
      </w:r>
      <w:r>
        <w:rPr>
          <w:color w:val="231F20"/>
          <w:sz w:val="23"/>
        </w:rPr>
        <w:t>as</w:t>
      </w:r>
      <w:r>
        <w:rPr>
          <w:color w:val="231F20"/>
          <w:spacing w:val="-20"/>
          <w:sz w:val="23"/>
        </w:rPr>
        <w:t> </w:t>
      </w:r>
      <w:r>
        <w:rPr>
          <w:color w:val="231F20"/>
          <w:sz w:val="23"/>
        </w:rPr>
        <w:t>commercial</w:t>
      </w:r>
      <w:r>
        <w:rPr>
          <w:color w:val="231F20"/>
          <w:spacing w:val="-20"/>
          <w:sz w:val="23"/>
        </w:rPr>
        <w:t> </w:t>
      </w:r>
      <w:r>
        <w:rPr>
          <w:color w:val="231F20"/>
          <w:sz w:val="23"/>
        </w:rPr>
        <w:t>banks, manufacturers,</w:t>
      </w:r>
      <w:r>
        <w:rPr>
          <w:color w:val="231F20"/>
          <w:spacing w:val="-28"/>
          <w:sz w:val="23"/>
        </w:rPr>
        <w:t> </w:t>
      </w:r>
      <w:r>
        <w:rPr>
          <w:color w:val="231F20"/>
          <w:sz w:val="23"/>
        </w:rPr>
        <w:t>petty</w:t>
      </w:r>
      <w:r>
        <w:rPr>
          <w:color w:val="231F20"/>
          <w:spacing w:val="-28"/>
          <w:sz w:val="23"/>
        </w:rPr>
        <w:t> </w:t>
      </w:r>
      <w:r>
        <w:rPr>
          <w:color w:val="231F20"/>
          <w:sz w:val="23"/>
        </w:rPr>
        <w:t>traders,</w:t>
      </w:r>
      <w:r>
        <w:rPr>
          <w:color w:val="231F20"/>
          <w:spacing w:val="-28"/>
          <w:sz w:val="23"/>
        </w:rPr>
        <w:t> </w:t>
      </w:r>
      <w:r>
        <w:rPr>
          <w:color w:val="231F20"/>
          <w:sz w:val="23"/>
        </w:rPr>
        <w:t>the</w:t>
      </w:r>
      <w:r>
        <w:rPr>
          <w:color w:val="231F20"/>
          <w:spacing w:val="-28"/>
          <w:sz w:val="23"/>
        </w:rPr>
        <w:t> </w:t>
      </w:r>
      <w:r>
        <w:rPr>
          <w:color w:val="231F20"/>
          <w:sz w:val="23"/>
        </w:rPr>
        <w:t>Chamber</w:t>
      </w:r>
      <w:r>
        <w:rPr>
          <w:color w:val="231F20"/>
          <w:spacing w:val="-28"/>
          <w:sz w:val="23"/>
        </w:rPr>
        <w:t> </w:t>
      </w:r>
      <w:r>
        <w:rPr>
          <w:color w:val="231F20"/>
          <w:sz w:val="23"/>
        </w:rPr>
        <w:t>of</w:t>
      </w:r>
      <w:r>
        <w:rPr>
          <w:color w:val="231F20"/>
          <w:spacing w:val="-28"/>
          <w:sz w:val="23"/>
        </w:rPr>
        <w:t> </w:t>
      </w:r>
      <w:r>
        <w:rPr>
          <w:color w:val="231F20"/>
          <w:sz w:val="23"/>
        </w:rPr>
        <w:t>Commerce</w:t>
      </w:r>
      <w:r>
        <w:rPr>
          <w:color w:val="231F20"/>
          <w:spacing w:val="-28"/>
          <w:sz w:val="23"/>
        </w:rPr>
        <w:t> </w:t>
      </w:r>
      <w:r>
        <w:rPr>
          <w:color w:val="231F20"/>
          <w:sz w:val="23"/>
        </w:rPr>
        <w:t>and</w:t>
      </w:r>
      <w:r>
        <w:rPr>
          <w:color w:val="231F20"/>
          <w:spacing w:val="-28"/>
          <w:sz w:val="23"/>
        </w:rPr>
        <w:t> </w:t>
      </w:r>
      <w:r>
        <w:rPr>
          <w:color w:val="231F20"/>
          <w:sz w:val="23"/>
        </w:rPr>
        <w:t>Industry,</w:t>
      </w:r>
      <w:r>
        <w:rPr>
          <w:color w:val="231F20"/>
          <w:spacing w:val="-28"/>
          <w:sz w:val="23"/>
        </w:rPr>
        <w:t> </w:t>
      </w:r>
      <w:r>
        <w:rPr>
          <w:color w:val="231F20"/>
          <w:sz w:val="23"/>
        </w:rPr>
        <w:t>importers</w:t>
      </w:r>
      <w:r>
        <w:rPr>
          <w:color w:val="231F20"/>
          <w:spacing w:val="-28"/>
          <w:sz w:val="23"/>
        </w:rPr>
        <w:t> </w:t>
      </w:r>
      <w:r>
        <w:rPr>
          <w:color w:val="231F20"/>
          <w:sz w:val="23"/>
        </w:rPr>
        <w:t>and exporters, the Dollar Boys and Forex Bureaus on monetary policy issues.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1"/>
      </w:pPr>
      <w:r>
        <w:rPr>
          <w:color w:val="231F20"/>
        </w:rPr>
        <w:t>22</w:t>
      </w:r>
    </w:p>
    <w:p>
      <w:pPr>
        <w:spacing w:after="0"/>
        <w:sectPr>
          <w:pgSz w:w="11900" w:h="16840"/>
          <w:pgMar w:top="1180" w:bottom="280" w:left="1140" w:right="1120"/>
        </w:sectPr>
      </w:pPr>
    </w:p>
    <w:p>
      <w:pPr>
        <w:pStyle w:val="Heading2"/>
        <w:spacing w:before="77"/>
        <w:jc w:val="both"/>
      </w:pPr>
      <w:r>
        <w:rPr>
          <w:color w:val="231F20"/>
        </w:rPr>
        <w:t>Exchange Rate Policy</w:t>
      </w:r>
    </w:p>
    <w:p>
      <w:pPr>
        <w:pStyle w:val="ListParagraph"/>
        <w:numPr>
          <w:ilvl w:val="0"/>
          <w:numId w:val="2"/>
        </w:numPr>
        <w:tabs>
          <w:tab w:pos="954" w:val="left" w:leader="none"/>
        </w:tabs>
        <w:spacing w:line="302" w:lineRule="auto" w:before="71" w:after="0"/>
        <w:ind w:left="103" w:right="121" w:firstLine="87"/>
        <w:jc w:val="both"/>
        <w:rPr>
          <w:sz w:val="23"/>
        </w:rPr>
      </w:pPr>
      <w:r>
        <w:rPr>
          <w:color w:val="231F20"/>
          <w:sz w:val="23"/>
        </w:rPr>
        <w:t>Mr. Speaker, Honourable Members, the exchange rate will remain ‘market- determined’</w:t>
      </w:r>
      <w:r>
        <w:rPr>
          <w:color w:val="231F20"/>
          <w:spacing w:val="-18"/>
          <w:sz w:val="23"/>
        </w:rPr>
        <w:t> </w:t>
      </w:r>
      <w:r>
        <w:rPr>
          <w:color w:val="231F20"/>
          <w:sz w:val="23"/>
        </w:rPr>
        <w:t>to</w:t>
      </w:r>
      <w:r>
        <w:rPr>
          <w:color w:val="231F20"/>
          <w:spacing w:val="-18"/>
          <w:sz w:val="23"/>
        </w:rPr>
        <w:t> </w:t>
      </w:r>
      <w:r>
        <w:rPr>
          <w:color w:val="231F20"/>
          <w:sz w:val="23"/>
        </w:rPr>
        <w:t>ensure</w:t>
      </w:r>
      <w:r>
        <w:rPr>
          <w:color w:val="231F20"/>
          <w:spacing w:val="-18"/>
          <w:sz w:val="23"/>
        </w:rPr>
        <w:t> </w:t>
      </w:r>
      <w:r>
        <w:rPr>
          <w:color w:val="231F20"/>
          <w:sz w:val="23"/>
        </w:rPr>
        <w:t>the</w:t>
      </w:r>
      <w:r>
        <w:rPr>
          <w:color w:val="231F20"/>
          <w:spacing w:val="-18"/>
          <w:sz w:val="23"/>
        </w:rPr>
        <w:t> </w:t>
      </w:r>
      <w:r>
        <w:rPr>
          <w:color w:val="231F20"/>
          <w:sz w:val="23"/>
        </w:rPr>
        <w:t>competitiveness</w:t>
      </w:r>
      <w:r>
        <w:rPr>
          <w:color w:val="231F20"/>
          <w:spacing w:val="-18"/>
          <w:sz w:val="23"/>
        </w:rPr>
        <w:t> </w:t>
      </w:r>
      <w:r>
        <w:rPr>
          <w:color w:val="231F20"/>
          <w:sz w:val="23"/>
        </w:rPr>
        <w:t>of</w:t>
      </w:r>
      <w:r>
        <w:rPr>
          <w:color w:val="231F20"/>
          <w:spacing w:val="-18"/>
          <w:sz w:val="23"/>
        </w:rPr>
        <w:t> </w:t>
      </w:r>
      <w:r>
        <w:rPr>
          <w:color w:val="231F20"/>
          <w:sz w:val="23"/>
        </w:rPr>
        <w:t>the</w:t>
      </w:r>
      <w:r>
        <w:rPr>
          <w:color w:val="231F20"/>
          <w:spacing w:val="-18"/>
          <w:sz w:val="23"/>
        </w:rPr>
        <w:t> </w:t>
      </w:r>
      <w:r>
        <w:rPr>
          <w:color w:val="231F20"/>
          <w:sz w:val="23"/>
        </w:rPr>
        <w:t>economy</w:t>
      </w:r>
      <w:r>
        <w:rPr>
          <w:color w:val="231F20"/>
          <w:spacing w:val="-18"/>
          <w:sz w:val="23"/>
        </w:rPr>
        <w:t> </w:t>
      </w:r>
      <w:r>
        <w:rPr>
          <w:color w:val="231F20"/>
          <w:sz w:val="23"/>
        </w:rPr>
        <w:t>and</w:t>
      </w:r>
      <w:r>
        <w:rPr>
          <w:color w:val="231F20"/>
          <w:spacing w:val="-18"/>
          <w:sz w:val="23"/>
        </w:rPr>
        <w:t> </w:t>
      </w:r>
      <w:r>
        <w:rPr>
          <w:color w:val="231F20"/>
          <w:sz w:val="23"/>
        </w:rPr>
        <w:t>adjustment</w:t>
      </w:r>
      <w:r>
        <w:rPr>
          <w:color w:val="231F20"/>
          <w:spacing w:val="-18"/>
          <w:sz w:val="23"/>
        </w:rPr>
        <w:t> </w:t>
      </w:r>
      <w:r>
        <w:rPr>
          <w:color w:val="231F20"/>
          <w:sz w:val="23"/>
        </w:rPr>
        <w:t>to</w:t>
      </w:r>
      <w:r>
        <w:rPr>
          <w:color w:val="231F20"/>
          <w:spacing w:val="-18"/>
          <w:sz w:val="23"/>
        </w:rPr>
        <w:t> </w:t>
      </w:r>
      <w:r>
        <w:rPr>
          <w:color w:val="231F20"/>
          <w:sz w:val="23"/>
        </w:rPr>
        <w:t>shocks. This is expected to benefit businesses engaged in export-oriented activities in the medium-term.</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Mr.</w:t>
      </w:r>
      <w:r>
        <w:rPr>
          <w:color w:val="231F20"/>
          <w:spacing w:val="-14"/>
          <w:sz w:val="23"/>
        </w:rPr>
        <w:t> </w:t>
      </w:r>
      <w:r>
        <w:rPr>
          <w:color w:val="231F20"/>
          <w:sz w:val="23"/>
        </w:rPr>
        <w:t>Speaker,</w:t>
      </w:r>
      <w:r>
        <w:rPr>
          <w:color w:val="231F20"/>
          <w:spacing w:val="-14"/>
          <w:sz w:val="23"/>
        </w:rPr>
        <w:t> </w:t>
      </w:r>
      <w:r>
        <w:rPr>
          <w:color w:val="231F20"/>
          <w:sz w:val="23"/>
        </w:rPr>
        <w:t>Honourable</w:t>
      </w:r>
      <w:r>
        <w:rPr>
          <w:color w:val="231F20"/>
          <w:spacing w:val="-14"/>
          <w:sz w:val="23"/>
        </w:rPr>
        <w:t> </w:t>
      </w:r>
      <w:r>
        <w:rPr>
          <w:color w:val="231F20"/>
          <w:sz w:val="23"/>
        </w:rPr>
        <w:t>Members,</w:t>
      </w:r>
      <w:r>
        <w:rPr>
          <w:color w:val="231F20"/>
          <w:spacing w:val="-14"/>
          <w:sz w:val="23"/>
        </w:rPr>
        <w:t> </w:t>
      </w:r>
      <w:r>
        <w:rPr>
          <w:color w:val="231F20"/>
          <w:sz w:val="23"/>
        </w:rPr>
        <w:t>the</w:t>
      </w:r>
      <w:r>
        <w:rPr>
          <w:color w:val="231F20"/>
          <w:spacing w:val="-14"/>
          <w:sz w:val="23"/>
        </w:rPr>
        <w:t> </w:t>
      </w:r>
      <w:r>
        <w:rPr>
          <w:color w:val="231F20"/>
          <w:sz w:val="23"/>
        </w:rPr>
        <w:t>foreign</w:t>
      </w:r>
      <w:r>
        <w:rPr>
          <w:color w:val="231F20"/>
          <w:spacing w:val="-14"/>
          <w:sz w:val="23"/>
        </w:rPr>
        <w:t> </w:t>
      </w:r>
      <w:r>
        <w:rPr>
          <w:color w:val="231F20"/>
          <w:sz w:val="23"/>
        </w:rPr>
        <w:t>exchange</w:t>
      </w:r>
      <w:r>
        <w:rPr>
          <w:color w:val="231F20"/>
          <w:spacing w:val="-14"/>
          <w:sz w:val="23"/>
        </w:rPr>
        <w:t> </w:t>
      </w:r>
      <w:r>
        <w:rPr>
          <w:color w:val="231F20"/>
          <w:sz w:val="23"/>
        </w:rPr>
        <w:t>market</w:t>
      </w:r>
      <w:r>
        <w:rPr>
          <w:color w:val="231F20"/>
          <w:spacing w:val="-14"/>
          <w:sz w:val="23"/>
        </w:rPr>
        <w:t> </w:t>
      </w:r>
      <w:r>
        <w:rPr>
          <w:color w:val="231F20"/>
          <w:sz w:val="23"/>
        </w:rPr>
        <w:t>was</w:t>
      </w:r>
      <w:r>
        <w:rPr>
          <w:color w:val="231F20"/>
          <w:spacing w:val="-14"/>
          <w:sz w:val="23"/>
        </w:rPr>
        <w:t> </w:t>
      </w:r>
      <w:r>
        <w:rPr>
          <w:color w:val="231F20"/>
          <w:sz w:val="23"/>
        </w:rPr>
        <w:t>marred by excess volatility in 2019, attributed mainly to the increased demand for foreign exchange</w:t>
      </w:r>
      <w:r>
        <w:rPr>
          <w:color w:val="231F20"/>
          <w:spacing w:val="-24"/>
          <w:sz w:val="23"/>
        </w:rPr>
        <w:t> </w:t>
      </w:r>
      <w:r>
        <w:rPr>
          <w:color w:val="231F20"/>
          <w:sz w:val="23"/>
        </w:rPr>
        <w:t>for</w:t>
      </w:r>
      <w:r>
        <w:rPr>
          <w:color w:val="231F20"/>
          <w:spacing w:val="-24"/>
          <w:sz w:val="23"/>
        </w:rPr>
        <w:t> </w:t>
      </w:r>
      <w:r>
        <w:rPr>
          <w:color w:val="231F20"/>
          <w:sz w:val="23"/>
        </w:rPr>
        <w:t>the</w:t>
      </w:r>
      <w:r>
        <w:rPr>
          <w:color w:val="231F20"/>
          <w:spacing w:val="-24"/>
          <w:sz w:val="23"/>
        </w:rPr>
        <w:t> </w:t>
      </w:r>
      <w:r>
        <w:rPr>
          <w:color w:val="231F20"/>
          <w:sz w:val="23"/>
        </w:rPr>
        <w:t>importation</w:t>
      </w:r>
      <w:r>
        <w:rPr>
          <w:color w:val="231F20"/>
          <w:spacing w:val="-23"/>
          <w:sz w:val="23"/>
        </w:rPr>
        <w:t> </w:t>
      </w:r>
      <w:r>
        <w:rPr>
          <w:color w:val="231F20"/>
          <w:sz w:val="23"/>
        </w:rPr>
        <w:t>of</w:t>
      </w:r>
      <w:r>
        <w:rPr>
          <w:color w:val="231F20"/>
          <w:spacing w:val="-24"/>
          <w:sz w:val="23"/>
        </w:rPr>
        <w:t> </w:t>
      </w:r>
      <w:r>
        <w:rPr>
          <w:color w:val="231F20"/>
          <w:sz w:val="23"/>
        </w:rPr>
        <w:t>fuel</w:t>
      </w:r>
      <w:r>
        <w:rPr>
          <w:color w:val="231F20"/>
          <w:spacing w:val="-24"/>
          <w:sz w:val="23"/>
        </w:rPr>
        <w:t> </w:t>
      </w:r>
      <w:r>
        <w:rPr>
          <w:color w:val="231F20"/>
          <w:sz w:val="23"/>
        </w:rPr>
        <w:t>and</w:t>
      </w:r>
      <w:r>
        <w:rPr>
          <w:color w:val="231F20"/>
          <w:spacing w:val="-24"/>
          <w:sz w:val="23"/>
        </w:rPr>
        <w:t> </w:t>
      </w:r>
      <w:r>
        <w:rPr>
          <w:color w:val="231F20"/>
          <w:sz w:val="23"/>
        </w:rPr>
        <w:t>rice</w:t>
      </w:r>
      <w:r>
        <w:rPr>
          <w:color w:val="231F20"/>
          <w:spacing w:val="-24"/>
          <w:sz w:val="23"/>
        </w:rPr>
        <w:t> </w:t>
      </w:r>
      <w:r>
        <w:rPr>
          <w:color w:val="231F20"/>
          <w:sz w:val="23"/>
        </w:rPr>
        <w:t>combined</w:t>
      </w:r>
      <w:r>
        <w:rPr>
          <w:color w:val="231F20"/>
          <w:spacing w:val="-24"/>
          <w:sz w:val="23"/>
        </w:rPr>
        <w:t> </w:t>
      </w:r>
      <w:r>
        <w:rPr>
          <w:color w:val="231F20"/>
          <w:sz w:val="23"/>
        </w:rPr>
        <w:t>with</w:t>
      </w:r>
      <w:r>
        <w:rPr>
          <w:color w:val="231F20"/>
          <w:spacing w:val="-23"/>
          <w:sz w:val="23"/>
        </w:rPr>
        <w:t> </w:t>
      </w:r>
      <w:r>
        <w:rPr>
          <w:color w:val="231F20"/>
          <w:sz w:val="23"/>
        </w:rPr>
        <w:t>speculative</w:t>
      </w:r>
      <w:r>
        <w:rPr>
          <w:color w:val="231F20"/>
          <w:spacing w:val="-24"/>
          <w:sz w:val="23"/>
        </w:rPr>
        <w:t> </w:t>
      </w:r>
      <w:r>
        <w:rPr>
          <w:color w:val="231F20"/>
          <w:sz w:val="23"/>
        </w:rPr>
        <w:t>activities.</w:t>
      </w:r>
      <w:r>
        <w:rPr>
          <w:color w:val="231F20"/>
          <w:spacing w:val="-24"/>
          <w:sz w:val="23"/>
        </w:rPr>
        <w:t> </w:t>
      </w:r>
      <w:r>
        <w:rPr>
          <w:color w:val="231F20"/>
          <w:sz w:val="23"/>
        </w:rPr>
        <w:t>The Bank of Sierra Leone considers exchange rate as a key determinant of economic growth, macroeconomic and financial stability. Therefore, the Bank of Sierra Leone recently issued directives aimed at reducing the hoarding of foreign currency and redirecting</w:t>
      </w:r>
      <w:r>
        <w:rPr>
          <w:color w:val="231F20"/>
          <w:spacing w:val="-33"/>
          <w:sz w:val="23"/>
        </w:rPr>
        <w:t> </w:t>
      </w:r>
      <w:r>
        <w:rPr>
          <w:color w:val="231F20"/>
          <w:sz w:val="23"/>
        </w:rPr>
        <w:t>it</w:t>
      </w:r>
      <w:r>
        <w:rPr>
          <w:color w:val="231F20"/>
          <w:spacing w:val="-33"/>
          <w:sz w:val="23"/>
        </w:rPr>
        <w:t> </w:t>
      </w:r>
      <w:r>
        <w:rPr>
          <w:color w:val="231F20"/>
          <w:sz w:val="23"/>
        </w:rPr>
        <w:t>to</w:t>
      </w:r>
      <w:r>
        <w:rPr>
          <w:color w:val="231F20"/>
          <w:spacing w:val="-33"/>
          <w:sz w:val="23"/>
        </w:rPr>
        <w:t> </w:t>
      </w:r>
      <w:r>
        <w:rPr>
          <w:color w:val="231F20"/>
          <w:sz w:val="23"/>
        </w:rPr>
        <w:t>the</w:t>
      </w:r>
      <w:r>
        <w:rPr>
          <w:color w:val="231F20"/>
          <w:spacing w:val="-33"/>
          <w:sz w:val="23"/>
        </w:rPr>
        <w:t> </w:t>
      </w:r>
      <w:r>
        <w:rPr>
          <w:color w:val="231F20"/>
          <w:sz w:val="23"/>
        </w:rPr>
        <w:t>banking</w:t>
      </w:r>
      <w:r>
        <w:rPr>
          <w:color w:val="231F20"/>
          <w:spacing w:val="-33"/>
          <w:sz w:val="23"/>
        </w:rPr>
        <w:t> </w:t>
      </w:r>
      <w:r>
        <w:rPr>
          <w:color w:val="231F20"/>
          <w:sz w:val="23"/>
        </w:rPr>
        <w:t>system,</w:t>
      </w:r>
      <w:r>
        <w:rPr>
          <w:color w:val="231F20"/>
          <w:spacing w:val="-33"/>
          <w:sz w:val="23"/>
        </w:rPr>
        <w:t> </w:t>
      </w:r>
      <w:r>
        <w:rPr>
          <w:color w:val="231F20"/>
          <w:sz w:val="23"/>
        </w:rPr>
        <w:t>as</w:t>
      </w:r>
      <w:r>
        <w:rPr>
          <w:color w:val="231F20"/>
          <w:spacing w:val="-33"/>
          <w:sz w:val="23"/>
        </w:rPr>
        <w:t> </w:t>
      </w:r>
      <w:r>
        <w:rPr>
          <w:color w:val="231F20"/>
          <w:sz w:val="23"/>
        </w:rPr>
        <w:t>well</w:t>
      </w:r>
      <w:r>
        <w:rPr>
          <w:color w:val="231F20"/>
          <w:spacing w:val="-33"/>
          <w:sz w:val="23"/>
        </w:rPr>
        <w:t> </w:t>
      </w:r>
      <w:r>
        <w:rPr>
          <w:color w:val="231F20"/>
          <w:sz w:val="23"/>
        </w:rPr>
        <w:t>as</w:t>
      </w:r>
      <w:r>
        <w:rPr>
          <w:color w:val="231F20"/>
          <w:spacing w:val="-33"/>
          <w:sz w:val="23"/>
        </w:rPr>
        <w:t> </w:t>
      </w:r>
      <w:r>
        <w:rPr>
          <w:color w:val="231F20"/>
          <w:sz w:val="23"/>
        </w:rPr>
        <w:t>prohibiting</w:t>
      </w:r>
      <w:r>
        <w:rPr>
          <w:color w:val="231F20"/>
          <w:spacing w:val="-33"/>
          <w:sz w:val="23"/>
        </w:rPr>
        <w:t> </w:t>
      </w:r>
      <w:r>
        <w:rPr>
          <w:color w:val="231F20"/>
          <w:sz w:val="23"/>
        </w:rPr>
        <w:t>off-shore</w:t>
      </w:r>
      <w:r>
        <w:rPr>
          <w:color w:val="231F20"/>
          <w:spacing w:val="-33"/>
          <w:sz w:val="23"/>
        </w:rPr>
        <w:t> </w:t>
      </w:r>
      <w:r>
        <w:rPr>
          <w:color w:val="231F20"/>
          <w:sz w:val="23"/>
        </w:rPr>
        <w:t>forex</w:t>
      </w:r>
      <w:r>
        <w:rPr>
          <w:color w:val="231F20"/>
          <w:spacing w:val="-33"/>
          <w:sz w:val="23"/>
        </w:rPr>
        <w:t> </w:t>
      </w:r>
      <w:r>
        <w:rPr>
          <w:color w:val="231F20"/>
          <w:sz w:val="23"/>
        </w:rPr>
        <w:t>transactions.</w:t>
      </w:r>
    </w:p>
    <w:p>
      <w:pPr>
        <w:pStyle w:val="BodyText"/>
        <w:rPr>
          <w:sz w:val="29"/>
        </w:rPr>
      </w:pPr>
    </w:p>
    <w:p>
      <w:pPr>
        <w:pStyle w:val="ListParagraph"/>
        <w:numPr>
          <w:ilvl w:val="0"/>
          <w:numId w:val="2"/>
        </w:numPr>
        <w:tabs>
          <w:tab w:pos="954" w:val="left" w:leader="none"/>
        </w:tabs>
        <w:spacing w:line="302" w:lineRule="auto" w:before="0" w:after="0"/>
        <w:ind w:left="103" w:right="118" w:firstLine="87"/>
        <w:jc w:val="both"/>
        <w:rPr>
          <w:sz w:val="23"/>
        </w:rPr>
      </w:pPr>
      <w:r>
        <w:rPr>
          <w:color w:val="231F20"/>
          <w:sz w:val="23"/>
        </w:rPr>
        <w:t>The</w:t>
      </w:r>
      <w:r>
        <w:rPr>
          <w:color w:val="231F20"/>
          <w:spacing w:val="-37"/>
          <w:sz w:val="23"/>
        </w:rPr>
        <w:t> </w:t>
      </w:r>
      <w:r>
        <w:rPr>
          <w:color w:val="231F20"/>
          <w:sz w:val="23"/>
        </w:rPr>
        <w:t>BSL</w:t>
      </w:r>
      <w:r>
        <w:rPr>
          <w:color w:val="231F20"/>
          <w:spacing w:val="-36"/>
          <w:sz w:val="23"/>
        </w:rPr>
        <w:t> </w:t>
      </w:r>
      <w:r>
        <w:rPr>
          <w:color w:val="231F20"/>
          <w:sz w:val="23"/>
        </w:rPr>
        <w:t>will</w:t>
      </w:r>
      <w:r>
        <w:rPr>
          <w:color w:val="231F20"/>
          <w:spacing w:val="-36"/>
          <w:sz w:val="23"/>
        </w:rPr>
        <w:t> </w:t>
      </w:r>
      <w:r>
        <w:rPr>
          <w:color w:val="231F20"/>
          <w:sz w:val="23"/>
        </w:rPr>
        <w:t>continue</w:t>
      </w:r>
      <w:r>
        <w:rPr>
          <w:color w:val="231F20"/>
          <w:spacing w:val="-37"/>
          <w:sz w:val="23"/>
        </w:rPr>
        <w:t> </w:t>
      </w:r>
      <w:r>
        <w:rPr>
          <w:color w:val="231F20"/>
          <w:sz w:val="23"/>
        </w:rPr>
        <w:t>with</w:t>
      </w:r>
      <w:r>
        <w:rPr>
          <w:color w:val="231F20"/>
          <w:spacing w:val="-36"/>
          <w:sz w:val="23"/>
        </w:rPr>
        <w:t> </w:t>
      </w:r>
      <w:r>
        <w:rPr>
          <w:color w:val="231F20"/>
          <w:sz w:val="23"/>
        </w:rPr>
        <w:t>efforts</w:t>
      </w:r>
      <w:r>
        <w:rPr>
          <w:color w:val="231F20"/>
          <w:spacing w:val="-37"/>
          <w:sz w:val="23"/>
        </w:rPr>
        <w:t> </w:t>
      </w:r>
      <w:r>
        <w:rPr>
          <w:color w:val="231F20"/>
          <w:sz w:val="23"/>
        </w:rPr>
        <w:t>to</w:t>
      </w:r>
      <w:r>
        <w:rPr>
          <w:color w:val="231F20"/>
          <w:spacing w:val="-36"/>
          <w:sz w:val="23"/>
        </w:rPr>
        <w:t> </w:t>
      </w:r>
      <w:r>
        <w:rPr>
          <w:color w:val="231F20"/>
          <w:sz w:val="23"/>
        </w:rPr>
        <w:t>smoothen</w:t>
      </w:r>
      <w:r>
        <w:rPr>
          <w:color w:val="231F20"/>
          <w:spacing w:val="-37"/>
          <w:sz w:val="23"/>
        </w:rPr>
        <w:t> </w:t>
      </w:r>
      <w:r>
        <w:rPr>
          <w:color w:val="231F20"/>
          <w:sz w:val="23"/>
        </w:rPr>
        <w:t>excess</w:t>
      </w:r>
      <w:r>
        <w:rPr>
          <w:color w:val="231F20"/>
          <w:spacing w:val="-37"/>
          <w:sz w:val="23"/>
        </w:rPr>
        <w:t> </w:t>
      </w:r>
      <w:r>
        <w:rPr>
          <w:color w:val="231F20"/>
          <w:sz w:val="23"/>
        </w:rPr>
        <w:t>volatility</w:t>
      </w:r>
      <w:r>
        <w:rPr>
          <w:color w:val="231F20"/>
          <w:spacing w:val="-37"/>
          <w:sz w:val="23"/>
        </w:rPr>
        <w:t> </w:t>
      </w:r>
      <w:r>
        <w:rPr>
          <w:color w:val="231F20"/>
          <w:sz w:val="23"/>
        </w:rPr>
        <w:t>in</w:t>
      </w:r>
      <w:r>
        <w:rPr>
          <w:color w:val="231F20"/>
          <w:spacing w:val="-36"/>
          <w:sz w:val="23"/>
        </w:rPr>
        <w:t> </w:t>
      </w:r>
      <w:r>
        <w:rPr>
          <w:color w:val="231F20"/>
          <w:sz w:val="23"/>
        </w:rPr>
        <w:t>the</w:t>
      </w:r>
      <w:r>
        <w:rPr>
          <w:color w:val="231F20"/>
          <w:spacing w:val="1"/>
          <w:sz w:val="23"/>
        </w:rPr>
        <w:t> </w:t>
      </w:r>
      <w:r>
        <w:rPr>
          <w:color w:val="231F20"/>
          <w:sz w:val="23"/>
        </w:rPr>
        <w:t>exchange rate</w:t>
      </w:r>
      <w:r>
        <w:rPr>
          <w:color w:val="231F20"/>
          <w:spacing w:val="-15"/>
          <w:sz w:val="23"/>
        </w:rPr>
        <w:t> </w:t>
      </w:r>
      <w:r>
        <w:rPr>
          <w:color w:val="231F20"/>
          <w:sz w:val="23"/>
        </w:rPr>
        <w:t>through</w:t>
      </w:r>
      <w:r>
        <w:rPr>
          <w:color w:val="231F20"/>
          <w:spacing w:val="-15"/>
          <w:sz w:val="23"/>
        </w:rPr>
        <w:t> </w:t>
      </w:r>
      <w:r>
        <w:rPr>
          <w:color w:val="231F20"/>
          <w:sz w:val="23"/>
        </w:rPr>
        <w:t>its</w:t>
      </w:r>
      <w:r>
        <w:rPr>
          <w:color w:val="231F20"/>
          <w:spacing w:val="-15"/>
          <w:sz w:val="23"/>
        </w:rPr>
        <w:t> </w:t>
      </w:r>
      <w:r>
        <w:rPr>
          <w:color w:val="231F20"/>
          <w:sz w:val="23"/>
        </w:rPr>
        <w:t>intervention</w:t>
      </w:r>
      <w:r>
        <w:rPr>
          <w:color w:val="231F20"/>
          <w:spacing w:val="-15"/>
          <w:sz w:val="23"/>
        </w:rPr>
        <w:t> </w:t>
      </w:r>
      <w:r>
        <w:rPr>
          <w:color w:val="231F20"/>
          <w:sz w:val="23"/>
        </w:rPr>
        <w:t>in</w:t>
      </w:r>
      <w:r>
        <w:rPr>
          <w:color w:val="231F20"/>
          <w:spacing w:val="-15"/>
          <w:sz w:val="23"/>
        </w:rPr>
        <w:t> </w:t>
      </w:r>
      <w:r>
        <w:rPr>
          <w:color w:val="231F20"/>
          <w:sz w:val="23"/>
        </w:rPr>
        <w:t>the</w:t>
      </w:r>
      <w:r>
        <w:rPr>
          <w:color w:val="231F20"/>
          <w:spacing w:val="-15"/>
          <w:sz w:val="23"/>
        </w:rPr>
        <w:t> </w:t>
      </w:r>
      <w:r>
        <w:rPr>
          <w:color w:val="231F20"/>
          <w:sz w:val="23"/>
        </w:rPr>
        <w:t>Wholesale</w:t>
      </w:r>
      <w:r>
        <w:rPr>
          <w:color w:val="231F20"/>
          <w:spacing w:val="-15"/>
          <w:sz w:val="23"/>
        </w:rPr>
        <w:t> </w:t>
      </w:r>
      <w:r>
        <w:rPr>
          <w:color w:val="231F20"/>
          <w:sz w:val="23"/>
        </w:rPr>
        <w:t>Foreign</w:t>
      </w:r>
      <w:r>
        <w:rPr>
          <w:color w:val="231F20"/>
          <w:spacing w:val="-16"/>
          <w:sz w:val="23"/>
        </w:rPr>
        <w:t> </w:t>
      </w:r>
      <w:r>
        <w:rPr>
          <w:color w:val="231F20"/>
          <w:sz w:val="23"/>
        </w:rPr>
        <w:t>Exchange</w:t>
      </w:r>
      <w:r>
        <w:rPr>
          <w:color w:val="231F20"/>
          <w:spacing w:val="-16"/>
          <w:sz w:val="23"/>
        </w:rPr>
        <w:t> </w:t>
      </w:r>
      <w:r>
        <w:rPr>
          <w:color w:val="231F20"/>
          <w:sz w:val="23"/>
        </w:rPr>
        <w:t>Market</w:t>
      </w:r>
      <w:r>
        <w:rPr>
          <w:color w:val="231F20"/>
          <w:spacing w:val="-15"/>
          <w:sz w:val="23"/>
        </w:rPr>
        <w:t> </w:t>
      </w:r>
      <w:r>
        <w:rPr>
          <w:color w:val="231F20"/>
          <w:sz w:val="23"/>
        </w:rPr>
        <w:t>as</w:t>
      </w:r>
      <w:r>
        <w:rPr>
          <w:color w:val="231F20"/>
          <w:spacing w:val="-16"/>
          <w:sz w:val="23"/>
        </w:rPr>
        <w:t> </w:t>
      </w:r>
      <w:r>
        <w:rPr>
          <w:color w:val="231F20"/>
          <w:sz w:val="23"/>
        </w:rPr>
        <w:t>and</w:t>
      </w:r>
      <w:r>
        <w:rPr>
          <w:color w:val="231F20"/>
          <w:spacing w:val="-16"/>
          <w:sz w:val="23"/>
        </w:rPr>
        <w:t> </w:t>
      </w:r>
      <w:r>
        <w:rPr>
          <w:color w:val="231F20"/>
          <w:sz w:val="23"/>
        </w:rPr>
        <w:t>when necessary.</w:t>
      </w:r>
      <w:r>
        <w:rPr>
          <w:color w:val="231F20"/>
          <w:spacing w:val="-32"/>
          <w:sz w:val="23"/>
        </w:rPr>
        <w:t> </w:t>
      </w:r>
      <w:r>
        <w:rPr>
          <w:color w:val="231F20"/>
          <w:sz w:val="23"/>
        </w:rPr>
        <w:t>The</w:t>
      </w:r>
      <w:r>
        <w:rPr>
          <w:color w:val="231F20"/>
          <w:spacing w:val="-32"/>
          <w:sz w:val="23"/>
        </w:rPr>
        <w:t> </w:t>
      </w:r>
      <w:r>
        <w:rPr>
          <w:color w:val="231F20"/>
          <w:sz w:val="23"/>
        </w:rPr>
        <w:t>Bank</w:t>
      </w:r>
      <w:r>
        <w:rPr>
          <w:color w:val="231F20"/>
          <w:spacing w:val="-31"/>
          <w:sz w:val="23"/>
        </w:rPr>
        <w:t> </w:t>
      </w:r>
      <w:r>
        <w:rPr>
          <w:color w:val="231F20"/>
          <w:sz w:val="23"/>
        </w:rPr>
        <w:t>will</w:t>
      </w:r>
      <w:r>
        <w:rPr>
          <w:color w:val="231F20"/>
          <w:spacing w:val="-31"/>
          <w:sz w:val="23"/>
        </w:rPr>
        <w:t> </w:t>
      </w:r>
      <w:r>
        <w:rPr>
          <w:color w:val="231F20"/>
          <w:sz w:val="23"/>
        </w:rPr>
        <w:t>also</w:t>
      </w:r>
      <w:r>
        <w:rPr>
          <w:color w:val="231F20"/>
          <w:spacing w:val="-32"/>
          <w:sz w:val="23"/>
        </w:rPr>
        <w:t> </w:t>
      </w:r>
      <w:r>
        <w:rPr>
          <w:color w:val="231F20"/>
          <w:sz w:val="23"/>
        </w:rPr>
        <w:t>enforce</w:t>
      </w:r>
      <w:r>
        <w:rPr>
          <w:color w:val="231F20"/>
          <w:spacing w:val="-32"/>
          <w:sz w:val="23"/>
        </w:rPr>
        <w:t> </w:t>
      </w:r>
      <w:r>
        <w:rPr>
          <w:color w:val="231F20"/>
          <w:sz w:val="23"/>
        </w:rPr>
        <w:t>the</w:t>
      </w:r>
      <w:r>
        <w:rPr>
          <w:color w:val="231F20"/>
          <w:spacing w:val="-32"/>
          <w:sz w:val="23"/>
        </w:rPr>
        <w:t> </w:t>
      </w:r>
      <w:r>
        <w:rPr>
          <w:color w:val="231F20"/>
          <w:sz w:val="23"/>
        </w:rPr>
        <w:t>provision</w:t>
      </w:r>
      <w:r>
        <w:rPr>
          <w:color w:val="231F20"/>
          <w:spacing w:val="-32"/>
          <w:sz w:val="23"/>
        </w:rPr>
        <w:t> </w:t>
      </w:r>
      <w:r>
        <w:rPr>
          <w:color w:val="231F20"/>
          <w:sz w:val="23"/>
        </w:rPr>
        <w:t>in</w:t>
      </w:r>
      <w:r>
        <w:rPr>
          <w:color w:val="231F20"/>
          <w:spacing w:val="-31"/>
          <w:sz w:val="23"/>
        </w:rPr>
        <w:t> </w:t>
      </w:r>
      <w:r>
        <w:rPr>
          <w:color w:val="231F20"/>
          <w:sz w:val="23"/>
        </w:rPr>
        <w:t>the</w:t>
      </w:r>
      <w:r>
        <w:rPr>
          <w:color w:val="231F20"/>
          <w:spacing w:val="-32"/>
          <w:sz w:val="23"/>
        </w:rPr>
        <w:t> </w:t>
      </w:r>
      <w:r>
        <w:rPr>
          <w:color w:val="231F20"/>
          <w:sz w:val="23"/>
        </w:rPr>
        <w:t>BSL</w:t>
      </w:r>
      <w:r>
        <w:rPr>
          <w:color w:val="231F20"/>
          <w:spacing w:val="-31"/>
          <w:sz w:val="23"/>
        </w:rPr>
        <w:t> </w:t>
      </w:r>
      <w:r>
        <w:rPr>
          <w:color w:val="231F20"/>
          <w:sz w:val="23"/>
        </w:rPr>
        <w:t>Act</w:t>
      </w:r>
      <w:r>
        <w:rPr>
          <w:color w:val="231F20"/>
          <w:spacing w:val="-32"/>
          <w:sz w:val="23"/>
        </w:rPr>
        <w:t> </w:t>
      </w:r>
      <w:r>
        <w:rPr>
          <w:color w:val="231F20"/>
          <w:sz w:val="23"/>
        </w:rPr>
        <w:t>2019</w:t>
      </w:r>
      <w:r>
        <w:rPr>
          <w:color w:val="231F20"/>
          <w:spacing w:val="-32"/>
          <w:sz w:val="23"/>
        </w:rPr>
        <w:t> </w:t>
      </w:r>
      <w:r>
        <w:rPr>
          <w:color w:val="231F20"/>
          <w:sz w:val="23"/>
        </w:rPr>
        <w:t>on</w:t>
      </w:r>
      <w:r>
        <w:rPr>
          <w:color w:val="231F20"/>
          <w:spacing w:val="-32"/>
          <w:sz w:val="23"/>
        </w:rPr>
        <w:t> </w:t>
      </w:r>
      <w:r>
        <w:rPr>
          <w:color w:val="231F20"/>
          <w:sz w:val="23"/>
        </w:rPr>
        <w:t>quoting</w:t>
      </w:r>
      <w:r>
        <w:rPr>
          <w:color w:val="231F20"/>
          <w:spacing w:val="-32"/>
          <w:sz w:val="23"/>
        </w:rPr>
        <w:t> </w:t>
      </w:r>
      <w:r>
        <w:rPr>
          <w:color w:val="231F20"/>
          <w:sz w:val="23"/>
        </w:rPr>
        <w:t>and trading in Leones. This implies that it is illegal for individuals and businesses to conduct transactions in Sierra Leone using any currency other than the</w:t>
      </w:r>
      <w:r>
        <w:rPr>
          <w:color w:val="231F20"/>
          <w:spacing w:val="14"/>
          <w:sz w:val="23"/>
        </w:rPr>
        <w:t> </w:t>
      </w:r>
      <w:r>
        <w:rPr>
          <w:color w:val="231F20"/>
          <w:sz w:val="23"/>
        </w:rPr>
        <w:t>Leone.</w:t>
      </w:r>
    </w:p>
    <w:p>
      <w:pPr>
        <w:pStyle w:val="BodyText"/>
        <w:spacing w:before="10"/>
        <w:rPr>
          <w:sz w:val="28"/>
        </w:rPr>
      </w:pPr>
    </w:p>
    <w:p>
      <w:pPr>
        <w:pStyle w:val="ListParagraph"/>
        <w:numPr>
          <w:ilvl w:val="0"/>
          <w:numId w:val="2"/>
        </w:numPr>
        <w:tabs>
          <w:tab w:pos="954" w:val="left" w:leader="none"/>
        </w:tabs>
        <w:spacing w:line="300" w:lineRule="auto" w:before="0" w:after="0"/>
        <w:ind w:left="103" w:right="117" w:firstLine="87"/>
        <w:jc w:val="both"/>
        <w:rPr>
          <w:sz w:val="23"/>
        </w:rPr>
      </w:pPr>
      <w:r>
        <w:rPr>
          <w:color w:val="231F20"/>
          <w:sz w:val="23"/>
        </w:rPr>
        <w:t>The BSL is also working with relevant stakeholders to develop guidelines for enforcing</w:t>
      </w:r>
      <w:r>
        <w:rPr>
          <w:color w:val="231F20"/>
          <w:spacing w:val="-30"/>
          <w:sz w:val="23"/>
        </w:rPr>
        <w:t> </w:t>
      </w:r>
      <w:r>
        <w:rPr>
          <w:color w:val="231F20"/>
          <w:sz w:val="23"/>
        </w:rPr>
        <w:t>the</w:t>
      </w:r>
      <w:r>
        <w:rPr>
          <w:color w:val="231F20"/>
          <w:spacing w:val="-30"/>
          <w:sz w:val="23"/>
        </w:rPr>
        <w:t> </w:t>
      </w:r>
      <w:r>
        <w:rPr>
          <w:color w:val="231F20"/>
          <w:sz w:val="23"/>
        </w:rPr>
        <w:t>requirement</w:t>
      </w:r>
      <w:r>
        <w:rPr>
          <w:color w:val="231F20"/>
          <w:spacing w:val="-30"/>
          <w:sz w:val="23"/>
        </w:rPr>
        <w:t> </w:t>
      </w:r>
      <w:r>
        <w:rPr>
          <w:color w:val="231F20"/>
          <w:sz w:val="23"/>
        </w:rPr>
        <w:t>to</w:t>
      </w:r>
      <w:r>
        <w:rPr>
          <w:color w:val="231F20"/>
          <w:spacing w:val="-30"/>
          <w:sz w:val="23"/>
        </w:rPr>
        <w:t> </w:t>
      </w:r>
      <w:r>
        <w:rPr>
          <w:color w:val="231F20"/>
          <w:sz w:val="23"/>
        </w:rPr>
        <w:t>repatriate</w:t>
      </w:r>
      <w:r>
        <w:rPr>
          <w:color w:val="231F20"/>
          <w:spacing w:val="-30"/>
          <w:sz w:val="23"/>
        </w:rPr>
        <w:t> </w:t>
      </w:r>
      <w:r>
        <w:rPr>
          <w:color w:val="231F20"/>
          <w:sz w:val="23"/>
        </w:rPr>
        <w:t>export</w:t>
      </w:r>
      <w:r>
        <w:rPr>
          <w:color w:val="231F20"/>
          <w:spacing w:val="-30"/>
          <w:sz w:val="23"/>
        </w:rPr>
        <w:t> </w:t>
      </w:r>
      <w:r>
        <w:rPr>
          <w:color w:val="231F20"/>
          <w:sz w:val="23"/>
        </w:rPr>
        <w:t>proceeds</w:t>
      </w:r>
      <w:r>
        <w:rPr>
          <w:color w:val="231F20"/>
          <w:spacing w:val="-30"/>
          <w:sz w:val="23"/>
        </w:rPr>
        <w:t> </w:t>
      </w:r>
      <w:r>
        <w:rPr>
          <w:color w:val="231F20"/>
          <w:sz w:val="23"/>
        </w:rPr>
        <w:t>through</w:t>
      </w:r>
      <w:r>
        <w:rPr>
          <w:color w:val="231F20"/>
          <w:spacing w:val="-30"/>
          <w:sz w:val="23"/>
        </w:rPr>
        <w:t> </w:t>
      </w:r>
      <w:r>
        <w:rPr>
          <w:color w:val="231F20"/>
          <w:sz w:val="23"/>
        </w:rPr>
        <w:t>the</w:t>
      </w:r>
      <w:r>
        <w:rPr>
          <w:color w:val="231F20"/>
          <w:spacing w:val="-30"/>
          <w:sz w:val="23"/>
        </w:rPr>
        <w:t> </w:t>
      </w:r>
      <w:r>
        <w:rPr>
          <w:color w:val="231F20"/>
          <w:sz w:val="23"/>
        </w:rPr>
        <w:t>domestic</w:t>
      </w:r>
      <w:r>
        <w:rPr>
          <w:color w:val="231F20"/>
          <w:spacing w:val="-30"/>
          <w:sz w:val="23"/>
        </w:rPr>
        <w:t> </w:t>
      </w:r>
      <w:r>
        <w:rPr>
          <w:color w:val="231F20"/>
          <w:sz w:val="23"/>
        </w:rPr>
        <w:t>banking system. This will be complemented by Government efforts to facilitate timely disbursement</w:t>
      </w:r>
      <w:r>
        <w:rPr>
          <w:color w:val="231F20"/>
          <w:spacing w:val="-48"/>
          <w:sz w:val="23"/>
        </w:rPr>
        <w:t> </w:t>
      </w:r>
      <w:r>
        <w:rPr>
          <w:color w:val="231F20"/>
          <w:sz w:val="23"/>
        </w:rPr>
        <w:t>of</w:t>
      </w:r>
      <w:r>
        <w:rPr>
          <w:color w:val="231F20"/>
          <w:spacing w:val="-47"/>
          <w:sz w:val="23"/>
        </w:rPr>
        <w:t> </w:t>
      </w:r>
      <w:r>
        <w:rPr>
          <w:color w:val="231F20"/>
          <w:sz w:val="23"/>
        </w:rPr>
        <w:t>project</w:t>
      </w:r>
      <w:r>
        <w:rPr>
          <w:color w:val="231F20"/>
          <w:spacing w:val="-48"/>
          <w:sz w:val="23"/>
        </w:rPr>
        <w:t> </w:t>
      </w:r>
      <w:r>
        <w:rPr>
          <w:color w:val="231F20"/>
          <w:sz w:val="23"/>
        </w:rPr>
        <w:t>and</w:t>
      </w:r>
      <w:r>
        <w:rPr>
          <w:color w:val="231F20"/>
          <w:spacing w:val="-47"/>
          <w:sz w:val="23"/>
        </w:rPr>
        <w:t> </w:t>
      </w:r>
      <w:r>
        <w:rPr>
          <w:color w:val="231F20"/>
          <w:sz w:val="23"/>
        </w:rPr>
        <w:t>programme</w:t>
      </w:r>
      <w:r>
        <w:rPr>
          <w:color w:val="231F20"/>
          <w:spacing w:val="-48"/>
          <w:sz w:val="23"/>
        </w:rPr>
        <w:t> </w:t>
      </w:r>
      <w:r>
        <w:rPr>
          <w:color w:val="231F20"/>
          <w:sz w:val="23"/>
        </w:rPr>
        <w:t>loans</w:t>
      </w:r>
      <w:r>
        <w:rPr>
          <w:color w:val="231F20"/>
          <w:spacing w:val="-47"/>
          <w:sz w:val="23"/>
        </w:rPr>
        <w:t> </w:t>
      </w:r>
      <w:r>
        <w:rPr>
          <w:color w:val="231F20"/>
          <w:sz w:val="23"/>
        </w:rPr>
        <w:t>and</w:t>
      </w:r>
      <w:r>
        <w:rPr>
          <w:color w:val="231F20"/>
          <w:spacing w:val="-48"/>
          <w:sz w:val="23"/>
        </w:rPr>
        <w:t> </w:t>
      </w:r>
      <w:r>
        <w:rPr>
          <w:color w:val="231F20"/>
          <w:sz w:val="23"/>
        </w:rPr>
        <w:t>grants</w:t>
      </w:r>
      <w:r>
        <w:rPr>
          <w:color w:val="231F20"/>
          <w:spacing w:val="-47"/>
          <w:sz w:val="23"/>
        </w:rPr>
        <w:t> </w:t>
      </w:r>
      <w:r>
        <w:rPr>
          <w:color w:val="231F20"/>
          <w:sz w:val="23"/>
        </w:rPr>
        <w:t>in</w:t>
      </w:r>
      <w:r>
        <w:rPr>
          <w:color w:val="231F20"/>
          <w:spacing w:val="-47"/>
          <w:sz w:val="23"/>
        </w:rPr>
        <w:t> </w:t>
      </w:r>
      <w:r>
        <w:rPr>
          <w:color w:val="231F20"/>
          <w:sz w:val="23"/>
        </w:rPr>
        <w:t>order</w:t>
      </w:r>
      <w:r>
        <w:rPr>
          <w:color w:val="231F20"/>
          <w:spacing w:val="-48"/>
          <w:sz w:val="23"/>
        </w:rPr>
        <w:t> </w:t>
      </w:r>
      <w:r>
        <w:rPr>
          <w:color w:val="231F20"/>
          <w:sz w:val="23"/>
        </w:rPr>
        <w:t>to</w:t>
      </w:r>
      <w:r>
        <w:rPr>
          <w:color w:val="231F20"/>
          <w:spacing w:val="-47"/>
          <w:sz w:val="23"/>
        </w:rPr>
        <w:t> </w:t>
      </w:r>
      <w:r>
        <w:rPr>
          <w:color w:val="231F20"/>
          <w:sz w:val="23"/>
        </w:rPr>
        <w:t>increase</w:t>
      </w:r>
      <w:r>
        <w:rPr>
          <w:color w:val="231F20"/>
          <w:spacing w:val="-48"/>
          <w:sz w:val="23"/>
        </w:rPr>
        <w:t> </w:t>
      </w:r>
      <w:r>
        <w:rPr>
          <w:color w:val="231F20"/>
          <w:sz w:val="23"/>
        </w:rPr>
        <w:t>the</w:t>
      </w:r>
      <w:r>
        <w:rPr>
          <w:color w:val="231F20"/>
          <w:spacing w:val="-47"/>
          <w:sz w:val="23"/>
        </w:rPr>
        <w:t> </w:t>
      </w:r>
      <w:r>
        <w:rPr>
          <w:color w:val="231F20"/>
          <w:spacing w:val="-2"/>
          <w:sz w:val="23"/>
        </w:rPr>
        <w:t>supply </w:t>
      </w:r>
      <w:r>
        <w:rPr>
          <w:color w:val="231F20"/>
          <w:sz w:val="23"/>
        </w:rPr>
        <w:t>of</w:t>
      </w:r>
      <w:r>
        <w:rPr>
          <w:color w:val="231F20"/>
          <w:spacing w:val="-18"/>
          <w:sz w:val="23"/>
        </w:rPr>
        <w:t> </w:t>
      </w:r>
      <w:r>
        <w:rPr>
          <w:color w:val="231F20"/>
          <w:sz w:val="23"/>
        </w:rPr>
        <w:t>foreign</w:t>
      </w:r>
      <w:r>
        <w:rPr>
          <w:color w:val="231F20"/>
          <w:spacing w:val="-18"/>
          <w:sz w:val="23"/>
        </w:rPr>
        <w:t> </w:t>
      </w:r>
      <w:r>
        <w:rPr>
          <w:color w:val="231F20"/>
          <w:sz w:val="23"/>
        </w:rPr>
        <w:t>exchange</w:t>
      </w:r>
      <w:r>
        <w:rPr>
          <w:color w:val="231F20"/>
          <w:spacing w:val="-18"/>
          <w:sz w:val="23"/>
        </w:rPr>
        <w:t> </w:t>
      </w:r>
      <w:r>
        <w:rPr>
          <w:color w:val="231F20"/>
          <w:sz w:val="23"/>
        </w:rPr>
        <w:t>in</w:t>
      </w:r>
      <w:r>
        <w:rPr>
          <w:color w:val="231F20"/>
          <w:spacing w:val="-18"/>
          <w:sz w:val="23"/>
        </w:rPr>
        <w:t> </w:t>
      </w:r>
      <w:r>
        <w:rPr>
          <w:color w:val="231F20"/>
          <w:sz w:val="23"/>
        </w:rPr>
        <w:t>the</w:t>
      </w:r>
      <w:r>
        <w:rPr>
          <w:color w:val="231F20"/>
          <w:spacing w:val="-18"/>
          <w:sz w:val="23"/>
        </w:rPr>
        <w:t> </w:t>
      </w:r>
      <w:r>
        <w:rPr>
          <w:color w:val="231F20"/>
          <w:sz w:val="23"/>
        </w:rPr>
        <w:t>banking</w:t>
      </w:r>
      <w:r>
        <w:rPr>
          <w:color w:val="231F20"/>
          <w:spacing w:val="-18"/>
          <w:sz w:val="23"/>
        </w:rPr>
        <w:t> </w:t>
      </w:r>
      <w:r>
        <w:rPr>
          <w:color w:val="231F20"/>
          <w:sz w:val="23"/>
        </w:rPr>
        <w:t>system.</w:t>
      </w:r>
      <w:r>
        <w:rPr>
          <w:color w:val="231F20"/>
          <w:spacing w:val="-18"/>
          <w:sz w:val="23"/>
        </w:rPr>
        <w:t> </w:t>
      </w:r>
      <w:r>
        <w:rPr>
          <w:color w:val="231F20"/>
          <w:sz w:val="23"/>
        </w:rPr>
        <w:t>Government</w:t>
      </w:r>
      <w:r>
        <w:rPr>
          <w:color w:val="231F20"/>
          <w:spacing w:val="-18"/>
          <w:sz w:val="23"/>
        </w:rPr>
        <w:t> </w:t>
      </w:r>
      <w:r>
        <w:rPr>
          <w:color w:val="231F20"/>
          <w:sz w:val="23"/>
        </w:rPr>
        <w:t>is</w:t>
      </w:r>
      <w:r>
        <w:rPr>
          <w:color w:val="231F20"/>
          <w:spacing w:val="-18"/>
          <w:sz w:val="23"/>
        </w:rPr>
        <w:t> </w:t>
      </w:r>
      <w:r>
        <w:rPr>
          <w:color w:val="231F20"/>
          <w:sz w:val="23"/>
        </w:rPr>
        <w:t>also</w:t>
      </w:r>
      <w:r>
        <w:rPr>
          <w:color w:val="231F20"/>
          <w:spacing w:val="-18"/>
          <w:sz w:val="23"/>
        </w:rPr>
        <w:t> </w:t>
      </w:r>
      <w:r>
        <w:rPr>
          <w:color w:val="231F20"/>
          <w:sz w:val="23"/>
        </w:rPr>
        <w:t>implementing</w:t>
      </w:r>
      <w:r>
        <w:rPr>
          <w:color w:val="231F20"/>
          <w:spacing w:val="-18"/>
          <w:sz w:val="23"/>
        </w:rPr>
        <w:t> </w:t>
      </w:r>
      <w:r>
        <w:rPr>
          <w:color w:val="231F20"/>
          <w:sz w:val="23"/>
        </w:rPr>
        <w:t>reforms to</w:t>
      </w:r>
      <w:r>
        <w:rPr>
          <w:color w:val="231F20"/>
          <w:spacing w:val="-30"/>
          <w:sz w:val="23"/>
        </w:rPr>
        <w:t> </w:t>
      </w:r>
      <w:r>
        <w:rPr>
          <w:color w:val="231F20"/>
          <w:sz w:val="23"/>
        </w:rPr>
        <w:t>enhance</w:t>
      </w:r>
      <w:r>
        <w:rPr>
          <w:color w:val="231F20"/>
          <w:spacing w:val="-30"/>
          <w:sz w:val="23"/>
        </w:rPr>
        <w:t> </w:t>
      </w:r>
      <w:r>
        <w:rPr>
          <w:color w:val="231F20"/>
          <w:sz w:val="23"/>
        </w:rPr>
        <w:t>the</w:t>
      </w:r>
      <w:r>
        <w:rPr>
          <w:color w:val="231F20"/>
          <w:spacing w:val="-30"/>
          <w:sz w:val="23"/>
        </w:rPr>
        <w:t> </w:t>
      </w:r>
      <w:r>
        <w:rPr>
          <w:color w:val="231F20"/>
          <w:sz w:val="23"/>
        </w:rPr>
        <w:t>productivity</w:t>
      </w:r>
      <w:r>
        <w:rPr>
          <w:color w:val="231F20"/>
          <w:spacing w:val="-30"/>
          <w:sz w:val="23"/>
        </w:rPr>
        <w:t> </w:t>
      </w:r>
      <w:r>
        <w:rPr>
          <w:color w:val="231F20"/>
          <w:sz w:val="23"/>
        </w:rPr>
        <w:t>of</w:t>
      </w:r>
      <w:r>
        <w:rPr>
          <w:color w:val="231F20"/>
          <w:spacing w:val="-30"/>
          <w:sz w:val="23"/>
        </w:rPr>
        <w:t> </w:t>
      </w:r>
      <w:r>
        <w:rPr>
          <w:color w:val="231F20"/>
          <w:sz w:val="23"/>
        </w:rPr>
        <w:t>the</w:t>
      </w:r>
      <w:r>
        <w:rPr>
          <w:color w:val="231F20"/>
          <w:spacing w:val="-30"/>
          <w:sz w:val="23"/>
        </w:rPr>
        <w:t> </w:t>
      </w:r>
      <w:r>
        <w:rPr>
          <w:color w:val="231F20"/>
          <w:sz w:val="23"/>
        </w:rPr>
        <w:t>sectors</w:t>
      </w:r>
      <w:r>
        <w:rPr>
          <w:color w:val="231F20"/>
          <w:spacing w:val="-30"/>
          <w:sz w:val="23"/>
        </w:rPr>
        <w:t> </w:t>
      </w:r>
      <w:r>
        <w:rPr>
          <w:color w:val="231F20"/>
          <w:sz w:val="23"/>
        </w:rPr>
        <w:t>of</w:t>
      </w:r>
      <w:r>
        <w:rPr>
          <w:color w:val="231F20"/>
          <w:spacing w:val="-30"/>
          <w:sz w:val="23"/>
        </w:rPr>
        <w:t> </w:t>
      </w:r>
      <w:r>
        <w:rPr>
          <w:color w:val="231F20"/>
          <w:sz w:val="23"/>
        </w:rPr>
        <w:t>the</w:t>
      </w:r>
      <w:r>
        <w:rPr>
          <w:color w:val="231F20"/>
          <w:spacing w:val="-30"/>
          <w:sz w:val="23"/>
        </w:rPr>
        <w:t> </w:t>
      </w:r>
      <w:r>
        <w:rPr>
          <w:color w:val="231F20"/>
          <w:sz w:val="23"/>
        </w:rPr>
        <w:t>economy</w:t>
      </w:r>
      <w:r>
        <w:rPr>
          <w:color w:val="231F20"/>
          <w:spacing w:val="-30"/>
          <w:sz w:val="23"/>
        </w:rPr>
        <w:t> </w:t>
      </w:r>
      <w:r>
        <w:rPr>
          <w:color w:val="231F20"/>
          <w:sz w:val="23"/>
        </w:rPr>
        <w:t>with</w:t>
      </w:r>
      <w:r>
        <w:rPr>
          <w:color w:val="231F20"/>
          <w:spacing w:val="-30"/>
          <w:sz w:val="23"/>
        </w:rPr>
        <w:t> </w:t>
      </w:r>
      <w:r>
        <w:rPr>
          <w:color w:val="231F20"/>
          <w:sz w:val="23"/>
        </w:rPr>
        <w:t>the</w:t>
      </w:r>
      <w:r>
        <w:rPr>
          <w:color w:val="231F20"/>
          <w:spacing w:val="-30"/>
          <w:sz w:val="23"/>
        </w:rPr>
        <w:t> </w:t>
      </w:r>
      <w:r>
        <w:rPr>
          <w:color w:val="231F20"/>
          <w:sz w:val="23"/>
        </w:rPr>
        <w:t>potential</w:t>
      </w:r>
      <w:r>
        <w:rPr>
          <w:color w:val="231F20"/>
          <w:spacing w:val="-30"/>
          <w:sz w:val="23"/>
        </w:rPr>
        <w:t> </w:t>
      </w:r>
      <w:r>
        <w:rPr>
          <w:color w:val="231F20"/>
          <w:sz w:val="23"/>
        </w:rPr>
        <w:t>to</w:t>
      </w:r>
      <w:r>
        <w:rPr>
          <w:color w:val="231F20"/>
          <w:spacing w:val="-30"/>
          <w:sz w:val="23"/>
        </w:rPr>
        <w:t> </w:t>
      </w:r>
      <w:r>
        <w:rPr>
          <w:color w:val="231F20"/>
          <w:sz w:val="23"/>
        </w:rPr>
        <w:t>generate foreign exchange from exports.</w:t>
      </w:r>
    </w:p>
    <w:p>
      <w:pPr>
        <w:pStyle w:val="BodyText"/>
        <w:spacing w:before="8"/>
        <w:rPr>
          <w:sz w:val="25"/>
        </w:rPr>
      </w:pPr>
    </w:p>
    <w:p>
      <w:pPr>
        <w:pStyle w:val="Heading2"/>
        <w:spacing w:before="1"/>
        <w:jc w:val="both"/>
      </w:pPr>
      <w:r>
        <w:rPr>
          <w:color w:val="231F20"/>
        </w:rPr>
        <w:t>Financial Sector</w:t>
      </w:r>
      <w:r>
        <w:rPr>
          <w:color w:val="231F20"/>
          <w:spacing w:val="-55"/>
        </w:rPr>
        <w:t> </w:t>
      </w:r>
      <w:r>
        <w:rPr>
          <w:color w:val="231F20"/>
        </w:rPr>
        <w:t>Reforms</w:t>
      </w:r>
    </w:p>
    <w:p>
      <w:pPr>
        <w:pStyle w:val="ListParagraph"/>
        <w:numPr>
          <w:ilvl w:val="0"/>
          <w:numId w:val="2"/>
        </w:numPr>
        <w:tabs>
          <w:tab w:pos="954" w:val="left" w:leader="none"/>
        </w:tabs>
        <w:spacing w:line="283" w:lineRule="auto" w:before="51" w:after="0"/>
        <w:ind w:left="103" w:right="118" w:firstLine="87"/>
        <w:jc w:val="both"/>
        <w:rPr>
          <w:sz w:val="23"/>
        </w:rPr>
      </w:pPr>
      <w:r>
        <w:rPr>
          <w:color w:val="231F20"/>
          <w:sz w:val="23"/>
        </w:rPr>
        <w:t>Mr. Speaker, Honourable Members, the Bank of Sierra Leone remains committed to deepening financial intermediation, promoting financial inclusion and safeguarding the stability of the financial</w:t>
      </w:r>
      <w:r>
        <w:rPr>
          <w:color w:val="231F20"/>
          <w:spacing w:val="60"/>
          <w:sz w:val="23"/>
        </w:rPr>
        <w:t> </w:t>
      </w:r>
      <w:r>
        <w:rPr>
          <w:color w:val="231F20"/>
          <w:sz w:val="23"/>
        </w:rPr>
        <w:t>system.</w:t>
      </w:r>
    </w:p>
    <w:p>
      <w:pPr>
        <w:pStyle w:val="BodyText"/>
        <w:spacing w:before="7"/>
        <w:rPr>
          <w:sz w:val="27"/>
        </w:rPr>
      </w:pPr>
    </w:p>
    <w:p>
      <w:pPr>
        <w:pStyle w:val="ListParagraph"/>
        <w:numPr>
          <w:ilvl w:val="0"/>
          <w:numId w:val="2"/>
        </w:numPr>
        <w:tabs>
          <w:tab w:pos="954" w:val="left" w:leader="none"/>
        </w:tabs>
        <w:spacing w:line="285" w:lineRule="auto" w:before="0" w:after="0"/>
        <w:ind w:left="103" w:right="118" w:firstLine="87"/>
        <w:jc w:val="both"/>
        <w:rPr>
          <w:sz w:val="23"/>
        </w:rPr>
      </w:pPr>
      <w:r>
        <w:rPr>
          <w:color w:val="231F20"/>
          <w:sz w:val="23"/>
        </w:rPr>
        <w:t>As</w:t>
      </w:r>
      <w:r>
        <w:rPr>
          <w:color w:val="231F20"/>
          <w:spacing w:val="-5"/>
          <w:sz w:val="23"/>
        </w:rPr>
        <w:t> </w:t>
      </w:r>
      <w:r>
        <w:rPr>
          <w:color w:val="231F20"/>
          <w:sz w:val="23"/>
        </w:rPr>
        <w:t>part</w:t>
      </w:r>
      <w:r>
        <w:rPr>
          <w:color w:val="231F20"/>
          <w:spacing w:val="-5"/>
          <w:sz w:val="23"/>
        </w:rPr>
        <w:t> </w:t>
      </w:r>
      <w:r>
        <w:rPr>
          <w:color w:val="231F20"/>
          <w:sz w:val="23"/>
        </w:rPr>
        <w:t>of</w:t>
      </w:r>
      <w:r>
        <w:rPr>
          <w:color w:val="231F20"/>
          <w:spacing w:val="-5"/>
          <w:sz w:val="23"/>
        </w:rPr>
        <w:t> </w:t>
      </w:r>
      <w:r>
        <w:rPr>
          <w:color w:val="231F20"/>
          <w:sz w:val="23"/>
        </w:rPr>
        <w:t>on-going</w:t>
      </w:r>
      <w:r>
        <w:rPr>
          <w:color w:val="231F20"/>
          <w:spacing w:val="-5"/>
          <w:sz w:val="23"/>
        </w:rPr>
        <w:t> </w:t>
      </w:r>
      <w:r>
        <w:rPr>
          <w:color w:val="231F20"/>
          <w:sz w:val="23"/>
        </w:rPr>
        <w:t>efforts,</w:t>
      </w:r>
      <w:r>
        <w:rPr>
          <w:color w:val="231F20"/>
          <w:spacing w:val="-5"/>
          <w:sz w:val="23"/>
        </w:rPr>
        <w:t> </w:t>
      </w:r>
      <w:r>
        <w:rPr>
          <w:color w:val="231F20"/>
          <w:sz w:val="23"/>
        </w:rPr>
        <w:t>the</w:t>
      </w:r>
      <w:r>
        <w:rPr>
          <w:color w:val="231F20"/>
          <w:spacing w:val="-5"/>
          <w:sz w:val="23"/>
        </w:rPr>
        <w:t> </w:t>
      </w:r>
      <w:r>
        <w:rPr>
          <w:color w:val="231F20"/>
          <w:sz w:val="23"/>
        </w:rPr>
        <w:t>BSL</w:t>
      </w:r>
      <w:r>
        <w:rPr>
          <w:color w:val="231F20"/>
          <w:spacing w:val="-5"/>
          <w:sz w:val="23"/>
        </w:rPr>
        <w:t> </w:t>
      </w:r>
      <w:r>
        <w:rPr>
          <w:color w:val="231F20"/>
          <w:sz w:val="23"/>
        </w:rPr>
        <w:t>conducted</w:t>
      </w:r>
      <w:r>
        <w:rPr>
          <w:color w:val="231F20"/>
          <w:spacing w:val="-5"/>
          <w:sz w:val="23"/>
        </w:rPr>
        <w:t> </w:t>
      </w:r>
      <w:r>
        <w:rPr>
          <w:color w:val="231F20"/>
          <w:sz w:val="23"/>
        </w:rPr>
        <w:t>stress</w:t>
      </w:r>
      <w:r>
        <w:rPr>
          <w:color w:val="231F20"/>
          <w:spacing w:val="-5"/>
          <w:sz w:val="23"/>
        </w:rPr>
        <w:t> </w:t>
      </w:r>
      <w:r>
        <w:rPr>
          <w:color w:val="231F20"/>
          <w:sz w:val="23"/>
        </w:rPr>
        <w:t>testing</w:t>
      </w:r>
      <w:r>
        <w:rPr>
          <w:color w:val="231F20"/>
          <w:spacing w:val="-5"/>
          <w:sz w:val="23"/>
        </w:rPr>
        <w:t> </w:t>
      </w:r>
      <w:r>
        <w:rPr>
          <w:color w:val="231F20"/>
          <w:sz w:val="23"/>
        </w:rPr>
        <w:t>of</w:t>
      </w:r>
      <w:r>
        <w:rPr>
          <w:color w:val="231F20"/>
          <w:spacing w:val="-5"/>
          <w:sz w:val="23"/>
        </w:rPr>
        <w:t> </w:t>
      </w:r>
      <w:r>
        <w:rPr>
          <w:color w:val="231F20"/>
          <w:sz w:val="23"/>
        </w:rPr>
        <w:t>the</w:t>
      </w:r>
      <w:r>
        <w:rPr>
          <w:color w:val="231F20"/>
          <w:spacing w:val="-5"/>
          <w:sz w:val="23"/>
        </w:rPr>
        <w:t> </w:t>
      </w:r>
      <w:r>
        <w:rPr>
          <w:color w:val="231F20"/>
          <w:sz w:val="23"/>
        </w:rPr>
        <w:t>resilience of</w:t>
      </w:r>
      <w:r>
        <w:rPr>
          <w:color w:val="231F20"/>
          <w:spacing w:val="-6"/>
          <w:sz w:val="23"/>
        </w:rPr>
        <w:t> </w:t>
      </w:r>
      <w:r>
        <w:rPr>
          <w:color w:val="231F20"/>
          <w:sz w:val="23"/>
        </w:rPr>
        <w:t>the</w:t>
      </w:r>
      <w:r>
        <w:rPr>
          <w:color w:val="231F20"/>
          <w:spacing w:val="-6"/>
          <w:sz w:val="23"/>
        </w:rPr>
        <w:t> </w:t>
      </w:r>
      <w:r>
        <w:rPr>
          <w:color w:val="231F20"/>
          <w:sz w:val="23"/>
        </w:rPr>
        <w:t>banking</w:t>
      </w:r>
      <w:r>
        <w:rPr>
          <w:color w:val="231F20"/>
          <w:spacing w:val="-6"/>
          <w:sz w:val="23"/>
        </w:rPr>
        <w:t> </w:t>
      </w:r>
      <w:r>
        <w:rPr>
          <w:color w:val="231F20"/>
          <w:sz w:val="23"/>
        </w:rPr>
        <w:t>system</w:t>
      </w:r>
      <w:r>
        <w:rPr>
          <w:color w:val="231F20"/>
          <w:spacing w:val="-6"/>
          <w:sz w:val="23"/>
        </w:rPr>
        <w:t> </w:t>
      </w:r>
      <w:r>
        <w:rPr>
          <w:color w:val="231F20"/>
          <w:sz w:val="23"/>
        </w:rPr>
        <w:t>in</w:t>
      </w:r>
      <w:r>
        <w:rPr>
          <w:color w:val="231F20"/>
          <w:spacing w:val="-6"/>
          <w:sz w:val="23"/>
        </w:rPr>
        <w:t> </w:t>
      </w:r>
      <w:r>
        <w:rPr>
          <w:color w:val="231F20"/>
          <w:sz w:val="23"/>
        </w:rPr>
        <w:t>2019.</w:t>
      </w:r>
      <w:r>
        <w:rPr>
          <w:color w:val="231F20"/>
          <w:spacing w:val="-6"/>
          <w:sz w:val="23"/>
        </w:rPr>
        <w:t> </w:t>
      </w:r>
      <w:r>
        <w:rPr>
          <w:color w:val="231F20"/>
          <w:sz w:val="23"/>
        </w:rPr>
        <w:t>Key</w:t>
      </w:r>
      <w:r>
        <w:rPr>
          <w:color w:val="231F20"/>
          <w:spacing w:val="-6"/>
          <w:sz w:val="23"/>
        </w:rPr>
        <w:t> </w:t>
      </w:r>
      <w:r>
        <w:rPr>
          <w:color w:val="231F20"/>
          <w:sz w:val="23"/>
        </w:rPr>
        <w:t>financial</w:t>
      </w:r>
      <w:r>
        <w:rPr>
          <w:color w:val="231F20"/>
          <w:spacing w:val="-6"/>
          <w:sz w:val="23"/>
        </w:rPr>
        <w:t> </w:t>
      </w:r>
      <w:r>
        <w:rPr>
          <w:color w:val="231F20"/>
          <w:sz w:val="23"/>
        </w:rPr>
        <w:t>soundness</w:t>
      </w:r>
      <w:r>
        <w:rPr>
          <w:color w:val="231F20"/>
          <w:spacing w:val="-6"/>
          <w:sz w:val="23"/>
        </w:rPr>
        <w:t> </w:t>
      </w:r>
      <w:r>
        <w:rPr>
          <w:color w:val="231F20"/>
          <w:sz w:val="23"/>
        </w:rPr>
        <w:t>indicators</w:t>
      </w:r>
      <w:r>
        <w:rPr>
          <w:color w:val="231F20"/>
          <w:spacing w:val="-6"/>
          <w:sz w:val="23"/>
        </w:rPr>
        <w:t> </w:t>
      </w:r>
      <w:r>
        <w:rPr>
          <w:color w:val="231F20"/>
          <w:sz w:val="23"/>
        </w:rPr>
        <w:t>revealed</w:t>
      </w:r>
      <w:r>
        <w:rPr>
          <w:color w:val="231F20"/>
          <w:spacing w:val="-6"/>
          <w:sz w:val="23"/>
        </w:rPr>
        <w:t> </w:t>
      </w:r>
      <w:r>
        <w:rPr>
          <w:color w:val="231F20"/>
          <w:sz w:val="23"/>
        </w:rPr>
        <w:t>that</w:t>
      </w:r>
      <w:r>
        <w:rPr>
          <w:color w:val="231F20"/>
          <w:spacing w:val="-6"/>
          <w:sz w:val="23"/>
        </w:rPr>
        <w:t> </w:t>
      </w:r>
      <w:r>
        <w:rPr>
          <w:color w:val="231F20"/>
          <w:sz w:val="23"/>
        </w:rPr>
        <w:t>the banking</w:t>
      </w:r>
      <w:r>
        <w:rPr>
          <w:color w:val="231F20"/>
          <w:spacing w:val="-14"/>
          <w:sz w:val="23"/>
        </w:rPr>
        <w:t> </w:t>
      </w:r>
      <w:r>
        <w:rPr>
          <w:color w:val="231F20"/>
          <w:sz w:val="23"/>
        </w:rPr>
        <w:t>sector</w:t>
      </w:r>
      <w:r>
        <w:rPr>
          <w:color w:val="231F20"/>
          <w:spacing w:val="-14"/>
          <w:sz w:val="23"/>
        </w:rPr>
        <w:t> </w:t>
      </w:r>
      <w:r>
        <w:rPr>
          <w:color w:val="231F20"/>
          <w:sz w:val="23"/>
        </w:rPr>
        <w:t>is</w:t>
      </w:r>
      <w:r>
        <w:rPr>
          <w:color w:val="231F20"/>
          <w:spacing w:val="-14"/>
          <w:sz w:val="23"/>
        </w:rPr>
        <w:t> </w:t>
      </w:r>
      <w:r>
        <w:rPr>
          <w:color w:val="231F20"/>
          <w:sz w:val="23"/>
        </w:rPr>
        <w:t>well</w:t>
      </w:r>
      <w:r>
        <w:rPr>
          <w:color w:val="231F20"/>
          <w:spacing w:val="-14"/>
          <w:sz w:val="23"/>
        </w:rPr>
        <w:t> </w:t>
      </w:r>
      <w:r>
        <w:rPr>
          <w:color w:val="231F20"/>
          <w:sz w:val="23"/>
        </w:rPr>
        <w:t>capitalised,</w:t>
      </w:r>
      <w:r>
        <w:rPr>
          <w:color w:val="231F20"/>
          <w:spacing w:val="-14"/>
          <w:sz w:val="23"/>
        </w:rPr>
        <w:t> </w:t>
      </w:r>
      <w:r>
        <w:rPr>
          <w:color w:val="231F20"/>
          <w:sz w:val="23"/>
        </w:rPr>
        <w:t>liquid,</w:t>
      </w:r>
      <w:r>
        <w:rPr>
          <w:color w:val="231F20"/>
          <w:spacing w:val="-14"/>
          <w:sz w:val="23"/>
        </w:rPr>
        <w:t> </w:t>
      </w:r>
      <w:r>
        <w:rPr>
          <w:color w:val="231F20"/>
          <w:sz w:val="23"/>
        </w:rPr>
        <w:t>profitable,</w:t>
      </w:r>
      <w:r>
        <w:rPr>
          <w:color w:val="231F20"/>
          <w:spacing w:val="-14"/>
          <w:sz w:val="23"/>
        </w:rPr>
        <w:t> </w:t>
      </w:r>
      <w:r>
        <w:rPr>
          <w:color w:val="231F20"/>
          <w:sz w:val="23"/>
        </w:rPr>
        <w:t>and</w:t>
      </w:r>
      <w:r>
        <w:rPr>
          <w:color w:val="231F20"/>
          <w:spacing w:val="-14"/>
          <w:sz w:val="23"/>
        </w:rPr>
        <w:t> </w:t>
      </w:r>
      <w:r>
        <w:rPr>
          <w:color w:val="231F20"/>
          <w:sz w:val="23"/>
        </w:rPr>
        <w:t>with</w:t>
      </w:r>
      <w:r>
        <w:rPr>
          <w:color w:val="231F20"/>
          <w:spacing w:val="-14"/>
          <w:sz w:val="23"/>
        </w:rPr>
        <w:t> </w:t>
      </w:r>
      <w:r>
        <w:rPr>
          <w:color w:val="231F20"/>
          <w:sz w:val="23"/>
        </w:rPr>
        <w:t>a</w:t>
      </w:r>
      <w:r>
        <w:rPr>
          <w:color w:val="231F20"/>
          <w:spacing w:val="-14"/>
          <w:sz w:val="23"/>
        </w:rPr>
        <w:t> </w:t>
      </w:r>
      <w:r>
        <w:rPr>
          <w:color w:val="231F20"/>
          <w:sz w:val="23"/>
        </w:rPr>
        <w:t>continuous</w:t>
      </w:r>
      <w:r>
        <w:rPr>
          <w:color w:val="231F20"/>
          <w:spacing w:val="-14"/>
          <w:sz w:val="23"/>
        </w:rPr>
        <w:t> </w:t>
      </w:r>
      <w:r>
        <w:rPr>
          <w:color w:val="231F20"/>
          <w:sz w:val="23"/>
        </w:rPr>
        <w:t>reduction in non-performing loans</w:t>
      </w:r>
      <w:r>
        <w:rPr>
          <w:color w:val="231F20"/>
          <w:spacing w:val="-28"/>
          <w:sz w:val="23"/>
        </w:rPr>
        <w:t> </w:t>
      </w:r>
      <w:r>
        <w:rPr>
          <w:color w:val="231F20"/>
          <w:sz w:val="23"/>
        </w:rPr>
        <w:t>(NPLs).</w:t>
      </w:r>
    </w:p>
    <w:p>
      <w:pPr>
        <w:pStyle w:val="BodyText"/>
        <w:spacing w:before="10"/>
        <w:rPr>
          <w:sz w:val="26"/>
        </w:rPr>
      </w:pPr>
    </w:p>
    <w:p>
      <w:pPr>
        <w:pStyle w:val="ListParagraph"/>
        <w:numPr>
          <w:ilvl w:val="0"/>
          <w:numId w:val="2"/>
        </w:numPr>
        <w:tabs>
          <w:tab w:pos="954" w:val="left" w:leader="none"/>
        </w:tabs>
        <w:spacing w:line="288" w:lineRule="auto" w:before="0" w:after="0"/>
        <w:ind w:left="103" w:right="120" w:firstLine="87"/>
        <w:jc w:val="both"/>
        <w:rPr>
          <w:sz w:val="23"/>
        </w:rPr>
      </w:pPr>
      <w:r>
        <w:rPr>
          <w:color w:val="231F20"/>
          <w:sz w:val="23"/>
        </w:rPr>
        <w:t>In 2020, the Bank of Sierra Leone will continue to strengthen the financial soundness of banks, while exerting stronger oversight over their cross-border relationships.</w:t>
      </w:r>
      <w:r>
        <w:rPr>
          <w:color w:val="231F20"/>
          <w:spacing w:val="-33"/>
          <w:sz w:val="23"/>
        </w:rPr>
        <w:t> </w:t>
      </w:r>
      <w:r>
        <w:rPr>
          <w:color w:val="231F20"/>
          <w:sz w:val="23"/>
        </w:rPr>
        <w:t>The</w:t>
      </w:r>
      <w:r>
        <w:rPr>
          <w:color w:val="231F20"/>
          <w:spacing w:val="-33"/>
          <w:sz w:val="23"/>
        </w:rPr>
        <w:t> </w:t>
      </w:r>
      <w:r>
        <w:rPr>
          <w:color w:val="231F20"/>
          <w:sz w:val="23"/>
        </w:rPr>
        <w:t>Bank</w:t>
      </w:r>
      <w:r>
        <w:rPr>
          <w:color w:val="231F20"/>
          <w:spacing w:val="-32"/>
          <w:sz w:val="23"/>
        </w:rPr>
        <w:t> </w:t>
      </w:r>
      <w:r>
        <w:rPr>
          <w:color w:val="231F20"/>
          <w:sz w:val="23"/>
        </w:rPr>
        <w:t>of</w:t>
      </w:r>
      <w:r>
        <w:rPr>
          <w:color w:val="231F20"/>
          <w:spacing w:val="-33"/>
          <w:sz w:val="23"/>
        </w:rPr>
        <w:t> </w:t>
      </w:r>
      <w:r>
        <w:rPr>
          <w:color w:val="231F20"/>
          <w:sz w:val="23"/>
        </w:rPr>
        <w:t>Sierra</w:t>
      </w:r>
      <w:r>
        <w:rPr>
          <w:color w:val="231F20"/>
          <w:spacing w:val="-33"/>
          <w:sz w:val="23"/>
        </w:rPr>
        <w:t> </w:t>
      </w:r>
      <w:r>
        <w:rPr>
          <w:color w:val="231F20"/>
          <w:sz w:val="23"/>
        </w:rPr>
        <w:t>Leone</w:t>
      </w:r>
      <w:r>
        <w:rPr>
          <w:color w:val="231F20"/>
          <w:spacing w:val="-33"/>
          <w:sz w:val="23"/>
        </w:rPr>
        <w:t> </w:t>
      </w:r>
      <w:r>
        <w:rPr>
          <w:color w:val="231F20"/>
          <w:sz w:val="23"/>
        </w:rPr>
        <w:t>is</w:t>
      </w:r>
      <w:r>
        <w:rPr>
          <w:color w:val="231F20"/>
          <w:spacing w:val="-32"/>
          <w:sz w:val="23"/>
        </w:rPr>
        <w:t> </w:t>
      </w:r>
      <w:r>
        <w:rPr>
          <w:color w:val="231F20"/>
          <w:sz w:val="23"/>
        </w:rPr>
        <w:t>also</w:t>
      </w:r>
      <w:r>
        <w:rPr>
          <w:color w:val="231F20"/>
          <w:spacing w:val="-33"/>
          <w:sz w:val="23"/>
        </w:rPr>
        <w:t> </w:t>
      </w:r>
      <w:r>
        <w:rPr>
          <w:color w:val="231F20"/>
          <w:sz w:val="23"/>
        </w:rPr>
        <w:t>developing</w:t>
      </w:r>
      <w:r>
        <w:rPr>
          <w:color w:val="231F20"/>
          <w:spacing w:val="-33"/>
          <w:sz w:val="23"/>
        </w:rPr>
        <w:t> </w:t>
      </w:r>
      <w:r>
        <w:rPr>
          <w:color w:val="231F20"/>
          <w:sz w:val="23"/>
        </w:rPr>
        <w:t>a</w:t>
      </w:r>
      <w:r>
        <w:rPr>
          <w:color w:val="231F20"/>
          <w:spacing w:val="-33"/>
          <w:sz w:val="23"/>
        </w:rPr>
        <w:t> </w:t>
      </w:r>
      <w:r>
        <w:rPr>
          <w:color w:val="231F20"/>
          <w:sz w:val="23"/>
        </w:rPr>
        <w:t>Deposit</w:t>
      </w:r>
      <w:r>
        <w:rPr>
          <w:color w:val="231F20"/>
          <w:spacing w:val="-32"/>
          <w:sz w:val="23"/>
        </w:rPr>
        <w:t> </w:t>
      </w:r>
      <w:r>
        <w:rPr>
          <w:color w:val="231F20"/>
          <w:sz w:val="23"/>
        </w:rPr>
        <w:t>Insurance</w:t>
      </w:r>
      <w:r>
        <w:rPr>
          <w:color w:val="231F20"/>
          <w:spacing w:val="-32"/>
          <w:sz w:val="23"/>
        </w:rPr>
        <w:t> </w:t>
      </w:r>
      <w:r>
        <w:rPr>
          <w:color w:val="231F20"/>
          <w:sz w:val="23"/>
        </w:rPr>
        <w:t>Scheme to promote financial sector</w:t>
      </w:r>
      <w:r>
        <w:rPr>
          <w:color w:val="231F20"/>
          <w:spacing w:val="4"/>
          <w:sz w:val="23"/>
        </w:rPr>
        <w:t> </w:t>
      </w:r>
      <w:r>
        <w:rPr>
          <w:color w:val="231F20"/>
          <w:sz w:val="23"/>
        </w:rPr>
        <w:t>stability.</w:t>
      </w:r>
    </w:p>
    <w:p>
      <w:pPr>
        <w:pStyle w:val="BodyText"/>
        <w:rPr>
          <w:sz w:val="20"/>
        </w:rPr>
      </w:pPr>
    </w:p>
    <w:p>
      <w:pPr>
        <w:pStyle w:val="BodyText"/>
        <w:rPr>
          <w:sz w:val="20"/>
        </w:rPr>
      </w:pPr>
    </w:p>
    <w:p>
      <w:pPr>
        <w:pStyle w:val="Heading1"/>
        <w:spacing w:before="230"/>
      </w:pPr>
      <w:r>
        <w:rPr>
          <w:color w:val="231F20"/>
        </w:rPr>
        <w:t>23</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19" w:firstLine="87"/>
        <w:jc w:val="both"/>
        <w:rPr>
          <w:sz w:val="23"/>
        </w:rPr>
      </w:pPr>
      <w:r>
        <w:rPr>
          <w:color w:val="231F20"/>
          <w:sz w:val="23"/>
        </w:rPr>
        <w:t>Mr.</w:t>
      </w:r>
      <w:r>
        <w:rPr>
          <w:color w:val="231F20"/>
          <w:spacing w:val="-27"/>
          <w:sz w:val="23"/>
        </w:rPr>
        <w:t> </w:t>
      </w:r>
      <w:r>
        <w:rPr>
          <w:color w:val="231F20"/>
          <w:sz w:val="23"/>
        </w:rPr>
        <w:t>Speaker,</w:t>
      </w:r>
      <w:r>
        <w:rPr>
          <w:color w:val="231F20"/>
          <w:spacing w:val="-27"/>
          <w:sz w:val="23"/>
        </w:rPr>
        <w:t> </w:t>
      </w:r>
      <w:r>
        <w:rPr>
          <w:color w:val="231F20"/>
          <w:sz w:val="23"/>
        </w:rPr>
        <w:t>Honourable</w:t>
      </w:r>
      <w:r>
        <w:rPr>
          <w:color w:val="231F20"/>
          <w:spacing w:val="-27"/>
          <w:sz w:val="23"/>
        </w:rPr>
        <w:t> </w:t>
      </w:r>
      <w:r>
        <w:rPr>
          <w:color w:val="231F20"/>
          <w:sz w:val="23"/>
        </w:rPr>
        <w:t>Members,</w:t>
      </w:r>
      <w:r>
        <w:rPr>
          <w:color w:val="231F20"/>
          <w:spacing w:val="-27"/>
          <w:sz w:val="23"/>
        </w:rPr>
        <w:t> </w:t>
      </w:r>
      <w:r>
        <w:rPr>
          <w:color w:val="231F20"/>
          <w:sz w:val="23"/>
        </w:rPr>
        <w:t>whilst</w:t>
      </w:r>
      <w:r>
        <w:rPr>
          <w:color w:val="231F20"/>
          <w:spacing w:val="-27"/>
          <w:sz w:val="23"/>
        </w:rPr>
        <w:t> </w:t>
      </w:r>
      <w:r>
        <w:rPr>
          <w:color w:val="231F20"/>
          <w:sz w:val="23"/>
        </w:rPr>
        <w:t>the</w:t>
      </w:r>
      <w:r>
        <w:rPr>
          <w:color w:val="231F20"/>
          <w:spacing w:val="-27"/>
          <w:sz w:val="23"/>
        </w:rPr>
        <w:t> </w:t>
      </w:r>
      <w:r>
        <w:rPr>
          <w:color w:val="231F20"/>
          <w:sz w:val="23"/>
        </w:rPr>
        <w:t>two</w:t>
      </w:r>
      <w:r>
        <w:rPr>
          <w:color w:val="231F20"/>
          <w:spacing w:val="-27"/>
          <w:sz w:val="23"/>
        </w:rPr>
        <w:t> </w:t>
      </w:r>
      <w:r>
        <w:rPr>
          <w:color w:val="231F20"/>
          <w:sz w:val="23"/>
        </w:rPr>
        <w:t>state-owned</w:t>
      </w:r>
      <w:r>
        <w:rPr>
          <w:color w:val="231F20"/>
          <w:spacing w:val="-27"/>
          <w:sz w:val="23"/>
        </w:rPr>
        <w:t> </w:t>
      </w:r>
      <w:r>
        <w:rPr>
          <w:color w:val="231F20"/>
          <w:sz w:val="23"/>
        </w:rPr>
        <w:t>banks</w:t>
      </w:r>
      <w:r>
        <w:rPr>
          <w:color w:val="231F20"/>
          <w:spacing w:val="-27"/>
          <w:sz w:val="23"/>
        </w:rPr>
        <w:t> </w:t>
      </w:r>
      <w:r>
        <w:rPr>
          <w:color w:val="231F20"/>
          <w:sz w:val="23"/>
        </w:rPr>
        <w:t>are</w:t>
      </w:r>
      <w:r>
        <w:rPr>
          <w:color w:val="231F20"/>
          <w:spacing w:val="-27"/>
          <w:sz w:val="23"/>
        </w:rPr>
        <w:t> </w:t>
      </w:r>
      <w:r>
        <w:rPr>
          <w:color w:val="231F20"/>
          <w:sz w:val="23"/>
        </w:rPr>
        <w:t>now profitable,</w:t>
      </w:r>
      <w:r>
        <w:rPr>
          <w:color w:val="231F20"/>
          <w:spacing w:val="-29"/>
          <w:sz w:val="23"/>
        </w:rPr>
        <w:t> </w:t>
      </w:r>
      <w:r>
        <w:rPr>
          <w:color w:val="231F20"/>
          <w:sz w:val="23"/>
        </w:rPr>
        <w:t>in</w:t>
      </w:r>
      <w:r>
        <w:rPr>
          <w:color w:val="231F20"/>
          <w:spacing w:val="-29"/>
          <w:sz w:val="23"/>
        </w:rPr>
        <w:t> </w:t>
      </w:r>
      <w:r>
        <w:rPr>
          <w:color w:val="231F20"/>
          <w:sz w:val="23"/>
        </w:rPr>
        <w:t>line</w:t>
      </w:r>
      <w:r>
        <w:rPr>
          <w:color w:val="231F20"/>
          <w:spacing w:val="-29"/>
          <w:sz w:val="23"/>
        </w:rPr>
        <w:t> </w:t>
      </w:r>
      <w:r>
        <w:rPr>
          <w:color w:val="231F20"/>
          <w:sz w:val="23"/>
        </w:rPr>
        <w:t>with</w:t>
      </w:r>
      <w:r>
        <w:rPr>
          <w:color w:val="231F20"/>
          <w:spacing w:val="-29"/>
          <w:sz w:val="23"/>
        </w:rPr>
        <w:t> </w:t>
      </w:r>
      <w:r>
        <w:rPr>
          <w:color w:val="231F20"/>
          <w:sz w:val="23"/>
        </w:rPr>
        <w:t>the</w:t>
      </w:r>
      <w:r>
        <w:rPr>
          <w:color w:val="231F20"/>
          <w:spacing w:val="-29"/>
          <w:sz w:val="23"/>
        </w:rPr>
        <w:t> </w:t>
      </w:r>
      <w:r>
        <w:rPr>
          <w:color w:val="231F20"/>
          <w:sz w:val="23"/>
        </w:rPr>
        <w:t>recommendations</w:t>
      </w:r>
      <w:r>
        <w:rPr>
          <w:color w:val="231F20"/>
          <w:spacing w:val="-29"/>
          <w:sz w:val="23"/>
        </w:rPr>
        <w:t> </w:t>
      </w:r>
      <w:r>
        <w:rPr>
          <w:color w:val="231F20"/>
          <w:sz w:val="23"/>
        </w:rPr>
        <w:t>of</w:t>
      </w:r>
      <w:r>
        <w:rPr>
          <w:color w:val="231F20"/>
          <w:spacing w:val="-29"/>
          <w:sz w:val="23"/>
        </w:rPr>
        <w:t> </w:t>
      </w:r>
      <w:r>
        <w:rPr>
          <w:color w:val="231F20"/>
          <w:sz w:val="23"/>
        </w:rPr>
        <w:t>the</w:t>
      </w:r>
      <w:r>
        <w:rPr>
          <w:color w:val="231F20"/>
          <w:spacing w:val="-29"/>
          <w:sz w:val="23"/>
        </w:rPr>
        <w:t> </w:t>
      </w:r>
      <w:r>
        <w:rPr>
          <w:color w:val="231F20"/>
          <w:sz w:val="23"/>
        </w:rPr>
        <w:t>recent</w:t>
      </w:r>
      <w:r>
        <w:rPr>
          <w:color w:val="231F20"/>
          <w:spacing w:val="-29"/>
          <w:sz w:val="23"/>
        </w:rPr>
        <w:t> </w:t>
      </w:r>
      <w:r>
        <w:rPr>
          <w:color w:val="231F20"/>
          <w:sz w:val="23"/>
        </w:rPr>
        <w:t>World</w:t>
      </w:r>
      <w:r>
        <w:rPr>
          <w:color w:val="231F20"/>
          <w:spacing w:val="-29"/>
          <w:sz w:val="23"/>
        </w:rPr>
        <w:t> </w:t>
      </w:r>
      <w:r>
        <w:rPr>
          <w:color w:val="231F20"/>
          <w:sz w:val="23"/>
        </w:rPr>
        <w:t>Bank/</w:t>
      </w:r>
      <w:r>
        <w:rPr>
          <w:color w:val="231F20"/>
          <w:spacing w:val="-29"/>
          <w:sz w:val="23"/>
        </w:rPr>
        <w:t> </w:t>
      </w:r>
      <w:r>
        <w:rPr>
          <w:color w:val="231F20"/>
          <w:sz w:val="23"/>
        </w:rPr>
        <w:t>IMF</w:t>
      </w:r>
      <w:r>
        <w:rPr>
          <w:color w:val="231F20"/>
          <w:spacing w:val="-29"/>
          <w:sz w:val="23"/>
        </w:rPr>
        <w:t> </w:t>
      </w:r>
      <w:r>
        <w:rPr>
          <w:color w:val="231F20"/>
          <w:sz w:val="23"/>
        </w:rPr>
        <w:t>diagnostic study, enhanced-supervision by the Bank of Sierra Leone will remain. This will continue until Sierra Leone Commercial Bank and the Rokel Commercial Bank develop</w:t>
      </w:r>
      <w:r>
        <w:rPr>
          <w:color w:val="231F20"/>
          <w:spacing w:val="-24"/>
          <w:sz w:val="23"/>
        </w:rPr>
        <w:t> </w:t>
      </w:r>
      <w:r>
        <w:rPr>
          <w:color w:val="231F20"/>
          <w:sz w:val="23"/>
        </w:rPr>
        <w:t>sound</w:t>
      </w:r>
      <w:r>
        <w:rPr>
          <w:color w:val="231F20"/>
          <w:spacing w:val="-24"/>
          <w:sz w:val="23"/>
        </w:rPr>
        <w:t> </w:t>
      </w:r>
      <w:r>
        <w:rPr>
          <w:color w:val="231F20"/>
          <w:sz w:val="23"/>
        </w:rPr>
        <w:t>long-term</w:t>
      </w:r>
      <w:r>
        <w:rPr>
          <w:color w:val="231F20"/>
          <w:spacing w:val="-24"/>
          <w:sz w:val="23"/>
        </w:rPr>
        <w:t> </w:t>
      </w:r>
      <w:r>
        <w:rPr>
          <w:color w:val="231F20"/>
          <w:sz w:val="23"/>
        </w:rPr>
        <w:t>business</w:t>
      </w:r>
      <w:r>
        <w:rPr>
          <w:color w:val="231F20"/>
          <w:spacing w:val="-24"/>
          <w:sz w:val="23"/>
        </w:rPr>
        <w:t> </w:t>
      </w:r>
      <w:r>
        <w:rPr>
          <w:color w:val="231F20"/>
          <w:sz w:val="23"/>
        </w:rPr>
        <w:t>strategies</w:t>
      </w:r>
      <w:r>
        <w:rPr>
          <w:color w:val="231F20"/>
          <w:spacing w:val="-24"/>
          <w:sz w:val="23"/>
        </w:rPr>
        <w:t> </w:t>
      </w:r>
      <w:r>
        <w:rPr>
          <w:color w:val="231F20"/>
          <w:sz w:val="23"/>
        </w:rPr>
        <w:t>and</w:t>
      </w:r>
      <w:r>
        <w:rPr>
          <w:color w:val="231F20"/>
          <w:spacing w:val="-24"/>
          <w:sz w:val="23"/>
        </w:rPr>
        <w:t> </w:t>
      </w:r>
      <w:r>
        <w:rPr>
          <w:color w:val="231F20"/>
          <w:sz w:val="23"/>
        </w:rPr>
        <w:t>a</w:t>
      </w:r>
      <w:r>
        <w:rPr>
          <w:color w:val="231F20"/>
          <w:spacing w:val="-24"/>
          <w:sz w:val="23"/>
        </w:rPr>
        <w:t> </w:t>
      </w:r>
      <w:r>
        <w:rPr>
          <w:color w:val="231F20"/>
          <w:sz w:val="23"/>
        </w:rPr>
        <w:t>legal</w:t>
      </w:r>
      <w:r>
        <w:rPr>
          <w:color w:val="231F20"/>
          <w:spacing w:val="-24"/>
          <w:sz w:val="23"/>
        </w:rPr>
        <w:t> </w:t>
      </w:r>
      <w:r>
        <w:rPr>
          <w:color w:val="231F20"/>
          <w:sz w:val="23"/>
        </w:rPr>
        <w:t>and</w:t>
      </w:r>
      <w:r>
        <w:rPr>
          <w:color w:val="231F20"/>
          <w:spacing w:val="-24"/>
          <w:sz w:val="23"/>
        </w:rPr>
        <w:t> </w:t>
      </w:r>
      <w:r>
        <w:rPr>
          <w:color w:val="231F20"/>
          <w:sz w:val="23"/>
        </w:rPr>
        <w:t>regulatory</w:t>
      </w:r>
      <w:r>
        <w:rPr>
          <w:color w:val="231F20"/>
          <w:spacing w:val="-24"/>
          <w:sz w:val="23"/>
        </w:rPr>
        <w:t> </w:t>
      </w:r>
      <w:r>
        <w:rPr>
          <w:color w:val="231F20"/>
          <w:sz w:val="23"/>
        </w:rPr>
        <w:t>framework</w:t>
      </w:r>
      <w:r>
        <w:rPr>
          <w:color w:val="231F20"/>
          <w:spacing w:val="-24"/>
          <w:sz w:val="23"/>
        </w:rPr>
        <w:t> </w:t>
      </w:r>
      <w:r>
        <w:rPr>
          <w:color w:val="231F20"/>
          <w:sz w:val="23"/>
        </w:rPr>
        <w:t>for corporate governance, among</w:t>
      </w:r>
      <w:r>
        <w:rPr>
          <w:color w:val="231F20"/>
          <w:spacing w:val="-12"/>
          <w:sz w:val="23"/>
        </w:rPr>
        <w:t> </w:t>
      </w:r>
      <w:r>
        <w:rPr>
          <w:color w:val="231F20"/>
          <w:sz w:val="23"/>
        </w:rPr>
        <w:t>others.</w:t>
      </w:r>
    </w:p>
    <w:p>
      <w:pPr>
        <w:pStyle w:val="BodyText"/>
        <w:rPr>
          <w:sz w:val="29"/>
        </w:rPr>
      </w:pPr>
    </w:p>
    <w:p>
      <w:pPr>
        <w:pStyle w:val="ListParagraph"/>
        <w:numPr>
          <w:ilvl w:val="0"/>
          <w:numId w:val="2"/>
        </w:numPr>
        <w:tabs>
          <w:tab w:pos="954" w:val="left" w:leader="none"/>
        </w:tabs>
        <w:spacing w:line="302" w:lineRule="auto" w:before="0" w:after="0"/>
        <w:ind w:left="103" w:right="118" w:firstLine="87"/>
        <w:jc w:val="both"/>
        <w:rPr>
          <w:sz w:val="23"/>
        </w:rPr>
      </w:pPr>
      <w:r>
        <w:rPr>
          <w:color w:val="231F20"/>
          <w:sz w:val="23"/>
        </w:rPr>
        <w:t>In a bid to strengthen the regulatory framework for digital financial</w:t>
      </w:r>
      <w:r>
        <w:rPr>
          <w:color w:val="231F20"/>
          <w:spacing w:val="-34"/>
          <w:sz w:val="23"/>
        </w:rPr>
        <w:t> </w:t>
      </w:r>
      <w:r>
        <w:rPr>
          <w:color w:val="231F20"/>
          <w:sz w:val="23"/>
        </w:rPr>
        <w:t>services, the</w:t>
      </w:r>
      <w:r>
        <w:rPr>
          <w:color w:val="231F20"/>
          <w:spacing w:val="-33"/>
          <w:sz w:val="23"/>
        </w:rPr>
        <w:t> </w:t>
      </w:r>
      <w:r>
        <w:rPr>
          <w:color w:val="231F20"/>
          <w:sz w:val="23"/>
        </w:rPr>
        <w:t>Bank</w:t>
      </w:r>
      <w:r>
        <w:rPr>
          <w:color w:val="231F20"/>
          <w:spacing w:val="-33"/>
          <w:sz w:val="23"/>
        </w:rPr>
        <w:t> </w:t>
      </w:r>
      <w:r>
        <w:rPr>
          <w:color w:val="231F20"/>
          <w:sz w:val="23"/>
        </w:rPr>
        <w:t>of</w:t>
      </w:r>
      <w:r>
        <w:rPr>
          <w:color w:val="231F20"/>
          <w:spacing w:val="-33"/>
          <w:sz w:val="23"/>
        </w:rPr>
        <w:t> </w:t>
      </w:r>
      <w:r>
        <w:rPr>
          <w:color w:val="231F20"/>
          <w:sz w:val="23"/>
        </w:rPr>
        <w:t>Sierra</w:t>
      </w:r>
      <w:r>
        <w:rPr>
          <w:color w:val="231F20"/>
          <w:spacing w:val="-33"/>
          <w:sz w:val="23"/>
        </w:rPr>
        <w:t> </w:t>
      </w:r>
      <w:r>
        <w:rPr>
          <w:color w:val="231F20"/>
          <w:sz w:val="23"/>
        </w:rPr>
        <w:t>Leone</w:t>
      </w:r>
      <w:r>
        <w:rPr>
          <w:color w:val="231F20"/>
          <w:spacing w:val="-33"/>
          <w:sz w:val="23"/>
        </w:rPr>
        <w:t> </w:t>
      </w:r>
      <w:r>
        <w:rPr>
          <w:color w:val="231F20"/>
          <w:sz w:val="23"/>
        </w:rPr>
        <w:t>is</w:t>
      </w:r>
      <w:r>
        <w:rPr>
          <w:color w:val="231F20"/>
          <w:spacing w:val="-33"/>
          <w:sz w:val="23"/>
        </w:rPr>
        <w:t> </w:t>
      </w:r>
      <w:r>
        <w:rPr>
          <w:color w:val="231F20"/>
          <w:sz w:val="23"/>
        </w:rPr>
        <w:t>developing</w:t>
      </w:r>
      <w:r>
        <w:rPr>
          <w:color w:val="231F20"/>
          <w:spacing w:val="-33"/>
          <w:sz w:val="23"/>
        </w:rPr>
        <w:t> </w:t>
      </w:r>
      <w:r>
        <w:rPr>
          <w:color w:val="231F20"/>
          <w:sz w:val="23"/>
        </w:rPr>
        <w:t>several</w:t>
      </w:r>
      <w:r>
        <w:rPr>
          <w:color w:val="231F20"/>
          <w:spacing w:val="-33"/>
          <w:sz w:val="23"/>
        </w:rPr>
        <w:t> </w:t>
      </w:r>
      <w:r>
        <w:rPr>
          <w:color w:val="231F20"/>
          <w:sz w:val="23"/>
        </w:rPr>
        <w:t>guidelines</w:t>
      </w:r>
      <w:r>
        <w:rPr>
          <w:color w:val="231F20"/>
          <w:spacing w:val="-33"/>
          <w:sz w:val="23"/>
        </w:rPr>
        <w:t> </w:t>
      </w:r>
      <w:r>
        <w:rPr>
          <w:color w:val="231F20"/>
          <w:sz w:val="23"/>
        </w:rPr>
        <w:t>including:</w:t>
      </w:r>
      <w:r>
        <w:rPr>
          <w:color w:val="231F20"/>
          <w:spacing w:val="-33"/>
          <w:sz w:val="23"/>
        </w:rPr>
        <w:t> </w:t>
      </w:r>
      <w:r>
        <w:rPr>
          <w:color w:val="231F20"/>
          <w:sz w:val="23"/>
        </w:rPr>
        <w:t>Tiered</w:t>
      </w:r>
      <w:r>
        <w:rPr>
          <w:color w:val="231F20"/>
          <w:spacing w:val="-33"/>
          <w:sz w:val="23"/>
        </w:rPr>
        <w:t> </w:t>
      </w:r>
      <w:r>
        <w:rPr>
          <w:color w:val="231F20"/>
          <w:sz w:val="23"/>
        </w:rPr>
        <w:t>Know-Your- Customer Framework; Agent Network Guidelines; E-Money Guidelines; and will amend the Other Financial Services Act of</w:t>
      </w:r>
      <w:r>
        <w:rPr>
          <w:color w:val="231F20"/>
          <w:spacing w:val="42"/>
          <w:sz w:val="23"/>
        </w:rPr>
        <w:t> </w:t>
      </w:r>
      <w:r>
        <w:rPr>
          <w:color w:val="231F20"/>
          <w:sz w:val="23"/>
        </w:rPr>
        <w:t>2001.</w:t>
      </w:r>
    </w:p>
    <w:p>
      <w:pPr>
        <w:pStyle w:val="BodyText"/>
        <w:spacing w:before="9"/>
        <w:rPr>
          <w:sz w:val="28"/>
        </w:rPr>
      </w:pPr>
    </w:p>
    <w:p>
      <w:pPr>
        <w:pStyle w:val="ListParagraph"/>
        <w:numPr>
          <w:ilvl w:val="0"/>
          <w:numId w:val="2"/>
        </w:numPr>
        <w:tabs>
          <w:tab w:pos="954" w:val="left" w:leader="none"/>
        </w:tabs>
        <w:spacing w:line="302" w:lineRule="auto" w:before="1" w:after="0"/>
        <w:ind w:left="103" w:right="117" w:firstLine="87"/>
        <w:jc w:val="both"/>
        <w:rPr>
          <w:sz w:val="23"/>
        </w:rPr>
      </w:pPr>
      <w:r>
        <w:rPr>
          <w:color w:val="231F20"/>
          <w:sz w:val="23"/>
        </w:rPr>
        <w:t>To</w:t>
      </w:r>
      <w:r>
        <w:rPr>
          <w:color w:val="231F20"/>
          <w:spacing w:val="-32"/>
          <w:sz w:val="23"/>
        </w:rPr>
        <w:t> </w:t>
      </w:r>
      <w:r>
        <w:rPr>
          <w:color w:val="231F20"/>
          <w:sz w:val="23"/>
        </w:rPr>
        <w:t>accelerate</w:t>
      </w:r>
      <w:r>
        <w:rPr>
          <w:color w:val="231F20"/>
          <w:spacing w:val="-33"/>
          <w:sz w:val="23"/>
        </w:rPr>
        <w:t> </w:t>
      </w:r>
      <w:r>
        <w:rPr>
          <w:color w:val="231F20"/>
          <w:sz w:val="23"/>
        </w:rPr>
        <w:t>financial</w:t>
      </w:r>
      <w:r>
        <w:rPr>
          <w:color w:val="231F20"/>
          <w:spacing w:val="-32"/>
          <w:sz w:val="23"/>
        </w:rPr>
        <w:t> </w:t>
      </w:r>
      <w:r>
        <w:rPr>
          <w:color w:val="231F20"/>
          <w:sz w:val="23"/>
        </w:rPr>
        <w:t>inclusion,</w:t>
      </w:r>
      <w:r>
        <w:rPr>
          <w:color w:val="231F20"/>
          <w:spacing w:val="-32"/>
          <w:sz w:val="23"/>
        </w:rPr>
        <w:t> </w:t>
      </w:r>
      <w:r>
        <w:rPr>
          <w:color w:val="231F20"/>
          <w:sz w:val="23"/>
        </w:rPr>
        <w:t>the</w:t>
      </w:r>
      <w:r>
        <w:rPr>
          <w:color w:val="231F20"/>
          <w:spacing w:val="-33"/>
          <w:sz w:val="23"/>
        </w:rPr>
        <w:t> </w:t>
      </w:r>
      <w:r>
        <w:rPr>
          <w:color w:val="231F20"/>
          <w:sz w:val="23"/>
        </w:rPr>
        <w:t>Bank</w:t>
      </w:r>
      <w:r>
        <w:rPr>
          <w:color w:val="231F20"/>
          <w:spacing w:val="-32"/>
          <w:sz w:val="23"/>
        </w:rPr>
        <w:t> </w:t>
      </w:r>
      <w:r>
        <w:rPr>
          <w:color w:val="231F20"/>
          <w:sz w:val="23"/>
        </w:rPr>
        <w:t>of</w:t>
      </w:r>
      <w:r>
        <w:rPr>
          <w:color w:val="231F20"/>
          <w:spacing w:val="-33"/>
          <w:sz w:val="23"/>
        </w:rPr>
        <w:t> </w:t>
      </w:r>
      <w:r>
        <w:rPr>
          <w:color w:val="231F20"/>
          <w:sz w:val="23"/>
        </w:rPr>
        <w:t>Sierra</w:t>
      </w:r>
      <w:r>
        <w:rPr>
          <w:color w:val="231F20"/>
          <w:spacing w:val="-33"/>
          <w:sz w:val="23"/>
        </w:rPr>
        <w:t> </w:t>
      </w:r>
      <w:r>
        <w:rPr>
          <w:color w:val="231F20"/>
          <w:sz w:val="23"/>
        </w:rPr>
        <w:t>Leone</w:t>
      </w:r>
      <w:r>
        <w:rPr>
          <w:color w:val="231F20"/>
          <w:spacing w:val="-33"/>
          <w:sz w:val="23"/>
        </w:rPr>
        <w:t> </w:t>
      </w:r>
      <w:r>
        <w:rPr>
          <w:color w:val="231F20"/>
          <w:sz w:val="23"/>
        </w:rPr>
        <w:t>is</w:t>
      </w:r>
      <w:r>
        <w:rPr>
          <w:color w:val="231F20"/>
          <w:spacing w:val="-32"/>
          <w:sz w:val="23"/>
        </w:rPr>
        <w:t> </w:t>
      </w:r>
      <w:r>
        <w:rPr>
          <w:color w:val="231F20"/>
          <w:sz w:val="23"/>
        </w:rPr>
        <w:t>collaborating</w:t>
      </w:r>
      <w:r>
        <w:rPr>
          <w:color w:val="231F20"/>
          <w:spacing w:val="-33"/>
          <w:sz w:val="23"/>
        </w:rPr>
        <w:t> </w:t>
      </w:r>
      <w:r>
        <w:rPr>
          <w:color w:val="231F20"/>
          <w:sz w:val="23"/>
        </w:rPr>
        <w:t>with local</w:t>
      </w:r>
      <w:r>
        <w:rPr>
          <w:color w:val="231F20"/>
          <w:spacing w:val="-15"/>
          <w:sz w:val="23"/>
        </w:rPr>
        <w:t> </w:t>
      </w:r>
      <w:r>
        <w:rPr>
          <w:color w:val="231F20"/>
          <w:sz w:val="23"/>
        </w:rPr>
        <w:t>and</w:t>
      </w:r>
      <w:r>
        <w:rPr>
          <w:color w:val="231F20"/>
          <w:spacing w:val="-15"/>
          <w:sz w:val="23"/>
        </w:rPr>
        <w:t> </w:t>
      </w:r>
      <w:r>
        <w:rPr>
          <w:color w:val="231F20"/>
          <w:sz w:val="23"/>
        </w:rPr>
        <w:t>international</w:t>
      </w:r>
      <w:r>
        <w:rPr>
          <w:color w:val="231F20"/>
          <w:spacing w:val="-15"/>
          <w:sz w:val="23"/>
        </w:rPr>
        <w:t> </w:t>
      </w:r>
      <w:r>
        <w:rPr>
          <w:color w:val="231F20"/>
          <w:sz w:val="23"/>
        </w:rPr>
        <w:t>partners</w:t>
      </w:r>
      <w:r>
        <w:rPr>
          <w:color w:val="231F20"/>
          <w:spacing w:val="-15"/>
          <w:sz w:val="23"/>
        </w:rPr>
        <w:t> </w:t>
      </w:r>
      <w:r>
        <w:rPr>
          <w:color w:val="231F20"/>
          <w:sz w:val="23"/>
        </w:rPr>
        <w:t>to</w:t>
      </w:r>
      <w:r>
        <w:rPr>
          <w:color w:val="231F20"/>
          <w:spacing w:val="-15"/>
          <w:sz w:val="23"/>
        </w:rPr>
        <w:t> </w:t>
      </w:r>
      <w:r>
        <w:rPr>
          <w:color w:val="231F20"/>
          <w:sz w:val="23"/>
        </w:rPr>
        <w:t>leverage</w:t>
      </w:r>
      <w:r>
        <w:rPr>
          <w:color w:val="231F20"/>
          <w:spacing w:val="-15"/>
          <w:sz w:val="23"/>
        </w:rPr>
        <w:t> </w:t>
      </w:r>
      <w:r>
        <w:rPr>
          <w:color w:val="231F20"/>
          <w:sz w:val="23"/>
        </w:rPr>
        <w:t>on</w:t>
      </w:r>
      <w:r>
        <w:rPr>
          <w:color w:val="231F20"/>
          <w:spacing w:val="-15"/>
          <w:sz w:val="23"/>
        </w:rPr>
        <w:t> </w:t>
      </w:r>
      <w:r>
        <w:rPr>
          <w:color w:val="231F20"/>
          <w:sz w:val="23"/>
        </w:rPr>
        <w:t>emerging</w:t>
      </w:r>
      <w:r>
        <w:rPr>
          <w:color w:val="231F20"/>
          <w:spacing w:val="-15"/>
          <w:sz w:val="23"/>
        </w:rPr>
        <w:t> </w:t>
      </w:r>
      <w:r>
        <w:rPr>
          <w:color w:val="231F20"/>
          <w:sz w:val="23"/>
        </w:rPr>
        <w:t>technological</w:t>
      </w:r>
      <w:r>
        <w:rPr>
          <w:color w:val="231F20"/>
          <w:spacing w:val="-15"/>
          <w:sz w:val="23"/>
        </w:rPr>
        <w:t> </w:t>
      </w:r>
      <w:r>
        <w:rPr>
          <w:color w:val="231F20"/>
          <w:sz w:val="23"/>
        </w:rPr>
        <w:t>advancements in</w:t>
      </w:r>
      <w:r>
        <w:rPr>
          <w:color w:val="231F20"/>
          <w:spacing w:val="-35"/>
          <w:sz w:val="23"/>
        </w:rPr>
        <w:t> </w:t>
      </w:r>
      <w:r>
        <w:rPr>
          <w:color w:val="231F20"/>
          <w:sz w:val="23"/>
        </w:rPr>
        <w:t>the</w:t>
      </w:r>
      <w:r>
        <w:rPr>
          <w:color w:val="231F20"/>
          <w:spacing w:val="-35"/>
          <w:sz w:val="23"/>
        </w:rPr>
        <w:t> </w:t>
      </w:r>
      <w:r>
        <w:rPr>
          <w:color w:val="231F20"/>
          <w:sz w:val="23"/>
        </w:rPr>
        <w:t>financial</w:t>
      </w:r>
      <w:r>
        <w:rPr>
          <w:color w:val="231F20"/>
          <w:spacing w:val="-35"/>
          <w:sz w:val="23"/>
        </w:rPr>
        <w:t> </w:t>
      </w:r>
      <w:r>
        <w:rPr>
          <w:color w:val="231F20"/>
          <w:sz w:val="23"/>
        </w:rPr>
        <w:t>sector.</w:t>
      </w:r>
      <w:r>
        <w:rPr>
          <w:color w:val="231F20"/>
          <w:spacing w:val="4"/>
          <w:sz w:val="23"/>
        </w:rPr>
        <w:t> </w:t>
      </w:r>
      <w:r>
        <w:rPr>
          <w:color w:val="231F20"/>
          <w:sz w:val="23"/>
        </w:rPr>
        <w:t>As</w:t>
      </w:r>
      <w:r>
        <w:rPr>
          <w:color w:val="231F20"/>
          <w:spacing w:val="-35"/>
          <w:sz w:val="23"/>
        </w:rPr>
        <w:t> </w:t>
      </w:r>
      <w:r>
        <w:rPr>
          <w:color w:val="231F20"/>
          <w:sz w:val="23"/>
        </w:rPr>
        <w:t>part</w:t>
      </w:r>
      <w:r>
        <w:rPr>
          <w:color w:val="231F20"/>
          <w:spacing w:val="-35"/>
          <w:sz w:val="23"/>
        </w:rPr>
        <w:t> </w:t>
      </w:r>
      <w:r>
        <w:rPr>
          <w:color w:val="231F20"/>
          <w:sz w:val="23"/>
        </w:rPr>
        <w:t>of</w:t>
      </w:r>
      <w:r>
        <w:rPr>
          <w:color w:val="231F20"/>
          <w:spacing w:val="-35"/>
          <w:sz w:val="23"/>
        </w:rPr>
        <w:t> </w:t>
      </w:r>
      <w:r>
        <w:rPr>
          <w:color w:val="231F20"/>
          <w:sz w:val="23"/>
        </w:rPr>
        <w:t>the</w:t>
      </w:r>
      <w:r>
        <w:rPr>
          <w:color w:val="231F20"/>
          <w:spacing w:val="-35"/>
          <w:sz w:val="23"/>
        </w:rPr>
        <w:t> </w:t>
      </w:r>
      <w:r>
        <w:rPr>
          <w:color w:val="231F20"/>
          <w:sz w:val="23"/>
        </w:rPr>
        <w:t>World</w:t>
      </w:r>
      <w:r>
        <w:rPr>
          <w:color w:val="231F20"/>
          <w:spacing w:val="-35"/>
          <w:sz w:val="23"/>
        </w:rPr>
        <w:t> </w:t>
      </w:r>
      <w:r>
        <w:rPr>
          <w:color w:val="231F20"/>
          <w:sz w:val="23"/>
        </w:rPr>
        <w:t>Bank</w:t>
      </w:r>
      <w:r>
        <w:rPr>
          <w:color w:val="231F20"/>
          <w:spacing w:val="-35"/>
          <w:sz w:val="23"/>
        </w:rPr>
        <w:t> </w:t>
      </w:r>
      <w:r>
        <w:rPr>
          <w:color w:val="231F20"/>
          <w:sz w:val="23"/>
        </w:rPr>
        <w:t>funded</w:t>
      </w:r>
      <w:r>
        <w:rPr>
          <w:color w:val="231F20"/>
          <w:spacing w:val="-35"/>
          <w:sz w:val="23"/>
        </w:rPr>
        <w:t> </w:t>
      </w:r>
      <w:r>
        <w:rPr>
          <w:color w:val="231F20"/>
          <w:sz w:val="23"/>
        </w:rPr>
        <w:t>Financial</w:t>
      </w:r>
      <w:r>
        <w:rPr>
          <w:color w:val="231F20"/>
          <w:spacing w:val="-35"/>
          <w:sz w:val="23"/>
        </w:rPr>
        <w:t> </w:t>
      </w:r>
      <w:r>
        <w:rPr>
          <w:color w:val="231F20"/>
          <w:sz w:val="23"/>
        </w:rPr>
        <w:t>Sector</w:t>
      </w:r>
      <w:r>
        <w:rPr>
          <w:color w:val="231F20"/>
          <w:spacing w:val="-35"/>
          <w:sz w:val="23"/>
        </w:rPr>
        <w:t> </w:t>
      </w:r>
      <w:r>
        <w:rPr>
          <w:color w:val="231F20"/>
          <w:sz w:val="23"/>
        </w:rPr>
        <w:t>Development Project,</w:t>
      </w:r>
      <w:r>
        <w:rPr>
          <w:color w:val="231F20"/>
          <w:spacing w:val="-9"/>
          <w:sz w:val="23"/>
        </w:rPr>
        <w:t> </w:t>
      </w:r>
      <w:r>
        <w:rPr>
          <w:color w:val="231F20"/>
          <w:sz w:val="23"/>
        </w:rPr>
        <w:t>the</w:t>
      </w:r>
      <w:r>
        <w:rPr>
          <w:color w:val="231F20"/>
          <w:spacing w:val="-9"/>
          <w:sz w:val="23"/>
        </w:rPr>
        <w:t> </w:t>
      </w:r>
      <w:r>
        <w:rPr>
          <w:color w:val="231F20"/>
          <w:sz w:val="23"/>
        </w:rPr>
        <w:t>procurement</w:t>
      </w:r>
      <w:r>
        <w:rPr>
          <w:color w:val="231F20"/>
          <w:spacing w:val="-9"/>
          <w:sz w:val="23"/>
        </w:rPr>
        <w:t> </w:t>
      </w:r>
      <w:r>
        <w:rPr>
          <w:color w:val="231F20"/>
          <w:sz w:val="23"/>
        </w:rPr>
        <w:t>of</w:t>
      </w:r>
      <w:r>
        <w:rPr>
          <w:color w:val="231F20"/>
          <w:spacing w:val="-9"/>
          <w:sz w:val="23"/>
        </w:rPr>
        <w:t> </w:t>
      </w:r>
      <w:r>
        <w:rPr>
          <w:color w:val="231F20"/>
          <w:sz w:val="23"/>
        </w:rPr>
        <w:t>the</w:t>
      </w:r>
      <w:r>
        <w:rPr>
          <w:color w:val="231F20"/>
          <w:spacing w:val="-9"/>
          <w:sz w:val="23"/>
        </w:rPr>
        <w:t> </w:t>
      </w:r>
      <w:r>
        <w:rPr>
          <w:color w:val="231F20"/>
          <w:sz w:val="23"/>
        </w:rPr>
        <w:t>National</w:t>
      </w:r>
      <w:r>
        <w:rPr>
          <w:color w:val="231F20"/>
          <w:spacing w:val="-8"/>
          <w:sz w:val="23"/>
        </w:rPr>
        <w:t> </w:t>
      </w:r>
      <w:r>
        <w:rPr>
          <w:color w:val="231F20"/>
          <w:sz w:val="23"/>
        </w:rPr>
        <w:t>Switch</w:t>
      </w:r>
      <w:r>
        <w:rPr>
          <w:color w:val="231F20"/>
          <w:spacing w:val="-9"/>
          <w:sz w:val="23"/>
        </w:rPr>
        <w:t> </w:t>
      </w:r>
      <w:r>
        <w:rPr>
          <w:color w:val="231F20"/>
          <w:sz w:val="23"/>
        </w:rPr>
        <w:t>is</w:t>
      </w:r>
      <w:r>
        <w:rPr>
          <w:color w:val="231F20"/>
          <w:spacing w:val="-9"/>
          <w:sz w:val="23"/>
        </w:rPr>
        <w:t> </w:t>
      </w:r>
      <w:r>
        <w:rPr>
          <w:color w:val="231F20"/>
          <w:sz w:val="23"/>
        </w:rPr>
        <w:t>in</w:t>
      </w:r>
      <w:r>
        <w:rPr>
          <w:color w:val="231F20"/>
          <w:spacing w:val="-9"/>
          <w:sz w:val="23"/>
        </w:rPr>
        <w:t> </w:t>
      </w:r>
      <w:r>
        <w:rPr>
          <w:color w:val="231F20"/>
          <w:sz w:val="23"/>
        </w:rPr>
        <w:t>progress.</w:t>
      </w:r>
      <w:r>
        <w:rPr>
          <w:color w:val="231F20"/>
          <w:spacing w:val="-9"/>
          <w:sz w:val="23"/>
        </w:rPr>
        <w:t> </w:t>
      </w:r>
      <w:r>
        <w:rPr>
          <w:color w:val="231F20"/>
          <w:sz w:val="23"/>
        </w:rPr>
        <w:t>Once</w:t>
      </w:r>
      <w:r>
        <w:rPr>
          <w:color w:val="231F20"/>
          <w:spacing w:val="-9"/>
          <w:sz w:val="23"/>
        </w:rPr>
        <w:t> </w:t>
      </w:r>
      <w:r>
        <w:rPr>
          <w:color w:val="231F20"/>
          <w:sz w:val="23"/>
        </w:rPr>
        <w:t>operational,</w:t>
      </w:r>
      <w:r>
        <w:rPr>
          <w:color w:val="231F20"/>
          <w:spacing w:val="-9"/>
          <w:sz w:val="23"/>
        </w:rPr>
        <w:t> </w:t>
      </w:r>
      <w:r>
        <w:rPr>
          <w:color w:val="231F20"/>
          <w:sz w:val="23"/>
        </w:rPr>
        <w:t>the National Switch will create a single, integrated and efficient platform for the settlement of interbank electronic payments. It will also allow universal access to digital</w:t>
      </w:r>
      <w:r>
        <w:rPr>
          <w:color w:val="231F20"/>
          <w:spacing w:val="-6"/>
          <w:sz w:val="23"/>
        </w:rPr>
        <w:t> </w:t>
      </w:r>
      <w:r>
        <w:rPr>
          <w:color w:val="231F20"/>
          <w:sz w:val="23"/>
        </w:rPr>
        <w:t>transactions,</w:t>
      </w:r>
      <w:r>
        <w:rPr>
          <w:color w:val="231F20"/>
          <w:spacing w:val="-6"/>
          <w:sz w:val="23"/>
        </w:rPr>
        <w:t> </w:t>
      </w:r>
      <w:r>
        <w:rPr>
          <w:color w:val="231F20"/>
          <w:sz w:val="23"/>
        </w:rPr>
        <w:t>thereby</w:t>
      </w:r>
      <w:r>
        <w:rPr>
          <w:color w:val="231F20"/>
          <w:spacing w:val="-6"/>
          <w:sz w:val="23"/>
        </w:rPr>
        <w:t> </w:t>
      </w:r>
      <w:r>
        <w:rPr>
          <w:color w:val="231F20"/>
          <w:sz w:val="23"/>
        </w:rPr>
        <w:t>reducing</w:t>
      </w:r>
      <w:r>
        <w:rPr>
          <w:color w:val="231F20"/>
          <w:spacing w:val="-6"/>
          <w:sz w:val="23"/>
        </w:rPr>
        <w:t> </w:t>
      </w:r>
      <w:r>
        <w:rPr>
          <w:color w:val="231F20"/>
          <w:sz w:val="23"/>
        </w:rPr>
        <w:t>the</w:t>
      </w:r>
      <w:r>
        <w:rPr>
          <w:color w:val="231F20"/>
          <w:spacing w:val="-6"/>
          <w:sz w:val="23"/>
        </w:rPr>
        <w:t> </w:t>
      </w:r>
      <w:r>
        <w:rPr>
          <w:color w:val="231F20"/>
          <w:sz w:val="23"/>
        </w:rPr>
        <w:t>dependency</w:t>
      </w:r>
      <w:r>
        <w:rPr>
          <w:color w:val="231F20"/>
          <w:spacing w:val="-6"/>
          <w:sz w:val="23"/>
        </w:rPr>
        <w:t> </w:t>
      </w:r>
      <w:r>
        <w:rPr>
          <w:color w:val="231F20"/>
          <w:sz w:val="23"/>
        </w:rPr>
        <w:t>on</w:t>
      </w:r>
      <w:r>
        <w:rPr>
          <w:color w:val="231F20"/>
          <w:spacing w:val="-6"/>
          <w:sz w:val="23"/>
        </w:rPr>
        <w:t> </w:t>
      </w:r>
      <w:r>
        <w:rPr>
          <w:color w:val="231F20"/>
          <w:sz w:val="23"/>
        </w:rPr>
        <w:t>cash</w:t>
      </w:r>
      <w:r>
        <w:rPr>
          <w:color w:val="231F20"/>
          <w:spacing w:val="-6"/>
          <w:sz w:val="23"/>
        </w:rPr>
        <w:t> </w:t>
      </w:r>
      <w:r>
        <w:rPr>
          <w:color w:val="231F20"/>
          <w:sz w:val="23"/>
        </w:rPr>
        <w:t>and</w:t>
      </w:r>
      <w:r>
        <w:rPr>
          <w:color w:val="231F20"/>
          <w:spacing w:val="-6"/>
          <w:sz w:val="23"/>
        </w:rPr>
        <w:t> </w:t>
      </w:r>
      <w:r>
        <w:rPr>
          <w:color w:val="231F20"/>
          <w:sz w:val="23"/>
        </w:rPr>
        <w:t>associated</w:t>
      </w:r>
      <w:r>
        <w:rPr>
          <w:color w:val="231F20"/>
          <w:spacing w:val="-6"/>
          <w:sz w:val="23"/>
        </w:rPr>
        <w:t> </w:t>
      </w:r>
      <w:r>
        <w:rPr>
          <w:color w:val="231F20"/>
          <w:sz w:val="23"/>
        </w:rPr>
        <w:t>risks. Bank</w:t>
      </w:r>
      <w:r>
        <w:rPr>
          <w:color w:val="231F20"/>
          <w:spacing w:val="-23"/>
          <w:sz w:val="23"/>
        </w:rPr>
        <w:t> </w:t>
      </w:r>
      <w:r>
        <w:rPr>
          <w:color w:val="231F20"/>
          <w:sz w:val="23"/>
        </w:rPr>
        <w:t>customers</w:t>
      </w:r>
      <w:r>
        <w:rPr>
          <w:color w:val="231F20"/>
          <w:spacing w:val="-23"/>
          <w:sz w:val="23"/>
        </w:rPr>
        <w:t> </w:t>
      </w:r>
      <w:r>
        <w:rPr>
          <w:color w:val="231F20"/>
          <w:sz w:val="23"/>
        </w:rPr>
        <w:t>will</w:t>
      </w:r>
      <w:r>
        <w:rPr>
          <w:color w:val="231F20"/>
          <w:spacing w:val="-23"/>
          <w:sz w:val="23"/>
        </w:rPr>
        <w:t> </w:t>
      </w:r>
      <w:r>
        <w:rPr>
          <w:color w:val="231F20"/>
          <w:sz w:val="23"/>
        </w:rPr>
        <w:t>be</w:t>
      </w:r>
      <w:r>
        <w:rPr>
          <w:color w:val="231F20"/>
          <w:spacing w:val="-23"/>
          <w:sz w:val="23"/>
        </w:rPr>
        <w:t> </w:t>
      </w:r>
      <w:r>
        <w:rPr>
          <w:color w:val="231F20"/>
          <w:sz w:val="23"/>
        </w:rPr>
        <w:t>able</w:t>
      </w:r>
      <w:r>
        <w:rPr>
          <w:color w:val="231F20"/>
          <w:spacing w:val="-23"/>
          <w:sz w:val="23"/>
        </w:rPr>
        <w:t> </w:t>
      </w:r>
      <w:r>
        <w:rPr>
          <w:color w:val="231F20"/>
          <w:sz w:val="23"/>
        </w:rPr>
        <w:t>to</w:t>
      </w:r>
      <w:r>
        <w:rPr>
          <w:color w:val="231F20"/>
          <w:spacing w:val="-23"/>
          <w:sz w:val="23"/>
        </w:rPr>
        <w:t> </w:t>
      </w:r>
      <w:r>
        <w:rPr>
          <w:color w:val="231F20"/>
          <w:sz w:val="23"/>
        </w:rPr>
        <w:t>make</w:t>
      </w:r>
      <w:r>
        <w:rPr>
          <w:color w:val="231F20"/>
          <w:spacing w:val="-23"/>
          <w:sz w:val="23"/>
        </w:rPr>
        <w:t> </w:t>
      </w:r>
      <w:r>
        <w:rPr>
          <w:color w:val="231F20"/>
          <w:sz w:val="23"/>
        </w:rPr>
        <w:t>withdrawals</w:t>
      </w:r>
      <w:r>
        <w:rPr>
          <w:color w:val="231F20"/>
          <w:spacing w:val="-23"/>
          <w:sz w:val="23"/>
        </w:rPr>
        <w:t> </w:t>
      </w:r>
      <w:r>
        <w:rPr>
          <w:color w:val="231F20"/>
          <w:sz w:val="23"/>
        </w:rPr>
        <w:t>from</w:t>
      </w:r>
      <w:r>
        <w:rPr>
          <w:color w:val="231F20"/>
          <w:spacing w:val="-23"/>
          <w:sz w:val="23"/>
        </w:rPr>
        <w:t> </w:t>
      </w:r>
      <w:r>
        <w:rPr>
          <w:color w:val="231F20"/>
          <w:sz w:val="23"/>
        </w:rPr>
        <w:t>any</w:t>
      </w:r>
      <w:r>
        <w:rPr>
          <w:color w:val="231F20"/>
          <w:spacing w:val="-23"/>
          <w:sz w:val="23"/>
        </w:rPr>
        <w:t> </w:t>
      </w:r>
      <w:r>
        <w:rPr>
          <w:color w:val="231F20"/>
          <w:sz w:val="23"/>
        </w:rPr>
        <w:t>ATM,</w:t>
      </w:r>
      <w:r>
        <w:rPr>
          <w:color w:val="231F20"/>
          <w:spacing w:val="-23"/>
          <w:sz w:val="23"/>
        </w:rPr>
        <w:t> </w:t>
      </w:r>
      <w:r>
        <w:rPr>
          <w:color w:val="231F20"/>
          <w:sz w:val="23"/>
        </w:rPr>
        <w:t>irrespective</w:t>
      </w:r>
      <w:r>
        <w:rPr>
          <w:color w:val="231F20"/>
          <w:spacing w:val="-23"/>
          <w:sz w:val="23"/>
        </w:rPr>
        <w:t> </w:t>
      </w:r>
      <w:r>
        <w:rPr>
          <w:color w:val="231F20"/>
          <w:sz w:val="23"/>
        </w:rPr>
        <w:t>of</w:t>
      </w:r>
      <w:r>
        <w:rPr>
          <w:color w:val="231F20"/>
          <w:spacing w:val="-23"/>
          <w:sz w:val="23"/>
        </w:rPr>
        <w:t> </w:t>
      </w:r>
      <w:r>
        <w:rPr>
          <w:color w:val="231F20"/>
          <w:sz w:val="23"/>
        </w:rPr>
        <w:t>which institution they bank with. Eventually, E-commerce activities will be user-friendly, safer</w:t>
      </w:r>
      <w:r>
        <w:rPr>
          <w:color w:val="231F20"/>
          <w:spacing w:val="17"/>
          <w:sz w:val="23"/>
        </w:rPr>
        <w:t> </w:t>
      </w:r>
      <w:r>
        <w:rPr>
          <w:color w:val="231F20"/>
          <w:sz w:val="23"/>
        </w:rPr>
        <w:t>and</w:t>
      </w:r>
      <w:r>
        <w:rPr>
          <w:color w:val="231F20"/>
          <w:spacing w:val="17"/>
          <w:sz w:val="23"/>
        </w:rPr>
        <w:t> </w:t>
      </w:r>
      <w:r>
        <w:rPr>
          <w:color w:val="231F20"/>
          <w:sz w:val="23"/>
        </w:rPr>
        <w:t>faster,</w:t>
      </w:r>
      <w:r>
        <w:rPr>
          <w:color w:val="231F20"/>
          <w:spacing w:val="17"/>
          <w:sz w:val="23"/>
        </w:rPr>
        <w:t> </w:t>
      </w:r>
      <w:r>
        <w:rPr>
          <w:color w:val="231F20"/>
          <w:sz w:val="23"/>
        </w:rPr>
        <w:t>through</w:t>
      </w:r>
      <w:r>
        <w:rPr>
          <w:color w:val="231F20"/>
          <w:spacing w:val="17"/>
          <w:sz w:val="23"/>
        </w:rPr>
        <w:t> </w:t>
      </w:r>
      <w:r>
        <w:rPr>
          <w:color w:val="231F20"/>
          <w:sz w:val="23"/>
        </w:rPr>
        <w:t>the</w:t>
      </w:r>
      <w:r>
        <w:rPr>
          <w:color w:val="231F20"/>
          <w:spacing w:val="17"/>
          <w:sz w:val="23"/>
        </w:rPr>
        <w:t> </w:t>
      </w:r>
      <w:r>
        <w:rPr>
          <w:color w:val="231F20"/>
          <w:sz w:val="23"/>
        </w:rPr>
        <w:t>electronic</w:t>
      </w:r>
      <w:r>
        <w:rPr>
          <w:color w:val="231F20"/>
          <w:spacing w:val="17"/>
          <w:sz w:val="23"/>
        </w:rPr>
        <w:t> </w:t>
      </w:r>
      <w:r>
        <w:rPr>
          <w:color w:val="231F20"/>
          <w:sz w:val="23"/>
        </w:rPr>
        <w:t>settlement</w:t>
      </w:r>
      <w:r>
        <w:rPr>
          <w:color w:val="231F20"/>
          <w:spacing w:val="17"/>
          <w:sz w:val="23"/>
        </w:rPr>
        <w:t> </w:t>
      </w:r>
      <w:r>
        <w:rPr>
          <w:color w:val="231F20"/>
          <w:sz w:val="23"/>
        </w:rPr>
        <w:t>of</w:t>
      </w:r>
      <w:r>
        <w:rPr>
          <w:color w:val="231F20"/>
          <w:spacing w:val="17"/>
          <w:sz w:val="23"/>
        </w:rPr>
        <w:t> </w:t>
      </w:r>
      <w:r>
        <w:rPr>
          <w:color w:val="231F20"/>
          <w:sz w:val="23"/>
        </w:rPr>
        <w:t>all</w:t>
      </w:r>
      <w:r>
        <w:rPr>
          <w:color w:val="231F20"/>
          <w:spacing w:val="17"/>
          <w:sz w:val="23"/>
        </w:rPr>
        <w:t> </w:t>
      </w:r>
      <w:r>
        <w:rPr>
          <w:color w:val="231F20"/>
          <w:sz w:val="23"/>
        </w:rPr>
        <w:t>financial</w:t>
      </w:r>
      <w:r>
        <w:rPr>
          <w:color w:val="231F20"/>
          <w:spacing w:val="17"/>
          <w:sz w:val="23"/>
        </w:rPr>
        <w:t> </w:t>
      </w:r>
      <w:r>
        <w:rPr>
          <w:color w:val="231F20"/>
          <w:sz w:val="23"/>
        </w:rPr>
        <w:t>transactions.</w:t>
      </w:r>
    </w:p>
    <w:p>
      <w:pPr>
        <w:pStyle w:val="BodyText"/>
        <w:spacing w:before="10"/>
        <w:rPr>
          <w:sz w:val="28"/>
        </w:rPr>
      </w:pPr>
    </w:p>
    <w:p>
      <w:pPr>
        <w:pStyle w:val="ListParagraph"/>
        <w:numPr>
          <w:ilvl w:val="0"/>
          <w:numId w:val="2"/>
        </w:numPr>
        <w:tabs>
          <w:tab w:pos="954" w:val="left" w:leader="none"/>
        </w:tabs>
        <w:spacing w:line="302" w:lineRule="auto" w:before="1" w:after="0"/>
        <w:ind w:left="103" w:right="120" w:firstLine="87"/>
        <w:jc w:val="both"/>
        <w:rPr>
          <w:sz w:val="23"/>
        </w:rPr>
      </w:pPr>
      <w:r>
        <w:rPr>
          <w:color w:val="231F20"/>
          <w:sz w:val="23"/>
        </w:rPr>
        <w:t>Mr.</w:t>
      </w:r>
      <w:r>
        <w:rPr>
          <w:color w:val="231F20"/>
          <w:spacing w:val="-16"/>
          <w:sz w:val="23"/>
        </w:rPr>
        <w:t> </w:t>
      </w:r>
      <w:r>
        <w:rPr>
          <w:color w:val="231F20"/>
          <w:sz w:val="23"/>
        </w:rPr>
        <w:t>Speaker,</w:t>
      </w:r>
      <w:r>
        <w:rPr>
          <w:color w:val="231F20"/>
          <w:spacing w:val="-16"/>
          <w:sz w:val="23"/>
        </w:rPr>
        <w:t> </w:t>
      </w:r>
      <w:r>
        <w:rPr>
          <w:color w:val="231F20"/>
          <w:sz w:val="23"/>
        </w:rPr>
        <w:t>Honourable</w:t>
      </w:r>
      <w:r>
        <w:rPr>
          <w:color w:val="231F20"/>
          <w:spacing w:val="-16"/>
          <w:sz w:val="23"/>
        </w:rPr>
        <w:t> </w:t>
      </w:r>
      <w:r>
        <w:rPr>
          <w:color w:val="231F20"/>
          <w:sz w:val="23"/>
        </w:rPr>
        <w:t>Members,</w:t>
      </w:r>
      <w:r>
        <w:rPr>
          <w:color w:val="231F20"/>
          <w:spacing w:val="-16"/>
          <w:sz w:val="23"/>
        </w:rPr>
        <w:t> </w:t>
      </w:r>
      <w:r>
        <w:rPr>
          <w:color w:val="231F20"/>
          <w:sz w:val="23"/>
        </w:rPr>
        <w:t>work</w:t>
      </w:r>
      <w:r>
        <w:rPr>
          <w:color w:val="231F20"/>
          <w:spacing w:val="-16"/>
          <w:sz w:val="23"/>
        </w:rPr>
        <w:t> </w:t>
      </w:r>
      <w:r>
        <w:rPr>
          <w:color w:val="231F20"/>
          <w:sz w:val="23"/>
        </w:rPr>
        <w:t>on</w:t>
      </w:r>
      <w:r>
        <w:rPr>
          <w:color w:val="231F20"/>
          <w:spacing w:val="-16"/>
          <w:sz w:val="23"/>
        </w:rPr>
        <w:t> </w:t>
      </w:r>
      <w:r>
        <w:rPr>
          <w:color w:val="231F20"/>
          <w:sz w:val="23"/>
        </w:rPr>
        <w:t>enhancing</w:t>
      </w:r>
      <w:r>
        <w:rPr>
          <w:color w:val="231F20"/>
          <w:spacing w:val="-16"/>
          <w:sz w:val="23"/>
        </w:rPr>
        <w:t> </w:t>
      </w:r>
      <w:r>
        <w:rPr>
          <w:color w:val="231F20"/>
          <w:sz w:val="23"/>
        </w:rPr>
        <w:t>the</w:t>
      </w:r>
      <w:r>
        <w:rPr>
          <w:color w:val="231F20"/>
          <w:spacing w:val="-16"/>
          <w:sz w:val="23"/>
        </w:rPr>
        <w:t> </w:t>
      </w:r>
      <w:r>
        <w:rPr>
          <w:color w:val="231F20"/>
          <w:sz w:val="23"/>
        </w:rPr>
        <w:t>collateral</w:t>
      </w:r>
      <w:r>
        <w:rPr>
          <w:color w:val="231F20"/>
          <w:spacing w:val="-16"/>
          <w:sz w:val="23"/>
        </w:rPr>
        <w:t> </w:t>
      </w:r>
      <w:r>
        <w:rPr>
          <w:color w:val="231F20"/>
          <w:sz w:val="23"/>
        </w:rPr>
        <w:t>registry at</w:t>
      </w:r>
      <w:r>
        <w:rPr>
          <w:color w:val="231F20"/>
          <w:spacing w:val="-13"/>
          <w:sz w:val="23"/>
        </w:rPr>
        <w:t> </w:t>
      </w:r>
      <w:r>
        <w:rPr>
          <w:color w:val="231F20"/>
          <w:sz w:val="23"/>
        </w:rPr>
        <w:t>the</w:t>
      </w:r>
      <w:r>
        <w:rPr>
          <w:color w:val="231F20"/>
          <w:spacing w:val="-13"/>
          <w:sz w:val="23"/>
        </w:rPr>
        <w:t> </w:t>
      </w:r>
      <w:r>
        <w:rPr>
          <w:color w:val="231F20"/>
          <w:sz w:val="23"/>
        </w:rPr>
        <w:t>Bank</w:t>
      </w:r>
      <w:r>
        <w:rPr>
          <w:color w:val="231F20"/>
          <w:spacing w:val="-12"/>
          <w:sz w:val="23"/>
        </w:rPr>
        <w:t> </w:t>
      </w:r>
      <w:r>
        <w:rPr>
          <w:color w:val="231F20"/>
          <w:sz w:val="23"/>
        </w:rPr>
        <w:t>of</w:t>
      </w:r>
      <w:r>
        <w:rPr>
          <w:color w:val="231F20"/>
          <w:spacing w:val="-13"/>
          <w:sz w:val="23"/>
        </w:rPr>
        <w:t> </w:t>
      </w:r>
      <w:r>
        <w:rPr>
          <w:color w:val="231F20"/>
          <w:sz w:val="23"/>
        </w:rPr>
        <w:t>Sierra</w:t>
      </w:r>
      <w:r>
        <w:rPr>
          <w:color w:val="231F20"/>
          <w:spacing w:val="-13"/>
          <w:sz w:val="23"/>
        </w:rPr>
        <w:t> </w:t>
      </w:r>
      <w:r>
        <w:rPr>
          <w:color w:val="231F20"/>
          <w:sz w:val="23"/>
        </w:rPr>
        <w:t>Leone</w:t>
      </w:r>
      <w:r>
        <w:rPr>
          <w:color w:val="231F20"/>
          <w:spacing w:val="-13"/>
          <w:sz w:val="23"/>
        </w:rPr>
        <w:t> </w:t>
      </w:r>
      <w:r>
        <w:rPr>
          <w:color w:val="231F20"/>
          <w:sz w:val="23"/>
        </w:rPr>
        <w:t>is</w:t>
      </w:r>
      <w:r>
        <w:rPr>
          <w:color w:val="231F20"/>
          <w:spacing w:val="-13"/>
          <w:sz w:val="23"/>
        </w:rPr>
        <w:t> </w:t>
      </w:r>
      <w:r>
        <w:rPr>
          <w:color w:val="231F20"/>
          <w:sz w:val="23"/>
        </w:rPr>
        <w:t>in</w:t>
      </w:r>
      <w:r>
        <w:rPr>
          <w:color w:val="231F20"/>
          <w:spacing w:val="-13"/>
          <w:sz w:val="23"/>
        </w:rPr>
        <w:t> </w:t>
      </w:r>
      <w:r>
        <w:rPr>
          <w:color w:val="231F20"/>
          <w:sz w:val="23"/>
        </w:rPr>
        <w:t>progress.</w:t>
      </w:r>
      <w:r>
        <w:rPr>
          <w:color w:val="231F20"/>
          <w:spacing w:val="-13"/>
          <w:sz w:val="23"/>
        </w:rPr>
        <w:t> </w:t>
      </w:r>
      <w:r>
        <w:rPr>
          <w:color w:val="231F20"/>
          <w:sz w:val="23"/>
        </w:rPr>
        <w:t>This</w:t>
      </w:r>
      <w:r>
        <w:rPr>
          <w:color w:val="231F20"/>
          <w:spacing w:val="-13"/>
          <w:sz w:val="23"/>
        </w:rPr>
        <w:t> </w:t>
      </w:r>
      <w:r>
        <w:rPr>
          <w:color w:val="231F20"/>
          <w:sz w:val="23"/>
        </w:rPr>
        <w:t>is</w:t>
      </w:r>
      <w:r>
        <w:rPr>
          <w:color w:val="231F20"/>
          <w:spacing w:val="-13"/>
          <w:sz w:val="23"/>
        </w:rPr>
        <w:t> </w:t>
      </w:r>
      <w:r>
        <w:rPr>
          <w:color w:val="231F20"/>
          <w:sz w:val="23"/>
        </w:rPr>
        <w:t>being</w:t>
      </w:r>
      <w:r>
        <w:rPr>
          <w:color w:val="231F20"/>
          <w:spacing w:val="-13"/>
          <w:sz w:val="23"/>
        </w:rPr>
        <w:t> </w:t>
      </w:r>
      <w:r>
        <w:rPr>
          <w:color w:val="231F20"/>
          <w:sz w:val="23"/>
        </w:rPr>
        <w:t>augmented</w:t>
      </w:r>
      <w:r>
        <w:rPr>
          <w:color w:val="231F20"/>
          <w:spacing w:val="-13"/>
          <w:sz w:val="23"/>
        </w:rPr>
        <w:t> </w:t>
      </w:r>
      <w:r>
        <w:rPr>
          <w:color w:val="231F20"/>
          <w:sz w:val="23"/>
        </w:rPr>
        <w:t>by</w:t>
      </w:r>
      <w:r>
        <w:rPr>
          <w:color w:val="231F20"/>
          <w:spacing w:val="-13"/>
          <w:sz w:val="23"/>
        </w:rPr>
        <w:t> </w:t>
      </w:r>
      <w:r>
        <w:rPr>
          <w:color w:val="231F20"/>
          <w:sz w:val="23"/>
        </w:rPr>
        <w:t>the</w:t>
      </w:r>
      <w:r>
        <w:rPr>
          <w:color w:val="231F20"/>
          <w:spacing w:val="-13"/>
          <w:sz w:val="23"/>
        </w:rPr>
        <w:t> </w:t>
      </w:r>
      <w:r>
        <w:rPr>
          <w:color w:val="231F20"/>
          <w:sz w:val="23"/>
        </w:rPr>
        <w:t>creation</w:t>
      </w:r>
      <w:r>
        <w:rPr>
          <w:color w:val="231F20"/>
          <w:spacing w:val="-13"/>
          <w:sz w:val="23"/>
        </w:rPr>
        <w:t> </w:t>
      </w:r>
      <w:r>
        <w:rPr>
          <w:color w:val="231F20"/>
          <w:sz w:val="23"/>
        </w:rPr>
        <w:t>of a credible Credit Reference Bureau based on a nationwide digital identification system.</w:t>
      </w:r>
      <w:r>
        <w:rPr>
          <w:color w:val="231F20"/>
          <w:spacing w:val="-8"/>
          <w:sz w:val="23"/>
        </w:rPr>
        <w:t> </w:t>
      </w:r>
      <w:r>
        <w:rPr>
          <w:color w:val="231F20"/>
          <w:sz w:val="23"/>
        </w:rPr>
        <w:t>This</w:t>
      </w:r>
      <w:r>
        <w:rPr>
          <w:color w:val="231F20"/>
          <w:spacing w:val="-8"/>
          <w:sz w:val="23"/>
        </w:rPr>
        <w:t> </w:t>
      </w:r>
      <w:r>
        <w:rPr>
          <w:color w:val="231F20"/>
          <w:sz w:val="23"/>
        </w:rPr>
        <w:t>will</w:t>
      </w:r>
      <w:r>
        <w:rPr>
          <w:color w:val="231F20"/>
          <w:spacing w:val="-8"/>
          <w:sz w:val="23"/>
        </w:rPr>
        <w:t> </w:t>
      </w:r>
      <w:r>
        <w:rPr>
          <w:color w:val="231F20"/>
          <w:sz w:val="23"/>
        </w:rPr>
        <w:t>ultimately</w:t>
      </w:r>
      <w:r>
        <w:rPr>
          <w:color w:val="231F20"/>
          <w:spacing w:val="-8"/>
          <w:sz w:val="23"/>
        </w:rPr>
        <w:t> </w:t>
      </w:r>
      <w:r>
        <w:rPr>
          <w:color w:val="231F20"/>
          <w:sz w:val="23"/>
        </w:rPr>
        <w:t>provide</w:t>
      </w:r>
      <w:r>
        <w:rPr>
          <w:color w:val="231F20"/>
          <w:spacing w:val="-8"/>
          <w:sz w:val="23"/>
        </w:rPr>
        <w:t> </w:t>
      </w:r>
      <w:r>
        <w:rPr>
          <w:color w:val="231F20"/>
          <w:sz w:val="23"/>
        </w:rPr>
        <w:t>credit</w:t>
      </w:r>
      <w:r>
        <w:rPr>
          <w:color w:val="231F20"/>
          <w:spacing w:val="-8"/>
          <w:sz w:val="23"/>
        </w:rPr>
        <w:t> </w:t>
      </w:r>
      <w:r>
        <w:rPr>
          <w:color w:val="231F20"/>
          <w:sz w:val="23"/>
        </w:rPr>
        <w:t>and</w:t>
      </w:r>
      <w:r>
        <w:rPr>
          <w:color w:val="231F20"/>
          <w:spacing w:val="-8"/>
          <w:sz w:val="23"/>
        </w:rPr>
        <w:t> </w:t>
      </w:r>
      <w:r>
        <w:rPr>
          <w:color w:val="231F20"/>
          <w:sz w:val="23"/>
        </w:rPr>
        <w:t>financial</w:t>
      </w:r>
      <w:r>
        <w:rPr>
          <w:color w:val="231F20"/>
          <w:spacing w:val="-8"/>
          <w:sz w:val="23"/>
        </w:rPr>
        <w:t> </w:t>
      </w:r>
      <w:r>
        <w:rPr>
          <w:color w:val="231F20"/>
          <w:sz w:val="23"/>
        </w:rPr>
        <w:t>histories</w:t>
      </w:r>
      <w:r>
        <w:rPr>
          <w:color w:val="231F20"/>
          <w:spacing w:val="-8"/>
          <w:sz w:val="23"/>
        </w:rPr>
        <w:t> </w:t>
      </w:r>
      <w:r>
        <w:rPr>
          <w:color w:val="231F20"/>
          <w:sz w:val="23"/>
        </w:rPr>
        <w:t>for</w:t>
      </w:r>
      <w:r>
        <w:rPr>
          <w:color w:val="231F20"/>
          <w:spacing w:val="-8"/>
          <w:sz w:val="23"/>
        </w:rPr>
        <w:t> </w:t>
      </w:r>
      <w:r>
        <w:rPr>
          <w:color w:val="231F20"/>
          <w:sz w:val="23"/>
        </w:rPr>
        <w:t>citizens,</w:t>
      </w:r>
      <w:r>
        <w:rPr>
          <w:color w:val="231F20"/>
          <w:spacing w:val="-8"/>
          <w:sz w:val="23"/>
        </w:rPr>
        <w:t> </w:t>
      </w:r>
      <w:r>
        <w:rPr>
          <w:color w:val="231F20"/>
          <w:sz w:val="23"/>
        </w:rPr>
        <w:t>ensure the availability and exchange of reliable credit information and ultimately</w:t>
      </w:r>
      <w:r>
        <w:rPr>
          <w:color w:val="231F20"/>
          <w:spacing w:val="-45"/>
          <w:sz w:val="23"/>
        </w:rPr>
        <w:t> </w:t>
      </w:r>
      <w:r>
        <w:rPr>
          <w:color w:val="231F20"/>
          <w:sz w:val="23"/>
        </w:rPr>
        <w:t>accelerate nation-wide financial</w:t>
      </w:r>
      <w:r>
        <w:rPr>
          <w:color w:val="231F20"/>
          <w:spacing w:val="30"/>
          <w:sz w:val="23"/>
        </w:rPr>
        <w:t> </w:t>
      </w:r>
      <w:r>
        <w:rPr>
          <w:color w:val="231F20"/>
          <w:sz w:val="23"/>
        </w:rPr>
        <w:t>inclusion.</w:t>
      </w:r>
    </w:p>
    <w:p>
      <w:pPr>
        <w:pStyle w:val="BodyText"/>
        <w:spacing w:before="8"/>
        <w:rPr>
          <w:sz w:val="28"/>
        </w:rPr>
      </w:pPr>
    </w:p>
    <w:p>
      <w:pPr>
        <w:pStyle w:val="Heading2"/>
        <w:tabs>
          <w:tab w:pos="953" w:val="left" w:leader="none"/>
        </w:tabs>
        <w:ind w:left="430"/>
      </w:pPr>
      <w:r>
        <w:rPr>
          <w:color w:val="231F20"/>
        </w:rPr>
        <w:t>V.</w:t>
        <w:tab/>
        <w:t>Sectoral</w:t>
      </w:r>
      <w:r>
        <w:rPr>
          <w:color w:val="231F20"/>
          <w:spacing w:val="-23"/>
        </w:rPr>
        <w:t> </w:t>
      </w:r>
      <w:r>
        <w:rPr>
          <w:color w:val="231F20"/>
        </w:rPr>
        <w:t>and</w:t>
      </w:r>
      <w:r>
        <w:rPr>
          <w:color w:val="231F20"/>
          <w:spacing w:val="-22"/>
        </w:rPr>
        <w:t> </w:t>
      </w:r>
      <w:r>
        <w:rPr>
          <w:color w:val="231F20"/>
        </w:rPr>
        <w:t>Structural</w:t>
      </w:r>
      <w:r>
        <w:rPr>
          <w:color w:val="231F20"/>
          <w:spacing w:val="-23"/>
        </w:rPr>
        <w:t> </w:t>
      </w:r>
      <w:r>
        <w:rPr>
          <w:color w:val="231F20"/>
        </w:rPr>
        <w:t>Policies</w:t>
      </w:r>
      <w:r>
        <w:rPr>
          <w:color w:val="231F20"/>
          <w:spacing w:val="-22"/>
        </w:rPr>
        <w:t> </w:t>
      </w:r>
      <w:r>
        <w:rPr>
          <w:color w:val="231F20"/>
        </w:rPr>
        <w:t>for</w:t>
      </w:r>
      <w:r>
        <w:rPr>
          <w:color w:val="231F20"/>
          <w:spacing w:val="-23"/>
        </w:rPr>
        <w:t> </w:t>
      </w:r>
      <w:r>
        <w:rPr>
          <w:color w:val="231F20"/>
        </w:rPr>
        <w:t>Job</w:t>
      </w:r>
      <w:r>
        <w:rPr>
          <w:color w:val="231F20"/>
          <w:spacing w:val="-22"/>
        </w:rPr>
        <w:t> </w:t>
      </w:r>
      <w:r>
        <w:rPr>
          <w:color w:val="231F20"/>
        </w:rPr>
        <w:t>Creation</w:t>
      </w:r>
    </w:p>
    <w:p>
      <w:pPr>
        <w:pStyle w:val="ListParagraph"/>
        <w:numPr>
          <w:ilvl w:val="0"/>
          <w:numId w:val="2"/>
        </w:numPr>
        <w:tabs>
          <w:tab w:pos="954" w:val="left" w:leader="none"/>
        </w:tabs>
        <w:spacing w:line="302" w:lineRule="auto" w:before="71" w:after="0"/>
        <w:ind w:left="103" w:right="118" w:firstLine="87"/>
        <w:jc w:val="both"/>
        <w:rPr>
          <w:sz w:val="23"/>
        </w:rPr>
      </w:pPr>
      <w:r>
        <w:rPr>
          <w:color w:val="231F20"/>
          <w:sz w:val="23"/>
        </w:rPr>
        <w:t>Mr. Speaker, Honourable Members, Government will adopt a two-pronged approach to employment creation in 2020. Firstly, Government will continue to implement</w:t>
      </w:r>
      <w:r>
        <w:rPr>
          <w:color w:val="231F20"/>
          <w:spacing w:val="-11"/>
          <w:sz w:val="23"/>
        </w:rPr>
        <w:t> </w:t>
      </w:r>
      <w:r>
        <w:rPr>
          <w:color w:val="231F20"/>
          <w:sz w:val="23"/>
        </w:rPr>
        <w:t>the</w:t>
      </w:r>
      <w:r>
        <w:rPr>
          <w:color w:val="231F20"/>
          <w:spacing w:val="-11"/>
          <w:sz w:val="23"/>
        </w:rPr>
        <w:t> </w:t>
      </w:r>
      <w:r>
        <w:rPr>
          <w:color w:val="231F20"/>
          <w:sz w:val="23"/>
        </w:rPr>
        <w:t>enabling</w:t>
      </w:r>
      <w:r>
        <w:rPr>
          <w:color w:val="231F20"/>
          <w:spacing w:val="-11"/>
          <w:sz w:val="23"/>
        </w:rPr>
        <w:t> </w:t>
      </w:r>
      <w:r>
        <w:rPr>
          <w:color w:val="231F20"/>
          <w:sz w:val="23"/>
        </w:rPr>
        <w:t>policies</w:t>
      </w:r>
      <w:r>
        <w:rPr>
          <w:color w:val="231F20"/>
          <w:spacing w:val="-11"/>
          <w:sz w:val="23"/>
        </w:rPr>
        <w:t> </w:t>
      </w:r>
      <w:r>
        <w:rPr>
          <w:color w:val="231F20"/>
          <w:sz w:val="23"/>
        </w:rPr>
        <w:t>to</w:t>
      </w:r>
      <w:r>
        <w:rPr>
          <w:color w:val="231F20"/>
          <w:spacing w:val="-11"/>
          <w:sz w:val="23"/>
        </w:rPr>
        <w:t> </w:t>
      </w:r>
      <w:r>
        <w:rPr>
          <w:color w:val="231F20"/>
          <w:sz w:val="23"/>
        </w:rPr>
        <w:t>attract</w:t>
      </w:r>
      <w:r>
        <w:rPr>
          <w:color w:val="231F20"/>
          <w:spacing w:val="51"/>
          <w:sz w:val="23"/>
        </w:rPr>
        <w:t> </w:t>
      </w:r>
      <w:r>
        <w:rPr>
          <w:color w:val="231F20"/>
          <w:sz w:val="23"/>
        </w:rPr>
        <w:t>foreign</w:t>
      </w:r>
      <w:r>
        <w:rPr>
          <w:color w:val="231F20"/>
          <w:spacing w:val="-11"/>
          <w:sz w:val="23"/>
        </w:rPr>
        <w:t> </w:t>
      </w:r>
      <w:r>
        <w:rPr>
          <w:color w:val="231F20"/>
          <w:sz w:val="23"/>
        </w:rPr>
        <w:t>and</w:t>
      </w:r>
      <w:r>
        <w:rPr>
          <w:color w:val="231F20"/>
          <w:spacing w:val="-11"/>
          <w:sz w:val="23"/>
        </w:rPr>
        <w:t> </w:t>
      </w:r>
      <w:r>
        <w:rPr>
          <w:color w:val="231F20"/>
          <w:sz w:val="23"/>
        </w:rPr>
        <w:t>domestic</w:t>
      </w:r>
      <w:r>
        <w:rPr>
          <w:color w:val="231F20"/>
          <w:spacing w:val="-11"/>
          <w:sz w:val="23"/>
        </w:rPr>
        <w:t> </w:t>
      </w:r>
      <w:r>
        <w:rPr>
          <w:color w:val="231F20"/>
          <w:sz w:val="23"/>
        </w:rPr>
        <w:t>investment</w:t>
      </w:r>
      <w:r>
        <w:rPr>
          <w:color w:val="231F20"/>
          <w:spacing w:val="-11"/>
          <w:sz w:val="23"/>
        </w:rPr>
        <w:t> </w:t>
      </w:r>
      <w:r>
        <w:rPr>
          <w:color w:val="231F20"/>
          <w:sz w:val="23"/>
        </w:rPr>
        <w:t>to</w:t>
      </w:r>
      <w:r>
        <w:rPr>
          <w:color w:val="231F20"/>
          <w:spacing w:val="-11"/>
          <w:sz w:val="23"/>
        </w:rPr>
        <w:t> </w:t>
      </w:r>
      <w:r>
        <w:rPr>
          <w:color w:val="231F20"/>
          <w:sz w:val="23"/>
        </w:rPr>
        <w:t>create job</w:t>
      </w:r>
      <w:r>
        <w:rPr>
          <w:color w:val="231F20"/>
          <w:spacing w:val="-27"/>
          <w:sz w:val="23"/>
        </w:rPr>
        <w:t> </w:t>
      </w:r>
      <w:r>
        <w:rPr>
          <w:color w:val="231F20"/>
          <w:sz w:val="23"/>
        </w:rPr>
        <w:t>opportunities.</w:t>
      </w:r>
      <w:r>
        <w:rPr>
          <w:color w:val="231F20"/>
          <w:spacing w:val="-27"/>
          <w:sz w:val="23"/>
        </w:rPr>
        <w:t> </w:t>
      </w:r>
      <w:r>
        <w:rPr>
          <w:color w:val="231F20"/>
          <w:sz w:val="23"/>
        </w:rPr>
        <w:t>Secondly,</w:t>
      </w:r>
      <w:r>
        <w:rPr>
          <w:color w:val="231F20"/>
          <w:spacing w:val="-27"/>
          <w:sz w:val="23"/>
        </w:rPr>
        <w:t> </w:t>
      </w:r>
      <w:r>
        <w:rPr>
          <w:color w:val="231F20"/>
          <w:sz w:val="23"/>
        </w:rPr>
        <w:t>Government</w:t>
      </w:r>
      <w:r>
        <w:rPr>
          <w:color w:val="231F20"/>
          <w:spacing w:val="-27"/>
          <w:sz w:val="23"/>
        </w:rPr>
        <w:t> </w:t>
      </w:r>
      <w:r>
        <w:rPr>
          <w:color w:val="231F20"/>
          <w:sz w:val="23"/>
        </w:rPr>
        <w:t>will</w:t>
      </w:r>
      <w:r>
        <w:rPr>
          <w:color w:val="231F20"/>
          <w:spacing w:val="-27"/>
          <w:sz w:val="23"/>
        </w:rPr>
        <w:t> </w:t>
      </w:r>
      <w:r>
        <w:rPr>
          <w:color w:val="231F20"/>
          <w:sz w:val="23"/>
        </w:rPr>
        <w:t>complement</w:t>
      </w:r>
      <w:r>
        <w:rPr>
          <w:color w:val="231F20"/>
          <w:spacing w:val="-27"/>
          <w:sz w:val="23"/>
        </w:rPr>
        <w:t> </w:t>
      </w:r>
      <w:r>
        <w:rPr>
          <w:color w:val="231F20"/>
          <w:sz w:val="23"/>
        </w:rPr>
        <w:t>these</w:t>
      </w:r>
      <w:r>
        <w:rPr>
          <w:color w:val="231F20"/>
          <w:spacing w:val="-27"/>
          <w:sz w:val="23"/>
        </w:rPr>
        <w:t> </w:t>
      </w:r>
      <w:r>
        <w:rPr>
          <w:color w:val="231F20"/>
          <w:sz w:val="23"/>
        </w:rPr>
        <w:t>measures</w:t>
      </w:r>
      <w:r>
        <w:rPr>
          <w:color w:val="231F20"/>
          <w:spacing w:val="-27"/>
          <w:sz w:val="23"/>
        </w:rPr>
        <w:t> </w:t>
      </w:r>
      <w:r>
        <w:rPr>
          <w:color w:val="231F20"/>
          <w:sz w:val="23"/>
        </w:rPr>
        <w:t>with</w:t>
      </w:r>
      <w:r>
        <w:rPr>
          <w:color w:val="231F20"/>
          <w:spacing w:val="-27"/>
          <w:sz w:val="23"/>
        </w:rPr>
        <w:t> </w:t>
      </w:r>
      <w:r>
        <w:rPr>
          <w:color w:val="231F20"/>
          <w:sz w:val="23"/>
        </w:rPr>
        <w:t>sector specific and targeted interventions to create jobs for our</w:t>
      </w:r>
      <w:r>
        <w:rPr>
          <w:color w:val="231F20"/>
          <w:spacing w:val="32"/>
          <w:sz w:val="23"/>
        </w:rPr>
        <w:t> </w:t>
      </w:r>
      <w:r>
        <w:rPr>
          <w:color w:val="231F20"/>
          <w:sz w:val="23"/>
        </w:rPr>
        <w:t>youths.</w:t>
      </w:r>
    </w:p>
    <w:p>
      <w:pPr>
        <w:pStyle w:val="BodyText"/>
        <w:spacing w:before="10"/>
        <w:rPr>
          <w:sz w:val="28"/>
        </w:rPr>
      </w:pPr>
    </w:p>
    <w:p>
      <w:pPr>
        <w:pStyle w:val="Heading2"/>
        <w:spacing w:before="1"/>
        <w:jc w:val="both"/>
      </w:pPr>
      <w:r>
        <w:rPr>
          <w:color w:val="231F20"/>
        </w:rPr>
        <w:t>Enabling</w:t>
      </w:r>
      <w:r>
        <w:rPr>
          <w:color w:val="231F20"/>
          <w:spacing w:val="-25"/>
        </w:rPr>
        <w:t> </w:t>
      </w:r>
      <w:r>
        <w:rPr>
          <w:color w:val="231F20"/>
        </w:rPr>
        <w:t>Policies</w:t>
      </w:r>
      <w:r>
        <w:rPr>
          <w:color w:val="231F20"/>
          <w:spacing w:val="-25"/>
        </w:rPr>
        <w:t> </w:t>
      </w:r>
      <w:r>
        <w:rPr>
          <w:color w:val="231F20"/>
        </w:rPr>
        <w:t>to</w:t>
      </w:r>
      <w:r>
        <w:rPr>
          <w:color w:val="231F20"/>
          <w:spacing w:val="-24"/>
        </w:rPr>
        <w:t> </w:t>
      </w:r>
      <w:r>
        <w:rPr>
          <w:color w:val="231F20"/>
        </w:rPr>
        <w:t>attract</w:t>
      </w:r>
      <w:r>
        <w:rPr>
          <w:color w:val="231F20"/>
          <w:spacing w:val="-25"/>
        </w:rPr>
        <w:t> </w:t>
      </w:r>
      <w:r>
        <w:rPr>
          <w:color w:val="231F20"/>
        </w:rPr>
        <w:t>Private</w:t>
      </w:r>
      <w:r>
        <w:rPr>
          <w:color w:val="231F20"/>
          <w:spacing w:val="-25"/>
        </w:rPr>
        <w:t> </w:t>
      </w:r>
      <w:r>
        <w:rPr>
          <w:color w:val="231F20"/>
        </w:rPr>
        <w:t>Investments</w:t>
      </w:r>
      <w:r>
        <w:rPr>
          <w:color w:val="231F20"/>
          <w:spacing w:val="-24"/>
        </w:rPr>
        <w:t> </w:t>
      </w:r>
      <w:r>
        <w:rPr>
          <w:color w:val="231F20"/>
        </w:rPr>
        <w:t>for</w:t>
      </w:r>
      <w:r>
        <w:rPr>
          <w:color w:val="231F20"/>
          <w:spacing w:val="-25"/>
        </w:rPr>
        <w:t> </w:t>
      </w:r>
      <w:r>
        <w:rPr>
          <w:color w:val="231F20"/>
        </w:rPr>
        <w:t>Job</w:t>
      </w:r>
      <w:r>
        <w:rPr>
          <w:color w:val="231F20"/>
          <w:spacing w:val="-24"/>
        </w:rPr>
        <w:t> </w:t>
      </w:r>
      <w:r>
        <w:rPr>
          <w:color w:val="231F20"/>
        </w:rPr>
        <w:t>creation</w:t>
      </w:r>
    </w:p>
    <w:p>
      <w:pPr>
        <w:pStyle w:val="ListParagraph"/>
        <w:numPr>
          <w:ilvl w:val="0"/>
          <w:numId w:val="2"/>
        </w:numPr>
        <w:tabs>
          <w:tab w:pos="954" w:val="left" w:leader="none"/>
        </w:tabs>
        <w:spacing w:line="302" w:lineRule="auto" w:before="70" w:after="0"/>
        <w:ind w:left="103" w:right="121" w:firstLine="87"/>
        <w:jc w:val="both"/>
        <w:rPr>
          <w:sz w:val="23"/>
        </w:rPr>
      </w:pPr>
      <w:r>
        <w:rPr>
          <w:color w:val="231F20"/>
          <w:sz w:val="23"/>
        </w:rPr>
        <w:t>Mr. Speaker, Honourable Members, Government recognises that the private sector</w:t>
      </w:r>
      <w:r>
        <w:rPr>
          <w:color w:val="231F20"/>
          <w:spacing w:val="-17"/>
          <w:sz w:val="23"/>
        </w:rPr>
        <w:t> </w:t>
      </w:r>
      <w:r>
        <w:rPr>
          <w:color w:val="231F20"/>
          <w:sz w:val="23"/>
        </w:rPr>
        <w:t>is</w:t>
      </w:r>
      <w:r>
        <w:rPr>
          <w:color w:val="231F20"/>
          <w:spacing w:val="-16"/>
          <w:sz w:val="23"/>
        </w:rPr>
        <w:t> </w:t>
      </w:r>
      <w:r>
        <w:rPr>
          <w:color w:val="231F20"/>
          <w:sz w:val="23"/>
        </w:rPr>
        <w:t>the</w:t>
      </w:r>
      <w:r>
        <w:rPr>
          <w:color w:val="231F20"/>
          <w:spacing w:val="-16"/>
          <w:sz w:val="23"/>
        </w:rPr>
        <w:t> </w:t>
      </w:r>
      <w:r>
        <w:rPr>
          <w:color w:val="231F20"/>
          <w:sz w:val="23"/>
        </w:rPr>
        <w:t>engine</w:t>
      </w:r>
      <w:r>
        <w:rPr>
          <w:color w:val="231F20"/>
          <w:spacing w:val="-17"/>
          <w:sz w:val="23"/>
        </w:rPr>
        <w:t> </w:t>
      </w:r>
      <w:r>
        <w:rPr>
          <w:color w:val="231F20"/>
          <w:sz w:val="23"/>
        </w:rPr>
        <w:t>of</w:t>
      </w:r>
      <w:r>
        <w:rPr>
          <w:color w:val="231F20"/>
          <w:spacing w:val="-17"/>
          <w:sz w:val="23"/>
        </w:rPr>
        <w:t> </w:t>
      </w:r>
      <w:r>
        <w:rPr>
          <w:color w:val="231F20"/>
          <w:sz w:val="23"/>
        </w:rPr>
        <w:t>economic</w:t>
      </w:r>
      <w:r>
        <w:rPr>
          <w:color w:val="231F20"/>
          <w:spacing w:val="-17"/>
          <w:sz w:val="23"/>
        </w:rPr>
        <w:t> </w:t>
      </w:r>
      <w:r>
        <w:rPr>
          <w:color w:val="231F20"/>
          <w:sz w:val="23"/>
        </w:rPr>
        <w:t>growth,</w:t>
      </w:r>
      <w:r>
        <w:rPr>
          <w:color w:val="231F20"/>
          <w:spacing w:val="-17"/>
          <w:sz w:val="23"/>
        </w:rPr>
        <w:t> </w:t>
      </w:r>
      <w:r>
        <w:rPr>
          <w:color w:val="231F20"/>
          <w:sz w:val="23"/>
        </w:rPr>
        <w:t>economic</w:t>
      </w:r>
      <w:r>
        <w:rPr>
          <w:color w:val="231F20"/>
          <w:spacing w:val="-17"/>
          <w:sz w:val="23"/>
        </w:rPr>
        <w:t> </w:t>
      </w:r>
      <w:r>
        <w:rPr>
          <w:color w:val="231F20"/>
          <w:sz w:val="23"/>
        </w:rPr>
        <w:t>transformation</w:t>
      </w:r>
      <w:r>
        <w:rPr>
          <w:color w:val="231F20"/>
          <w:spacing w:val="-16"/>
          <w:sz w:val="23"/>
        </w:rPr>
        <w:t> </w:t>
      </w:r>
      <w:r>
        <w:rPr>
          <w:color w:val="231F20"/>
          <w:sz w:val="23"/>
        </w:rPr>
        <w:t>and</w:t>
      </w:r>
      <w:r>
        <w:rPr>
          <w:color w:val="231F20"/>
          <w:spacing w:val="-17"/>
          <w:sz w:val="23"/>
        </w:rPr>
        <w:t> </w:t>
      </w:r>
      <w:r>
        <w:rPr>
          <w:color w:val="231F20"/>
          <w:sz w:val="23"/>
        </w:rPr>
        <w:t>the</w:t>
      </w:r>
      <w:r>
        <w:rPr>
          <w:color w:val="231F20"/>
          <w:spacing w:val="-16"/>
          <w:sz w:val="23"/>
        </w:rPr>
        <w:t> </w:t>
      </w:r>
      <w:r>
        <w:rPr>
          <w:color w:val="231F20"/>
          <w:sz w:val="23"/>
        </w:rPr>
        <w:t>provider</w:t>
      </w:r>
      <w:r>
        <w:rPr>
          <w:color w:val="231F20"/>
          <w:spacing w:val="-17"/>
          <w:sz w:val="23"/>
        </w:rPr>
        <w:t> </w:t>
      </w:r>
      <w:r>
        <w:rPr>
          <w:color w:val="231F20"/>
          <w:sz w:val="23"/>
        </w:rPr>
        <w:t>of quality jobs. Government will therefore implement the following</w:t>
      </w:r>
      <w:r>
        <w:rPr>
          <w:color w:val="231F20"/>
          <w:spacing w:val="13"/>
          <w:sz w:val="23"/>
        </w:rPr>
        <w:t> </w:t>
      </w:r>
      <w:r>
        <w:rPr>
          <w:color w:val="231F20"/>
          <w:sz w:val="23"/>
        </w:rPr>
        <w:t>measures:</w:t>
      </w:r>
    </w:p>
    <w:p>
      <w:pPr>
        <w:pStyle w:val="BodyText"/>
        <w:rPr>
          <w:sz w:val="20"/>
        </w:rPr>
      </w:pPr>
    </w:p>
    <w:p>
      <w:pPr>
        <w:pStyle w:val="BodyText"/>
        <w:rPr>
          <w:sz w:val="20"/>
        </w:rPr>
      </w:pPr>
    </w:p>
    <w:p>
      <w:pPr>
        <w:pStyle w:val="Heading1"/>
        <w:spacing w:before="251"/>
      </w:pPr>
      <w:r>
        <w:rPr>
          <w:color w:val="231F20"/>
        </w:rPr>
        <w:t>24</w:t>
      </w:r>
    </w:p>
    <w:p>
      <w:pPr>
        <w:spacing w:after="0"/>
        <w:sectPr>
          <w:pgSz w:w="11900" w:h="16840"/>
          <w:pgMar w:top="1180" w:bottom="280" w:left="1140" w:right="1120"/>
        </w:sectPr>
      </w:pPr>
    </w:p>
    <w:p>
      <w:pPr>
        <w:pStyle w:val="Heading2"/>
        <w:spacing w:before="77"/>
        <w:ind w:left="953"/>
      </w:pPr>
      <w:r>
        <w:rPr>
          <w:color w:val="231F20"/>
        </w:rPr>
        <w:t>Improve the Ease of Doing Business</w:t>
      </w:r>
    </w:p>
    <w:p>
      <w:pPr>
        <w:pStyle w:val="ListParagraph"/>
        <w:numPr>
          <w:ilvl w:val="0"/>
          <w:numId w:val="2"/>
        </w:numPr>
        <w:tabs>
          <w:tab w:pos="954" w:val="left" w:leader="none"/>
        </w:tabs>
        <w:spacing w:line="302" w:lineRule="auto" w:before="71" w:after="0"/>
        <w:ind w:left="103" w:right="118" w:firstLine="87"/>
        <w:jc w:val="both"/>
        <w:rPr>
          <w:sz w:val="23"/>
        </w:rPr>
      </w:pPr>
      <w:r>
        <w:rPr>
          <w:color w:val="231F20"/>
          <w:sz w:val="23"/>
        </w:rPr>
        <w:t>Mr. Speaker, Honourable Members, according to the World Bank, improved performance on the Doing Business indicators could result in lower levels of unemployment</w:t>
      </w:r>
      <w:r>
        <w:rPr>
          <w:color w:val="231F20"/>
          <w:spacing w:val="-21"/>
          <w:sz w:val="23"/>
        </w:rPr>
        <w:t> </w:t>
      </w:r>
      <w:r>
        <w:rPr>
          <w:color w:val="231F20"/>
          <w:sz w:val="23"/>
        </w:rPr>
        <w:t>and</w:t>
      </w:r>
      <w:r>
        <w:rPr>
          <w:color w:val="231F20"/>
          <w:spacing w:val="-21"/>
          <w:sz w:val="23"/>
        </w:rPr>
        <w:t> </w:t>
      </w:r>
      <w:r>
        <w:rPr>
          <w:color w:val="231F20"/>
          <w:sz w:val="23"/>
        </w:rPr>
        <w:t>poverty.</w:t>
      </w:r>
      <w:r>
        <w:rPr>
          <w:color w:val="231F20"/>
          <w:spacing w:val="-21"/>
          <w:sz w:val="23"/>
        </w:rPr>
        <w:t> </w:t>
      </w:r>
      <w:r>
        <w:rPr>
          <w:color w:val="231F20"/>
          <w:sz w:val="23"/>
        </w:rPr>
        <w:t>The</w:t>
      </w:r>
      <w:r>
        <w:rPr>
          <w:color w:val="231F20"/>
          <w:spacing w:val="-21"/>
          <w:sz w:val="23"/>
        </w:rPr>
        <w:t> </w:t>
      </w:r>
      <w:r>
        <w:rPr>
          <w:color w:val="231F20"/>
          <w:sz w:val="23"/>
        </w:rPr>
        <w:t>recently</w:t>
      </w:r>
      <w:r>
        <w:rPr>
          <w:color w:val="231F20"/>
          <w:spacing w:val="-21"/>
          <w:sz w:val="23"/>
        </w:rPr>
        <w:t> </w:t>
      </w:r>
      <w:r>
        <w:rPr>
          <w:color w:val="231F20"/>
          <w:sz w:val="23"/>
        </w:rPr>
        <w:t>launched</w:t>
      </w:r>
      <w:r>
        <w:rPr>
          <w:color w:val="231F20"/>
          <w:spacing w:val="-21"/>
          <w:sz w:val="23"/>
        </w:rPr>
        <w:t> </w:t>
      </w:r>
      <w:r>
        <w:rPr>
          <w:color w:val="231F20"/>
          <w:sz w:val="23"/>
        </w:rPr>
        <w:t>2020</w:t>
      </w:r>
      <w:r>
        <w:rPr>
          <w:color w:val="231F20"/>
          <w:spacing w:val="-21"/>
          <w:sz w:val="23"/>
        </w:rPr>
        <w:t> </w:t>
      </w:r>
      <w:r>
        <w:rPr>
          <w:color w:val="231F20"/>
          <w:sz w:val="23"/>
        </w:rPr>
        <w:t>World</w:t>
      </w:r>
      <w:r>
        <w:rPr>
          <w:color w:val="231F20"/>
          <w:spacing w:val="-21"/>
          <w:sz w:val="23"/>
        </w:rPr>
        <w:t> </w:t>
      </w:r>
      <w:r>
        <w:rPr>
          <w:color w:val="231F20"/>
          <w:sz w:val="23"/>
        </w:rPr>
        <w:t>Bank</w:t>
      </w:r>
      <w:r>
        <w:rPr>
          <w:color w:val="231F20"/>
          <w:spacing w:val="-21"/>
          <w:sz w:val="23"/>
        </w:rPr>
        <w:t> </w:t>
      </w:r>
      <w:r>
        <w:rPr>
          <w:color w:val="231F20"/>
          <w:sz w:val="23"/>
        </w:rPr>
        <w:t>Doing</w:t>
      </w:r>
      <w:r>
        <w:rPr>
          <w:color w:val="231F20"/>
          <w:spacing w:val="-21"/>
          <w:sz w:val="23"/>
        </w:rPr>
        <w:t> </w:t>
      </w:r>
      <w:r>
        <w:rPr>
          <w:color w:val="231F20"/>
          <w:sz w:val="23"/>
        </w:rPr>
        <w:t>Business Report</w:t>
      </w:r>
      <w:r>
        <w:rPr>
          <w:color w:val="231F20"/>
          <w:spacing w:val="-25"/>
          <w:sz w:val="23"/>
        </w:rPr>
        <w:t> </w:t>
      </w:r>
      <w:r>
        <w:rPr>
          <w:color w:val="231F20"/>
          <w:sz w:val="23"/>
        </w:rPr>
        <w:t>ranked</w:t>
      </w:r>
      <w:r>
        <w:rPr>
          <w:color w:val="231F20"/>
          <w:spacing w:val="-25"/>
          <w:sz w:val="23"/>
        </w:rPr>
        <w:t> </w:t>
      </w:r>
      <w:r>
        <w:rPr>
          <w:color w:val="231F20"/>
          <w:sz w:val="23"/>
        </w:rPr>
        <w:t>Sierra</w:t>
      </w:r>
      <w:r>
        <w:rPr>
          <w:color w:val="231F20"/>
          <w:spacing w:val="-25"/>
          <w:sz w:val="23"/>
        </w:rPr>
        <w:t> </w:t>
      </w:r>
      <w:r>
        <w:rPr>
          <w:color w:val="231F20"/>
          <w:sz w:val="23"/>
        </w:rPr>
        <w:t>Leone</w:t>
      </w:r>
      <w:r>
        <w:rPr>
          <w:color w:val="231F20"/>
          <w:spacing w:val="-25"/>
          <w:sz w:val="23"/>
        </w:rPr>
        <w:t> </w:t>
      </w:r>
      <w:r>
        <w:rPr>
          <w:color w:val="231F20"/>
          <w:sz w:val="23"/>
        </w:rPr>
        <w:t>at</w:t>
      </w:r>
      <w:r>
        <w:rPr>
          <w:color w:val="231F20"/>
          <w:spacing w:val="-25"/>
          <w:sz w:val="23"/>
        </w:rPr>
        <w:t> </w:t>
      </w:r>
      <w:r>
        <w:rPr>
          <w:color w:val="231F20"/>
          <w:sz w:val="23"/>
        </w:rPr>
        <w:t>163</w:t>
      </w:r>
      <w:r>
        <w:rPr>
          <w:color w:val="231F20"/>
          <w:spacing w:val="-25"/>
          <w:sz w:val="23"/>
        </w:rPr>
        <w:t> </w:t>
      </w:r>
      <w:r>
        <w:rPr>
          <w:color w:val="231F20"/>
          <w:sz w:val="23"/>
        </w:rPr>
        <w:t>out</w:t>
      </w:r>
      <w:r>
        <w:rPr>
          <w:color w:val="231F20"/>
          <w:spacing w:val="-25"/>
          <w:sz w:val="23"/>
        </w:rPr>
        <w:t> </w:t>
      </w:r>
      <w:r>
        <w:rPr>
          <w:color w:val="231F20"/>
          <w:sz w:val="23"/>
        </w:rPr>
        <w:t>of</w:t>
      </w:r>
      <w:r>
        <w:rPr>
          <w:color w:val="231F20"/>
          <w:spacing w:val="-25"/>
          <w:sz w:val="23"/>
        </w:rPr>
        <w:t> </w:t>
      </w:r>
      <w:r>
        <w:rPr>
          <w:color w:val="231F20"/>
          <w:sz w:val="23"/>
        </w:rPr>
        <w:t>190</w:t>
      </w:r>
      <w:r>
        <w:rPr>
          <w:color w:val="231F20"/>
          <w:spacing w:val="-25"/>
          <w:sz w:val="23"/>
        </w:rPr>
        <w:t> </w:t>
      </w:r>
      <w:r>
        <w:rPr>
          <w:color w:val="231F20"/>
          <w:sz w:val="23"/>
        </w:rPr>
        <w:t>countries</w:t>
      </w:r>
      <w:r>
        <w:rPr>
          <w:color w:val="231F20"/>
          <w:spacing w:val="-25"/>
          <w:sz w:val="23"/>
        </w:rPr>
        <w:t> </w:t>
      </w:r>
      <w:r>
        <w:rPr>
          <w:color w:val="231F20"/>
          <w:sz w:val="23"/>
        </w:rPr>
        <w:t>with</w:t>
      </w:r>
      <w:r>
        <w:rPr>
          <w:color w:val="231F20"/>
          <w:spacing w:val="-25"/>
          <w:sz w:val="23"/>
        </w:rPr>
        <w:t> </w:t>
      </w:r>
      <w:r>
        <w:rPr>
          <w:color w:val="231F20"/>
          <w:sz w:val="23"/>
        </w:rPr>
        <w:t>a</w:t>
      </w:r>
      <w:r>
        <w:rPr>
          <w:color w:val="231F20"/>
          <w:spacing w:val="-25"/>
          <w:sz w:val="23"/>
        </w:rPr>
        <w:t> </w:t>
      </w:r>
      <w:r>
        <w:rPr>
          <w:color w:val="231F20"/>
          <w:sz w:val="23"/>
        </w:rPr>
        <w:t>score</w:t>
      </w:r>
      <w:r>
        <w:rPr>
          <w:color w:val="231F20"/>
          <w:spacing w:val="-25"/>
          <w:sz w:val="23"/>
        </w:rPr>
        <w:t> </w:t>
      </w:r>
      <w:r>
        <w:rPr>
          <w:color w:val="231F20"/>
          <w:sz w:val="23"/>
        </w:rPr>
        <w:t>of</w:t>
      </w:r>
      <w:r>
        <w:rPr>
          <w:color w:val="231F20"/>
          <w:spacing w:val="-25"/>
          <w:sz w:val="23"/>
        </w:rPr>
        <w:t> </w:t>
      </w:r>
      <w:r>
        <w:rPr>
          <w:color w:val="231F20"/>
          <w:sz w:val="23"/>
        </w:rPr>
        <w:t>47.5</w:t>
      </w:r>
      <w:r>
        <w:rPr>
          <w:color w:val="231F20"/>
          <w:spacing w:val="-25"/>
          <w:sz w:val="23"/>
        </w:rPr>
        <w:t> </w:t>
      </w:r>
      <w:r>
        <w:rPr>
          <w:color w:val="231F20"/>
          <w:sz w:val="23"/>
        </w:rPr>
        <w:t>out</w:t>
      </w:r>
      <w:r>
        <w:rPr>
          <w:color w:val="231F20"/>
          <w:spacing w:val="-25"/>
          <w:sz w:val="23"/>
        </w:rPr>
        <w:t> </w:t>
      </w:r>
      <w:r>
        <w:rPr>
          <w:color w:val="231F20"/>
          <w:sz w:val="23"/>
        </w:rPr>
        <w:t>of</w:t>
      </w:r>
      <w:r>
        <w:rPr>
          <w:color w:val="231F20"/>
          <w:spacing w:val="-25"/>
          <w:sz w:val="23"/>
        </w:rPr>
        <w:t> </w:t>
      </w:r>
      <w:r>
        <w:rPr>
          <w:color w:val="231F20"/>
          <w:sz w:val="23"/>
        </w:rPr>
        <w:t>100, which is below the Sub-Saharan average score of 51.8. Apart from the ‘Starting a Business’</w:t>
      </w:r>
      <w:r>
        <w:rPr>
          <w:color w:val="231F20"/>
          <w:spacing w:val="-20"/>
          <w:sz w:val="23"/>
        </w:rPr>
        <w:t> </w:t>
      </w:r>
      <w:r>
        <w:rPr>
          <w:color w:val="231F20"/>
          <w:sz w:val="23"/>
        </w:rPr>
        <w:t>Indicator,</w:t>
      </w:r>
      <w:r>
        <w:rPr>
          <w:color w:val="231F20"/>
          <w:spacing w:val="-20"/>
          <w:sz w:val="23"/>
        </w:rPr>
        <w:t> </w:t>
      </w:r>
      <w:r>
        <w:rPr>
          <w:color w:val="231F20"/>
          <w:sz w:val="23"/>
        </w:rPr>
        <w:t>where</w:t>
      </w:r>
      <w:r>
        <w:rPr>
          <w:color w:val="231F20"/>
          <w:spacing w:val="-20"/>
          <w:sz w:val="23"/>
        </w:rPr>
        <w:t> </w:t>
      </w:r>
      <w:r>
        <w:rPr>
          <w:color w:val="231F20"/>
          <w:sz w:val="23"/>
        </w:rPr>
        <w:t>Sierra</w:t>
      </w:r>
      <w:r>
        <w:rPr>
          <w:color w:val="231F20"/>
          <w:spacing w:val="-20"/>
          <w:sz w:val="23"/>
        </w:rPr>
        <w:t> </w:t>
      </w:r>
      <w:r>
        <w:rPr>
          <w:color w:val="231F20"/>
          <w:sz w:val="23"/>
        </w:rPr>
        <w:t>Leone</w:t>
      </w:r>
      <w:r>
        <w:rPr>
          <w:color w:val="231F20"/>
          <w:spacing w:val="-20"/>
          <w:sz w:val="23"/>
        </w:rPr>
        <w:t> </w:t>
      </w:r>
      <w:r>
        <w:rPr>
          <w:color w:val="231F20"/>
          <w:sz w:val="23"/>
        </w:rPr>
        <w:t>is</w:t>
      </w:r>
      <w:r>
        <w:rPr>
          <w:color w:val="231F20"/>
          <w:spacing w:val="-20"/>
          <w:sz w:val="23"/>
        </w:rPr>
        <w:t> </w:t>
      </w:r>
      <w:r>
        <w:rPr>
          <w:color w:val="231F20"/>
          <w:sz w:val="23"/>
        </w:rPr>
        <w:t>ranked</w:t>
      </w:r>
      <w:r>
        <w:rPr>
          <w:color w:val="231F20"/>
          <w:spacing w:val="-20"/>
          <w:sz w:val="23"/>
        </w:rPr>
        <w:t> </w:t>
      </w:r>
      <w:r>
        <w:rPr>
          <w:color w:val="231F20"/>
          <w:sz w:val="23"/>
        </w:rPr>
        <w:t>58,</w:t>
      </w:r>
      <w:r>
        <w:rPr>
          <w:color w:val="231F20"/>
          <w:spacing w:val="-20"/>
          <w:sz w:val="23"/>
        </w:rPr>
        <w:t> </w:t>
      </w:r>
      <w:r>
        <w:rPr>
          <w:color w:val="231F20"/>
          <w:sz w:val="23"/>
        </w:rPr>
        <w:t>better</w:t>
      </w:r>
      <w:r>
        <w:rPr>
          <w:color w:val="231F20"/>
          <w:spacing w:val="-20"/>
          <w:sz w:val="23"/>
        </w:rPr>
        <w:t> </w:t>
      </w:r>
      <w:r>
        <w:rPr>
          <w:color w:val="231F20"/>
          <w:sz w:val="23"/>
        </w:rPr>
        <w:t>than</w:t>
      </w:r>
      <w:r>
        <w:rPr>
          <w:color w:val="231F20"/>
          <w:spacing w:val="-20"/>
          <w:sz w:val="23"/>
        </w:rPr>
        <w:t> </w:t>
      </w:r>
      <w:r>
        <w:rPr>
          <w:color w:val="231F20"/>
          <w:sz w:val="23"/>
        </w:rPr>
        <w:t>other</w:t>
      </w:r>
      <w:r>
        <w:rPr>
          <w:color w:val="231F20"/>
          <w:spacing w:val="-20"/>
          <w:sz w:val="23"/>
        </w:rPr>
        <w:t> </w:t>
      </w:r>
      <w:r>
        <w:rPr>
          <w:color w:val="231F20"/>
          <w:sz w:val="23"/>
        </w:rPr>
        <w:t>reformers</w:t>
      </w:r>
      <w:r>
        <w:rPr>
          <w:color w:val="231F20"/>
          <w:spacing w:val="-20"/>
          <w:sz w:val="23"/>
        </w:rPr>
        <w:t> </w:t>
      </w:r>
      <w:r>
        <w:rPr>
          <w:color w:val="231F20"/>
          <w:sz w:val="23"/>
        </w:rPr>
        <w:t>like Ghana and Kenya, our performance over the years in the other indicators such as Paying Taxes, Getting Electricity, Registering Property, Dealing with Construction Permits and Protecting Minority Investors has been relatively</w:t>
      </w:r>
      <w:r>
        <w:rPr>
          <w:color w:val="231F20"/>
          <w:spacing w:val="56"/>
          <w:sz w:val="23"/>
        </w:rPr>
        <w:t> </w:t>
      </w:r>
      <w:r>
        <w:rPr>
          <w:color w:val="231F20"/>
          <w:sz w:val="23"/>
        </w:rPr>
        <w:t>weak.</w:t>
      </w:r>
    </w:p>
    <w:p>
      <w:pPr>
        <w:pStyle w:val="BodyText"/>
        <w:spacing w:before="11"/>
        <w:rPr>
          <w:sz w:val="28"/>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As</w:t>
      </w:r>
      <w:r>
        <w:rPr>
          <w:color w:val="231F20"/>
          <w:spacing w:val="-43"/>
          <w:sz w:val="23"/>
        </w:rPr>
        <w:t> </w:t>
      </w:r>
      <w:r>
        <w:rPr>
          <w:color w:val="231F20"/>
          <w:sz w:val="23"/>
        </w:rPr>
        <w:t>part</w:t>
      </w:r>
      <w:r>
        <w:rPr>
          <w:color w:val="231F20"/>
          <w:spacing w:val="-43"/>
          <w:sz w:val="23"/>
        </w:rPr>
        <w:t> </w:t>
      </w:r>
      <w:r>
        <w:rPr>
          <w:color w:val="231F20"/>
          <w:sz w:val="23"/>
        </w:rPr>
        <w:t>of</w:t>
      </w:r>
      <w:r>
        <w:rPr>
          <w:color w:val="231F20"/>
          <w:spacing w:val="-43"/>
          <w:sz w:val="23"/>
        </w:rPr>
        <w:t> </w:t>
      </w:r>
      <w:r>
        <w:rPr>
          <w:color w:val="231F20"/>
          <w:sz w:val="23"/>
        </w:rPr>
        <w:t>this</w:t>
      </w:r>
      <w:r>
        <w:rPr>
          <w:color w:val="231F20"/>
          <w:spacing w:val="-43"/>
          <w:sz w:val="23"/>
        </w:rPr>
        <w:t> </w:t>
      </w:r>
      <w:r>
        <w:rPr>
          <w:color w:val="231F20"/>
          <w:sz w:val="23"/>
        </w:rPr>
        <w:t>Administration’s</w:t>
      </w:r>
      <w:r>
        <w:rPr>
          <w:color w:val="231F20"/>
          <w:spacing w:val="-43"/>
          <w:sz w:val="23"/>
        </w:rPr>
        <w:t> </w:t>
      </w:r>
      <w:r>
        <w:rPr>
          <w:color w:val="231F20"/>
          <w:sz w:val="23"/>
        </w:rPr>
        <w:t>plan</w:t>
      </w:r>
      <w:r>
        <w:rPr>
          <w:color w:val="231F20"/>
          <w:spacing w:val="-43"/>
          <w:sz w:val="23"/>
        </w:rPr>
        <w:t> </w:t>
      </w:r>
      <w:r>
        <w:rPr>
          <w:color w:val="231F20"/>
          <w:sz w:val="23"/>
        </w:rPr>
        <w:t>for</w:t>
      </w:r>
      <w:r>
        <w:rPr>
          <w:color w:val="231F20"/>
          <w:spacing w:val="-43"/>
          <w:sz w:val="23"/>
        </w:rPr>
        <w:t> </w:t>
      </w:r>
      <w:r>
        <w:rPr>
          <w:color w:val="231F20"/>
          <w:sz w:val="23"/>
        </w:rPr>
        <w:t>automating</w:t>
      </w:r>
      <w:r>
        <w:rPr>
          <w:color w:val="231F20"/>
          <w:spacing w:val="-43"/>
          <w:sz w:val="23"/>
        </w:rPr>
        <w:t> </w:t>
      </w:r>
      <w:r>
        <w:rPr>
          <w:color w:val="231F20"/>
          <w:sz w:val="23"/>
        </w:rPr>
        <w:t>Government</w:t>
      </w:r>
      <w:r>
        <w:rPr>
          <w:color w:val="231F20"/>
          <w:spacing w:val="-43"/>
          <w:sz w:val="23"/>
        </w:rPr>
        <w:t> </w:t>
      </w:r>
      <w:r>
        <w:rPr>
          <w:color w:val="231F20"/>
          <w:sz w:val="23"/>
        </w:rPr>
        <w:t>services,</w:t>
      </w:r>
      <w:r>
        <w:rPr>
          <w:color w:val="231F20"/>
          <w:spacing w:val="-43"/>
          <w:sz w:val="23"/>
        </w:rPr>
        <w:t> </w:t>
      </w:r>
      <w:r>
        <w:rPr>
          <w:color w:val="231F20"/>
          <w:sz w:val="23"/>
        </w:rPr>
        <w:t>DSTI in</w:t>
      </w:r>
      <w:r>
        <w:rPr>
          <w:color w:val="231F20"/>
          <w:spacing w:val="-11"/>
          <w:sz w:val="23"/>
        </w:rPr>
        <w:t> </w:t>
      </w:r>
      <w:r>
        <w:rPr>
          <w:color w:val="231F20"/>
          <w:sz w:val="23"/>
        </w:rPr>
        <w:t>collaboration</w:t>
      </w:r>
      <w:r>
        <w:rPr>
          <w:color w:val="231F20"/>
          <w:spacing w:val="-11"/>
          <w:sz w:val="23"/>
        </w:rPr>
        <w:t> </w:t>
      </w:r>
      <w:r>
        <w:rPr>
          <w:color w:val="231F20"/>
          <w:sz w:val="23"/>
        </w:rPr>
        <w:t>with</w:t>
      </w:r>
      <w:r>
        <w:rPr>
          <w:color w:val="231F20"/>
          <w:spacing w:val="-11"/>
          <w:sz w:val="23"/>
        </w:rPr>
        <w:t> </w:t>
      </w:r>
      <w:r>
        <w:rPr>
          <w:color w:val="231F20"/>
          <w:sz w:val="23"/>
        </w:rPr>
        <w:t>the</w:t>
      </w:r>
      <w:r>
        <w:rPr>
          <w:color w:val="231F20"/>
          <w:spacing w:val="-11"/>
          <w:sz w:val="23"/>
        </w:rPr>
        <w:t> </w:t>
      </w:r>
      <w:r>
        <w:rPr>
          <w:color w:val="231F20"/>
          <w:sz w:val="23"/>
        </w:rPr>
        <w:t>Ministry</w:t>
      </w:r>
      <w:r>
        <w:rPr>
          <w:color w:val="231F20"/>
          <w:spacing w:val="-11"/>
          <w:sz w:val="23"/>
        </w:rPr>
        <w:t> </w:t>
      </w:r>
      <w:r>
        <w:rPr>
          <w:color w:val="231F20"/>
          <w:sz w:val="23"/>
        </w:rPr>
        <w:t>of</w:t>
      </w:r>
      <w:r>
        <w:rPr>
          <w:color w:val="231F20"/>
          <w:spacing w:val="-11"/>
          <w:sz w:val="23"/>
        </w:rPr>
        <w:t> </w:t>
      </w:r>
      <w:r>
        <w:rPr>
          <w:color w:val="231F20"/>
          <w:sz w:val="23"/>
        </w:rPr>
        <w:t>Trade</w:t>
      </w:r>
      <w:r>
        <w:rPr>
          <w:color w:val="231F20"/>
          <w:spacing w:val="-11"/>
          <w:sz w:val="23"/>
        </w:rPr>
        <w:t> </w:t>
      </w:r>
      <w:r>
        <w:rPr>
          <w:color w:val="231F20"/>
          <w:sz w:val="23"/>
        </w:rPr>
        <w:t>and</w:t>
      </w:r>
      <w:r>
        <w:rPr>
          <w:color w:val="231F20"/>
          <w:spacing w:val="-11"/>
          <w:sz w:val="23"/>
        </w:rPr>
        <w:t> </w:t>
      </w:r>
      <w:r>
        <w:rPr>
          <w:color w:val="231F20"/>
          <w:sz w:val="23"/>
        </w:rPr>
        <w:t>Industry,</w:t>
      </w:r>
      <w:r>
        <w:rPr>
          <w:color w:val="231F20"/>
          <w:spacing w:val="-11"/>
          <w:sz w:val="23"/>
        </w:rPr>
        <w:t> </w:t>
      </w:r>
      <w:r>
        <w:rPr>
          <w:color w:val="231F20"/>
          <w:sz w:val="23"/>
        </w:rPr>
        <w:t>the</w:t>
      </w:r>
      <w:r>
        <w:rPr>
          <w:color w:val="231F20"/>
          <w:spacing w:val="-11"/>
          <w:sz w:val="23"/>
        </w:rPr>
        <w:t> </w:t>
      </w:r>
      <w:r>
        <w:rPr>
          <w:color w:val="231F20"/>
          <w:sz w:val="23"/>
        </w:rPr>
        <w:t>Ministry</w:t>
      </w:r>
      <w:r>
        <w:rPr>
          <w:color w:val="231F20"/>
          <w:spacing w:val="-11"/>
          <w:sz w:val="23"/>
        </w:rPr>
        <w:t> </w:t>
      </w:r>
      <w:r>
        <w:rPr>
          <w:color w:val="231F20"/>
          <w:sz w:val="23"/>
        </w:rPr>
        <w:t>of</w:t>
      </w:r>
      <w:r>
        <w:rPr>
          <w:color w:val="231F20"/>
          <w:spacing w:val="-11"/>
          <w:sz w:val="23"/>
        </w:rPr>
        <w:t> </w:t>
      </w:r>
      <w:r>
        <w:rPr>
          <w:color w:val="231F20"/>
          <w:sz w:val="23"/>
        </w:rPr>
        <w:t>Finance</w:t>
      </w:r>
      <w:r>
        <w:rPr>
          <w:color w:val="231F20"/>
          <w:spacing w:val="-11"/>
          <w:sz w:val="23"/>
        </w:rPr>
        <w:t> </w:t>
      </w:r>
      <w:r>
        <w:rPr>
          <w:color w:val="231F20"/>
          <w:sz w:val="23"/>
        </w:rPr>
        <w:t>and other MDAs, has collected and analysed data on ongoing reforms and existing processes; produced and validated end-to-end business process maps for the ten ranked Doing Business</w:t>
      </w:r>
      <w:r>
        <w:rPr>
          <w:color w:val="231F20"/>
          <w:spacing w:val="3"/>
          <w:sz w:val="23"/>
        </w:rPr>
        <w:t> </w:t>
      </w:r>
      <w:r>
        <w:rPr>
          <w:color w:val="231F20"/>
          <w:sz w:val="23"/>
        </w:rPr>
        <w:t>indicators.</w:t>
      </w:r>
    </w:p>
    <w:p>
      <w:pPr>
        <w:pStyle w:val="BodyText"/>
        <w:spacing w:before="10"/>
        <w:rPr>
          <w:sz w:val="28"/>
        </w:rPr>
      </w:pPr>
    </w:p>
    <w:p>
      <w:pPr>
        <w:pStyle w:val="ListParagraph"/>
        <w:numPr>
          <w:ilvl w:val="0"/>
          <w:numId w:val="2"/>
        </w:numPr>
        <w:tabs>
          <w:tab w:pos="954" w:val="left" w:leader="none"/>
        </w:tabs>
        <w:spacing w:line="302" w:lineRule="auto" w:before="0" w:after="0"/>
        <w:ind w:left="103" w:right="118" w:firstLine="87"/>
        <w:jc w:val="both"/>
        <w:rPr>
          <w:sz w:val="23"/>
        </w:rPr>
      </w:pPr>
      <w:r>
        <w:rPr>
          <w:color w:val="231F20"/>
          <w:sz w:val="23"/>
        </w:rPr>
        <w:t>Mr.</w:t>
      </w:r>
      <w:r>
        <w:rPr>
          <w:color w:val="231F20"/>
          <w:spacing w:val="-46"/>
          <w:sz w:val="23"/>
        </w:rPr>
        <w:t> </w:t>
      </w:r>
      <w:r>
        <w:rPr>
          <w:color w:val="231F20"/>
          <w:sz w:val="23"/>
        </w:rPr>
        <w:t>Speaker,</w:t>
      </w:r>
      <w:r>
        <w:rPr>
          <w:color w:val="231F20"/>
          <w:spacing w:val="-45"/>
          <w:sz w:val="23"/>
        </w:rPr>
        <w:t> </w:t>
      </w:r>
      <w:r>
        <w:rPr>
          <w:color w:val="231F20"/>
          <w:sz w:val="23"/>
        </w:rPr>
        <w:t>Honourable</w:t>
      </w:r>
      <w:r>
        <w:rPr>
          <w:color w:val="231F20"/>
          <w:spacing w:val="-45"/>
          <w:sz w:val="23"/>
        </w:rPr>
        <w:t> </w:t>
      </w:r>
      <w:r>
        <w:rPr>
          <w:color w:val="231F20"/>
          <w:sz w:val="23"/>
        </w:rPr>
        <w:t>Members,</w:t>
      </w:r>
      <w:r>
        <w:rPr>
          <w:color w:val="231F20"/>
          <w:spacing w:val="-45"/>
          <w:sz w:val="23"/>
        </w:rPr>
        <w:t> </w:t>
      </w:r>
      <w:r>
        <w:rPr>
          <w:color w:val="231F20"/>
          <w:sz w:val="23"/>
        </w:rPr>
        <w:t>to</w:t>
      </w:r>
      <w:r>
        <w:rPr>
          <w:color w:val="231F20"/>
          <w:spacing w:val="-45"/>
          <w:sz w:val="23"/>
        </w:rPr>
        <w:t> </w:t>
      </w:r>
      <w:r>
        <w:rPr>
          <w:color w:val="231F20"/>
          <w:sz w:val="23"/>
        </w:rPr>
        <w:t>support</w:t>
      </w:r>
      <w:r>
        <w:rPr>
          <w:color w:val="231F20"/>
          <w:spacing w:val="-45"/>
          <w:sz w:val="23"/>
        </w:rPr>
        <w:t> </w:t>
      </w:r>
      <w:r>
        <w:rPr>
          <w:color w:val="231F20"/>
          <w:sz w:val="23"/>
        </w:rPr>
        <w:t>efforts</w:t>
      </w:r>
      <w:r>
        <w:rPr>
          <w:color w:val="231F20"/>
          <w:spacing w:val="-45"/>
          <w:sz w:val="23"/>
        </w:rPr>
        <w:t> </w:t>
      </w:r>
      <w:r>
        <w:rPr>
          <w:color w:val="231F20"/>
          <w:sz w:val="23"/>
        </w:rPr>
        <w:t>at</w:t>
      </w:r>
      <w:r>
        <w:rPr>
          <w:color w:val="231F20"/>
          <w:spacing w:val="-45"/>
          <w:sz w:val="23"/>
        </w:rPr>
        <w:t> </w:t>
      </w:r>
      <w:r>
        <w:rPr>
          <w:color w:val="231F20"/>
          <w:sz w:val="23"/>
        </w:rPr>
        <w:t>improving</w:t>
      </w:r>
      <w:r>
        <w:rPr>
          <w:color w:val="231F20"/>
          <w:spacing w:val="-45"/>
          <w:sz w:val="23"/>
        </w:rPr>
        <w:t> </w:t>
      </w:r>
      <w:r>
        <w:rPr>
          <w:color w:val="231F20"/>
          <w:sz w:val="23"/>
        </w:rPr>
        <w:t>our</w:t>
      </w:r>
      <w:r>
        <w:rPr>
          <w:color w:val="231F20"/>
          <w:spacing w:val="-45"/>
          <w:sz w:val="23"/>
        </w:rPr>
        <w:t> </w:t>
      </w:r>
      <w:r>
        <w:rPr>
          <w:color w:val="231F20"/>
          <w:sz w:val="23"/>
        </w:rPr>
        <w:t>ranking, the Government and the World Bank are in the process of finalising an Economic Diversification Project, which has a component focused on implementing selected Doing Business</w:t>
      </w:r>
      <w:r>
        <w:rPr>
          <w:color w:val="231F20"/>
          <w:spacing w:val="6"/>
          <w:sz w:val="23"/>
        </w:rPr>
        <w:t> </w:t>
      </w:r>
      <w:r>
        <w:rPr>
          <w:color w:val="231F20"/>
          <w:sz w:val="23"/>
        </w:rPr>
        <w:t>reforms.</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In</w:t>
      </w:r>
      <w:r>
        <w:rPr>
          <w:color w:val="231F20"/>
          <w:spacing w:val="-44"/>
          <w:sz w:val="23"/>
        </w:rPr>
        <w:t> </w:t>
      </w:r>
      <w:r>
        <w:rPr>
          <w:color w:val="231F20"/>
          <w:spacing w:val="-4"/>
          <w:sz w:val="23"/>
        </w:rPr>
        <w:t>preparation</w:t>
      </w:r>
      <w:r>
        <w:rPr>
          <w:color w:val="231F20"/>
          <w:spacing w:val="-44"/>
          <w:sz w:val="23"/>
        </w:rPr>
        <w:t> </w:t>
      </w:r>
      <w:r>
        <w:rPr>
          <w:color w:val="231F20"/>
          <w:spacing w:val="-3"/>
          <w:sz w:val="23"/>
        </w:rPr>
        <w:t>for</w:t>
      </w:r>
      <w:r>
        <w:rPr>
          <w:color w:val="231F20"/>
          <w:spacing w:val="-44"/>
          <w:sz w:val="23"/>
        </w:rPr>
        <w:t> </w:t>
      </w:r>
      <w:r>
        <w:rPr>
          <w:color w:val="231F20"/>
          <w:spacing w:val="-3"/>
          <w:sz w:val="23"/>
        </w:rPr>
        <w:t>the</w:t>
      </w:r>
      <w:r>
        <w:rPr>
          <w:color w:val="231F20"/>
          <w:spacing w:val="-44"/>
          <w:sz w:val="23"/>
        </w:rPr>
        <w:t> </w:t>
      </w:r>
      <w:r>
        <w:rPr>
          <w:color w:val="231F20"/>
          <w:spacing w:val="-4"/>
          <w:sz w:val="23"/>
        </w:rPr>
        <w:t>‘Doing</w:t>
      </w:r>
      <w:r>
        <w:rPr>
          <w:color w:val="231F20"/>
          <w:spacing w:val="-44"/>
          <w:sz w:val="23"/>
        </w:rPr>
        <w:t> </w:t>
      </w:r>
      <w:r>
        <w:rPr>
          <w:color w:val="231F20"/>
          <w:spacing w:val="-4"/>
          <w:sz w:val="23"/>
        </w:rPr>
        <w:t>Business’</w:t>
      </w:r>
      <w:r>
        <w:rPr>
          <w:color w:val="231F20"/>
          <w:spacing w:val="-43"/>
          <w:sz w:val="23"/>
        </w:rPr>
        <w:t> </w:t>
      </w:r>
      <w:r>
        <w:rPr>
          <w:color w:val="231F20"/>
          <w:spacing w:val="-4"/>
          <w:sz w:val="23"/>
        </w:rPr>
        <w:t>component</w:t>
      </w:r>
      <w:r>
        <w:rPr>
          <w:color w:val="231F20"/>
          <w:spacing w:val="-44"/>
          <w:sz w:val="23"/>
        </w:rPr>
        <w:t> </w:t>
      </w:r>
      <w:r>
        <w:rPr>
          <w:color w:val="231F20"/>
          <w:sz w:val="23"/>
        </w:rPr>
        <w:t>of</w:t>
      </w:r>
      <w:r>
        <w:rPr>
          <w:color w:val="231F20"/>
          <w:spacing w:val="-44"/>
          <w:sz w:val="23"/>
        </w:rPr>
        <w:t> </w:t>
      </w:r>
      <w:r>
        <w:rPr>
          <w:color w:val="231F20"/>
          <w:spacing w:val="-3"/>
          <w:sz w:val="23"/>
        </w:rPr>
        <w:t>this</w:t>
      </w:r>
      <w:r>
        <w:rPr>
          <w:color w:val="231F20"/>
          <w:spacing w:val="-44"/>
          <w:sz w:val="23"/>
        </w:rPr>
        <w:t> </w:t>
      </w:r>
      <w:r>
        <w:rPr>
          <w:color w:val="231F20"/>
          <w:spacing w:val="-4"/>
          <w:sz w:val="23"/>
        </w:rPr>
        <w:t>project,</w:t>
      </w:r>
      <w:r>
        <w:rPr>
          <w:color w:val="231F20"/>
          <w:spacing w:val="-44"/>
          <w:sz w:val="23"/>
        </w:rPr>
        <w:t> </w:t>
      </w:r>
      <w:r>
        <w:rPr>
          <w:color w:val="231F20"/>
          <w:spacing w:val="-3"/>
          <w:sz w:val="23"/>
        </w:rPr>
        <w:t>the</w:t>
      </w:r>
      <w:r>
        <w:rPr>
          <w:color w:val="231F20"/>
          <w:spacing w:val="-43"/>
          <w:sz w:val="23"/>
        </w:rPr>
        <w:t> </w:t>
      </w:r>
      <w:r>
        <w:rPr>
          <w:color w:val="231F20"/>
          <w:spacing w:val="-4"/>
          <w:sz w:val="23"/>
        </w:rPr>
        <w:t>Government </w:t>
      </w:r>
      <w:r>
        <w:rPr>
          <w:color w:val="231F20"/>
          <w:sz w:val="23"/>
        </w:rPr>
        <w:t>in</w:t>
      </w:r>
      <w:r>
        <w:rPr>
          <w:color w:val="231F20"/>
          <w:spacing w:val="-19"/>
          <w:sz w:val="23"/>
        </w:rPr>
        <w:t> </w:t>
      </w:r>
      <w:r>
        <w:rPr>
          <w:color w:val="231F20"/>
          <w:sz w:val="23"/>
        </w:rPr>
        <w:t>collaboration</w:t>
      </w:r>
      <w:r>
        <w:rPr>
          <w:color w:val="231F20"/>
          <w:spacing w:val="-19"/>
          <w:sz w:val="23"/>
        </w:rPr>
        <w:t> </w:t>
      </w:r>
      <w:r>
        <w:rPr>
          <w:color w:val="231F20"/>
          <w:sz w:val="23"/>
        </w:rPr>
        <w:t>with</w:t>
      </w:r>
      <w:r>
        <w:rPr>
          <w:color w:val="231F20"/>
          <w:spacing w:val="-18"/>
          <w:sz w:val="23"/>
        </w:rPr>
        <w:t> </w:t>
      </w:r>
      <w:r>
        <w:rPr>
          <w:color w:val="231F20"/>
          <w:sz w:val="23"/>
        </w:rPr>
        <w:t>the</w:t>
      </w:r>
      <w:r>
        <w:rPr>
          <w:color w:val="231F20"/>
          <w:spacing w:val="-19"/>
          <w:sz w:val="23"/>
        </w:rPr>
        <w:t> </w:t>
      </w:r>
      <w:r>
        <w:rPr>
          <w:color w:val="231F20"/>
          <w:sz w:val="23"/>
        </w:rPr>
        <w:t>World</w:t>
      </w:r>
      <w:r>
        <w:rPr>
          <w:color w:val="231F20"/>
          <w:spacing w:val="-19"/>
          <w:sz w:val="23"/>
        </w:rPr>
        <w:t> </w:t>
      </w:r>
      <w:r>
        <w:rPr>
          <w:color w:val="231F20"/>
          <w:sz w:val="23"/>
        </w:rPr>
        <w:t>Bank,</w:t>
      </w:r>
      <w:r>
        <w:rPr>
          <w:color w:val="231F20"/>
          <w:spacing w:val="-18"/>
          <w:sz w:val="23"/>
        </w:rPr>
        <w:t> </w:t>
      </w:r>
      <w:r>
        <w:rPr>
          <w:color w:val="231F20"/>
          <w:sz w:val="23"/>
        </w:rPr>
        <w:t>has</w:t>
      </w:r>
      <w:r>
        <w:rPr>
          <w:color w:val="231F20"/>
          <w:spacing w:val="-19"/>
          <w:sz w:val="23"/>
        </w:rPr>
        <w:t> </w:t>
      </w:r>
      <w:r>
        <w:rPr>
          <w:color w:val="231F20"/>
          <w:sz w:val="23"/>
        </w:rPr>
        <w:t>developed</w:t>
      </w:r>
      <w:r>
        <w:rPr>
          <w:color w:val="231F20"/>
          <w:spacing w:val="-19"/>
          <w:sz w:val="23"/>
        </w:rPr>
        <w:t> </w:t>
      </w:r>
      <w:r>
        <w:rPr>
          <w:color w:val="231F20"/>
          <w:sz w:val="23"/>
        </w:rPr>
        <w:t>a</w:t>
      </w:r>
      <w:r>
        <w:rPr>
          <w:color w:val="231F20"/>
          <w:spacing w:val="-19"/>
          <w:sz w:val="23"/>
        </w:rPr>
        <w:t> </w:t>
      </w:r>
      <w:r>
        <w:rPr>
          <w:color w:val="231F20"/>
          <w:sz w:val="23"/>
        </w:rPr>
        <w:t>Doing</w:t>
      </w:r>
      <w:r>
        <w:rPr>
          <w:color w:val="231F20"/>
          <w:spacing w:val="-19"/>
          <w:sz w:val="23"/>
        </w:rPr>
        <w:t> </w:t>
      </w:r>
      <w:r>
        <w:rPr>
          <w:color w:val="231F20"/>
          <w:sz w:val="23"/>
        </w:rPr>
        <w:t>Business</w:t>
      </w:r>
      <w:r>
        <w:rPr>
          <w:color w:val="231F20"/>
          <w:spacing w:val="-18"/>
          <w:sz w:val="23"/>
        </w:rPr>
        <w:t> </w:t>
      </w:r>
      <w:r>
        <w:rPr>
          <w:color w:val="231F20"/>
          <w:sz w:val="23"/>
        </w:rPr>
        <w:t>Roadmap.</w:t>
      </w:r>
      <w:r>
        <w:rPr>
          <w:color w:val="231F20"/>
          <w:spacing w:val="-19"/>
          <w:sz w:val="23"/>
        </w:rPr>
        <w:t> </w:t>
      </w:r>
      <w:r>
        <w:rPr>
          <w:color w:val="231F20"/>
          <w:sz w:val="23"/>
        </w:rPr>
        <w:t>The recommendations contained in this Roadmap and the mapping process done by</w:t>
      </w:r>
      <w:r>
        <w:rPr>
          <w:color w:val="231F20"/>
          <w:spacing w:val="-22"/>
          <w:sz w:val="23"/>
        </w:rPr>
        <w:t> </w:t>
      </w:r>
      <w:r>
        <w:rPr>
          <w:color w:val="231F20"/>
          <w:sz w:val="23"/>
        </w:rPr>
        <w:t>the DSTI will inform the preparation of a comprehensive ‘Doing Business Action</w:t>
      </w:r>
      <w:r>
        <w:rPr>
          <w:color w:val="231F20"/>
          <w:spacing w:val="-33"/>
          <w:sz w:val="23"/>
        </w:rPr>
        <w:t> </w:t>
      </w:r>
      <w:r>
        <w:rPr>
          <w:color w:val="231F20"/>
          <w:sz w:val="23"/>
        </w:rPr>
        <w:t>Plan’.</w:t>
      </w:r>
    </w:p>
    <w:p>
      <w:pPr>
        <w:pStyle w:val="BodyText"/>
        <w:spacing w:before="10"/>
        <w:rPr>
          <w:sz w:val="28"/>
        </w:rPr>
      </w:pPr>
    </w:p>
    <w:p>
      <w:pPr>
        <w:pStyle w:val="Heading2"/>
        <w:ind w:left="953"/>
      </w:pPr>
      <w:r>
        <w:rPr>
          <w:color w:val="231F20"/>
        </w:rPr>
        <w:t>Establishment of the National Investment Board</w:t>
      </w:r>
    </w:p>
    <w:p>
      <w:pPr>
        <w:pStyle w:val="ListParagraph"/>
        <w:numPr>
          <w:ilvl w:val="0"/>
          <w:numId w:val="2"/>
        </w:numPr>
        <w:tabs>
          <w:tab w:pos="954" w:val="left" w:leader="none"/>
        </w:tabs>
        <w:spacing w:line="302" w:lineRule="auto" w:before="71" w:after="0"/>
        <w:ind w:left="103" w:right="118" w:firstLine="87"/>
        <w:jc w:val="both"/>
        <w:rPr>
          <w:sz w:val="23"/>
        </w:rPr>
      </w:pPr>
      <w:r>
        <w:rPr>
          <w:color w:val="231F20"/>
          <w:sz w:val="23"/>
        </w:rPr>
        <w:t>Mr. Speaker, Honourable Members, we believe that there is the need for a central</w:t>
      </w:r>
      <w:r>
        <w:rPr>
          <w:color w:val="231F20"/>
          <w:spacing w:val="-15"/>
          <w:sz w:val="23"/>
        </w:rPr>
        <w:t> </w:t>
      </w:r>
      <w:r>
        <w:rPr>
          <w:color w:val="231F20"/>
          <w:sz w:val="23"/>
        </w:rPr>
        <w:t>institution</w:t>
      </w:r>
      <w:r>
        <w:rPr>
          <w:color w:val="231F20"/>
          <w:spacing w:val="-15"/>
          <w:sz w:val="23"/>
        </w:rPr>
        <w:t> </w:t>
      </w:r>
      <w:r>
        <w:rPr>
          <w:color w:val="231F20"/>
          <w:sz w:val="23"/>
        </w:rPr>
        <w:t>backed</w:t>
      </w:r>
      <w:r>
        <w:rPr>
          <w:color w:val="231F20"/>
          <w:spacing w:val="-15"/>
          <w:sz w:val="23"/>
        </w:rPr>
        <w:t> </w:t>
      </w:r>
      <w:r>
        <w:rPr>
          <w:color w:val="231F20"/>
          <w:sz w:val="23"/>
        </w:rPr>
        <w:t>by</w:t>
      </w:r>
      <w:r>
        <w:rPr>
          <w:color w:val="231F20"/>
          <w:spacing w:val="-15"/>
          <w:sz w:val="23"/>
        </w:rPr>
        <w:t> </w:t>
      </w:r>
      <w:r>
        <w:rPr>
          <w:color w:val="231F20"/>
          <w:sz w:val="23"/>
        </w:rPr>
        <w:t>the</w:t>
      </w:r>
      <w:r>
        <w:rPr>
          <w:color w:val="231F20"/>
          <w:spacing w:val="-15"/>
          <w:sz w:val="23"/>
        </w:rPr>
        <w:t> </w:t>
      </w:r>
      <w:r>
        <w:rPr>
          <w:color w:val="231F20"/>
          <w:sz w:val="23"/>
        </w:rPr>
        <w:t>highest</w:t>
      </w:r>
      <w:r>
        <w:rPr>
          <w:color w:val="231F20"/>
          <w:spacing w:val="-15"/>
          <w:sz w:val="23"/>
        </w:rPr>
        <w:t> </w:t>
      </w:r>
      <w:r>
        <w:rPr>
          <w:color w:val="231F20"/>
          <w:sz w:val="23"/>
        </w:rPr>
        <w:t>office</w:t>
      </w:r>
      <w:r>
        <w:rPr>
          <w:color w:val="231F20"/>
          <w:spacing w:val="-15"/>
          <w:sz w:val="23"/>
        </w:rPr>
        <w:t> </w:t>
      </w:r>
      <w:r>
        <w:rPr>
          <w:color w:val="231F20"/>
          <w:sz w:val="23"/>
        </w:rPr>
        <w:t>in</w:t>
      </w:r>
      <w:r>
        <w:rPr>
          <w:color w:val="231F20"/>
          <w:spacing w:val="-15"/>
          <w:sz w:val="23"/>
        </w:rPr>
        <w:t> </w:t>
      </w:r>
      <w:r>
        <w:rPr>
          <w:color w:val="231F20"/>
          <w:sz w:val="23"/>
        </w:rPr>
        <w:t>the</w:t>
      </w:r>
      <w:r>
        <w:rPr>
          <w:color w:val="231F20"/>
          <w:spacing w:val="-15"/>
          <w:sz w:val="23"/>
        </w:rPr>
        <w:t> </w:t>
      </w:r>
      <w:r>
        <w:rPr>
          <w:color w:val="231F20"/>
          <w:sz w:val="23"/>
        </w:rPr>
        <w:t>land</w:t>
      </w:r>
      <w:r>
        <w:rPr>
          <w:color w:val="231F20"/>
          <w:spacing w:val="-15"/>
          <w:sz w:val="23"/>
        </w:rPr>
        <w:t> </w:t>
      </w:r>
      <w:r>
        <w:rPr>
          <w:color w:val="231F20"/>
          <w:sz w:val="23"/>
        </w:rPr>
        <w:t>to</w:t>
      </w:r>
      <w:r>
        <w:rPr>
          <w:color w:val="231F20"/>
          <w:spacing w:val="-15"/>
          <w:sz w:val="23"/>
        </w:rPr>
        <w:t> </w:t>
      </w:r>
      <w:r>
        <w:rPr>
          <w:color w:val="231F20"/>
          <w:sz w:val="23"/>
        </w:rPr>
        <w:t>provide</w:t>
      </w:r>
      <w:r>
        <w:rPr>
          <w:color w:val="231F20"/>
          <w:spacing w:val="-15"/>
          <w:sz w:val="23"/>
        </w:rPr>
        <w:t> </w:t>
      </w:r>
      <w:r>
        <w:rPr>
          <w:color w:val="231F20"/>
          <w:sz w:val="23"/>
        </w:rPr>
        <w:t>a</w:t>
      </w:r>
      <w:r>
        <w:rPr>
          <w:color w:val="231F20"/>
          <w:spacing w:val="-15"/>
          <w:sz w:val="23"/>
        </w:rPr>
        <w:t> </w:t>
      </w:r>
      <w:r>
        <w:rPr>
          <w:color w:val="231F20"/>
          <w:sz w:val="23"/>
        </w:rPr>
        <w:t>single-window for investment, especially in critical sectors of the economy. In light of this, Cabinet has</w:t>
      </w:r>
      <w:r>
        <w:rPr>
          <w:color w:val="231F20"/>
          <w:spacing w:val="-35"/>
          <w:sz w:val="23"/>
        </w:rPr>
        <w:t> </w:t>
      </w:r>
      <w:r>
        <w:rPr>
          <w:color w:val="231F20"/>
          <w:sz w:val="23"/>
        </w:rPr>
        <w:t>approved</w:t>
      </w:r>
      <w:r>
        <w:rPr>
          <w:color w:val="231F20"/>
          <w:spacing w:val="-35"/>
          <w:sz w:val="23"/>
        </w:rPr>
        <w:t> </w:t>
      </w:r>
      <w:r>
        <w:rPr>
          <w:color w:val="231F20"/>
          <w:sz w:val="23"/>
        </w:rPr>
        <w:t>the</w:t>
      </w:r>
      <w:r>
        <w:rPr>
          <w:color w:val="231F20"/>
          <w:spacing w:val="-35"/>
          <w:sz w:val="23"/>
        </w:rPr>
        <w:t> </w:t>
      </w:r>
      <w:r>
        <w:rPr>
          <w:color w:val="231F20"/>
          <w:sz w:val="23"/>
        </w:rPr>
        <w:t>establishment</w:t>
      </w:r>
      <w:r>
        <w:rPr>
          <w:color w:val="231F20"/>
          <w:spacing w:val="-35"/>
          <w:sz w:val="23"/>
        </w:rPr>
        <w:t> </w:t>
      </w:r>
      <w:r>
        <w:rPr>
          <w:color w:val="231F20"/>
          <w:sz w:val="23"/>
        </w:rPr>
        <w:t>of</w:t>
      </w:r>
      <w:r>
        <w:rPr>
          <w:color w:val="231F20"/>
          <w:spacing w:val="-35"/>
          <w:sz w:val="23"/>
        </w:rPr>
        <w:t> </w:t>
      </w:r>
      <w:r>
        <w:rPr>
          <w:color w:val="231F20"/>
          <w:sz w:val="23"/>
        </w:rPr>
        <w:t>the</w:t>
      </w:r>
      <w:r>
        <w:rPr>
          <w:color w:val="231F20"/>
          <w:spacing w:val="-35"/>
          <w:sz w:val="23"/>
        </w:rPr>
        <w:t> </w:t>
      </w:r>
      <w:r>
        <w:rPr>
          <w:color w:val="231F20"/>
          <w:sz w:val="23"/>
        </w:rPr>
        <w:t>National</w:t>
      </w:r>
      <w:r>
        <w:rPr>
          <w:color w:val="231F20"/>
          <w:spacing w:val="-35"/>
          <w:sz w:val="23"/>
        </w:rPr>
        <w:t> </w:t>
      </w:r>
      <w:r>
        <w:rPr>
          <w:color w:val="231F20"/>
          <w:sz w:val="23"/>
        </w:rPr>
        <w:t>Investment</w:t>
      </w:r>
      <w:r>
        <w:rPr>
          <w:color w:val="231F20"/>
          <w:spacing w:val="-35"/>
          <w:sz w:val="23"/>
        </w:rPr>
        <w:t> </w:t>
      </w:r>
      <w:r>
        <w:rPr>
          <w:color w:val="231F20"/>
          <w:sz w:val="23"/>
        </w:rPr>
        <w:t>Board</w:t>
      </w:r>
      <w:r>
        <w:rPr>
          <w:color w:val="231F20"/>
          <w:spacing w:val="-35"/>
          <w:sz w:val="23"/>
        </w:rPr>
        <w:t> </w:t>
      </w:r>
      <w:r>
        <w:rPr>
          <w:color w:val="231F20"/>
          <w:sz w:val="23"/>
        </w:rPr>
        <w:t>(NIB).</w:t>
      </w:r>
      <w:r>
        <w:rPr>
          <w:color w:val="231F20"/>
          <w:spacing w:val="-35"/>
          <w:sz w:val="23"/>
        </w:rPr>
        <w:t> </w:t>
      </w:r>
      <w:r>
        <w:rPr>
          <w:color w:val="231F20"/>
          <w:sz w:val="23"/>
        </w:rPr>
        <w:t>The</w:t>
      </w:r>
      <w:r>
        <w:rPr>
          <w:color w:val="231F20"/>
          <w:spacing w:val="-35"/>
          <w:sz w:val="23"/>
        </w:rPr>
        <w:t> </w:t>
      </w:r>
      <w:r>
        <w:rPr>
          <w:color w:val="231F20"/>
          <w:sz w:val="23"/>
        </w:rPr>
        <w:t>policy</w:t>
      </w:r>
      <w:r>
        <w:rPr>
          <w:color w:val="231F20"/>
          <w:spacing w:val="-35"/>
          <w:sz w:val="23"/>
        </w:rPr>
        <w:t> </w:t>
      </w:r>
      <w:r>
        <w:rPr>
          <w:color w:val="231F20"/>
          <w:sz w:val="23"/>
        </w:rPr>
        <w:t>and legal framework for the Board are being put together for Cabinet approval and subsequent ratification by</w:t>
      </w:r>
      <w:r>
        <w:rPr>
          <w:color w:val="231F20"/>
          <w:spacing w:val="5"/>
          <w:sz w:val="23"/>
        </w:rPr>
        <w:t> </w:t>
      </w:r>
      <w:r>
        <w:rPr>
          <w:color w:val="231F20"/>
          <w:sz w:val="23"/>
        </w:rPr>
        <w:t>Parliamentary.</w:t>
      </w:r>
    </w:p>
    <w:p>
      <w:pPr>
        <w:pStyle w:val="BodyText"/>
        <w:spacing w:before="10"/>
        <w:rPr>
          <w:sz w:val="28"/>
        </w:rPr>
      </w:pPr>
    </w:p>
    <w:p>
      <w:pPr>
        <w:pStyle w:val="ListParagraph"/>
        <w:numPr>
          <w:ilvl w:val="0"/>
          <w:numId w:val="2"/>
        </w:numPr>
        <w:tabs>
          <w:tab w:pos="954" w:val="left" w:leader="none"/>
        </w:tabs>
        <w:spacing w:line="302" w:lineRule="auto" w:before="1" w:after="0"/>
        <w:ind w:left="103" w:right="118" w:firstLine="87"/>
        <w:jc w:val="both"/>
        <w:rPr>
          <w:sz w:val="23"/>
        </w:rPr>
      </w:pPr>
      <w:r>
        <w:rPr>
          <w:color w:val="231F20"/>
          <w:sz w:val="23"/>
        </w:rPr>
        <w:t>The</w:t>
      </w:r>
      <w:r>
        <w:rPr>
          <w:color w:val="231F20"/>
          <w:spacing w:val="-29"/>
          <w:sz w:val="23"/>
        </w:rPr>
        <w:t> </w:t>
      </w:r>
      <w:r>
        <w:rPr>
          <w:color w:val="231F20"/>
          <w:sz w:val="23"/>
        </w:rPr>
        <w:t>NIB</w:t>
      </w:r>
      <w:r>
        <w:rPr>
          <w:color w:val="231F20"/>
          <w:spacing w:val="-29"/>
          <w:sz w:val="23"/>
        </w:rPr>
        <w:t> </w:t>
      </w:r>
      <w:r>
        <w:rPr>
          <w:color w:val="231F20"/>
          <w:sz w:val="23"/>
        </w:rPr>
        <w:t>will</w:t>
      </w:r>
      <w:r>
        <w:rPr>
          <w:color w:val="231F20"/>
          <w:spacing w:val="-29"/>
          <w:sz w:val="23"/>
        </w:rPr>
        <w:t> </w:t>
      </w:r>
      <w:r>
        <w:rPr>
          <w:color w:val="231F20"/>
          <w:sz w:val="23"/>
        </w:rPr>
        <w:t>be</w:t>
      </w:r>
      <w:r>
        <w:rPr>
          <w:color w:val="231F20"/>
          <w:spacing w:val="-29"/>
          <w:sz w:val="23"/>
        </w:rPr>
        <w:t> </w:t>
      </w:r>
      <w:r>
        <w:rPr>
          <w:color w:val="231F20"/>
          <w:sz w:val="23"/>
        </w:rPr>
        <w:t>the</w:t>
      </w:r>
      <w:r>
        <w:rPr>
          <w:color w:val="231F20"/>
          <w:spacing w:val="-29"/>
          <w:sz w:val="23"/>
        </w:rPr>
        <w:t> </w:t>
      </w:r>
      <w:r>
        <w:rPr>
          <w:color w:val="231F20"/>
          <w:sz w:val="23"/>
        </w:rPr>
        <w:t>Government’s</w:t>
      </w:r>
      <w:r>
        <w:rPr>
          <w:color w:val="231F20"/>
          <w:spacing w:val="-29"/>
          <w:sz w:val="23"/>
        </w:rPr>
        <w:t> </w:t>
      </w:r>
      <w:r>
        <w:rPr>
          <w:color w:val="231F20"/>
          <w:sz w:val="23"/>
        </w:rPr>
        <w:t>principal</w:t>
      </w:r>
      <w:r>
        <w:rPr>
          <w:color w:val="231F20"/>
          <w:spacing w:val="-29"/>
          <w:sz w:val="23"/>
        </w:rPr>
        <w:t> </w:t>
      </w:r>
      <w:r>
        <w:rPr>
          <w:color w:val="231F20"/>
          <w:sz w:val="23"/>
        </w:rPr>
        <w:t>policy-making</w:t>
      </w:r>
      <w:r>
        <w:rPr>
          <w:color w:val="231F20"/>
          <w:spacing w:val="-29"/>
          <w:sz w:val="23"/>
        </w:rPr>
        <w:t> </w:t>
      </w:r>
      <w:r>
        <w:rPr>
          <w:color w:val="231F20"/>
          <w:sz w:val="23"/>
        </w:rPr>
        <w:t>body</w:t>
      </w:r>
      <w:r>
        <w:rPr>
          <w:color w:val="231F20"/>
          <w:spacing w:val="-29"/>
          <w:sz w:val="23"/>
        </w:rPr>
        <w:t> </w:t>
      </w:r>
      <w:r>
        <w:rPr>
          <w:color w:val="231F20"/>
          <w:sz w:val="23"/>
        </w:rPr>
        <w:t>on</w:t>
      </w:r>
      <w:r>
        <w:rPr>
          <w:color w:val="231F20"/>
          <w:spacing w:val="-29"/>
          <w:sz w:val="23"/>
        </w:rPr>
        <w:t> </w:t>
      </w:r>
      <w:r>
        <w:rPr>
          <w:color w:val="231F20"/>
          <w:sz w:val="23"/>
        </w:rPr>
        <w:t>investment, responsible for facilitating and coordinating all issues relating to investing in the country.</w:t>
      </w:r>
      <w:r>
        <w:rPr>
          <w:color w:val="231F20"/>
          <w:spacing w:val="-27"/>
          <w:sz w:val="23"/>
        </w:rPr>
        <w:t> </w:t>
      </w:r>
      <w:r>
        <w:rPr>
          <w:color w:val="231F20"/>
          <w:sz w:val="23"/>
        </w:rPr>
        <w:t>Chaired</w:t>
      </w:r>
      <w:r>
        <w:rPr>
          <w:color w:val="231F20"/>
          <w:spacing w:val="-27"/>
          <w:sz w:val="23"/>
        </w:rPr>
        <w:t> </w:t>
      </w:r>
      <w:r>
        <w:rPr>
          <w:color w:val="231F20"/>
          <w:sz w:val="23"/>
        </w:rPr>
        <w:t>by</w:t>
      </w:r>
      <w:r>
        <w:rPr>
          <w:color w:val="231F20"/>
          <w:spacing w:val="-27"/>
          <w:sz w:val="23"/>
        </w:rPr>
        <w:t> </w:t>
      </w:r>
      <w:r>
        <w:rPr>
          <w:color w:val="231F20"/>
          <w:sz w:val="23"/>
        </w:rPr>
        <w:t>His</w:t>
      </w:r>
      <w:r>
        <w:rPr>
          <w:color w:val="231F20"/>
          <w:spacing w:val="-27"/>
          <w:sz w:val="23"/>
        </w:rPr>
        <w:t> </w:t>
      </w:r>
      <w:r>
        <w:rPr>
          <w:color w:val="231F20"/>
          <w:sz w:val="23"/>
        </w:rPr>
        <w:t>Excellency</w:t>
      </w:r>
      <w:r>
        <w:rPr>
          <w:color w:val="231F20"/>
          <w:spacing w:val="-27"/>
          <w:sz w:val="23"/>
        </w:rPr>
        <w:t> </w:t>
      </w:r>
      <w:r>
        <w:rPr>
          <w:color w:val="231F20"/>
          <w:sz w:val="23"/>
        </w:rPr>
        <w:t>the</w:t>
      </w:r>
      <w:r>
        <w:rPr>
          <w:color w:val="231F20"/>
          <w:spacing w:val="-27"/>
          <w:sz w:val="23"/>
        </w:rPr>
        <w:t> </w:t>
      </w:r>
      <w:r>
        <w:rPr>
          <w:color w:val="231F20"/>
          <w:sz w:val="23"/>
        </w:rPr>
        <w:t>President</w:t>
      </w:r>
      <w:r>
        <w:rPr>
          <w:color w:val="231F20"/>
          <w:spacing w:val="-27"/>
          <w:sz w:val="23"/>
        </w:rPr>
        <w:t> </w:t>
      </w:r>
      <w:r>
        <w:rPr>
          <w:color w:val="231F20"/>
          <w:sz w:val="23"/>
        </w:rPr>
        <w:t>,</w:t>
      </w:r>
      <w:r>
        <w:rPr>
          <w:color w:val="231F20"/>
          <w:spacing w:val="-27"/>
          <w:sz w:val="23"/>
        </w:rPr>
        <w:t> </w:t>
      </w:r>
      <w:r>
        <w:rPr>
          <w:color w:val="231F20"/>
          <w:sz w:val="23"/>
        </w:rPr>
        <w:t>the</w:t>
      </w:r>
      <w:r>
        <w:rPr>
          <w:color w:val="231F20"/>
          <w:spacing w:val="-27"/>
          <w:sz w:val="23"/>
        </w:rPr>
        <w:t> </w:t>
      </w:r>
      <w:r>
        <w:rPr>
          <w:color w:val="231F20"/>
          <w:sz w:val="23"/>
        </w:rPr>
        <w:t>Board</w:t>
      </w:r>
      <w:r>
        <w:rPr>
          <w:color w:val="231F20"/>
          <w:spacing w:val="-27"/>
          <w:sz w:val="23"/>
        </w:rPr>
        <w:t> </w:t>
      </w:r>
      <w:r>
        <w:rPr>
          <w:color w:val="231F20"/>
          <w:sz w:val="23"/>
        </w:rPr>
        <w:t>will</w:t>
      </w:r>
      <w:r>
        <w:rPr>
          <w:color w:val="231F20"/>
          <w:spacing w:val="-27"/>
          <w:sz w:val="23"/>
        </w:rPr>
        <w:t> </w:t>
      </w:r>
      <w:r>
        <w:rPr>
          <w:color w:val="231F20"/>
          <w:sz w:val="23"/>
        </w:rPr>
        <w:t>bring</w:t>
      </w:r>
      <w:r>
        <w:rPr>
          <w:color w:val="231F20"/>
          <w:spacing w:val="-27"/>
          <w:sz w:val="23"/>
        </w:rPr>
        <w:t> </w:t>
      </w:r>
      <w:r>
        <w:rPr>
          <w:color w:val="231F20"/>
          <w:sz w:val="23"/>
        </w:rPr>
        <w:t>together</w:t>
      </w:r>
      <w:r>
        <w:rPr>
          <w:color w:val="231F20"/>
          <w:spacing w:val="-27"/>
          <w:sz w:val="23"/>
        </w:rPr>
        <w:t> </w:t>
      </w:r>
      <w:r>
        <w:rPr>
          <w:color w:val="231F20"/>
          <w:sz w:val="23"/>
        </w:rPr>
        <w:t>Senior Ministers to coordinate the delivery of investment priorities across MDAs. The operational</w:t>
      </w:r>
      <w:r>
        <w:rPr>
          <w:color w:val="231F20"/>
          <w:spacing w:val="-23"/>
          <w:sz w:val="23"/>
        </w:rPr>
        <w:t> </w:t>
      </w:r>
      <w:r>
        <w:rPr>
          <w:color w:val="231F20"/>
          <w:sz w:val="23"/>
        </w:rPr>
        <w:t>arm</w:t>
      </w:r>
      <w:r>
        <w:rPr>
          <w:color w:val="231F20"/>
          <w:spacing w:val="-24"/>
          <w:sz w:val="23"/>
        </w:rPr>
        <w:t> </w:t>
      </w:r>
      <w:r>
        <w:rPr>
          <w:color w:val="231F20"/>
          <w:sz w:val="23"/>
        </w:rPr>
        <w:t>of</w:t>
      </w:r>
      <w:r>
        <w:rPr>
          <w:color w:val="231F20"/>
          <w:spacing w:val="-23"/>
          <w:sz w:val="23"/>
        </w:rPr>
        <w:t> </w:t>
      </w:r>
      <w:r>
        <w:rPr>
          <w:color w:val="231F20"/>
          <w:sz w:val="23"/>
        </w:rPr>
        <w:t>the</w:t>
      </w:r>
      <w:r>
        <w:rPr>
          <w:color w:val="231F20"/>
          <w:spacing w:val="-23"/>
          <w:sz w:val="23"/>
        </w:rPr>
        <w:t> </w:t>
      </w:r>
      <w:r>
        <w:rPr>
          <w:color w:val="231F20"/>
          <w:sz w:val="23"/>
        </w:rPr>
        <w:t>Board</w:t>
      </w:r>
      <w:r>
        <w:rPr>
          <w:color w:val="231F20"/>
          <w:spacing w:val="-23"/>
          <w:sz w:val="23"/>
        </w:rPr>
        <w:t> </w:t>
      </w:r>
      <w:r>
        <w:rPr>
          <w:color w:val="231F20"/>
          <w:sz w:val="23"/>
        </w:rPr>
        <w:t>will</w:t>
      </w:r>
      <w:r>
        <w:rPr>
          <w:color w:val="231F20"/>
          <w:spacing w:val="-23"/>
          <w:sz w:val="23"/>
        </w:rPr>
        <w:t> </w:t>
      </w:r>
      <w:r>
        <w:rPr>
          <w:color w:val="231F20"/>
          <w:sz w:val="23"/>
        </w:rPr>
        <w:t>provide</w:t>
      </w:r>
      <w:r>
        <w:rPr>
          <w:color w:val="231F20"/>
          <w:spacing w:val="-24"/>
          <w:sz w:val="23"/>
        </w:rPr>
        <w:t> </w:t>
      </w:r>
      <w:r>
        <w:rPr>
          <w:color w:val="231F20"/>
          <w:sz w:val="23"/>
        </w:rPr>
        <w:t>pre-start</w:t>
      </w:r>
      <w:r>
        <w:rPr>
          <w:color w:val="231F20"/>
          <w:spacing w:val="-24"/>
          <w:sz w:val="23"/>
        </w:rPr>
        <w:t> </w:t>
      </w:r>
      <w:r>
        <w:rPr>
          <w:color w:val="231F20"/>
          <w:sz w:val="23"/>
        </w:rPr>
        <w:t>up,</w:t>
      </w:r>
      <w:r>
        <w:rPr>
          <w:color w:val="231F20"/>
          <w:spacing w:val="-24"/>
          <w:sz w:val="23"/>
        </w:rPr>
        <w:t> </w:t>
      </w:r>
      <w:r>
        <w:rPr>
          <w:color w:val="231F20"/>
          <w:sz w:val="23"/>
        </w:rPr>
        <w:t>start-up</w:t>
      </w:r>
      <w:r>
        <w:rPr>
          <w:color w:val="231F20"/>
          <w:spacing w:val="-23"/>
          <w:sz w:val="23"/>
        </w:rPr>
        <w:t> </w:t>
      </w:r>
      <w:r>
        <w:rPr>
          <w:color w:val="231F20"/>
          <w:sz w:val="23"/>
        </w:rPr>
        <w:t>and</w:t>
      </w:r>
      <w:r>
        <w:rPr>
          <w:color w:val="231F20"/>
          <w:spacing w:val="-24"/>
          <w:sz w:val="23"/>
        </w:rPr>
        <w:t> </w:t>
      </w:r>
      <w:r>
        <w:rPr>
          <w:color w:val="231F20"/>
          <w:sz w:val="23"/>
        </w:rPr>
        <w:t>post-care</w:t>
      </w:r>
      <w:r>
        <w:rPr>
          <w:color w:val="231F20"/>
          <w:spacing w:val="-24"/>
          <w:sz w:val="23"/>
        </w:rPr>
        <w:t> </w:t>
      </w:r>
      <w:r>
        <w:rPr>
          <w:color w:val="231F20"/>
          <w:sz w:val="23"/>
        </w:rPr>
        <w:t>services to</w:t>
      </w:r>
      <w:r>
        <w:rPr>
          <w:color w:val="231F20"/>
          <w:spacing w:val="-2"/>
          <w:sz w:val="23"/>
        </w:rPr>
        <w:t> </w:t>
      </w:r>
      <w:r>
        <w:rPr>
          <w:color w:val="231F20"/>
          <w:sz w:val="23"/>
        </w:rPr>
        <w:t>investors.</w:t>
      </w:r>
    </w:p>
    <w:p>
      <w:pPr>
        <w:pStyle w:val="BodyText"/>
        <w:rPr>
          <w:sz w:val="20"/>
        </w:rPr>
      </w:pPr>
    </w:p>
    <w:p>
      <w:pPr>
        <w:pStyle w:val="BodyText"/>
        <w:rPr>
          <w:sz w:val="20"/>
        </w:rPr>
      </w:pPr>
    </w:p>
    <w:p>
      <w:pPr>
        <w:pStyle w:val="Heading1"/>
        <w:spacing w:before="250"/>
      </w:pPr>
      <w:r>
        <w:rPr>
          <w:color w:val="231F20"/>
        </w:rPr>
        <w:t>25</w:t>
      </w:r>
    </w:p>
    <w:p>
      <w:pPr>
        <w:spacing w:after="0"/>
        <w:sectPr>
          <w:pgSz w:w="11900" w:h="16840"/>
          <w:pgMar w:top="1180" w:bottom="280" w:left="1140" w:right="1120"/>
        </w:sectPr>
      </w:pPr>
    </w:p>
    <w:p>
      <w:pPr>
        <w:pStyle w:val="Heading2"/>
        <w:spacing w:before="77"/>
        <w:ind w:left="953"/>
      </w:pPr>
      <w:r>
        <w:rPr>
          <w:color w:val="231F20"/>
        </w:rPr>
        <w:t>Establishment of Special Economic Zones (SEZs)</w:t>
      </w:r>
    </w:p>
    <w:p>
      <w:pPr>
        <w:pStyle w:val="ListParagraph"/>
        <w:numPr>
          <w:ilvl w:val="0"/>
          <w:numId w:val="2"/>
        </w:numPr>
        <w:tabs>
          <w:tab w:pos="954" w:val="left" w:leader="none"/>
        </w:tabs>
        <w:spacing w:line="302" w:lineRule="auto" w:before="71" w:after="0"/>
        <w:ind w:left="103" w:right="118" w:firstLine="87"/>
        <w:jc w:val="both"/>
        <w:rPr>
          <w:sz w:val="23"/>
        </w:rPr>
      </w:pPr>
      <w:r>
        <w:rPr>
          <w:color w:val="231F20"/>
          <w:sz w:val="23"/>
        </w:rPr>
        <w:t>Mr. Speaker, Honourable Members, the establishment of Special Economic Zones</w:t>
      </w:r>
      <w:r>
        <w:rPr>
          <w:color w:val="231F20"/>
          <w:spacing w:val="-35"/>
          <w:sz w:val="23"/>
        </w:rPr>
        <w:t> </w:t>
      </w:r>
      <w:r>
        <w:rPr>
          <w:color w:val="231F20"/>
          <w:sz w:val="23"/>
        </w:rPr>
        <w:t>(SEZs)</w:t>
      </w:r>
      <w:r>
        <w:rPr>
          <w:color w:val="231F20"/>
          <w:spacing w:val="-35"/>
          <w:sz w:val="23"/>
        </w:rPr>
        <w:t> </w:t>
      </w:r>
      <w:r>
        <w:rPr>
          <w:color w:val="231F20"/>
          <w:sz w:val="23"/>
        </w:rPr>
        <w:t>will</w:t>
      </w:r>
      <w:r>
        <w:rPr>
          <w:color w:val="231F20"/>
          <w:spacing w:val="-35"/>
          <w:sz w:val="23"/>
        </w:rPr>
        <w:t> </w:t>
      </w:r>
      <w:r>
        <w:rPr>
          <w:color w:val="231F20"/>
          <w:sz w:val="23"/>
        </w:rPr>
        <w:t>facilitate</w:t>
      </w:r>
      <w:r>
        <w:rPr>
          <w:color w:val="231F20"/>
          <w:spacing w:val="-35"/>
          <w:sz w:val="23"/>
        </w:rPr>
        <w:t> </w:t>
      </w:r>
      <w:r>
        <w:rPr>
          <w:color w:val="231F20"/>
          <w:sz w:val="23"/>
        </w:rPr>
        <w:t>rapid</w:t>
      </w:r>
      <w:r>
        <w:rPr>
          <w:color w:val="231F20"/>
          <w:spacing w:val="-35"/>
          <w:sz w:val="23"/>
        </w:rPr>
        <w:t> </w:t>
      </w:r>
      <w:r>
        <w:rPr>
          <w:color w:val="231F20"/>
          <w:sz w:val="23"/>
        </w:rPr>
        <w:t>economic</w:t>
      </w:r>
      <w:r>
        <w:rPr>
          <w:color w:val="231F20"/>
          <w:spacing w:val="-35"/>
          <w:sz w:val="23"/>
        </w:rPr>
        <w:t> </w:t>
      </w:r>
      <w:r>
        <w:rPr>
          <w:color w:val="231F20"/>
          <w:sz w:val="23"/>
        </w:rPr>
        <w:t>growth</w:t>
      </w:r>
      <w:r>
        <w:rPr>
          <w:color w:val="231F20"/>
          <w:spacing w:val="-35"/>
          <w:sz w:val="23"/>
        </w:rPr>
        <w:t> </w:t>
      </w:r>
      <w:r>
        <w:rPr>
          <w:color w:val="231F20"/>
          <w:sz w:val="23"/>
        </w:rPr>
        <w:t>and</w:t>
      </w:r>
      <w:r>
        <w:rPr>
          <w:color w:val="231F20"/>
          <w:spacing w:val="-35"/>
          <w:sz w:val="23"/>
        </w:rPr>
        <w:t> </w:t>
      </w:r>
      <w:r>
        <w:rPr>
          <w:color w:val="231F20"/>
          <w:sz w:val="23"/>
        </w:rPr>
        <w:t>create</w:t>
      </w:r>
      <w:r>
        <w:rPr>
          <w:color w:val="231F20"/>
          <w:spacing w:val="-35"/>
          <w:sz w:val="23"/>
        </w:rPr>
        <w:t> </w:t>
      </w:r>
      <w:r>
        <w:rPr>
          <w:color w:val="231F20"/>
          <w:sz w:val="23"/>
        </w:rPr>
        <w:t>jobs</w:t>
      </w:r>
      <w:r>
        <w:rPr>
          <w:color w:val="231F20"/>
          <w:spacing w:val="-35"/>
          <w:sz w:val="23"/>
        </w:rPr>
        <w:t> </w:t>
      </w:r>
      <w:r>
        <w:rPr>
          <w:color w:val="231F20"/>
          <w:sz w:val="23"/>
        </w:rPr>
        <w:t>by</w:t>
      </w:r>
      <w:r>
        <w:rPr>
          <w:color w:val="231F20"/>
          <w:spacing w:val="-35"/>
          <w:sz w:val="23"/>
        </w:rPr>
        <w:t> </w:t>
      </w:r>
      <w:r>
        <w:rPr>
          <w:color w:val="231F20"/>
          <w:sz w:val="23"/>
        </w:rPr>
        <w:t>leveraging</w:t>
      </w:r>
      <w:r>
        <w:rPr>
          <w:color w:val="231F20"/>
          <w:spacing w:val="-35"/>
          <w:sz w:val="23"/>
        </w:rPr>
        <w:t> </w:t>
      </w:r>
      <w:r>
        <w:rPr>
          <w:color w:val="231F20"/>
          <w:sz w:val="23"/>
        </w:rPr>
        <w:t>tax</w:t>
      </w:r>
      <w:r>
        <w:rPr>
          <w:color w:val="231F20"/>
          <w:spacing w:val="-35"/>
          <w:sz w:val="23"/>
        </w:rPr>
        <w:t> </w:t>
      </w:r>
      <w:r>
        <w:rPr>
          <w:color w:val="231F20"/>
          <w:sz w:val="23"/>
        </w:rPr>
        <w:t>and non-tax incentives to attract more</w:t>
      </w:r>
      <w:r>
        <w:rPr>
          <w:color w:val="231F20"/>
          <w:spacing w:val="45"/>
          <w:sz w:val="23"/>
        </w:rPr>
        <w:t> </w:t>
      </w:r>
      <w:r>
        <w:rPr>
          <w:color w:val="231F20"/>
          <w:sz w:val="23"/>
        </w:rPr>
        <w:t>investments.</w:t>
      </w:r>
    </w:p>
    <w:p>
      <w:pPr>
        <w:pStyle w:val="BodyText"/>
        <w:rPr>
          <w:sz w:val="29"/>
        </w:rPr>
      </w:pPr>
    </w:p>
    <w:p>
      <w:pPr>
        <w:pStyle w:val="ListParagraph"/>
        <w:numPr>
          <w:ilvl w:val="0"/>
          <w:numId w:val="2"/>
        </w:numPr>
        <w:tabs>
          <w:tab w:pos="954" w:val="left" w:leader="none"/>
        </w:tabs>
        <w:spacing w:line="302" w:lineRule="auto" w:before="0" w:after="0"/>
        <w:ind w:left="103" w:right="117" w:firstLine="87"/>
        <w:jc w:val="both"/>
        <w:rPr>
          <w:sz w:val="23"/>
        </w:rPr>
      </w:pPr>
      <w:r>
        <w:rPr>
          <w:color w:val="231F20"/>
          <w:sz w:val="23"/>
        </w:rPr>
        <w:t>To</w:t>
      </w:r>
      <w:r>
        <w:rPr>
          <w:color w:val="231F20"/>
          <w:spacing w:val="-29"/>
          <w:sz w:val="23"/>
        </w:rPr>
        <w:t> </w:t>
      </w:r>
      <w:r>
        <w:rPr>
          <w:color w:val="231F20"/>
          <w:sz w:val="23"/>
        </w:rPr>
        <w:t>this</w:t>
      </w:r>
      <w:r>
        <w:rPr>
          <w:color w:val="231F20"/>
          <w:spacing w:val="-29"/>
          <w:sz w:val="23"/>
        </w:rPr>
        <w:t> </w:t>
      </w:r>
      <w:r>
        <w:rPr>
          <w:color w:val="231F20"/>
          <w:sz w:val="23"/>
        </w:rPr>
        <w:t>end,</w:t>
      </w:r>
      <w:r>
        <w:rPr>
          <w:color w:val="231F20"/>
          <w:spacing w:val="-29"/>
          <w:sz w:val="23"/>
        </w:rPr>
        <w:t> </w:t>
      </w:r>
      <w:r>
        <w:rPr>
          <w:color w:val="231F20"/>
          <w:sz w:val="23"/>
        </w:rPr>
        <w:t>in</w:t>
      </w:r>
      <w:r>
        <w:rPr>
          <w:color w:val="231F20"/>
          <w:spacing w:val="-29"/>
          <w:sz w:val="23"/>
        </w:rPr>
        <w:t> </w:t>
      </w:r>
      <w:r>
        <w:rPr>
          <w:color w:val="231F20"/>
          <w:sz w:val="23"/>
        </w:rPr>
        <w:t>2020,</w:t>
      </w:r>
      <w:r>
        <w:rPr>
          <w:color w:val="231F20"/>
          <w:spacing w:val="-29"/>
          <w:sz w:val="23"/>
        </w:rPr>
        <w:t> </w:t>
      </w:r>
      <w:r>
        <w:rPr>
          <w:color w:val="231F20"/>
          <w:sz w:val="23"/>
        </w:rPr>
        <w:t>Government</w:t>
      </w:r>
      <w:r>
        <w:rPr>
          <w:color w:val="231F20"/>
          <w:spacing w:val="-29"/>
          <w:sz w:val="23"/>
        </w:rPr>
        <w:t> </w:t>
      </w:r>
      <w:r>
        <w:rPr>
          <w:color w:val="231F20"/>
          <w:sz w:val="23"/>
        </w:rPr>
        <w:t>under</w:t>
      </w:r>
      <w:r>
        <w:rPr>
          <w:color w:val="231F20"/>
          <w:spacing w:val="-29"/>
          <w:sz w:val="23"/>
        </w:rPr>
        <w:t> </w:t>
      </w:r>
      <w:r>
        <w:rPr>
          <w:color w:val="231F20"/>
          <w:sz w:val="23"/>
        </w:rPr>
        <w:t>the</w:t>
      </w:r>
      <w:r>
        <w:rPr>
          <w:color w:val="231F20"/>
          <w:spacing w:val="-29"/>
          <w:sz w:val="23"/>
        </w:rPr>
        <w:t> </w:t>
      </w:r>
      <w:r>
        <w:rPr>
          <w:color w:val="231F20"/>
          <w:sz w:val="23"/>
        </w:rPr>
        <w:t>leadership</w:t>
      </w:r>
      <w:r>
        <w:rPr>
          <w:color w:val="231F20"/>
          <w:spacing w:val="-29"/>
          <w:sz w:val="23"/>
        </w:rPr>
        <w:t> </w:t>
      </w:r>
      <w:r>
        <w:rPr>
          <w:color w:val="231F20"/>
          <w:sz w:val="23"/>
        </w:rPr>
        <w:t>of</w:t>
      </w:r>
      <w:r>
        <w:rPr>
          <w:color w:val="231F20"/>
          <w:spacing w:val="-29"/>
          <w:sz w:val="23"/>
        </w:rPr>
        <w:t> </w:t>
      </w:r>
      <w:r>
        <w:rPr>
          <w:color w:val="231F20"/>
          <w:sz w:val="23"/>
        </w:rPr>
        <w:t>the</w:t>
      </w:r>
      <w:r>
        <w:rPr>
          <w:color w:val="231F20"/>
          <w:spacing w:val="-29"/>
          <w:sz w:val="23"/>
        </w:rPr>
        <w:t> </w:t>
      </w:r>
      <w:r>
        <w:rPr>
          <w:color w:val="231F20"/>
          <w:sz w:val="23"/>
        </w:rPr>
        <w:t>Ministry</w:t>
      </w:r>
      <w:r>
        <w:rPr>
          <w:color w:val="231F20"/>
          <w:spacing w:val="-29"/>
          <w:sz w:val="23"/>
        </w:rPr>
        <w:t> </w:t>
      </w:r>
      <w:r>
        <w:rPr>
          <w:color w:val="231F20"/>
          <w:sz w:val="23"/>
        </w:rPr>
        <w:t>of</w:t>
      </w:r>
      <w:r>
        <w:rPr>
          <w:color w:val="231F20"/>
          <w:spacing w:val="-29"/>
          <w:sz w:val="23"/>
        </w:rPr>
        <w:t> </w:t>
      </w:r>
      <w:r>
        <w:rPr>
          <w:color w:val="231F20"/>
          <w:sz w:val="23"/>
        </w:rPr>
        <w:t>Trade and Industry and the Ministry of Finance will: (i) review the existing SEZ policy to ensure</w:t>
      </w:r>
      <w:r>
        <w:rPr>
          <w:color w:val="231F20"/>
          <w:spacing w:val="-5"/>
          <w:sz w:val="23"/>
        </w:rPr>
        <w:t> </w:t>
      </w:r>
      <w:r>
        <w:rPr>
          <w:color w:val="231F20"/>
          <w:sz w:val="23"/>
        </w:rPr>
        <w:t>that</w:t>
      </w:r>
      <w:r>
        <w:rPr>
          <w:color w:val="231F20"/>
          <w:spacing w:val="-4"/>
          <w:sz w:val="23"/>
        </w:rPr>
        <w:t> </w:t>
      </w:r>
      <w:r>
        <w:rPr>
          <w:color w:val="231F20"/>
          <w:sz w:val="23"/>
        </w:rPr>
        <w:t>it</w:t>
      </w:r>
      <w:r>
        <w:rPr>
          <w:color w:val="231F20"/>
          <w:spacing w:val="-4"/>
          <w:sz w:val="23"/>
        </w:rPr>
        <w:t> </w:t>
      </w:r>
      <w:r>
        <w:rPr>
          <w:color w:val="231F20"/>
          <w:sz w:val="23"/>
        </w:rPr>
        <w:t>is</w:t>
      </w:r>
      <w:r>
        <w:rPr>
          <w:color w:val="231F20"/>
          <w:spacing w:val="-4"/>
          <w:sz w:val="23"/>
        </w:rPr>
        <w:t> </w:t>
      </w:r>
      <w:r>
        <w:rPr>
          <w:color w:val="231F20"/>
          <w:sz w:val="23"/>
        </w:rPr>
        <w:t>responsive</w:t>
      </w:r>
      <w:r>
        <w:rPr>
          <w:color w:val="231F20"/>
          <w:spacing w:val="-4"/>
          <w:sz w:val="23"/>
        </w:rPr>
        <w:t> </w:t>
      </w:r>
      <w:r>
        <w:rPr>
          <w:color w:val="231F20"/>
          <w:sz w:val="23"/>
        </w:rPr>
        <w:t>to</w:t>
      </w:r>
      <w:r>
        <w:rPr>
          <w:color w:val="231F20"/>
          <w:spacing w:val="-4"/>
          <w:sz w:val="23"/>
        </w:rPr>
        <w:t> </w:t>
      </w:r>
      <w:r>
        <w:rPr>
          <w:color w:val="231F20"/>
          <w:sz w:val="23"/>
        </w:rPr>
        <w:t>the</w:t>
      </w:r>
      <w:r>
        <w:rPr>
          <w:color w:val="231F20"/>
          <w:spacing w:val="-4"/>
          <w:sz w:val="23"/>
        </w:rPr>
        <w:t> </w:t>
      </w:r>
      <w:r>
        <w:rPr>
          <w:color w:val="231F20"/>
          <w:sz w:val="23"/>
        </w:rPr>
        <w:t>latest</w:t>
      </w:r>
      <w:r>
        <w:rPr>
          <w:color w:val="231F20"/>
          <w:spacing w:val="-4"/>
          <w:sz w:val="23"/>
        </w:rPr>
        <w:t> </w:t>
      </w:r>
      <w:r>
        <w:rPr>
          <w:color w:val="231F20"/>
          <w:sz w:val="23"/>
        </w:rPr>
        <w:t>global</w:t>
      </w:r>
      <w:r>
        <w:rPr>
          <w:color w:val="231F20"/>
          <w:spacing w:val="-5"/>
          <w:sz w:val="23"/>
        </w:rPr>
        <w:t> </w:t>
      </w:r>
      <w:r>
        <w:rPr>
          <w:color w:val="231F20"/>
          <w:sz w:val="23"/>
        </w:rPr>
        <w:t>developments</w:t>
      </w:r>
      <w:r>
        <w:rPr>
          <w:color w:val="231F20"/>
          <w:spacing w:val="-5"/>
          <w:sz w:val="23"/>
        </w:rPr>
        <w:t> </w:t>
      </w:r>
      <w:r>
        <w:rPr>
          <w:color w:val="231F20"/>
          <w:sz w:val="23"/>
        </w:rPr>
        <w:t>and</w:t>
      </w:r>
      <w:r>
        <w:rPr>
          <w:color w:val="231F20"/>
          <w:spacing w:val="-5"/>
          <w:sz w:val="23"/>
        </w:rPr>
        <w:t> </w:t>
      </w:r>
      <w:r>
        <w:rPr>
          <w:color w:val="231F20"/>
          <w:sz w:val="23"/>
        </w:rPr>
        <w:t>is</w:t>
      </w:r>
      <w:r>
        <w:rPr>
          <w:color w:val="231F20"/>
          <w:spacing w:val="-4"/>
          <w:sz w:val="23"/>
        </w:rPr>
        <w:t> </w:t>
      </w:r>
      <w:r>
        <w:rPr>
          <w:color w:val="231F20"/>
          <w:sz w:val="23"/>
        </w:rPr>
        <w:t>aligned</w:t>
      </w:r>
      <w:r>
        <w:rPr>
          <w:color w:val="231F20"/>
          <w:spacing w:val="-5"/>
          <w:sz w:val="23"/>
        </w:rPr>
        <w:t> </w:t>
      </w:r>
      <w:r>
        <w:rPr>
          <w:color w:val="231F20"/>
          <w:sz w:val="23"/>
        </w:rPr>
        <w:t>with</w:t>
      </w:r>
      <w:r>
        <w:rPr>
          <w:color w:val="231F20"/>
          <w:spacing w:val="-4"/>
          <w:sz w:val="23"/>
        </w:rPr>
        <w:t> </w:t>
      </w:r>
      <w:r>
        <w:rPr>
          <w:color w:val="231F20"/>
          <w:sz w:val="23"/>
        </w:rPr>
        <w:t>the wider</w:t>
      </w:r>
      <w:r>
        <w:rPr>
          <w:color w:val="231F20"/>
          <w:spacing w:val="-20"/>
          <w:sz w:val="23"/>
        </w:rPr>
        <w:t> </w:t>
      </w:r>
      <w:r>
        <w:rPr>
          <w:color w:val="231F20"/>
          <w:sz w:val="23"/>
        </w:rPr>
        <w:t>growth</w:t>
      </w:r>
      <w:r>
        <w:rPr>
          <w:color w:val="231F20"/>
          <w:spacing w:val="-20"/>
          <w:sz w:val="23"/>
        </w:rPr>
        <w:t> </w:t>
      </w:r>
      <w:r>
        <w:rPr>
          <w:color w:val="231F20"/>
          <w:sz w:val="23"/>
        </w:rPr>
        <w:t>strategy</w:t>
      </w:r>
      <w:r>
        <w:rPr>
          <w:color w:val="231F20"/>
          <w:spacing w:val="-20"/>
          <w:sz w:val="23"/>
        </w:rPr>
        <w:t> </w:t>
      </w:r>
      <w:r>
        <w:rPr>
          <w:color w:val="231F20"/>
          <w:sz w:val="23"/>
        </w:rPr>
        <w:t>of</w:t>
      </w:r>
      <w:r>
        <w:rPr>
          <w:color w:val="231F20"/>
          <w:spacing w:val="-20"/>
          <w:sz w:val="23"/>
        </w:rPr>
        <w:t> </w:t>
      </w:r>
      <w:r>
        <w:rPr>
          <w:color w:val="231F20"/>
          <w:sz w:val="23"/>
        </w:rPr>
        <w:t>the</w:t>
      </w:r>
      <w:r>
        <w:rPr>
          <w:color w:val="231F20"/>
          <w:spacing w:val="-20"/>
          <w:sz w:val="23"/>
        </w:rPr>
        <w:t> </w:t>
      </w:r>
      <w:r>
        <w:rPr>
          <w:color w:val="231F20"/>
          <w:sz w:val="23"/>
        </w:rPr>
        <w:t>Government;</w:t>
      </w:r>
      <w:r>
        <w:rPr>
          <w:color w:val="231F20"/>
          <w:spacing w:val="-20"/>
          <w:sz w:val="23"/>
        </w:rPr>
        <w:t> </w:t>
      </w:r>
      <w:r>
        <w:rPr>
          <w:color w:val="231F20"/>
          <w:sz w:val="23"/>
        </w:rPr>
        <w:t>(ii)</w:t>
      </w:r>
      <w:r>
        <w:rPr>
          <w:color w:val="231F20"/>
          <w:spacing w:val="-20"/>
          <w:sz w:val="23"/>
        </w:rPr>
        <w:t> </w:t>
      </w:r>
      <w:r>
        <w:rPr>
          <w:color w:val="231F20"/>
          <w:sz w:val="23"/>
        </w:rPr>
        <w:t>produce</w:t>
      </w:r>
      <w:r>
        <w:rPr>
          <w:color w:val="231F20"/>
          <w:spacing w:val="-20"/>
          <w:sz w:val="23"/>
        </w:rPr>
        <w:t> </w:t>
      </w:r>
      <w:r>
        <w:rPr>
          <w:color w:val="231F20"/>
          <w:sz w:val="23"/>
        </w:rPr>
        <w:t>a</w:t>
      </w:r>
      <w:r>
        <w:rPr>
          <w:color w:val="231F20"/>
          <w:spacing w:val="-20"/>
          <w:sz w:val="23"/>
        </w:rPr>
        <w:t> </w:t>
      </w:r>
      <w:r>
        <w:rPr>
          <w:color w:val="231F20"/>
          <w:sz w:val="23"/>
        </w:rPr>
        <w:t>clear</w:t>
      </w:r>
      <w:r>
        <w:rPr>
          <w:color w:val="231F20"/>
          <w:spacing w:val="-20"/>
          <w:sz w:val="23"/>
        </w:rPr>
        <w:t> </w:t>
      </w:r>
      <w:r>
        <w:rPr>
          <w:color w:val="231F20"/>
          <w:sz w:val="23"/>
        </w:rPr>
        <w:t>implementation</w:t>
      </w:r>
      <w:r>
        <w:rPr>
          <w:color w:val="231F20"/>
          <w:spacing w:val="-20"/>
          <w:sz w:val="23"/>
        </w:rPr>
        <w:t> </w:t>
      </w:r>
      <w:r>
        <w:rPr>
          <w:color w:val="231F20"/>
          <w:sz w:val="23"/>
        </w:rPr>
        <w:t>strategy for SEZ development fully integrated in national industry policy and economic development</w:t>
      </w:r>
      <w:r>
        <w:rPr>
          <w:color w:val="231F20"/>
          <w:spacing w:val="-7"/>
          <w:sz w:val="23"/>
        </w:rPr>
        <w:t> </w:t>
      </w:r>
      <w:r>
        <w:rPr>
          <w:color w:val="231F20"/>
          <w:sz w:val="23"/>
        </w:rPr>
        <w:t>strategy;</w:t>
      </w:r>
      <w:r>
        <w:rPr>
          <w:color w:val="231F20"/>
          <w:spacing w:val="-7"/>
          <w:sz w:val="23"/>
        </w:rPr>
        <w:t> </w:t>
      </w:r>
      <w:r>
        <w:rPr>
          <w:color w:val="231F20"/>
          <w:sz w:val="23"/>
        </w:rPr>
        <w:t>(iii)</w:t>
      </w:r>
      <w:r>
        <w:rPr>
          <w:color w:val="231F20"/>
          <w:spacing w:val="-7"/>
          <w:sz w:val="23"/>
        </w:rPr>
        <w:t> </w:t>
      </w:r>
      <w:r>
        <w:rPr>
          <w:color w:val="231F20"/>
          <w:sz w:val="23"/>
        </w:rPr>
        <w:t>undertake</w:t>
      </w:r>
      <w:r>
        <w:rPr>
          <w:color w:val="231F20"/>
          <w:spacing w:val="-7"/>
          <w:sz w:val="23"/>
        </w:rPr>
        <w:t> </w:t>
      </w:r>
      <w:r>
        <w:rPr>
          <w:color w:val="231F20"/>
          <w:sz w:val="23"/>
        </w:rPr>
        <w:t>feasibility</w:t>
      </w:r>
      <w:r>
        <w:rPr>
          <w:color w:val="231F20"/>
          <w:spacing w:val="-7"/>
          <w:sz w:val="23"/>
        </w:rPr>
        <w:t> </w:t>
      </w:r>
      <w:r>
        <w:rPr>
          <w:color w:val="231F20"/>
          <w:sz w:val="23"/>
        </w:rPr>
        <w:t>studies</w:t>
      </w:r>
      <w:r>
        <w:rPr>
          <w:color w:val="231F20"/>
          <w:spacing w:val="-7"/>
          <w:sz w:val="23"/>
        </w:rPr>
        <w:t> </w:t>
      </w:r>
      <w:r>
        <w:rPr>
          <w:color w:val="231F20"/>
          <w:sz w:val="23"/>
        </w:rPr>
        <w:t>and</w:t>
      </w:r>
      <w:r>
        <w:rPr>
          <w:color w:val="231F20"/>
          <w:spacing w:val="-7"/>
          <w:sz w:val="23"/>
        </w:rPr>
        <w:t> </w:t>
      </w:r>
      <w:r>
        <w:rPr>
          <w:color w:val="231F20"/>
          <w:sz w:val="23"/>
        </w:rPr>
        <w:t>develop</w:t>
      </w:r>
      <w:r>
        <w:rPr>
          <w:color w:val="231F20"/>
          <w:spacing w:val="-7"/>
          <w:sz w:val="23"/>
        </w:rPr>
        <w:t> </w:t>
      </w:r>
      <w:r>
        <w:rPr>
          <w:color w:val="231F20"/>
          <w:sz w:val="23"/>
        </w:rPr>
        <w:t>a</w:t>
      </w:r>
      <w:r>
        <w:rPr>
          <w:color w:val="231F20"/>
          <w:spacing w:val="-7"/>
          <w:sz w:val="23"/>
        </w:rPr>
        <w:t> </w:t>
      </w:r>
      <w:r>
        <w:rPr>
          <w:color w:val="231F20"/>
          <w:sz w:val="23"/>
        </w:rPr>
        <w:t>master</w:t>
      </w:r>
      <w:r>
        <w:rPr>
          <w:color w:val="231F20"/>
          <w:spacing w:val="-7"/>
          <w:sz w:val="23"/>
        </w:rPr>
        <w:t> </w:t>
      </w:r>
      <w:r>
        <w:rPr>
          <w:color w:val="231F20"/>
          <w:sz w:val="23"/>
        </w:rPr>
        <w:t>plan</w:t>
      </w:r>
      <w:r>
        <w:rPr>
          <w:color w:val="231F20"/>
          <w:spacing w:val="-7"/>
          <w:sz w:val="23"/>
        </w:rPr>
        <w:t> </w:t>
      </w:r>
      <w:r>
        <w:rPr>
          <w:color w:val="231F20"/>
          <w:sz w:val="23"/>
        </w:rPr>
        <w:t>to ensure the viability and long-term sustainability of the SEZs based on real market demand; (iv) establish a sound legal and regulatory framework for transparent SEZ operations and to provide protection and certainty to developers and investors; (v) </w:t>
      </w:r>
      <w:r>
        <w:rPr>
          <w:color w:val="231F20"/>
          <w:spacing w:val="-4"/>
          <w:sz w:val="23"/>
        </w:rPr>
        <w:t>establish</w:t>
      </w:r>
      <w:r>
        <w:rPr>
          <w:color w:val="231F20"/>
          <w:spacing w:val="-43"/>
          <w:sz w:val="23"/>
        </w:rPr>
        <w:t> </w:t>
      </w:r>
      <w:r>
        <w:rPr>
          <w:color w:val="231F20"/>
          <w:spacing w:val="-4"/>
          <w:sz w:val="23"/>
        </w:rPr>
        <w:t>high-level</w:t>
      </w:r>
      <w:r>
        <w:rPr>
          <w:color w:val="231F20"/>
          <w:spacing w:val="-42"/>
          <w:sz w:val="23"/>
        </w:rPr>
        <w:t> </w:t>
      </w:r>
      <w:r>
        <w:rPr>
          <w:color w:val="231F20"/>
          <w:spacing w:val="-4"/>
          <w:sz w:val="23"/>
        </w:rPr>
        <w:t>leadership</w:t>
      </w:r>
      <w:r>
        <w:rPr>
          <w:color w:val="231F20"/>
          <w:spacing w:val="-42"/>
          <w:sz w:val="23"/>
        </w:rPr>
        <w:t> </w:t>
      </w:r>
      <w:r>
        <w:rPr>
          <w:color w:val="231F20"/>
          <w:spacing w:val="-3"/>
          <w:sz w:val="23"/>
        </w:rPr>
        <w:t>and</w:t>
      </w:r>
      <w:r>
        <w:rPr>
          <w:color w:val="231F20"/>
          <w:spacing w:val="-42"/>
          <w:sz w:val="23"/>
        </w:rPr>
        <w:t> </w:t>
      </w:r>
      <w:r>
        <w:rPr>
          <w:color w:val="231F20"/>
          <w:spacing w:val="-4"/>
          <w:sz w:val="23"/>
        </w:rPr>
        <w:t>inter-agency</w:t>
      </w:r>
      <w:r>
        <w:rPr>
          <w:color w:val="231F20"/>
          <w:spacing w:val="-43"/>
          <w:sz w:val="23"/>
        </w:rPr>
        <w:t> </w:t>
      </w:r>
      <w:r>
        <w:rPr>
          <w:color w:val="231F20"/>
          <w:spacing w:val="-4"/>
          <w:sz w:val="23"/>
        </w:rPr>
        <w:t>coordination</w:t>
      </w:r>
      <w:r>
        <w:rPr>
          <w:color w:val="231F20"/>
          <w:spacing w:val="-42"/>
          <w:sz w:val="23"/>
        </w:rPr>
        <w:t> </w:t>
      </w:r>
      <w:r>
        <w:rPr>
          <w:color w:val="231F20"/>
          <w:spacing w:val="-4"/>
          <w:sz w:val="23"/>
        </w:rPr>
        <w:t>involving</w:t>
      </w:r>
      <w:r>
        <w:rPr>
          <w:color w:val="231F20"/>
          <w:spacing w:val="-42"/>
          <w:sz w:val="23"/>
        </w:rPr>
        <w:t> </w:t>
      </w:r>
      <w:r>
        <w:rPr>
          <w:color w:val="231F20"/>
          <w:spacing w:val="-3"/>
          <w:sz w:val="23"/>
        </w:rPr>
        <w:t>many</w:t>
      </w:r>
      <w:r>
        <w:rPr>
          <w:color w:val="231F20"/>
          <w:spacing w:val="-42"/>
          <w:sz w:val="23"/>
        </w:rPr>
        <w:t> </w:t>
      </w:r>
      <w:r>
        <w:rPr>
          <w:color w:val="231F20"/>
          <w:spacing w:val="-4"/>
          <w:sz w:val="23"/>
        </w:rPr>
        <w:t>government </w:t>
      </w:r>
      <w:r>
        <w:rPr>
          <w:color w:val="231F20"/>
          <w:sz w:val="23"/>
        </w:rPr>
        <w:t>stakeholders; and (vi) ensure careful planning of zone development, inclusive of assessments of basic infrastructure, such as energy, water and</w:t>
      </w:r>
      <w:r>
        <w:rPr>
          <w:color w:val="231F20"/>
          <w:spacing w:val="70"/>
          <w:sz w:val="23"/>
        </w:rPr>
        <w:t> </w:t>
      </w:r>
      <w:r>
        <w:rPr>
          <w:color w:val="231F20"/>
          <w:sz w:val="23"/>
        </w:rPr>
        <w:t>roads.</w:t>
      </w:r>
    </w:p>
    <w:p>
      <w:pPr>
        <w:pStyle w:val="BodyText"/>
        <w:spacing w:before="7"/>
        <w:rPr>
          <w:sz w:val="28"/>
        </w:rPr>
      </w:pPr>
    </w:p>
    <w:p>
      <w:pPr>
        <w:pStyle w:val="ListParagraph"/>
        <w:numPr>
          <w:ilvl w:val="0"/>
          <w:numId w:val="2"/>
        </w:numPr>
        <w:tabs>
          <w:tab w:pos="954" w:val="left" w:leader="none"/>
        </w:tabs>
        <w:spacing w:line="302" w:lineRule="auto" w:before="1" w:after="0"/>
        <w:ind w:left="103" w:right="117" w:firstLine="87"/>
        <w:jc w:val="both"/>
        <w:rPr>
          <w:sz w:val="23"/>
        </w:rPr>
      </w:pPr>
      <w:r>
        <w:rPr>
          <w:color w:val="231F20"/>
          <w:spacing w:val="2"/>
          <w:sz w:val="23"/>
        </w:rPr>
        <w:t>Mr. </w:t>
      </w:r>
      <w:r>
        <w:rPr>
          <w:color w:val="231F20"/>
          <w:spacing w:val="3"/>
          <w:sz w:val="23"/>
        </w:rPr>
        <w:t>Speaker, Honourable Members, Government will also </w:t>
      </w:r>
      <w:r>
        <w:rPr>
          <w:color w:val="231F20"/>
          <w:spacing w:val="4"/>
          <w:sz w:val="23"/>
        </w:rPr>
        <w:t>strengthen </w:t>
      </w:r>
      <w:r>
        <w:rPr>
          <w:color w:val="231F20"/>
          <w:sz w:val="23"/>
        </w:rPr>
        <w:t>complementary</w:t>
      </w:r>
      <w:r>
        <w:rPr>
          <w:color w:val="231F20"/>
          <w:spacing w:val="-26"/>
          <w:sz w:val="23"/>
        </w:rPr>
        <w:t> </w:t>
      </w:r>
      <w:r>
        <w:rPr>
          <w:color w:val="231F20"/>
          <w:sz w:val="23"/>
        </w:rPr>
        <w:t>policies</w:t>
      </w:r>
      <w:r>
        <w:rPr>
          <w:color w:val="231F20"/>
          <w:spacing w:val="-27"/>
          <w:sz w:val="23"/>
        </w:rPr>
        <w:t> </w:t>
      </w:r>
      <w:r>
        <w:rPr>
          <w:color w:val="231F20"/>
          <w:sz w:val="23"/>
        </w:rPr>
        <w:t>required</w:t>
      </w:r>
      <w:r>
        <w:rPr>
          <w:color w:val="231F20"/>
          <w:spacing w:val="-26"/>
          <w:sz w:val="23"/>
        </w:rPr>
        <w:t> </w:t>
      </w:r>
      <w:r>
        <w:rPr>
          <w:color w:val="231F20"/>
          <w:sz w:val="23"/>
        </w:rPr>
        <w:t>for</w:t>
      </w:r>
      <w:r>
        <w:rPr>
          <w:color w:val="231F20"/>
          <w:spacing w:val="-26"/>
          <w:sz w:val="23"/>
        </w:rPr>
        <w:t> </w:t>
      </w:r>
      <w:r>
        <w:rPr>
          <w:color w:val="231F20"/>
          <w:sz w:val="23"/>
        </w:rPr>
        <w:t>the</w:t>
      </w:r>
      <w:r>
        <w:rPr>
          <w:color w:val="231F20"/>
          <w:spacing w:val="-26"/>
          <w:sz w:val="23"/>
        </w:rPr>
        <w:t> </w:t>
      </w:r>
      <w:r>
        <w:rPr>
          <w:color w:val="231F20"/>
          <w:sz w:val="23"/>
        </w:rPr>
        <w:t>success</w:t>
      </w:r>
      <w:r>
        <w:rPr>
          <w:color w:val="231F20"/>
          <w:spacing w:val="-26"/>
          <w:sz w:val="23"/>
        </w:rPr>
        <w:t> </w:t>
      </w:r>
      <w:r>
        <w:rPr>
          <w:color w:val="231F20"/>
          <w:sz w:val="23"/>
        </w:rPr>
        <w:t>of</w:t>
      </w:r>
      <w:r>
        <w:rPr>
          <w:color w:val="231F20"/>
          <w:spacing w:val="-26"/>
          <w:sz w:val="23"/>
        </w:rPr>
        <w:t> </w:t>
      </w:r>
      <w:r>
        <w:rPr>
          <w:color w:val="231F20"/>
          <w:sz w:val="23"/>
        </w:rPr>
        <w:t>SEZs</w:t>
      </w:r>
      <w:r>
        <w:rPr>
          <w:color w:val="231F20"/>
          <w:spacing w:val="-27"/>
          <w:sz w:val="23"/>
        </w:rPr>
        <w:t> </w:t>
      </w:r>
      <w:r>
        <w:rPr>
          <w:color w:val="231F20"/>
          <w:sz w:val="23"/>
        </w:rPr>
        <w:t>such</w:t>
      </w:r>
      <w:r>
        <w:rPr>
          <w:color w:val="231F20"/>
          <w:spacing w:val="-26"/>
          <w:sz w:val="23"/>
        </w:rPr>
        <w:t> </w:t>
      </w:r>
      <w:r>
        <w:rPr>
          <w:color w:val="231F20"/>
          <w:sz w:val="23"/>
        </w:rPr>
        <w:t>as</w:t>
      </w:r>
      <w:r>
        <w:rPr>
          <w:color w:val="231F20"/>
          <w:spacing w:val="-26"/>
          <w:sz w:val="23"/>
        </w:rPr>
        <w:t> </w:t>
      </w:r>
      <w:r>
        <w:rPr>
          <w:color w:val="231F20"/>
          <w:sz w:val="23"/>
        </w:rPr>
        <w:t>building</w:t>
      </w:r>
      <w:r>
        <w:rPr>
          <w:color w:val="231F20"/>
          <w:spacing w:val="-27"/>
          <w:sz w:val="23"/>
        </w:rPr>
        <w:t> </w:t>
      </w:r>
      <w:r>
        <w:rPr>
          <w:color w:val="231F20"/>
          <w:sz w:val="23"/>
        </w:rPr>
        <w:t>local</w:t>
      </w:r>
      <w:r>
        <w:rPr>
          <w:color w:val="231F20"/>
          <w:spacing w:val="-26"/>
          <w:sz w:val="23"/>
        </w:rPr>
        <w:t> </w:t>
      </w:r>
      <w:r>
        <w:rPr>
          <w:color w:val="231F20"/>
          <w:sz w:val="23"/>
        </w:rPr>
        <w:t>supply capabilities,</w:t>
      </w:r>
      <w:r>
        <w:rPr>
          <w:color w:val="231F20"/>
          <w:spacing w:val="-46"/>
          <w:sz w:val="23"/>
        </w:rPr>
        <w:t> </w:t>
      </w:r>
      <w:r>
        <w:rPr>
          <w:color w:val="231F20"/>
          <w:sz w:val="23"/>
        </w:rPr>
        <w:t>improving</w:t>
      </w:r>
      <w:r>
        <w:rPr>
          <w:color w:val="231F20"/>
          <w:spacing w:val="-46"/>
          <w:sz w:val="23"/>
        </w:rPr>
        <w:t> </w:t>
      </w:r>
      <w:r>
        <w:rPr>
          <w:color w:val="231F20"/>
          <w:sz w:val="23"/>
        </w:rPr>
        <w:t>human</w:t>
      </w:r>
      <w:r>
        <w:rPr>
          <w:color w:val="231F20"/>
          <w:spacing w:val="-46"/>
          <w:sz w:val="23"/>
        </w:rPr>
        <w:t> </w:t>
      </w:r>
      <w:r>
        <w:rPr>
          <w:color w:val="231F20"/>
          <w:sz w:val="23"/>
        </w:rPr>
        <w:t>resource</w:t>
      </w:r>
      <w:r>
        <w:rPr>
          <w:color w:val="231F20"/>
          <w:spacing w:val="-45"/>
          <w:sz w:val="23"/>
        </w:rPr>
        <w:t> </w:t>
      </w:r>
      <w:r>
        <w:rPr>
          <w:color w:val="231F20"/>
          <w:sz w:val="23"/>
        </w:rPr>
        <w:t>development</w:t>
      </w:r>
      <w:r>
        <w:rPr>
          <w:color w:val="231F20"/>
          <w:spacing w:val="-47"/>
          <w:sz w:val="23"/>
        </w:rPr>
        <w:t> </w:t>
      </w:r>
      <w:r>
        <w:rPr>
          <w:color w:val="231F20"/>
          <w:sz w:val="23"/>
        </w:rPr>
        <w:t>through</w:t>
      </w:r>
      <w:r>
        <w:rPr>
          <w:color w:val="231F20"/>
          <w:spacing w:val="-45"/>
          <w:sz w:val="23"/>
        </w:rPr>
        <w:t> </w:t>
      </w:r>
      <w:r>
        <w:rPr>
          <w:color w:val="231F20"/>
          <w:sz w:val="23"/>
        </w:rPr>
        <w:t>skills</w:t>
      </w:r>
      <w:r>
        <w:rPr>
          <w:color w:val="231F20"/>
          <w:spacing w:val="-46"/>
          <w:sz w:val="23"/>
        </w:rPr>
        <w:t> </w:t>
      </w:r>
      <w:r>
        <w:rPr>
          <w:color w:val="231F20"/>
          <w:sz w:val="23"/>
        </w:rPr>
        <w:t>training,</w:t>
      </w:r>
      <w:r>
        <w:rPr>
          <w:color w:val="231F20"/>
          <w:spacing w:val="-45"/>
          <w:sz w:val="23"/>
        </w:rPr>
        <w:t> </w:t>
      </w:r>
      <w:r>
        <w:rPr>
          <w:color w:val="231F20"/>
          <w:sz w:val="23"/>
        </w:rPr>
        <w:t>providing specialised</w:t>
      </w:r>
      <w:r>
        <w:rPr>
          <w:color w:val="231F20"/>
          <w:spacing w:val="-32"/>
          <w:sz w:val="23"/>
        </w:rPr>
        <w:t> </w:t>
      </w:r>
      <w:r>
        <w:rPr>
          <w:color w:val="231F20"/>
          <w:sz w:val="23"/>
        </w:rPr>
        <w:t>infrastructure</w:t>
      </w:r>
      <w:r>
        <w:rPr>
          <w:color w:val="231F20"/>
          <w:spacing w:val="-32"/>
          <w:sz w:val="23"/>
        </w:rPr>
        <w:t> </w:t>
      </w:r>
      <w:r>
        <w:rPr>
          <w:color w:val="231F20"/>
          <w:sz w:val="23"/>
        </w:rPr>
        <w:t>such</w:t>
      </w:r>
      <w:r>
        <w:rPr>
          <w:color w:val="231F20"/>
          <w:spacing w:val="-32"/>
          <w:sz w:val="23"/>
        </w:rPr>
        <w:t> </w:t>
      </w:r>
      <w:r>
        <w:rPr>
          <w:color w:val="231F20"/>
          <w:sz w:val="23"/>
        </w:rPr>
        <w:t>as</w:t>
      </w:r>
      <w:r>
        <w:rPr>
          <w:color w:val="231F20"/>
          <w:spacing w:val="-32"/>
          <w:sz w:val="23"/>
        </w:rPr>
        <w:t> </w:t>
      </w:r>
      <w:r>
        <w:rPr>
          <w:color w:val="231F20"/>
          <w:sz w:val="23"/>
        </w:rPr>
        <w:t>energy</w:t>
      </w:r>
      <w:r>
        <w:rPr>
          <w:color w:val="231F20"/>
          <w:spacing w:val="-32"/>
          <w:sz w:val="23"/>
        </w:rPr>
        <w:t> </w:t>
      </w:r>
      <w:r>
        <w:rPr>
          <w:color w:val="231F20"/>
          <w:sz w:val="23"/>
        </w:rPr>
        <w:t>and</w:t>
      </w:r>
      <w:r>
        <w:rPr>
          <w:color w:val="231F20"/>
          <w:spacing w:val="-32"/>
          <w:sz w:val="23"/>
        </w:rPr>
        <w:t> </w:t>
      </w:r>
      <w:r>
        <w:rPr>
          <w:color w:val="231F20"/>
          <w:sz w:val="23"/>
        </w:rPr>
        <w:t>roads,</w:t>
      </w:r>
      <w:r>
        <w:rPr>
          <w:color w:val="231F20"/>
          <w:spacing w:val="-32"/>
          <w:sz w:val="23"/>
        </w:rPr>
        <w:t> </w:t>
      </w:r>
      <w:r>
        <w:rPr>
          <w:color w:val="231F20"/>
          <w:sz w:val="23"/>
        </w:rPr>
        <w:t>and</w:t>
      </w:r>
      <w:r>
        <w:rPr>
          <w:color w:val="231F20"/>
          <w:spacing w:val="-32"/>
          <w:sz w:val="23"/>
        </w:rPr>
        <w:t> </w:t>
      </w:r>
      <w:r>
        <w:rPr>
          <w:color w:val="231F20"/>
          <w:sz w:val="23"/>
        </w:rPr>
        <w:t>strengthening</w:t>
      </w:r>
      <w:r>
        <w:rPr>
          <w:color w:val="231F20"/>
          <w:spacing w:val="-32"/>
          <w:sz w:val="23"/>
        </w:rPr>
        <w:t> </w:t>
      </w:r>
      <w:r>
        <w:rPr>
          <w:color w:val="231F20"/>
          <w:sz w:val="23"/>
        </w:rPr>
        <w:t>labour</w:t>
      </w:r>
      <w:r>
        <w:rPr>
          <w:color w:val="231F20"/>
          <w:spacing w:val="-32"/>
          <w:sz w:val="23"/>
        </w:rPr>
        <w:t> </w:t>
      </w:r>
      <w:r>
        <w:rPr>
          <w:color w:val="231F20"/>
          <w:sz w:val="23"/>
        </w:rPr>
        <w:t>market regulations and social</w:t>
      </w:r>
      <w:r>
        <w:rPr>
          <w:color w:val="231F20"/>
          <w:spacing w:val="3"/>
          <w:sz w:val="23"/>
        </w:rPr>
        <w:t> </w:t>
      </w:r>
      <w:r>
        <w:rPr>
          <w:color w:val="231F20"/>
          <w:sz w:val="23"/>
        </w:rPr>
        <w:t>protection.</w:t>
      </w:r>
    </w:p>
    <w:p>
      <w:pPr>
        <w:pStyle w:val="BodyText"/>
        <w:spacing w:before="10"/>
        <w:rPr>
          <w:sz w:val="28"/>
        </w:rPr>
      </w:pPr>
    </w:p>
    <w:p>
      <w:pPr>
        <w:pStyle w:val="Heading2"/>
        <w:ind w:left="953"/>
      </w:pPr>
      <w:r>
        <w:rPr>
          <w:color w:val="231F20"/>
        </w:rPr>
        <w:t>Investing in Critical Infrastructure</w:t>
      </w:r>
    </w:p>
    <w:p>
      <w:pPr>
        <w:pStyle w:val="ListParagraph"/>
        <w:numPr>
          <w:ilvl w:val="0"/>
          <w:numId w:val="2"/>
        </w:numPr>
        <w:tabs>
          <w:tab w:pos="954" w:val="left" w:leader="none"/>
        </w:tabs>
        <w:spacing w:line="302" w:lineRule="auto" w:before="71" w:after="0"/>
        <w:ind w:left="103" w:right="119" w:firstLine="87"/>
        <w:jc w:val="both"/>
        <w:rPr>
          <w:sz w:val="23"/>
        </w:rPr>
      </w:pPr>
      <w:r>
        <w:rPr>
          <w:color w:val="231F20"/>
          <w:sz w:val="23"/>
        </w:rPr>
        <w:t>Mr.</w:t>
      </w:r>
      <w:r>
        <w:rPr>
          <w:color w:val="231F20"/>
          <w:spacing w:val="-10"/>
          <w:sz w:val="23"/>
        </w:rPr>
        <w:t> </w:t>
      </w:r>
      <w:r>
        <w:rPr>
          <w:color w:val="231F20"/>
          <w:sz w:val="23"/>
        </w:rPr>
        <w:t>Speaker,</w:t>
      </w:r>
      <w:r>
        <w:rPr>
          <w:color w:val="231F20"/>
          <w:spacing w:val="-10"/>
          <w:sz w:val="23"/>
        </w:rPr>
        <w:t> </w:t>
      </w:r>
      <w:r>
        <w:rPr>
          <w:color w:val="231F20"/>
          <w:sz w:val="23"/>
        </w:rPr>
        <w:t>Honourable</w:t>
      </w:r>
      <w:r>
        <w:rPr>
          <w:color w:val="231F20"/>
          <w:spacing w:val="-10"/>
          <w:sz w:val="23"/>
        </w:rPr>
        <w:t> </w:t>
      </w:r>
      <w:r>
        <w:rPr>
          <w:color w:val="231F20"/>
          <w:sz w:val="23"/>
        </w:rPr>
        <w:t>Members,</w:t>
      </w:r>
      <w:r>
        <w:rPr>
          <w:color w:val="231F20"/>
          <w:spacing w:val="-10"/>
          <w:sz w:val="23"/>
        </w:rPr>
        <w:t> </w:t>
      </w:r>
      <w:r>
        <w:rPr>
          <w:color w:val="231F20"/>
          <w:sz w:val="23"/>
        </w:rPr>
        <w:t>the</w:t>
      </w:r>
      <w:r>
        <w:rPr>
          <w:color w:val="231F20"/>
          <w:spacing w:val="-10"/>
          <w:sz w:val="23"/>
        </w:rPr>
        <w:t> </w:t>
      </w:r>
      <w:r>
        <w:rPr>
          <w:color w:val="231F20"/>
          <w:sz w:val="23"/>
        </w:rPr>
        <w:t>impact</w:t>
      </w:r>
      <w:r>
        <w:rPr>
          <w:color w:val="231F20"/>
          <w:spacing w:val="-10"/>
          <w:sz w:val="23"/>
        </w:rPr>
        <w:t> </w:t>
      </w:r>
      <w:r>
        <w:rPr>
          <w:color w:val="231F20"/>
          <w:sz w:val="23"/>
        </w:rPr>
        <w:t>of</w:t>
      </w:r>
      <w:r>
        <w:rPr>
          <w:color w:val="231F20"/>
          <w:spacing w:val="-10"/>
          <w:sz w:val="23"/>
        </w:rPr>
        <w:t> </w:t>
      </w:r>
      <w:r>
        <w:rPr>
          <w:color w:val="231F20"/>
          <w:sz w:val="23"/>
        </w:rPr>
        <w:t>weak</w:t>
      </w:r>
      <w:r>
        <w:rPr>
          <w:color w:val="231F20"/>
          <w:spacing w:val="-10"/>
          <w:sz w:val="23"/>
        </w:rPr>
        <w:t> </w:t>
      </w:r>
      <w:r>
        <w:rPr>
          <w:color w:val="231F20"/>
          <w:sz w:val="23"/>
        </w:rPr>
        <w:t>infrastructure</w:t>
      </w:r>
      <w:r>
        <w:rPr>
          <w:color w:val="231F20"/>
          <w:spacing w:val="-10"/>
          <w:sz w:val="23"/>
        </w:rPr>
        <w:t> </w:t>
      </w:r>
      <w:r>
        <w:rPr>
          <w:color w:val="231F20"/>
          <w:sz w:val="23"/>
        </w:rPr>
        <w:t>on</w:t>
      </w:r>
      <w:r>
        <w:rPr>
          <w:color w:val="231F20"/>
          <w:spacing w:val="-10"/>
          <w:sz w:val="23"/>
        </w:rPr>
        <w:t> </w:t>
      </w:r>
      <w:r>
        <w:rPr>
          <w:color w:val="231F20"/>
          <w:sz w:val="23"/>
        </w:rPr>
        <w:t>the operating</w:t>
      </w:r>
      <w:r>
        <w:rPr>
          <w:color w:val="231F20"/>
          <w:spacing w:val="-20"/>
          <w:sz w:val="23"/>
        </w:rPr>
        <w:t> </w:t>
      </w:r>
      <w:r>
        <w:rPr>
          <w:color w:val="231F20"/>
          <w:sz w:val="23"/>
        </w:rPr>
        <w:t>costs</w:t>
      </w:r>
      <w:r>
        <w:rPr>
          <w:color w:val="231F20"/>
          <w:spacing w:val="-20"/>
          <w:sz w:val="23"/>
        </w:rPr>
        <w:t> </w:t>
      </w:r>
      <w:r>
        <w:rPr>
          <w:color w:val="231F20"/>
          <w:sz w:val="23"/>
        </w:rPr>
        <w:t>of</w:t>
      </w:r>
      <w:r>
        <w:rPr>
          <w:color w:val="231F20"/>
          <w:spacing w:val="-20"/>
          <w:sz w:val="23"/>
        </w:rPr>
        <w:t> </w:t>
      </w:r>
      <w:r>
        <w:rPr>
          <w:color w:val="231F20"/>
          <w:sz w:val="23"/>
        </w:rPr>
        <w:t>businesses,</w:t>
      </w:r>
      <w:r>
        <w:rPr>
          <w:color w:val="231F20"/>
          <w:spacing w:val="-20"/>
          <w:sz w:val="23"/>
        </w:rPr>
        <w:t> </w:t>
      </w:r>
      <w:r>
        <w:rPr>
          <w:color w:val="231F20"/>
          <w:sz w:val="23"/>
        </w:rPr>
        <w:t>especially</w:t>
      </w:r>
      <w:r>
        <w:rPr>
          <w:color w:val="231F20"/>
          <w:spacing w:val="-20"/>
          <w:sz w:val="23"/>
        </w:rPr>
        <w:t> </w:t>
      </w:r>
      <w:r>
        <w:rPr>
          <w:color w:val="231F20"/>
          <w:sz w:val="23"/>
        </w:rPr>
        <w:t>firms</w:t>
      </w:r>
      <w:r>
        <w:rPr>
          <w:color w:val="231F20"/>
          <w:spacing w:val="-20"/>
          <w:sz w:val="23"/>
        </w:rPr>
        <w:t> </w:t>
      </w:r>
      <w:r>
        <w:rPr>
          <w:color w:val="231F20"/>
          <w:sz w:val="23"/>
        </w:rPr>
        <w:t>in</w:t>
      </w:r>
      <w:r>
        <w:rPr>
          <w:color w:val="231F20"/>
          <w:spacing w:val="-20"/>
          <w:sz w:val="23"/>
        </w:rPr>
        <w:t> </w:t>
      </w:r>
      <w:r>
        <w:rPr>
          <w:color w:val="231F20"/>
          <w:sz w:val="23"/>
        </w:rPr>
        <w:t>the</w:t>
      </w:r>
      <w:r>
        <w:rPr>
          <w:color w:val="231F20"/>
          <w:spacing w:val="-20"/>
          <w:sz w:val="23"/>
        </w:rPr>
        <w:t> </w:t>
      </w:r>
      <w:r>
        <w:rPr>
          <w:color w:val="231F20"/>
          <w:sz w:val="23"/>
        </w:rPr>
        <w:t>manufacturing</w:t>
      </w:r>
      <w:r>
        <w:rPr>
          <w:color w:val="231F20"/>
          <w:spacing w:val="-20"/>
          <w:sz w:val="23"/>
        </w:rPr>
        <w:t> </w:t>
      </w:r>
      <w:r>
        <w:rPr>
          <w:color w:val="231F20"/>
          <w:sz w:val="23"/>
        </w:rPr>
        <w:t>industry,</w:t>
      </w:r>
      <w:r>
        <w:rPr>
          <w:color w:val="231F20"/>
          <w:spacing w:val="-20"/>
          <w:sz w:val="23"/>
        </w:rPr>
        <w:t> </w:t>
      </w:r>
      <w:r>
        <w:rPr>
          <w:color w:val="231F20"/>
          <w:sz w:val="23"/>
        </w:rPr>
        <w:t>cannot be overemphasised. To this end, we are investing in infrastructure such as energy, transport</w:t>
      </w:r>
      <w:r>
        <w:rPr>
          <w:color w:val="231F20"/>
          <w:spacing w:val="-11"/>
          <w:sz w:val="23"/>
        </w:rPr>
        <w:t> </w:t>
      </w:r>
      <w:r>
        <w:rPr>
          <w:color w:val="231F20"/>
          <w:sz w:val="23"/>
        </w:rPr>
        <w:t>and</w:t>
      </w:r>
      <w:r>
        <w:rPr>
          <w:color w:val="231F20"/>
          <w:spacing w:val="-11"/>
          <w:sz w:val="23"/>
        </w:rPr>
        <w:t> </w:t>
      </w:r>
      <w:r>
        <w:rPr>
          <w:color w:val="231F20"/>
          <w:sz w:val="23"/>
        </w:rPr>
        <w:t>ICT</w:t>
      </w:r>
      <w:r>
        <w:rPr>
          <w:color w:val="231F20"/>
          <w:spacing w:val="-11"/>
          <w:sz w:val="23"/>
        </w:rPr>
        <w:t> </w:t>
      </w:r>
      <w:r>
        <w:rPr>
          <w:color w:val="231F20"/>
          <w:sz w:val="23"/>
        </w:rPr>
        <w:t>that</w:t>
      </w:r>
      <w:r>
        <w:rPr>
          <w:color w:val="231F20"/>
          <w:spacing w:val="-11"/>
          <w:sz w:val="23"/>
        </w:rPr>
        <w:t> </w:t>
      </w:r>
      <w:r>
        <w:rPr>
          <w:color w:val="231F20"/>
          <w:sz w:val="23"/>
        </w:rPr>
        <w:t>are</w:t>
      </w:r>
      <w:r>
        <w:rPr>
          <w:color w:val="231F20"/>
          <w:spacing w:val="-11"/>
          <w:sz w:val="23"/>
        </w:rPr>
        <w:t> </w:t>
      </w:r>
      <w:r>
        <w:rPr>
          <w:color w:val="231F20"/>
          <w:sz w:val="23"/>
        </w:rPr>
        <w:t>critical</w:t>
      </w:r>
      <w:r>
        <w:rPr>
          <w:color w:val="231F20"/>
          <w:spacing w:val="-11"/>
          <w:sz w:val="23"/>
        </w:rPr>
        <w:t> </w:t>
      </w:r>
      <w:r>
        <w:rPr>
          <w:color w:val="231F20"/>
          <w:sz w:val="23"/>
        </w:rPr>
        <w:t>for</w:t>
      </w:r>
      <w:r>
        <w:rPr>
          <w:color w:val="231F20"/>
          <w:spacing w:val="-11"/>
          <w:sz w:val="23"/>
        </w:rPr>
        <w:t> </w:t>
      </w:r>
      <w:r>
        <w:rPr>
          <w:color w:val="231F20"/>
          <w:sz w:val="23"/>
        </w:rPr>
        <w:t>reducing</w:t>
      </w:r>
      <w:r>
        <w:rPr>
          <w:color w:val="231F20"/>
          <w:spacing w:val="-11"/>
          <w:sz w:val="23"/>
        </w:rPr>
        <w:t> </w:t>
      </w:r>
      <w:r>
        <w:rPr>
          <w:color w:val="231F20"/>
          <w:sz w:val="23"/>
        </w:rPr>
        <w:t>the</w:t>
      </w:r>
      <w:r>
        <w:rPr>
          <w:color w:val="231F20"/>
          <w:spacing w:val="-11"/>
          <w:sz w:val="23"/>
        </w:rPr>
        <w:t> </w:t>
      </w:r>
      <w:r>
        <w:rPr>
          <w:color w:val="231F20"/>
          <w:sz w:val="23"/>
        </w:rPr>
        <w:t>cost</w:t>
      </w:r>
      <w:r>
        <w:rPr>
          <w:color w:val="231F20"/>
          <w:spacing w:val="-11"/>
          <w:sz w:val="23"/>
        </w:rPr>
        <w:t> </w:t>
      </w:r>
      <w:r>
        <w:rPr>
          <w:color w:val="231F20"/>
          <w:sz w:val="23"/>
        </w:rPr>
        <w:t>of</w:t>
      </w:r>
      <w:r>
        <w:rPr>
          <w:color w:val="231F20"/>
          <w:spacing w:val="-11"/>
          <w:sz w:val="23"/>
        </w:rPr>
        <w:t> </w:t>
      </w:r>
      <w:r>
        <w:rPr>
          <w:color w:val="231F20"/>
          <w:sz w:val="23"/>
        </w:rPr>
        <w:t>business</w:t>
      </w:r>
      <w:r>
        <w:rPr>
          <w:color w:val="231F20"/>
          <w:spacing w:val="-11"/>
          <w:sz w:val="23"/>
        </w:rPr>
        <w:t> </w:t>
      </w:r>
      <w:r>
        <w:rPr>
          <w:color w:val="231F20"/>
          <w:sz w:val="23"/>
        </w:rPr>
        <w:t>transactions</w:t>
      </w:r>
      <w:r>
        <w:rPr>
          <w:color w:val="231F20"/>
          <w:spacing w:val="-11"/>
          <w:sz w:val="23"/>
        </w:rPr>
        <w:t> </w:t>
      </w:r>
      <w:r>
        <w:rPr>
          <w:color w:val="231F20"/>
          <w:sz w:val="23"/>
        </w:rPr>
        <w:t>and connecting businesses to</w:t>
      </w:r>
      <w:r>
        <w:rPr>
          <w:color w:val="231F20"/>
          <w:spacing w:val="18"/>
          <w:sz w:val="23"/>
        </w:rPr>
        <w:t> </w:t>
      </w:r>
      <w:r>
        <w:rPr>
          <w:color w:val="231F20"/>
          <w:sz w:val="23"/>
        </w:rPr>
        <w:t>markets.</w:t>
      </w:r>
    </w:p>
    <w:p>
      <w:pPr>
        <w:pStyle w:val="BodyText"/>
        <w:spacing w:before="10"/>
        <w:rPr>
          <w:sz w:val="28"/>
        </w:rPr>
      </w:pPr>
    </w:p>
    <w:p>
      <w:pPr>
        <w:pStyle w:val="ListParagraph"/>
        <w:numPr>
          <w:ilvl w:val="0"/>
          <w:numId w:val="2"/>
        </w:numPr>
        <w:tabs>
          <w:tab w:pos="954" w:val="left" w:leader="none"/>
        </w:tabs>
        <w:spacing w:line="285" w:lineRule="auto" w:before="0" w:after="0"/>
        <w:ind w:left="103" w:right="117" w:firstLine="87"/>
        <w:jc w:val="both"/>
        <w:rPr>
          <w:sz w:val="23"/>
        </w:rPr>
      </w:pPr>
      <w:r>
        <w:rPr>
          <w:color w:val="231F20"/>
          <w:sz w:val="23"/>
        </w:rPr>
        <w:t>Plans are underway for the rehabilitation of the thermal power plants at the Kingtom Power Station. The construction of the 6 MW Solar Park at Newton will be completed</w:t>
      </w:r>
      <w:r>
        <w:rPr>
          <w:color w:val="231F20"/>
          <w:spacing w:val="-15"/>
          <w:sz w:val="23"/>
        </w:rPr>
        <w:t> </w:t>
      </w:r>
      <w:r>
        <w:rPr>
          <w:color w:val="231F20"/>
          <w:sz w:val="23"/>
        </w:rPr>
        <w:t>in</w:t>
      </w:r>
      <w:r>
        <w:rPr>
          <w:color w:val="231F20"/>
          <w:spacing w:val="-15"/>
          <w:sz w:val="23"/>
        </w:rPr>
        <w:t> </w:t>
      </w:r>
      <w:r>
        <w:rPr>
          <w:color w:val="231F20"/>
          <w:sz w:val="23"/>
        </w:rPr>
        <w:t>2020.</w:t>
      </w:r>
      <w:r>
        <w:rPr>
          <w:color w:val="231F20"/>
          <w:spacing w:val="-15"/>
          <w:sz w:val="23"/>
        </w:rPr>
        <w:t> </w:t>
      </w:r>
      <w:r>
        <w:rPr>
          <w:color w:val="231F20"/>
          <w:sz w:val="23"/>
        </w:rPr>
        <w:t>Government</w:t>
      </w:r>
      <w:r>
        <w:rPr>
          <w:color w:val="231F20"/>
          <w:spacing w:val="-15"/>
          <w:sz w:val="23"/>
        </w:rPr>
        <w:t> </w:t>
      </w:r>
      <w:r>
        <w:rPr>
          <w:color w:val="231F20"/>
          <w:sz w:val="23"/>
        </w:rPr>
        <w:t>is</w:t>
      </w:r>
      <w:r>
        <w:rPr>
          <w:color w:val="231F20"/>
          <w:spacing w:val="-15"/>
          <w:sz w:val="23"/>
        </w:rPr>
        <w:t> </w:t>
      </w:r>
      <w:r>
        <w:rPr>
          <w:color w:val="231F20"/>
          <w:sz w:val="23"/>
        </w:rPr>
        <w:t>also</w:t>
      </w:r>
      <w:r>
        <w:rPr>
          <w:color w:val="231F20"/>
          <w:spacing w:val="-15"/>
          <w:sz w:val="23"/>
        </w:rPr>
        <w:t> </w:t>
      </w:r>
      <w:r>
        <w:rPr>
          <w:color w:val="231F20"/>
          <w:sz w:val="23"/>
        </w:rPr>
        <w:t>implementing</w:t>
      </w:r>
      <w:r>
        <w:rPr>
          <w:color w:val="231F20"/>
          <w:spacing w:val="-15"/>
          <w:sz w:val="23"/>
        </w:rPr>
        <w:t> </w:t>
      </w:r>
      <w:r>
        <w:rPr>
          <w:color w:val="231F20"/>
          <w:sz w:val="23"/>
        </w:rPr>
        <w:t>the</w:t>
      </w:r>
      <w:r>
        <w:rPr>
          <w:color w:val="231F20"/>
          <w:spacing w:val="-15"/>
          <w:sz w:val="23"/>
        </w:rPr>
        <w:t> </w:t>
      </w:r>
      <w:r>
        <w:rPr>
          <w:color w:val="231F20"/>
          <w:sz w:val="23"/>
        </w:rPr>
        <w:t>World</w:t>
      </w:r>
      <w:r>
        <w:rPr>
          <w:color w:val="231F20"/>
          <w:spacing w:val="-15"/>
          <w:sz w:val="23"/>
        </w:rPr>
        <w:t> </w:t>
      </w:r>
      <w:r>
        <w:rPr>
          <w:color w:val="231F20"/>
          <w:sz w:val="23"/>
        </w:rPr>
        <w:t>Bank</w:t>
      </w:r>
      <w:r>
        <w:rPr>
          <w:color w:val="231F20"/>
          <w:spacing w:val="-15"/>
          <w:sz w:val="23"/>
        </w:rPr>
        <w:t> </w:t>
      </w:r>
      <w:r>
        <w:rPr>
          <w:color w:val="231F20"/>
          <w:sz w:val="23"/>
        </w:rPr>
        <w:t>funded</w:t>
      </w:r>
      <w:r>
        <w:rPr>
          <w:color w:val="231F20"/>
          <w:spacing w:val="-15"/>
          <w:sz w:val="23"/>
        </w:rPr>
        <w:t> </w:t>
      </w:r>
      <w:r>
        <w:rPr>
          <w:color w:val="231F20"/>
          <w:sz w:val="23"/>
        </w:rPr>
        <w:t>Energy Utility Reform Project to rehabilitate the transmission and distribution lines in Freetown</w:t>
      </w:r>
      <w:r>
        <w:rPr>
          <w:color w:val="231F20"/>
          <w:spacing w:val="25"/>
          <w:sz w:val="23"/>
        </w:rPr>
        <w:t> </w:t>
      </w:r>
      <w:r>
        <w:rPr>
          <w:color w:val="231F20"/>
          <w:sz w:val="23"/>
        </w:rPr>
        <w:t>to</w:t>
      </w:r>
      <w:r>
        <w:rPr>
          <w:color w:val="231F20"/>
          <w:spacing w:val="25"/>
          <w:sz w:val="23"/>
        </w:rPr>
        <w:t> </w:t>
      </w:r>
      <w:r>
        <w:rPr>
          <w:color w:val="231F20"/>
          <w:sz w:val="23"/>
        </w:rPr>
        <w:t>reduce</w:t>
      </w:r>
      <w:r>
        <w:rPr>
          <w:color w:val="231F20"/>
          <w:spacing w:val="25"/>
          <w:sz w:val="23"/>
        </w:rPr>
        <w:t> </w:t>
      </w:r>
      <w:r>
        <w:rPr>
          <w:color w:val="231F20"/>
          <w:sz w:val="23"/>
        </w:rPr>
        <w:t>technical</w:t>
      </w:r>
      <w:r>
        <w:rPr>
          <w:color w:val="231F20"/>
          <w:spacing w:val="25"/>
          <w:sz w:val="23"/>
        </w:rPr>
        <w:t> </w:t>
      </w:r>
      <w:r>
        <w:rPr>
          <w:color w:val="231F20"/>
          <w:sz w:val="23"/>
        </w:rPr>
        <w:t>losses</w:t>
      </w:r>
      <w:r>
        <w:rPr>
          <w:color w:val="231F20"/>
          <w:spacing w:val="25"/>
          <w:sz w:val="23"/>
        </w:rPr>
        <w:t> </w:t>
      </w:r>
      <w:r>
        <w:rPr>
          <w:color w:val="231F20"/>
          <w:sz w:val="23"/>
        </w:rPr>
        <w:t>in</w:t>
      </w:r>
      <w:r>
        <w:rPr>
          <w:color w:val="231F20"/>
          <w:spacing w:val="25"/>
          <w:sz w:val="23"/>
        </w:rPr>
        <w:t> </w:t>
      </w:r>
      <w:r>
        <w:rPr>
          <w:color w:val="231F20"/>
          <w:sz w:val="23"/>
        </w:rPr>
        <w:t>electricity</w:t>
      </w:r>
      <w:r>
        <w:rPr>
          <w:color w:val="231F20"/>
          <w:spacing w:val="25"/>
          <w:sz w:val="23"/>
        </w:rPr>
        <w:t> </w:t>
      </w:r>
      <w:r>
        <w:rPr>
          <w:color w:val="231F20"/>
          <w:sz w:val="23"/>
        </w:rPr>
        <w:t>generation.</w:t>
      </w:r>
    </w:p>
    <w:p>
      <w:pPr>
        <w:pStyle w:val="BodyText"/>
        <w:spacing w:before="2"/>
        <w:rPr>
          <w:sz w:val="27"/>
        </w:rPr>
      </w:pPr>
    </w:p>
    <w:p>
      <w:pPr>
        <w:pStyle w:val="ListParagraph"/>
        <w:numPr>
          <w:ilvl w:val="0"/>
          <w:numId w:val="2"/>
        </w:numPr>
        <w:tabs>
          <w:tab w:pos="954" w:val="left" w:leader="none"/>
        </w:tabs>
        <w:spacing w:line="285" w:lineRule="auto" w:before="0" w:after="0"/>
        <w:ind w:left="103" w:right="119" w:firstLine="87"/>
        <w:jc w:val="both"/>
        <w:rPr>
          <w:sz w:val="23"/>
        </w:rPr>
      </w:pPr>
      <w:r>
        <w:rPr>
          <w:color w:val="231F20"/>
          <w:sz w:val="23"/>
        </w:rPr>
        <w:t>The Department for International Development (DFID) and the African </w:t>
      </w:r>
      <w:r>
        <w:rPr>
          <w:color w:val="231F20"/>
          <w:spacing w:val="-4"/>
          <w:sz w:val="23"/>
        </w:rPr>
        <w:t>Development</w:t>
      </w:r>
      <w:r>
        <w:rPr>
          <w:color w:val="231F20"/>
          <w:spacing w:val="-44"/>
          <w:sz w:val="23"/>
        </w:rPr>
        <w:t> </w:t>
      </w:r>
      <w:r>
        <w:rPr>
          <w:color w:val="231F20"/>
          <w:spacing w:val="-3"/>
          <w:sz w:val="23"/>
        </w:rPr>
        <w:t>Bank</w:t>
      </w:r>
      <w:r>
        <w:rPr>
          <w:color w:val="231F20"/>
          <w:spacing w:val="-43"/>
          <w:sz w:val="23"/>
        </w:rPr>
        <w:t> </w:t>
      </w:r>
      <w:r>
        <w:rPr>
          <w:color w:val="231F20"/>
          <w:spacing w:val="-4"/>
          <w:sz w:val="23"/>
        </w:rPr>
        <w:t>(ADB)</w:t>
      </w:r>
      <w:r>
        <w:rPr>
          <w:color w:val="231F20"/>
          <w:spacing w:val="-44"/>
          <w:sz w:val="23"/>
        </w:rPr>
        <w:t> </w:t>
      </w:r>
      <w:r>
        <w:rPr>
          <w:color w:val="231F20"/>
          <w:spacing w:val="-3"/>
          <w:sz w:val="23"/>
        </w:rPr>
        <w:t>are</w:t>
      </w:r>
      <w:r>
        <w:rPr>
          <w:color w:val="231F20"/>
          <w:spacing w:val="-43"/>
          <w:sz w:val="23"/>
        </w:rPr>
        <w:t> </w:t>
      </w:r>
      <w:r>
        <w:rPr>
          <w:color w:val="231F20"/>
          <w:spacing w:val="-4"/>
          <w:sz w:val="23"/>
        </w:rPr>
        <w:t>funding</w:t>
      </w:r>
      <w:r>
        <w:rPr>
          <w:color w:val="231F20"/>
          <w:spacing w:val="-43"/>
          <w:sz w:val="23"/>
        </w:rPr>
        <w:t> </w:t>
      </w:r>
      <w:r>
        <w:rPr>
          <w:color w:val="231F20"/>
          <w:spacing w:val="-3"/>
          <w:sz w:val="23"/>
        </w:rPr>
        <w:t>the</w:t>
      </w:r>
      <w:r>
        <w:rPr>
          <w:color w:val="231F20"/>
          <w:spacing w:val="-44"/>
          <w:sz w:val="23"/>
        </w:rPr>
        <w:t> </w:t>
      </w:r>
      <w:r>
        <w:rPr>
          <w:color w:val="231F20"/>
          <w:spacing w:val="-4"/>
          <w:sz w:val="23"/>
        </w:rPr>
        <w:t>rehabilitation</w:t>
      </w:r>
      <w:r>
        <w:rPr>
          <w:color w:val="231F20"/>
          <w:spacing w:val="-43"/>
          <w:sz w:val="23"/>
        </w:rPr>
        <w:t> </w:t>
      </w:r>
      <w:r>
        <w:rPr>
          <w:color w:val="231F20"/>
          <w:spacing w:val="-3"/>
          <w:sz w:val="23"/>
        </w:rPr>
        <w:t>and</w:t>
      </w:r>
      <w:r>
        <w:rPr>
          <w:color w:val="231F20"/>
          <w:spacing w:val="-43"/>
          <w:sz w:val="23"/>
        </w:rPr>
        <w:t> </w:t>
      </w:r>
      <w:r>
        <w:rPr>
          <w:color w:val="231F20"/>
          <w:spacing w:val="-4"/>
          <w:sz w:val="23"/>
        </w:rPr>
        <w:t>extension</w:t>
      </w:r>
      <w:r>
        <w:rPr>
          <w:color w:val="231F20"/>
          <w:spacing w:val="-44"/>
          <w:sz w:val="23"/>
        </w:rPr>
        <w:t> </w:t>
      </w:r>
      <w:r>
        <w:rPr>
          <w:color w:val="231F20"/>
          <w:sz w:val="23"/>
        </w:rPr>
        <w:t>of</w:t>
      </w:r>
      <w:r>
        <w:rPr>
          <w:color w:val="231F20"/>
          <w:spacing w:val="-43"/>
          <w:sz w:val="23"/>
        </w:rPr>
        <w:t> </w:t>
      </w:r>
      <w:r>
        <w:rPr>
          <w:color w:val="231F20"/>
          <w:spacing w:val="-3"/>
          <w:sz w:val="23"/>
        </w:rPr>
        <w:t>the</w:t>
      </w:r>
      <w:r>
        <w:rPr>
          <w:color w:val="231F20"/>
          <w:spacing w:val="-43"/>
          <w:sz w:val="23"/>
        </w:rPr>
        <w:t> </w:t>
      </w:r>
      <w:r>
        <w:rPr>
          <w:color w:val="231F20"/>
          <w:spacing w:val="-4"/>
          <w:sz w:val="23"/>
        </w:rPr>
        <w:t>transmission </w:t>
      </w:r>
      <w:r>
        <w:rPr>
          <w:color w:val="231F20"/>
          <w:sz w:val="23"/>
        </w:rPr>
        <w:t>and</w:t>
      </w:r>
      <w:r>
        <w:rPr>
          <w:color w:val="231F20"/>
          <w:spacing w:val="-15"/>
          <w:sz w:val="23"/>
        </w:rPr>
        <w:t> </w:t>
      </w:r>
      <w:r>
        <w:rPr>
          <w:color w:val="231F20"/>
          <w:sz w:val="23"/>
        </w:rPr>
        <w:t>distribution</w:t>
      </w:r>
      <w:r>
        <w:rPr>
          <w:color w:val="231F20"/>
          <w:spacing w:val="-15"/>
          <w:sz w:val="23"/>
        </w:rPr>
        <w:t> </w:t>
      </w:r>
      <w:r>
        <w:rPr>
          <w:color w:val="231F20"/>
          <w:sz w:val="23"/>
        </w:rPr>
        <w:t>network</w:t>
      </w:r>
      <w:r>
        <w:rPr>
          <w:color w:val="231F20"/>
          <w:spacing w:val="-15"/>
          <w:sz w:val="23"/>
        </w:rPr>
        <w:t> </w:t>
      </w:r>
      <w:r>
        <w:rPr>
          <w:color w:val="231F20"/>
          <w:sz w:val="23"/>
        </w:rPr>
        <w:t>in</w:t>
      </w:r>
      <w:r>
        <w:rPr>
          <w:color w:val="231F20"/>
          <w:spacing w:val="-15"/>
          <w:sz w:val="23"/>
        </w:rPr>
        <w:t> </w:t>
      </w:r>
      <w:r>
        <w:rPr>
          <w:color w:val="231F20"/>
          <w:sz w:val="23"/>
        </w:rPr>
        <w:t>Bo,</w:t>
      </w:r>
      <w:r>
        <w:rPr>
          <w:color w:val="231F20"/>
          <w:spacing w:val="-15"/>
          <w:sz w:val="23"/>
        </w:rPr>
        <w:t> </w:t>
      </w:r>
      <w:r>
        <w:rPr>
          <w:color w:val="231F20"/>
          <w:sz w:val="23"/>
        </w:rPr>
        <w:t>Kenema</w:t>
      </w:r>
      <w:r>
        <w:rPr>
          <w:color w:val="231F20"/>
          <w:spacing w:val="-15"/>
          <w:sz w:val="23"/>
        </w:rPr>
        <w:t> </w:t>
      </w:r>
      <w:r>
        <w:rPr>
          <w:color w:val="231F20"/>
          <w:sz w:val="23"/>
        </w:rPr>
        <w:t>and</w:t>
      </w:r>
      <w:r>
        <w:rPr>
          <w:color w:val="231F20"/>
          <w:spacing w:val="-15"/>
          <w:sz w:val="23"/>
        </w:rPr>
        <w:t> </w:t>
      </w:r>
      <w:r>
        <w:rPr>
          <w:color w:val="231F20"/>
          <w:sz w:val="23"/>
        </w:rPr>
        <w:t>surrounding</w:t>
      </w:r>
      <w:r>
        <w:rPr>
          <w:color w:val="231F20"/>
          <w:spacing w:val="-15"/>
          <w:sz w:val="23"/>
        </w:rPr>
        <w:t> </w:t>
      </w:r>
      <w:r>
        <w:rPr>
          <w:color w:val="231F20"/>
          <w:sz w:val="23"/>
        </w:rPr>
        <w:t>villages.</w:t>
      </w:r>
      <w:r>
        <w:rPr>
          <w:color w:val="231F20"/>
          <w:spacing w:val="-15"/>
          <w:sz w:val="23"/>
        </w:rPr>
        <w:t> </w:t>
      </w:r>
      <w:r>
        <w:rPr>
          <w:color w:val="231F20"/>
          <w:sz w:val="23"/>
        </w:rPr>
        <w:t>The</w:t>
      </w:r>
      <w:r>
        <w:rPr>
          <w:color w:val="231F20"/>
          <w:spacing w:val="-15"/>
          <w:sz w:val="23"/>
        </w:rPr>
        <w:t> </w:t>
      </w:r>
      <w:r>
        <w:rPr>
          <w:color w:val="231F20"/>
          <w:sz w:val="23"/>
        </w:rPr>
        <w:t>rehabilitation of</w:t>
      </w:r>
      <w:r>
        <w:rPr>
          <w:color w:val="231F20"/>
          <w:spacing w:val="-13"/>
          <w:sz w:val="23"/>
        </w:rPr>
        <w:t> </w:t>
      </w:r>
      <w:r>
        <w:rPr>
          <w:color w:val="231F20"/>
          <w:sz w:val="23"/>
        </w:rPr>
        <w:t>the</w:t>
      </w:r>
      <w:r>
        <w:rPr>
          <w:color w:val="231F20"/>
          <w:spacing w:val="-13"/>
          <w:sz w:val="23"/>
        </w:rPr>
        <w:t> </w:t>
      </w:r>
      <w:r>
        <w:rPr>
          <w:color w:val="231F20"/>
          <w:sz w:val="23"/>
        </w:rPr>
        <w:t>Dodo</w:t>
      </w:r>
      <w:r>
        <w:rPr>
          <w:color w:val="231F20"/>
          <w:spacing w:val="-13"/>
          <w:sz w:val="23"/>
        </w:rPr>
        <w:t> </w:t>
      </w:r>
      <w:r>
        <w:rPr>
          <w:color w:val="231F20"/>
          <w:sz w:val="23"/>
        </w:rPr>
        <w:t>Hydro</w:t>
      </w:r>
      <w:r>
        <w:rPr>
          <w:color w:val="231F20"/>
          <w:spacing w:val="-13"/>
          <w:sz w:val="23"/>
        </w:rPr>
        <w:t> </w:t>
      </w:r>
      <w:r>
        <w:rPr>
          <w:color w:val="231F20"/>
          <w:sz w:val="23"/>
        </w:rPr>
        <w:t>dam</w:t>
      </w:r>
      <w:r>
        <w:rPr>
          <w:color w:val="231F20"/>
          <w:spacing w:val="-13"/>
          <w:sz w:val="23"/>
        </w:rPr>
        <w:t> </w:t>
      </w:r>
      <w:r>
        <w:rPr>
          <w:color w:val="231F20"/>
          <w:sz w:val="23"/>
        </w:rPr>
        <w:t>and</w:t>
      </w:r>
      <w:r>
        <w:rPr>
          <w:color w:val="231F20"/>
          <w:spacing w:val="-13"/>
          <w:sz w:val="23"/>
        </w:rPr>
        <w:t> </w:t>
      </w:r>
      <w:r>
        <w:rPr>
          <w:color w:val="231F20"/>
          <w:sz w:val="23"/>
        </w:rPr>
        <w:t>the</w:t>
      </w:r>
      <w:r>
        <w:rPr>
          <w:color w:val="231F20"/>
          <w:spacing w:val="-13"/>
          <w:sz w:val="23"/>
        </w:rPr>
        <w:t> </w:t>
      </w:r>
      <w:r>
        <w:rPr>
          <w:color w:val="231F20"/>
          <w:sz w:val="23"/>
        </w:rPr>
        <w:t>DFID</w:t>
      </w:r>
      <w:r>
        <w:rPr>
          <w:color w:val="231F20"/>
          <w:spacing w:val="-13"/>
          <w:sz w:val="23"/>
        </w:rPr>
        <w:t> </w:t>
      </w:r>
      <w:r>
        <w:rPr>
          <w:color w:val="231F20"/>
          <w:sz w:val="23"/>
        </w:rPr>
        <w:t>funded</w:t>
      </w:r>
      <w:r>
        <w:rPr>
          <w:color w:val="231F20"/>
          <w:spacing w:val="-13"/>
          <w:sz w:val="23"/>
        </w:rPr>
        <w:t> </w:t>
      </w:r>
      <w:r>
        <w:rPr>
          <w:color w:val="231F20"/>
          <w:sz w:val="23"/>
        </w:rPr>
        <w:t>construction</w:t>
      </w:r>
      <w:r>
        <w:rPr>
          <w:color w:val="231F20"/>
          <w:spacing w:val="-13"/>
          <w:sz w:val="23"/>
        </w:rPr>
        <w:t> </w:t>
      </w:r>
      <w:r>
        <w:rPr>
          <w:color w:val="231F20"/>
          <w:sz w:val="23"/>
        </w:rPr>
        <w:t>of</w:t>
      </w:r>
      <w:r>
        <w:rPr>
          <w:color w:val="231F20"/>
          <w:spacing w:val="-13"/>
          <w:sz w:val="23"/>
        </w:rPr>
        <w:t> </w:t>
      </w:r>
      <w:r>
        <w:rPr>
          <w:color w:val="231F20"/>
          <w:sz w:val="23"/>
        </w:rPr>
        <w:t>100</w:t>
      </w:r>
      <w:r>
        <w:rPr>
          <w:color w:val="231F20"/>
          <w:spacing w:val="-13"/>
          <w:sz w:val="23"/>
        </w:rPr>
        <w:t> </w:t>
      </w:r>
      <w:r>
        <w:rPr>
          <w:color w:val="231F20"/>
          <w:sz w:val="23"/>
        </w:rPr>
        <w:t>mini-grids</w:t>
      </w:r>
      <w:r>
        <w:rPr>
          <w:color w:val="231F20"/>
          <w:spacing w:val="-13"/>
          <w:sz w:val="23"/>
        </w:rPr>
        <w:t> </w:t>
      </w:r>
      <w:r>
        <w:rPr>
          <w:color w:val="231F20"/>
          <w:sz w:val="23"/>
        </w:rPr>
        <w:t>for</w:t>
      </w:r>
      <w:r>
        <w:rPr>
          <w:color w:val="231F20"/>
          <w:spacing w:val="-13"/>
          <w:sz w:val="23"/>
        </w:rPr>
        <w:t> </w:t>
      </w:r>
      <w:r>
        <w:rPr>
          <w:color w:val="231F20"/>
          <w:sz w:val="23"/>
        </w:rPr>
        <w:t>rural communities</w:t>
      </w:r>
      <w:r>
        <w:rPr>
          <w:color w:val="231F20"/>
          <w:spacing w:val="-35"/>
          <w:sz w:val="23"/>
        </w:rPr>
        <w:t> </w:t>
      </w:r>
      <w:r>
        <w:rPr>
          <w:color w:val="231F20"/>
          <w:sz w:val="23"/>
        </w:rPr>
        <w:t>is</w:t>
      </w:r>
      <w:r>
        <w:rPr>
          <w:color w:val="231F20"/>
          <w:spacing w:val="-35"/>
          <w:sz w:val="23"/>
        </w:rPr>
        <w:t> </w:t>
      </w:r>
      <w:r>
        <w:rPr>
          <w:color w:val="231F20"/>
          <w:sz w:val="23"/>
        </w:rPr>
        <w:t>in</w:t>
      </w:r>
      <w:r>
        <w:rPr>
          <w:color w:val="231F20"/>
          <w:spacing w:val="-35"/>
          <w:sz w:val="23"/>
        </w:rPr>
        <w:t> </w:t>
      </w:r>
      <w:r>
        <w:rPr>
          <w:color w:val="231F20"/>
          <w:sz w:val="23"/>
        </w:rPr>
        <w:t>progress.</w:t>
      </w:r>
      <w:r>
        <w:rPr>
          <w:color w:val="231F20"/>
          <w:spacing w:val="-35"/>
          <w:sz w:val="23"/>
        </w:rPr>
        <w:t> </w:t>
      </w:r>
      <w:r>
        <w:rPr>
          <w:color w:val="231F20"/>
          <w:sz w:val="23"/>
        </w:rPr>
        <w:t>The</w:t>
      </w:r>
      <w:r>
        <w:rPr>
          <w:color w:val="231F20"/>
          <w:spacing w:val="-35"/>
          <w:sz w:val="23"/>
        </w:rPr>
        <w:t> </w:t>
      </w:r>
      <w:r>
        <w:rPr>
          <w:color w:val="231F20"/>
          <w:sz w:val="23"/>
        </w:rPr>
        <w:t>Cote</w:t>
      </w:r>
      <w:r>
        <w:rPr>
          <w:color w:val="231F20"/>
          <w:spacing w:val="-35"/>
          <w:sz w:val="23"/>
        </w:rPr>
        <w:t> </w:t>
      </w:r>
      <w:r>
        <w:rPr>
          <w:color w:val="231F20"/>
          <w:sz w:val="23"/>
        </w:rPr>
        <w:t>D’Ivoire,</w:t>
      </w:r>
      <w:r>
        <w:rPr>
          <w:color w:val="231F20"/>
          <w:spacing w:val="-35"/>
          <w:sz w:val="23"/>
        </w:rPr>
        <w:t> </w:t>
      </w:r>
      <w:r>
        <w:rPr>
          <w:color w:val="231F20"/>
          <w:sz w:val="23"/>
        </w:rPr>
        <w:t>Liberia,</w:t>
      </w:r>
      <w:r>
        <w:rPr>
          <w:color w:val="231F20"/>
          <w:spacing w:val="-35"/>
          <w:sz w:val="23"/>
        </w:rPr>
        <w:t> </w:t>
      </w:r>
      <w:r>
        <w:rPr>
          <w:color w:val="231F20"/>
          <w:sz w:val="23"/>
        </w:rPr>
        <w:t>Sierra</w:t>
      </w:r>
      <w:r>
        <w:rPr>
          <w:color w:val="231F20"/>
          <w:spacing w:val="-36"/>
          <w:sz w:val="23"/>
        </w:rPr>
        <w:t> </w:t>
      </w:r>
      <w:r>
        <w:rPr>
          <w:color w:val="231F20"/>
          <w:sz w:val="23"/>
        </w:rPr>
        <w:t>Leone</w:t>
      </w:r>
      <w:r>
        <w:rPr>
          <w:color w:val="231F20"/>
          <w:spacing w:val="-35"/>
          <w:sz w:val="23"/>
        </w:rPr>
        <w:t> </w:t>
      </w:r>
      <w:r>
        <w:rPr>
          <w:color w:val="231F20"/>
          <w:sz w:val="23"/>
        </w:rPr>
        <w:t>and</w:t>
      </w:r>
      <w:r>
        <w:rPr>
          <w:color w:val="231F20"/>
          <w:spacing w:val="-35"/>
          <w:sz w:val="23"/>
        </w:rPr>
        <w:t> </w:t>
      </w:r>
      <w:r>
        <w:rPr>
          <w:color w:val="231F20"/>
          <w:sz w:val="23"/>
        </w:rPr>
        <w:t>Guinea</w:t>
      </w:r>
      <w:r>
        <w:rPr>
          <w:color w:val="231F20"/>
          <w:spacing w:val="-35"/>
          <w:sz w:val="23"/>
        </w:rPr>
        <w:t> </w:t>
      </w:r>
      <w:r>
        <w:rPr>
          <w:color w:val="231F20"/>
          <w:sz w:val="23"/>
        </w:rPr>
        <w:t>(CLSG) regional</w:t>
      </w:r>
      <w:r>
        <w:rPr>
          <w:color w:val="231F20"/>
          <w:spacing w:val="-14"/>
          <w:sz w:val="23"/>
        </w:rPr>
        <w:t> </w:t>
      </w:r>
      <w:r>
        <w:rPr>
          <w:color w:val="231F20"/>
          <w:sz w:val="23"/>
        </w:rPr>
        <w:t>electricity</w:t>
      </w:r>
      <w:r>
        <w:rPr>
          <w:color w:val="231F20"/>
          <w:spacing w:val="-14"/>
          <w:sz w:val="23"/>
        </w:rPr>
        <w:t> </w:t>
      </w:r>
      <w:r>
        <w:rPr>
          <w:color w:val="231F20"/>
          <w:sz w:val="23"/>
        </w:rPr>
        <w:t>project</w:t>
      </w:r>
      <w:r>
        <w:rPr>
          <w:color w:val="231F20"/>
          <w:spacing w:val="-14"/>
          <w:sz w:val="23"/>
        </w:rPr>
        <w:t> </w:t>
      </w:r>
      <w:r>
        <w:rPr>
          <w:color w:val="231F20"/>
          <w:sz w:val="23"/>
        </w:rPr>
        <w:t>is</w:t>
      </w:r>
      <w:r>
        <w:rPr>
          <w:color w:val="231F20"/>
          <w:spacing w:val="-14"/>
          <w:sz w:val="23"/>
        </w:rPr>
        <w:t> </w:t>
      </w:r>
      <w:r>
        <w:rPr>
          <w:color w:val="231F20"/>
          <w:sz w:val="23"/>
        </w:rPr>
        <w:t>at</w:t>
      </w:r>
      <w:r>
        <w:rPr>
          <w:color w:val="231F20"/>
          <w:spacing w:val="-14"/>
          <w:sz w:val="23"/>
        </w:rPr>
        <w:t> </w:t>
      </w:r>
      <w:r>
        <w:rPr>
          <w:color w:val="231F20"/>
          <w:sz w:val="23"/>
        </w:rPr>
        <w:t>an</w:t>
      </w:r>
      <w:r>
        <w:rPr>
          <w:color w:val="231F20"/>
          <w:spacing w:val="-14"/>
          <w:sz w:val="23"/>
        </w:rPr>
        <w:t> </w:t>
      </w:r>
      <w:r>
        <w:rPr>
          <w:color w:val="231F20"/>
          <w:sz w:val="23"/>
        </w:rPr>
        <w:t>advanced</w:t>
      </w:r>
      <w:r>
        <w:rPr>
          <w:color w:val="231F20"/>
          <w:spacing w:val="-14"/>
          <w:sz w:val="23"/>
        </w:rPr>
        <w:t> </w:t>
      </w:r>
      <w:r>
        <w:rPr>
          <w:color w:val="231F20"/>
          <w:sz w:val="23"/>
        </w:rPr>
        <w:t>stage.</w:t>
      </w:r>
      <w:r>
        <w:rPr>
          <w:color w:val="231F20"/>
          <w:spacing w:val="-14"/>
          <w:sz w:val="23"/>
        </w:rPr>
        <w:t> </w:t>
      </w:r>
      <w:r>
        <w:rPr>
          <w:color w:val="231F20"/>
          <w:sz w:val="23"/>
        </w:rPr>
        <w:t>The</w:t>
      </w:r>
      <w:r>
        <w:rPr>
          <w:color w:val="231F20"/>
          <w:spacing w:val="-14"/>
          <w:sz w:val="23"/>
        </w:rPr>
        <w:t> </w:t>
      </w:r>
      <w:r>
        <w:rPr>
          <w:color w:val="231F20"/>
          <w:sz w:val="23"/>
        </w:rPr>
        <w:t>project</w:t>
      </w:r>
      <w:r>
        <w:rPr>
          <w:color w:val="231F20"/>
          <w:spacing w:val="-14"/>
          <w:sz w:val="23"/>
        </w:rPr>
        <w:t> </w:t>
      </w:r>
      <w:r>
        <w:rPr>
          <w:color w:val="231F20"/>
          <w:sz w:val="23"/>
        </w:rPr>
        <w:t>is</w:t>
      </w:r>
      <w:r>
        <w:rPr>
          <w:color w:val="231F20"/>
          <w:spacing w:val="-14"/>
          <w:sz w:val="23"/>
        </w:rPr>
        <w:t> </w:t>
      </w:r>
      <w:r>
        <w:rPr>
          <w:color w:val="231F20"/>
          <w:sz w:val="23"/>
        </w:rPr>
        <w:t>expected</w:t>
      </w:r>
      <w:r>
        <w:rPr>
          <w:color w:val="231F20"/>
          <w:spacing w:val="-14"/>
          <w:sz w:val="23"/>
        </w:rPr>
        <w:t> </w:t>
      </w:r>
      <w:r>
        <w:rPr>
          <w:color w:val="231F20"/>
          <w:sz w:val="23"/>
        </w:rPr>
        <w:t>to</w:t>
      </w:r>
      <w:r>
        <w:rPr>
          <w:color w:val="231F20"/>
          <w:spacing w:val="-14"/>
          <w:sz w:val="23"/>
        </w:rPr>
        <w:t> </w:t>
      </w:r>
      <w:r>
        <w:rPr>
          <w:color w:val="231F20"/>
          <w:sz w:val="23"/>
        </w:rPr>
        <w:t>improve</w:t>
      </w:r>
    </w:p>
    <w:p>
      <w:pPr>
        <w:pStyle w:val="BodyText"/>
        <w:spacing w:before="11"/>
        <w:rPr>
          <w:sz w:val="22"/>
        </w:rPr>
      </w:pPr>
    </w:p>
    <w:p>
      <w:pPr>
        <w:pStyle w:val="Heading1"/>
        <w:spacing w:before="0"/>
      </w:pPr>
      <w:r>
        <w:rPr>
          <w:color w:val="231F20"/>
        </w:rPr>
        <w:t>26</w:t>
      </w:r>
    </w:p>
    <w:p>
      <w:pPr>
        <w:spacing w:after="0"/>
        <w:sectPr>
          <w:pgSz w:w="11900" w:h="16840"/>
          <w:pgMar w:top="1180" w:bottom="280" w:left="1140" w:right="1120"/>
        </w:sectPr>
      </w:pPr>
    </w:p>
    <w:p>
      <w:pPr>
        <w:pStyle w:val="BodyText"/>
        <w:spacing w:line="285" w:lineRule="auto" w:before="83"/>
        <w:ind w:left="103" w:right="119"/>
        <w:jc w:val="both"/>
      </w:pPr>
      <w:r>
        <w:rPr>
          <w:color w:val="231F20"/>
        </w:rPr>
        <w:t>access to cheap and reliable electricity in Bo, Kenema, Freetown and other parts of the country. Government will also restore electricity to Kailahun, Bonthe, Pujehun, Moyamba, Kabala, and Kambia towns.</w:t>
      </w:r>
    </w:p>
    <w:p>
      <w:pPr>
        <w:pStyle w:val="BodyText"/>
        <w:spacing w:before="1"/>
        <w:rPr>
          <w:sz w:val="27"/>
        </w:rPr>
      </w:pPr>
    </w:p>
    <w:p>
      <w:pPr>
        <w:pStyle w:val="ListParagraph"/>
        <w:numPr>
          <w:ilvl w:val="0"/>
          <w:numId w:val="2"/>
        </w:numPr>
        <w:tabs>
          <w:tab w:pos="954" w:val="left" w:leader="none"/>
        </w:tabs>
        <w:spacing w:line="283" w:lineRule="auto" w:before="0" w:after="0"/>
        <w:ind w:left="103" w:right="119" w:firstLine="87"/>
        <w:jc w:val="both"/>
        <w:rPr>
          <w:sz w:val="23"/>
        </w:rPr>
      </w:pPr>
      <w:r>
        <w:rPr>
          <w:color w:val="231F20"/>
          <w:sz w:val="23"/>
        </w:rPr>
        <w:t>Mr.</w:t>
      </w:r>
      <w:r>
        <w:rPr>
          <w:color w:val="231F20"/>
          <w:spacing w:val="-27"/>
          <w:sz w:val="23"/>
        </w:rPr>
        <w:t> </w:t>
      </w:r>
      <w:r>
        <w:rPr>
          <w:color w:val="231F20"/>
          <w:sz w:val="23"/>
        </w:rPr>
        <w:t>Speaker,</w:t>
      </w:r>
      <w:r>
        <w:rPr>
          <w:color w:val="231F20"/>
          <w:spacing w:val="-27"/>
          <w:sz w:val="23"/>
        </w:rPr>
        <w:t> </w:t>
      </w:r>
      <w:r>
        <w:rPr>
          <w:color w:val="231F20"/>
          <w:sz w:val="23"/>
        </w:rPr>
        <w:t>Honourable</w:t>
      </w:r>
      <w:r>
        <w:rPr>
          <w:color w:val="231F20"/>
          <w:spacing w:val="-27"/>
          <w:sz w:val="23"/>
        </w:rPr>
        <w:t> </w:t>
      </w:r>
      <w:r>
        <w:rPr>
          <w:color w:val="231F20"/>
          <w:sz w:val="23"/>
        </w:rPr>
        <w:t>Members,</w:t>
      </w:r>
      <w:r>
        <w:rPr>
          <w:color w:val="231F20"/>
          <w:spacing w:val="-27"/>
          <w:sz w:val="23"/>
        </w:rPr>
        <w:t> </w:t>
      </w:r>
      <w:r>
        <w:rPr>
          <w:color w:val="231F20"/>
          <w:sz w:val="23"/>
        </w:rPr>
        <w:t>Government</w:t>
      </w:r>
      <w:r>
        <w:rPr>
          <w:color w:val="231F20"/>
          <w:spacing w:val="-27"/>
          <w:sz w:val="23"/>
        </w:rPr>
        <w:t> </w:t>
      </w:r>
      <w:r>
        <w:rPr>
          <w:color w:val="231F20"/>
          <w:sz w:val="23"/>
        </w:rPr>
        <w:t>will</w:t>
      </w:r>
      <w:r>
        <w:rPr>
          <w:color w:val="231F20"/>
          <w:spacing w:val="-27"/>
          <w:sz w:val="23"/>
        </w:rPr>
        <w:t> </w:t>
      </w:r>
      <w:r>
        <w:rPr>
          <w:color w:val="231F20"/>
          <w:sz w:val="23"/>
        </w:rPr>
        <w:t>continue</w:t>
      </w:r>
      <w:r>
        <w:rPr>
          <w:color w:val="231F20"/>
          <w:spacing w:val="-27"/>
          <w:sz w:val="23"/>
        </w:rPr>
        <w:t> </w:t>
      </w:r>
      <w:r>
        <w:rPr>
          <w:color w:val="231F20"/>
          <w:sz w:val="23"/>
        </w:rPr>
        <w:t>investing</w:t>
      </w:r>
      <w:r>
        <w:rPr>
          <w:color w:val="231F20"/>
          <w:spacing w:val="-27"/>
          <w:sz w:val="23"/>
        </w:rPr>
        <w:t> </w:t>
      </w:r>
      <w:r>
        <w:rPr>
          <w:color w:val="231F20"/>
          <w:sz w:val="23"/>
        </w:rPr>
        <w:t>in</w:t>
      </w:r>
      <w:r>
        <w:rPr>
          <w:color w:val="231F20"/>
          <w:spacing w:val="-27"/>
          <w:sz w:val="23"/>
        </w:rPr>
        <w:t> </w:t>
      </w:r>
      <w:r>
        <w:rPr>
          <w:color w:val="231F20"/>
          <w:sz w:val="23"/>
        </w:rPr>
        <w:t>the construction and rehabilitation of roads nationwide. Whilst we remain committed</w:t>
      </w:r>
      <w:r>
        <w:rPr>
          <w:color w:val="231F20"/>
          <w:spacing w:val="-40"/>
          <w:sz w:val="23"/>
        </w:rPr>
        <w:t> </w:t>
      </w:r>
      <w:r>
        <w:rPr>
          <w:color w:val="231F20"/>
          <w:sz w:val="23"/>
        </w:rPr>
        <w:t>to complete ongoing road construction projects, we will be guided by the principles of prudent financial management. Following a stocktake of ongoing road construction projects, Government signed MOUs with six road contractors to complete the construction of more than 58 km of roads across the country. Government plans to undertake</w:t>
      </w:r>
      <w:r>
        <w:rPr>
          <w:color w:val="231F20"/>
          <w:spacing w:val="-5"/>
          <w:sz w:val="23"/>
        </w:rPr>
        <w:t> </w:t>
      </w:r>
      <w:r>
        <w:rPr>
          <w:color w:val="231F20"/>
          <w:sz w:val="23"/>
        </w:rPr>
        <w:t>feasibility</w:t>
      </w:r>
      <w:r>
        <w:rPr>
          <w:color w:val="231F20"/>
          <w:spacing w:val="-5"/>
          <w:sz w:val="23"/>
        </w:rPr>
        <w:t> </w:t>
      </w:r>
      <w:r>
        <w:rPr>
          <w:color w:val="231F20"/>
          <w:sz w:val="23"/>
        </w:rPr>
        <w:t>studies</w:t>
      </w:r>
      <w:r>
        <w:rPr>
          <w:color w:val="231F20"/>
          <w:spacing w:val="-5"/>
          <w:sz w:val="23"/>
        </w:rPr>
        <w:t> </w:t>
      </w:r>
      <w:r>
        <w:rPr>
          <w:color w:val="231F20"/>
          <w:sz w:val="23"/>
        </w:rPr>
        <w:t>for</w:t>
      </w:r>
      <w:r>
        <w:rPr>
          <w:color w:val="231F20"/>
          <w:spacing w:val="-5"/>
          <w:sz w:val="23"/>
        </w:rPr>
        <w:t> </w:t>
      </w:r>
      <w:r>
        <w:rPr>
          <w:color w:val="231F20"/>
          <w:sz w:val="23"/>
        </w:rPr>
        <w:t>the</w:t>
      </w:r>
      <w:r>
        <w:rPr>
          <w:color w:val="231F20"/>
          <w:spacing w:val="-5"/>
          <w:sz w:val="23"/>
        </w:rPr>
        <w:t> </w:t>
      </w:r>
      <w:r>
        <w:rPr>
          <w:color w:val="231F20"/>
          <w:sz w:val="23"/>
        </w:rPr>
        <w:t>construction</w:t>
      </w:r>
      <w:r>
        <w:rPr>
          <w:color w:val="231F20"/>
          <w:spacing w:val="-5"/>
          <w:sz w:val="23"/>
        </w:rPr>
        <w:t> </w:t>
      </w:r>
      <w:r>
        <w:rPr>
          <w:color w:val="231F20"/>
          <w:sz w:val="23"/>
        </w:rPr>
        <w:t>of</w:t>
      </w:r>
      <w:r>
        <w:rPr>
          <w:color w:val="231F20"/>
          <w:spacing w:val="-5"/>
          <w:sz w:val="23"/>
        </w:rPr>
        <w:t> </w:t>
      </w:r>
      <w:r>
        <w:rPr>
          <w:color w:val="231F20"/>
          <w:sz w:val="23"/>
        </w:rPr>
        <w:t>an</w:t>
      </w:r>
      <w:r>
        <w:rPr>
          <w:color w:val="231F20"/>
          <w:spacing w:val="-5"/>
          <w:sz w:val="23"/>
        </w:rPr>
        <w:t> </w:t>
      </w:r>
      <w:r>
        <w:rPr>
          <w:color w:val="231F20"/>
          <w:sz w:val="23"/>
        </w:rPr>
        <w:t>additional</w:t>
      </w:r>
      <w:r>
        <w:rPr>
          <w:color w:val="231F20"/>
          <w:spacing w:val="-5"/>
          <w:sz w:val="23"/>
        </w:rPr>
        <w:t> </w:t>
      </w:r>
      <w:r>
        <w:rPr>
          <w:color w:val="231F20"/>
          <w:sz w:val="23"/>
        </w:rPr>
        <w:t>1,944</w:t>
      </w:r>
      <w:r>
        <w:rPr>
          <w:color w:val="231F20"/>
          <w:spacing w:val="-5"/>
          <w:sz w:val="23"/>
        </w:rPr>
        <w:t> </w:t>
      </w:r>
      <w:r>
        <w:rPr>
          <w:color w:val="231F20"/>
          <w:sz w:val="23"/>
        </w:rPr>
        <w:t>km</w:t>
      </w:r>
      <w:r>
        <w:rPr>
          <w:color w:val="231F20"/>
          <w:spacing w:val="-5"/>
          <w:sz w:val="23"/>
        </w:rPr>
        <w:t> </w:t>
      </w:r>
      <w:r>
        <w:rPr>
          <w:color w:val="231F20"/>
          <w:sz w:val="23"/>
        </w:rPr>
        <w:t>of</w:t>
      </w:r>
      <w:r>
        <w:rPr>
          <w:color w:val="231F20"/>
          <w:spacing w:val="-5"/>
          <w:sz w:val="23"/>
        </w:rPr>
        <w:t> </w:t>
      </w:r>
      <w:r>
        <w:rPr>
          <w:color w:val="231F20"/>
          <w:sz w:val="23"/>
        </w:rPr>
        <w:t>roads nationwide.</w:t>
      </w:r>
    </w:p>
    <w:p>
      <w:pPr>
        <w:pStyle w:val="BodyText"/>
        <w:spacing w:before="2"/>
        <w:rPr>
          <w:sz w:val="28"/>
        </w:rPr>
      </w:pPr>
    </w:p>
    <w:p>
      <w:pPr>
        <w:pStyle w:val="ListParagraph"/>
        <w:numPr>
          <w:ilvl w:val="0"/>
          <w:numId w:val="2"/>
        </w:numPr>
        <w:tabs>
          <w:tab w:pos="954" w:val="left" w:leader="none"/>
        </w:tabs>
        <w:spacing w:line="283" w:lineRule="auto" w:before="1" w:after="0"/>
        <w:ind w:left="103" w:right="116" w:firstLine="87"/>
        <w:jc w:val="both"/>
        <w:rPr>
          <w:sz w:val="23"/>
        </w:rPr>
      </w:pPr>
      <w:r>
        <w:rPr>
          <w:color w:val="231F20"/>
          <w:sz w:val="23"/>
        </w:rPr>
        <w:t>Mr. Speaker, Honourable Members, to improve our ICT infrastructure, Government</w:t>
      </w:r>
      <w:r>
        <w:rPr>
          <w:color w:val="231F20"/>
          <w:spacing w:val="-17"/>
          <w:sz w:val="23"/>
        </w:rPr>
        <w:t> </w:t>
      </w:r>
      <w:r>
        <w:rPr>
          <w:color w:val="231F20"/>
          <w:sz w:val="23"/>
        </w:rPr>
        <w:t>has</w:t>
      </w:r>
      <w:r>
        <w:rPr>
          <w:color w:val="231F20"/>
          <w:spacing w:val="-17"/>
          <w:sz w:val="23"/>
        </w:rPr>
        <w:t> </w:t>
      </w:r>
      <w:r>
        <w:rPr>
          <w:color w:val="231F20"/>
          <w:sz w:val="23"/>
        </w:rPr>
        <w:t>acquired</w:t>
      </w:r>
      <w:r>
        <w:rPr>
          <w:color w:val="231F20"/>
          <w:spacing w:val="-17"/>
          <w:sz w:val="23"/>
        </w:rPr>
        <w:t> </w:t>
      </w:r>
      <w:r>
        <w:rPr>
          <w:color w:val="231F20"/>
          <w:sz w:val="23"/>
        </w:rPr>
        <w:t>a</w:t>
      </w:r>
      <w:r>
        <w:rPr>
          <w:color w:val="231F20"/>
          <w:spacing w:val="-17"/>
          <w:sz w:val="23"/>
        </w:rPr>
        <w:t> </w:t>
      </w:r>
      <w:r>
        <w:rPr>
          <w:color w:val="231F20"/>
          <w:sz w:val="23"/>
        </w:rPr>
        <w:t>concessionary</w:t>
      </w:r>
      <w:r>
        <w:rPr>
          <w:color w:val="231F20"/>
          <w:spacing w:val="-17"/>
          <w:sz w:val="23"/>
        </w:rPr>
        <w:t> </w:t>
      </w:r>
      <w:r>
        <w:rPr>
          <w:color w:val="231F20"/>
          <w:sz w:val="23"/>
        </w:rPr>
        <w:t>loan</w:t>
      </w:r>
      <w:r>
        <w:rPr>
          <w:color w:val="231F20"/>
          <w:spacing w:val="-17"/>
          <w:sz w:val="23"/>
        </w:rPr>
        <w:t> </w:t>
      </w:r>
      <w:r>
        <w:rPr>
          <w:color w:val="231F20"/>
          <w:sz w:val="23"/>
        </w:rPr>
        <w:t>of</w:t>
      </w:r>
      <w:r>
        <w:rPr>
          <w:color w:val="231F20"/>
          <w:spacing w:val="-17"/>
          <w:sz w:val="23"/>
        </w:rPr>
        <w:t> </w:t>
      </w:r>
      <w:r>
        <w:rPr>
          <w:color w:val="231F20"/>
          <w:sz w:val="23"/>
        </w:rPr>
        <w:t>US$30</w:t>
      </w:r>
      <w:r>
        <w:rPr>
          <w:color w:val="231F20"/>
          <w:spacing w:val="-17"/>
          <w:sz w:val="23"/>
        </w:rPr>
        <w:t> </w:t>
      </w:r>
      <w:r>
        <w:rPr>
          <w:color w:val="231F20"/>
          <w:sz w:val="23"/>
        </w:rPr>
        <w:t>million</w:t>
      </w:r>
      <w:r>
        <w:rPr>
          <w:color w:val="231F20"/>
          <w:spacing w:val="-17"/>
          <w:sz w:val="23"/>
        </w:rPr>
        <w:t> </w:t>
      </w:r>
      <w:r>
        <w:rPr>
          <w:color w:val="231F20"/>
          <w:sz w:val="23"/>
        </w:rPr>
        <w:t>through</w:t>
      </w:r>
      <w:r>
        <w:rPr>
          <w:color w:val="231F20"/>
          <w:spacing w:val="-17"/>
          <w:sz w:val="23"/>
        </w:rPr>
        <w:t> </w:t>
      </w:r>
      <w:r>
        <w:rPr>
          <w:color w:val="231F20"/>
          <w:sz w:val="23"/>
        </w:rPr>
        <w:t>Exim</w:t>
      </w:r>
      <w:r>
        <w:rPr>
          <w:color w:val="231F20"/>
          <w:spacing w:val="-17"/>
          <w:sz w:val="23"/>
        </w:rPr>
        <w:t> </w:t>
      </w:r>
      <w:r>
        <w:rPr>
          <w:color w:val="231F20"/>
          <w:sz w:val="23"/>
        </w:rPr>
        <w:t>Bank of China for the residual work on the National Fibre Optic Backbone Infrastructure Project.</w:t>
      </w:r>
      <w:r>
        <w:rPr>
          <w:color w:val="231F20"/>
          <w:spacing w:val="-18"/>
          <w:sz w:val="23"/>
        </w:rPr>
        <w:t> </w:t>
      </w:r>
      <w:r>
        <w:rPr>
          <w:color w:val="231F20"/>
          <w:sz w:val="23"/>
        </w:rPr>
        <w:t>We</w:t>
      </w:r>
      <w:r>
        <w:rPr>
          <w:color w:val="231F20"/>
          <w:spacing w:val="-18"/>
          <w:sz w:val="23"/>
        </w:rPr>
        <w:t> </w:t>
      </w:r>
      <w:r>
        <w:rPr>
          <w:color w:val="231F20"/>
          <w:sz w:val="23"/>
        </w:rPr>
        <w:t>have</w:t>
      </w:r>
      <w:r>
        <w:rPr>
          <w:color w:val="231F20"/>
          <w:spacing w:val="-18"/>
          <w:sz w:val="23"/>
        </w:rPr>
        <w:t> </w:t>
      </w:r>
      <w:r>
        <w:rPr>
          <w:color w:val="231F20"/>
          <w:sz w:val="23"/>
        </w:rPr>
        <w:t>initiated</w:t>
      </w:r>
      <w:r>
        <w:rPr>
          <w:color w:val="231F20"/>
          <w:spacing w:val="-18"/>
          <w:sz w:val="23"/>
        </w:rPr>
        <w:t> </w:t>
      </w:r>
      <w:r>
        <w:rPr>
          <w:color w:val="231F20"/>
          <w:sz w:val="23"/>
        </w:rPr>
        <w:t>engagements</w:t>
      </w:r>
      <w:r>
        <w:rPr>
          <w:color w:val="231F20"/>
          <w:spacing w:val="-18"/>
          <w:sz w:val="23"/>
        </w:rPr>
        <w:t> </w:t>
      </w:r>
      <w:r>
        <w:rPr>
          <w:color w:val="231F20"/>
          <w:sz w:val="23"/>
        </w:rPr>
        <w:t>with</w:t>
      </w:r>
      <w:r>
        <w:rPr>
          <w:color w:val="231F20"/>
          <w:spacing w:val="-18"/>
          <w:sz w:val="23"/>
        </w:rPr>
        <w:t> </w:t>
      </w:r>
      <w:r>
        <w:rPr>
          <w:color w:val="231F20"/>
          <w:sz w:val="23"/>
        </w:rPr>
        <w:t>relevant</w:t>
      </w:r>
      <w:r>
        <w:rPr>
          <w:color w:val="231F20"/>
          <w:spacing w:val="-18"/>
          <w:sz w:val="23"/>
        </w:rPr>
        <w:t> </w:t>
      </w:r>
      <w:r>
        <w:rPr>
          <w:color w:val="231F20"/>
          <w:sz w:val="23"/>
        </w:rPr>
        <w:t>stakeholders,</w:t>
      </w:r>
      <w:r>
        <w:rPr>
          <w:color w:val="231F20"/>
          <w:spacing w:val="-18"/>
          <w:sz w:val="23"/>
        </w:rPr>
        <w:t> </w:t>
      </w:r>
      <w:r>
        <w:rPr>
          <w:color w:val="231F20"/>
          <w:sz w:val="23"/>
        </w:rPr>
        <w:t>both</w:t>
      </w:r>
      <w:r>
        <w:rPr>
          <w:color w:val="231F20"/>
          <w:spacing w:val="-18"/>
          <w:sz w:val="23"/>
        </w:rPr>
        <w:t> </w:t>
      </w:r>
      <w:r>
        <w:rPr>
          <w:color w:val="231F20"/>
          <w:sz w:val="23"/>
        </w:rPr>
        <w:t>in</w:t>
      </w:r>
      <w:r>
        <w:rPr>
          <w:color w:val="231F20"/>
          <w:spacing w:val="-18"/>
          <w:sz w:val="23"/>
        </w:rPr>
        <w:t> </w:t>
      </w:r>
      <w:r>
        <w:rPr>
          <w:color w:val="231F20"/>
          <w:sz w:val="23"/>
        </w:rPr>
        <w:t>the</w:t>
      </w:r>
      <w:r>
        <w:rPr>
          <w:color w:val="231F20"/>
          <w:spacing w:val="-18"/>
          <w:sz w:val="23"/>
        </w:rPr>
        <w:t> </w:t>
      </w:r>
      <w:r>
        <w:rPr>
          <w:color w:val="231F20"/>
          <w:sz w:val="23"/>
        </w:rPr>
        <w:t>public and</w:t>
      </w:r>
      <w:r>
        <w:rPr>
          <w:color w:val="231F20"/>
          <w:spacing w:val="-44"/>
          <w:sz w:val="23"/>
        </w:rPr>
        <w:t> </w:t>
      </w:r>
      <w:r>
        <w:rPr>
          <w:color w:val="231F20"/>
          <w:sz w:val="23"/>
        </w:rPr>
        <w:t>private</w:t>
      </w:r>
      <w:r>
        <w:rPr>
          <w:color w:val="231F20"/>
          <w:spacing w:val="-43"/>
          <w:sz w:val="23"/>
        </w:rPr>
        <w:t> </w:t>
      </w:r>
      <w:r>
        <w:rPr>
          <w:color w:val="231F20"/>
          <w:sz w:val="23"/>
        </w:rPr>
        <w:t>sectors,</w:t>
      </w:r>
      <w:r>
        <w:rPr>
          <w:color w:val="231F20"/>
          <w:spacing w:val="-43"/>
          <w:sz w:val="23"/>
        </w:rPr>
        <w:t> </w:t>
      </w:r>
      <w:r>
        <w:rPr>
          <w:color w:val="231F20"/>
          <w:sz w:val="23"/>
        </w:rPr>
        <w:t>to</w:t>
      </w:r>
      <w:r>
        <w:rPr>
          <w:color w:val="231F20"/>
          <w:spacing w:val="-43"/>
          <w:sz w:val="23"/>
        </w:rPr>
        <w:t> </w:t>
      </w:r>
      <w:r>
        <w:rPr>
          <w:color w:val="231F20"/>
          <w:sz w:val="23"/>
        </w:rPr>
        <w:t>kick</w:t>
      </w:r>
      <w:r>
        <w:rPr>
          <w:color w:val="231F20"/>
          <w:spacing w:val="-44"/>
          <w:sz w:val="23"/>
        </w:rPr>
        <w:t> </w:t>
      </w:r>
      <w:r>
        <w:rPr>
          <w:color w:val="231F20"/>
          <w:sz w:val="23"/>
        </w:rPr>
        <w:t>start</w:t>
      </w:r>
      <w:r>
        <w:rPr>
          <w:color w:val="231F20"/>
          <w:spacing w:val="-43"/>
          <w:sz w:val="23"/>
        </w:rPr>
        <w:t> </w:t>
      </w:r>
      <w:r>
        <w:rPr>
          <w:color w:val="231F20"/>
          <w:sz w:val="23"/>
        </w:rPr>
        <w:t>the</w:t>
      </w:r>
      <w:r>
        <w:rPr>
          <w:color w:val="231F20"/>
          <w:spacing w:val="-43"/>
          <w:sz w:val="23"/>
        </w:rPr>
        <w:t> </w:t>
      </w:r>
      <w:r>
        <w:rPr>
          <w:color w:val="231F20"/>
          <w:sz w:val="23"/>
        </w:rPr>
        <w:t>procurement</w:t>
      </w:r>
      <w:r>
        <w:rPr>
          <w:color w:val="231F20"/>
          <w:spacing w:val="-44"/>
          <w:sz w:val="23"/>
        </w:rPr>
        <w:t> </w:t>
      </w:r>
      <w:r>
        <w:rPr>
          <w:color w:val="231F20"/>
          <w:sz w:val="23"/>
        </w:rPr>
        <w:t>process</w:t>
      </w:r>
      <w:r>
        <w:rPr>
          <w:color w:val="231F20"/>
          <w:spacing w:val="-43"/>
          <w:sz w:val="23"/>
        </w:rPr>
        <w:t> </w:t>
      </w:r>
      <w:r>
        <w:rPr>
          <w:color w:val="231F20"/>
          <w:sz w:val="23"/>
        </w:rPr>
        <w:t>for</w:t>
      </w:r>
      <w:r>
        <w:rPr>
          <w:color w:val="231F20"/>
          <w:spacing w:val="-43"/>
          <w:sz w:val="23"/>
        </w:rPr>
        <w:t> </w:t>
      </w:r>
      <w:r>
        <w:rPr>
          <w:color w:val="231F20"/>
          <w:sz w:val="23"/>
        </w:rPr>
        <w:t>the</w:t>
      </w:r>
      <w:r>
        <w:rPr>
          <w:color w:val="231F20"/>
          <w:spacing w:val="-43"/>
          <w:sz w:val="23"/>
        </w:rPr>
        <w:t> </w:t>
      </w:r>
      <w:r>
        <w:rPr>
          <w:color w:val="231F20"/>
          <w:sz w:val="23"/>
        </w:rPr>
        <w:t>deployment</w:t>
      </w:r>
      <w:r>
        <w:rPr>
          <w:color w:val="231F20"/>
          <w:spacing w:val="-44"/>
          <w:sz w:val="23"/>
        </w:rPr>
        <w:t> </w:t>
      </w:r>
      <w:r>
        <w:rPr>
          <w:color w:val="231F20"/>
          <w:sz w:val="23"/>
        </w:rPr>
        <w:t>of</w:t>
      </w:r>
      <w:r>
        <w:rPr>
          <w:color w:val="231F20"/>
          <w:spacing w:val="-43"/>
          <w:sz w:val="23"/>
        </w:rPr>
        <w:t> </w:t>
      </w:r>
      <w:r>
        <w:rPr>
          <w:color w:val="231F20"/>
          <w:sz w:val="23"/>
        </w:rPr>
        <w:t>a</w:t>
      </w:r>
      <w:r>
        <w:rPr>
          <w:color w:val="231F20"/>
          <w:spacing w:val="-43"/>
          <w:sz w:val="23"/>
        </w:rPr>
        <w:t> </w:t>
      </w:r>
      <w:r>
        <w:rPr>
          <w:color w:val="231F20"/>
          <w:sz w:val="23"/>
        </w:rPr>
        <w:t>Digital Terrestrial</w:t>
      </w:r>
      <w:r>
        <w:rPr>
          <w:color w:val="231F20"/>
          <w:spacing w:val="-16"/>
          <w:sz w:val="23"/>
        </w:rPr>
        <w:t> </w:t>
      </w:r>
      <w:r>
        <w:rPr>
          <w:color w:val="231F20"/>
          <w:sz w:val="23"/>
        </w:rPr>
        <w:t>Multimedia</w:t>
      </w:r>
      <w:r>
        <w:rPr>
          <w:color w:val="231F20"/>
          <w:spacing w:val="-16"/>
          <w:sz w:val="23"/>
        </w:rPr>
        <w:t> </w:t>
      </w:r>
      <w:r>
        <w:rPr>
          <w:color w:val="231F20"/>
          <w:sz w:val="23"/>
        </w:rPr>
        <w:t>Broadcast</w:t>
      </w:r>
      <w:r>
        <w:rPr>
          <w:color w:val="231F20"/>
          <w:spacing w:val="-16"/>
          <w:sz w:val="23"/>
        </w:rPr>
        <w:t> </w:t>
      </w:r>
      <w:r>
        <w:rPr>
          <w:color w:val="231F20"/>
          <w:sz w:val="23"/>
        </w:rPr>
        <w:t>(DTMB)</w:t>
      </w:r>
      <w:r>
        <w:rPr>
          <w:color w:val="231F20"/>
          <w:spacing w:val="-16"/>
          <w:sz w:val="23"/>
        </w:rPr>
        <w:t> </w:t>
      </w:r>
      <w:r>
        <w:rPr>
          <w:color w:val="231F20"/>
          <w:sz w:val="23"/>
        </w:rPr>
        <w:t>platform</w:t>
      </w:r>
      <w:r>
        <w:rPr>
          <w:color w:val="231F20"/>
          <w:spacing w:val="-15"/>
          <w:sz w:val="23"/>
        </w:rPr>
        <w:t> </w:t>
      </w:r>
      <w:r>
        <w:rPr>
          <w:color w:val="231F20"/>
          <w:sz w:val="23"/>
        </w:rPr>
        <w:t>that</w:t>
      </w:r>
      <w:r>
        <w:rPr>
          <w:color w:val="231F20"/>
          <w:spacing w:val="-16"/>
          <w:sz w:val="23"/>
        </w:rPr>
        <w:t> </w:t>
      </w:r>
      <w:r>
        <w:rPr>
          <w:color w:val="231F20"/>
          <w:sz w:val="23"/>
        </w:rPr>
        <w:t>would</w:t>
      </w:r>
      <w:r>
        <w:rPr>
          <w:color w:val="231F20"/>
          <w:spacing w:val="-16"/>
          <w:sz w:val="23"/>
        </w:rPr>
        <w:t> </w:t>
      </w:r>
      <w:r>
        <w:rPr>
          <w:color w:val="231F20"/>
          <w:sz w:val="23"/>
        </w:rPr>
        <w:t>improve</w:t>
      </w:r>
      <w:r>
        <w:rPr>
          <w:color w:val="231F20"/>
          <w:spacing w:val="-16"/>
          <w:sz w:val="23"/>
        </w:rPr>
        <w:t> </w:t>
      </w:r>
      <w:r>
        <w:rPr>
          <w:color w:val="231F20"/>
          <w:sz w:val="23"/>
        </w:rPr>
        <w:t>the</w:t>
      </w:r>
      <w:r>
        <w:rPr>
          <w:color w:val="231F20"/>
          <w:spacing w:val="-16"/>
          <w:sz w:val="23"/>
        </w:rPr>
        <w:t> </w:t>
      </w:r>
      <w:r>
        <w:rPr>
          <w:color w:val="231F20"/>
          <w:sz w:val="23"/>
        </w:rPr>
        <w:t>broadcast sector nationwide. We are also actively engaging the private sector to scale-up investments in the infrastructure needed for the delivery of affordable, reliable and accessible mobile and internet connectivity, to drive the country’s digital revolution. These investments will be complemented by other initiatives to improve our human capacity in digital skills and knowledge; ICT related policy, legal and regulatory frameworks; and</w:t>
      </w:r>
      <w:r>
        <w:rPr>
          <w:color w:val="231F20"/>
          <w:spacing w:val="-13"/>
          <w:sz w:val="23"/>
        </w:rPr>
        <w:t> </w:t>
      </w:r>
      <w:r>
        <w:rPr>
          <w:color w:val="231F20"/>
          <w:sz w:val="23"/>
        </w:rPr>
        <w:t>improving</w:t>
      </w:r>
      <w:r>
        <w:rPr>
          <w:color w:val="231F20"/>
          <w:spacing w:val="-13"/>
          <w:sz w:val="23"/>
        </w:rPr>
        <w:t> </w:t>
      </w:r>
      <w:r>
        <w:rPr>
          <w:color w:val="231F20"/>
          <w:sz w:val="23"/>
        </w:rPr>
        <w:t>Information</w:t>
      </w:r>
      <w:r>
        <w:rPr>
          <w:color w:val="231F20"/>
          <w:spacing w:val="-13"/>
          <w:sz w:val="23"/>
        </w:rPr>
        <w:t> </w:t>
      </w:r>
      <w:r>
        <w:rPr>
          <w:color w:val="231F20"/>
          <w:sz w:val="23"/>
        </w:rPr>
        <w:t>and</w:t>
      </w:r>
      <w:r>
        <w:rPr>
          <w:color w:val="231F20"/>
          <w:spacing w:val="-13"/>
          <w:sz w:val="23"/>
        </w:rPr>
        <w:t> </w:t>
      </w:r>
      <w:r>
        <w:rPr>
          <w:color w:val="231F20"/>
          <w:sz w:val="23"/>
        </w:rPr>
        <w:t>Cyber</w:t>
      </w:r>
      <w:r>
        <w:rPr>
          <w:color w:val="231F20"/>
          <w:spacing w:val="-13"/>
          <w:sz w:val="23"/>
        </w:rPr>
        <w:t> </w:t>
      </w:r>
      <w:r>
        <w:rPr>
          <w:color w:val="231F20"/>
          <w:sz w:val="23"/>
        </w:rPr>
        <w:t>Security.</w:t>
      </w:r>
    </w:p>
    <w:p>
      <w:pPr>
        <w:pStyle w:val="BodyText"/>
        <w:spacing w:before="7"/>
        <w:rPr>
          <w:sz w:val="28"/>
        </w:rPr>
      </w:pPr>
    </w:p>
    <w:p>
      <w:pPr>
        <w:pStyle w:val="Heading2"/>
        <w:ind w:left="953"/>
      </w:pPr>
      <w:r>
        <w:rPr>
          <w:color w:val="231F20"/>
        </w:rPr>
        <w:t>Improving Governance</w:t>
      </w:r>
    </w:p>
    <w:p>
      <w:pPr>
        <w:pStyle w:val="ListParagraph"/>
        <w:numPr>
          <w:ilvl w:val="0"/>
          <w:numId w:val="2"/>
        </w:numPr>
        <w:tabs>
          <w:tab w:pos="954" w:val="left" w:leader="none"/>
        </w:tabs>
        <w:spacing w:line="285" w:lineRule="auto" w:before="49" w:after="0"/>
        <w:ind w:left="103" w:right="118" w:firstLine="87"/>
        <w:jc w:val="both"/>
        <w:rPr>
          <w:sz w:val="23"/>
        </w:rPr>
      </w:pPr>
      <w:r>
        <w:rPr>
          <w:color w:val="231F20"/>
          <w:sz w:val="23"/>
        </w:rPr>
        <w:t>Mr.</w:t>
      </w:r>
      <w:r>
        <w:rPr>
          <w:color w:val="231F20"/>
          <w:spacing w:val="-47"/>
          <w:sz w:val="23"/>
        </w:rPr>
        <w:t> </w:t>
      </w:r>
      <w:r>
        <w:rPr>
          <w:color w:val="231F20"/>
          <w:sz w:val="23"/>
        </w:rPr>
        <w:t>Speaker,</w:t>
      </w:r>
      <w:r>
        <w:rPr>
          <w:color w:val="231F20"/>
          <w:spacing w:val="-48"/>
          <w:sz w:val="23"/>
        </w:rPr>
        <w:t> </w:t>
      </w:r>
      <w:r>
        <w:rPr>
          <w:color w:val="231F20"/>
          <w:sz w:val="23"/>
        </w:rPr>
        <w:t>Honourable</w:t>
      </w:r>
      <w:r>
        <w:rPr>
          <w:color w:val="231F20"/>
          <w:spacing w:val="-46"/>
          <w:sz w:val="23"/>
        </w:rPr>
        <w:t> </w:t>
      </w:r>
      <w:r>
        <w:rPr>
          <w:color w:val="231F20"/>
          <w:sz w:val="23"/>
        </w:rPr>
        <w:t>Members,</w:t>
      </w:r>
      <w:r>
        <w:rPr>
          <w:color w:val="231F20"/>
          <w:spacing w:val="-47"/>
          <w:sz w:val="23"/>
        </w:rPr>
        <w:t> </w:t>
      </w:r>
      <w:r>
        <w:rPr>
          <w:color w:val="231F20"/>
          <w:sz w:val="23"/>
        </w:rPr>
        <w:t>to</w:t>
      </w:r>
      <w:r>
        <w:rPr>
          <w:color w:val="231F20"/>
          <w:spacing w:val="-47"/>
          <w:sz w:val="23"/>
        </w:rPr>
        <w:t> </w:t>
      </w:r>
      <w:r>
        <w:rPr>
          <w:color w:val="231F20"/>
          <w:sz w:val="23"/>
        </w:rPr>
        <w:t>enhance</w:t>
      </w:r>
      <w:r>
        <w:rPr>
          <w:color w:val="231F20"/>
          <w:spacing w:val="-47"/>
          <w:sz w:val="23"/>
        </w:rPr>
        <w:t> </w:t>
      </w:r>
      <w:r>
        <w:rPr>
          <w:color w:val="231F20"/>
          <w:sz w:val="23"/>
        </w:rPr>
        <w:t>the</w:t>
      </w:r>
      <w:r>
        <w:rPr>
          <w:color w:val="231F20"/>
          <w:spacing w:val="-46"/>
          <w:sz w:val="23"/>
        </w:rPr>
        <w:t> </w:t>
      </w:r>
      <w:r>
        <w:rPr>
          <w:color w:val="231F20"/>
          <w:sz w:val="23"/>
        </w:rPr>
        <w:t>potential</w:t>
      </w:r>
      <w:r>
        <w:rPr>
          <w:color w:val="231F20"/>
          <w:spacing w:val="-48"/>
          <w:sz w:val="23"/>
        </w:rPr>
        <w:t> </w:t>
      </w:r>
      <w:r>
        <w:rPr>
          <w:color w:val="231F20"/>
          <w:sz w:val="23"/>
        </w:rPr>
        <w:t>impact</w:t>
      </w:r>
      <w:r>
        <w:rPr>
          <w:color w:val="231F20"/>
          <w:spacing w:val="-47"/>
          <w:sz w:val="23"/>
        </w:rPr>
        <w:t> </w:t>
      </w:r>
      <w:r>
        <w:rPr>
          <w:color w:val="231F20"/>
          <w:sz w:val="23"/>
        </w:rPr>
        <w:t>of</w:t>
      </w:r>
      <w:r>
        <w:rPr>
          <w:color w:val="231F20"/>
          <w:spacing w:val="-47"/>
          <w:sz w:val="23"/>
        </w:rPr>
        <w:t> </w:t>
      </w:r>
      <w:r>
        <w:rPr>
          <w:color w:val="231F20"/>
          <w:sz w:val="23"/>
        </w:rPr>
        <w:t>business regulatory reforms in improving the business climate, Government will continue to strengthen economic governance. Empirical evidence shows that there is a positive relationship between good governance and the direction and volume of both foreign direct and local private</w:t>
      </w:r>
      <w:r>
        <w:rPr>
          <w:color w:val="231F20"/>
          <w:spacing w:val="32"/>
          <w:sz w:val="23"/>
        </w:rPr>
        <w:t> </w:t>
      </w:r>
      <w:r>
        <w:rPr>
          <w:color w:val="231F20"/>
          <w:sz w:val="23"/>
        </w:rPr>
        <w:t>investments.</w:t>
      </w:r>
    </w:p>
    <w:p>
      <w:pPr>
        <w:pStyle w:val="BodyText"/>
        <w:spacing w:before="9"/>
        <w:rPr>
          <w:sz w:val="26"/>
        </w:rPr>
      </w:pPr>
    </w:p>
    <w:p>
      <w:pPr>
        <w:pStyle w:val="ListParagraph"/>
        <w:numPr>
          <w:ilvl w:val="0"/>
          <w:numId w:val="2"/>
        </w:numPr>
        <w:tabs>
          <w:tab w:pos="954" w:val="left" w:leader="none"/>
        </w:tabs>
        <w:spacing w:line="285" w:lineRule="auto" w:before="0" w:after="0"/>
        <w:ind w:left="103" w:right="118" w:firstLine="87"/>
        <w:jc w:val="both"/>
        <w:rPr>
          <w:sz w:val="23"/>
        </w:rPr>
      </w:pPr>
      <w:r>
        <w:rPr>
          <w:color w:val="231F20"/>
          <w:sz w:val="23"/>
        </w:rPr>
        <w:t>The</w:t>
      </w:r>
      <w:r>
        <w:rPr>
          <w:color w:val="231F20"/>
          <w:spacing w:val="-26"/>
          <w:sz w:val="23"/>
        </w:rPr>
        <w:t> </w:t>
      </w:r>
      <w:r>
        <w:rPr>
          <w:color w:val="231F20"/>
          <w:sz w:val="23"/>
        </w:rPr>
        <w:t>Government’s</w:t>
      </w:r>
      <w:r>
        <w:rPr>
          <w:color w:val="231F20"/>
          <w:spacing w:val="-26"/>
          <w:sz w:val="23"/>
        </w:rPr>
        <w:t> </w:t>
      </w:r>
      <w:r>
        <w:rPr>
          <w:color w:val="231F20"/>
          <w:sz w:val="23"/>
        </w:rPr>
        <w:t>commitment</w:t>
      </w:r>
      <w:r>
        <w:rPr>
          <w:color w:val="231F20"/>
          <w:spacing w:val="-26"/>
          <w:sz w:val="23"/>
        </w:rPr>
        <w:t> </w:t>
      </w:r>
      <w:r>
        <w:rPr>
          <w:color w:val="231F20"/>
          <w:sz w:val="23"/>
        </w:rPr>
        <w:t>to</w:t>
      </w:r>
      <w:r>
        <w:rPr>
          <w:color w:val="231F20"/>
          <w:spacing w:val="-26"/>
          <w:sz w:val="23"/>
        </w:rPr>
        <w:t> </w:t>
      </w:r>
      <w:r>
        <w:rPr>
          <w:color w:val="231F20"/>
          <w:sz w:val="23"/>
        </w:rPr>
        <w:t>improving</w:t>
      </w:r>
      <w:r>
        <w:rPr>
          <w:color w:val="231F20"/>
          <w:spacing w:val="-26"/>
          <w:sz w:val="23"/>
        </w:rPr>
        <w:t> </w:t>
      </w:r>
      <w:r>
        <w:rPr>
          <w:color w:val="231F20"/>
          <w:sz w:val="23"/>
        </w:rPr>
        <w:t>transparency</w:t>
      </w:r>
      <w:r>
        <w:rPr>
          <w:color w:val="231F20"/>
          <w:spacing w:val="-26"/>
          <w:sz w:val="23"/>
        </w:rPr>
        <w:t> </w:t>
      </w:r>
      <w:r>
        <w:rPr>
          <w:color w:val="231F20"/>
          <w:sz w:val="23"/>
        </w:rPr>
        <w:t>and</w:t>
      </w:r>
      <w:r>
        <w:rPr>
          <w:color w:val="231F20"/>
          <w:spacing w:val="-26"/>
          <w:sz w:val="23"/>
        </w:rPr>
        <w:t> </w:t>
      </w:r>
      <w:r>
        <w:rPr>
          <w:color w:val="231F20"/>
          <w:sz w:val="23"/>
        </w:rPr>
        <w:t>accountability has</w:t>
      </w:r>
      <w:r>
        <w:rPr>
          <w:color w:val="231F20"/>
          <w:spacing w:val="-9"/>
          <w:sz w:val="23"/>
        </w:rPr>
        <w:t> </w:t>
      </w:r>
      <w:r>
        <w:rPr>
          <w:color w:val="231F20"/>
          <w:sz w:val="23"/>
        </w:rPr>
        <w:t>resulted</w:t>
      </w:r>
      <w:r>
        <w:rPr>
          <w:color w:val="231F20"/>
          <w:spacing w:val="-9"/>
          <w:sz w:val="23"/>
        </w:rPr>
        <w:t> </w:t>
      </w:r>
      <w:r>
        <w:rPr>
          <w:color w:val="231F20"/>
          <w:sz w:val="23"/>
        </w:rPr>
        <w:t>in</w:t>
      </w:r>
      <w:r>
        <w:rPr>
          <w:color w:val="231F20"/>
          <w:spacing w:val="-9"/>
          <w:sz w:val="23"/>
        </w:rPr>
        <w:t> </w:t>
      </w:r>
      <w:r>
        <w:rPr>
          <w:color w:val="231F20"/>
          <w:sz w:val="23"/>
        </w:rPr>
        <w:t>Sierra</w:t>
      </w:r>
      <w:r>
        <w:rPr>
          <w:color w:val="231F20"/>
          <w:spacing w:val="-9"/>
          <w:sz w:val="23"/>
        </w:rPr>
        <w:t> </w:t>
      </w:r>
      <w:r>
        <w:rPr>
          <w:color w:val="231F20"/>
          <w:sz w:val="23"/>
        </w:rPr>
        <w:t>Leone</w:t>
      </w:r>
      <w:r>
        <w:rPr>
          <w:color w:val="231F20"/>
          <w:spacing w:val="-9"/>
          <w:sz w:val="23"/>
        </w:rPr>
        <w:t> </w:t>
      </w:r>
      <w:r>
        <w:rPr>
          <w:color w:val="231F20"/>
          <w:sz w:val="23"/>
        </w:rPr>
        <w:t>scoring</w:t>
      </w:r>
      <w:r>
        <w:rPr>
          <w:color w:val="231F20"/>
          <w:spacing w:val="-9"/>
          <w:sz w:val="23"/>
        </w:rPr>
        <w:t> </w:t>
      </w:r>
      <w:r>
        <w:rPr>
          <w:color w:val="231F20"/>
          <w:sz w:val="23"/>
        </w:rPr>
        <w:t>50.9</w:t>
      </w:r>
      <w:r>
        <w:rPr>
          <w:color w:val="231F20"/>
          <w:spacing w:val="-9"/>
          <w:sz w:val="23"/>
        </w:rPr>
        <w:t> </w:t>
      </w:r>
      <w:r>
        <w:rPr>
          <w:color w:val="231F20"/>
          <w:sz w:val="23"/>
        </w:rPr>
        <w:t>in</w:t>
      </w:r>
      <w:r>
        <w:rPr>
          <w:color w:val="231F20"/>
          <w:spacing w:val="-9"/>
          <w:sz w:val="23"/>
        </w:rPr>
        <w:t> </w:t>
      </w:r>
      <w:r>
        <w:rPr>
          <w:color w:val="231F20"/>
          <w:sz w:val="23"/>
        </w:rPr>
        <w:t>the</w:t>
      </w:r>
      <w:r>
        <w:rPr>
          <w:color w:val="231F20"/>
          <w:spacing w:val="-9"/>
          <w:sz w:val="23"/>
        </w:rPr>
        <w:t> </w:t>
      </w:r>
      <w:r>
        <w:rPr>
          <w:color w:val="231F20"/>
          <w:sz w:val="23"/>
        </w:rPr>
        <w:t>2018</w:t>
      </w:r>
      <w:r>
        <w:rPr>
          <w:color w:val="231F20"/>
          <w:spacing w:val="-9"/>
          <w:sz w:val="23"/>
        </w:rPr>
        <w:t> </w:t>
      </w:r>
      <w:r>
        <w:rPr>
          <w:color w:val="231F20"/>
          <w:sz w:val="23"/>
        </w:rPr>
        <w:t>Mo</w:t>
      </w:r>
      <w:r>
        <w:rPr>
          <w:color w:val="231F20"/>
          <w:spacing w:val="-9"/>
          <w:sz w:val="23"/>
        </w:rPr>
        <w:t> </w:t>
      </w:r>
      <w:r>
        <w:rPr>
          <w:color w:val="231F20"/>
          <w:sz w:val="23"/>
        </w:rPr>
        <w:t>Ibrahim</w:t>
      </w:r>
      <w:r>
        <w:rPr>
          <w:color w:val="231F20"/>
          <w:spacing w:val="-9"/>
          <w:sz w:val="23"/>
        </w:rPr>
        <w:t> </w:t>
      </w:r>
      <w:r>
        <w:rPr>
          <w:color w:val="231F20"/>
          <w:sz w:val="23"/>
        </w:rPr>
        <w:t>Index</w:t>
      </w:r>
      <w:r>
        <w:rPr>
          <w:color w:val="231F20"/>
          <w:spacing w:val="-9"/>
          <w:sz w:val="23"/>
        </w:rPr>
        <w:t> </w:t>
      </w:r>
      <w:r>
        <w:rPr>
          <w:color w:val="231F20"/>
          <w:sz w:val="23"/>
        </w:rPr>
        <w:t>and</w:t>
      </w:r>
      <w:r>
        <w:rPr>
          <w:color w:val="231F20"/>
          <w:spacing w:val="-9"/>
          <w:sz w:val="23"/>
        </w:rPr>
        <w:t> </w:t>
      </w:r>
      <w:r>
        <w:rPr>
          <w:color w:val="231F20"/>
          <w:sz w:val="23"/>
        </w:rPr>
        <w:t>ranking 26</w:t>
      </w:r>
      <w:r>
        <w:rPr>
          <w:color w:val="231F20"/>
          <w:spacing w:val="-13"/>
          <w:sz w:val="23"/>
        </w:rPr>
        <w:t> </w:t>
      </w:r>
      <w:r>
        <w:rPr>
          <w:color w:val="231F20"/>
          <w:sz w:val="23"/>
        </w:rPr>
        <w:t>out</w:t>
      </w:r>
      <w:r>
        <w:rPr>
          <w:color w:val="231F20"/>
          <w:spacing w:val="-13"/>
          <w:sz w:val="23"/>
        </w:rPr>
        <w:t> </w:t>
      </w:r>
      <w:r>
        <w:rPr>
          <w:color w:val="231F20"/>
          <w:sz w:val="23"/>
        </w:rPr>
        <w:t>of</w:t>
      </w:r>
      <w:r>
        <w:rPr>
          <w:color w:val="231F20"/>
          <w:spacing w:val="-13"/>
          <w:sz w:val="23"/>
        </w:rPr>
        <w:t> </w:t>
      </w:r>
      <w:r>
        <w:rPr>
          <w:color w:val="231F20"/>
          <w:sz w:val="23"/>
        </w:rPr>
        <w:t>54</w:t>
      </w:r>
      <w:r>
        <w:rPr>
          <w:color w:val="231F20"/>
          <w:spacing w:val="-13"/>
          <w:sz w:val="23"/>
        </w:rPr>
        <w:t> </w:t>
      </w:r>
      <w:r>
        <w:rPr>
          <w:color w:val="231F20"/>
          <w:sz w:val="23"/>
        </w:rPr>
        <w:t>countries.</w:t>
      </w:r>
      <w:r>
        <w:rPr>
          <w:color w:val="231F20"/>
          <w:spacing w:val="-13"/>
          <w:sz w:val="23"/>
        </w:rPr>
        <w:t> </w:t>
      </w:r>
      <w:r>
        <w:rPr>
          <w:color w:val="231F20"/>
          <w:sz w:val="23"/>
        </w:rPr>
        <w:t>Sierra</w:t>
      </w:r>
      <w:r>
        <w:rPr>
          <w:color w:val="231F20"/>
          <w:spacing w:val="-13"/>
          <w:sz w:val="23"/>
        </w:rPr>
        <w:t> </w:t>
      </w:r>
      <w:r>
        <w:rPr>
          <w:color w:val="231F20"/>
          <w:sz w:val="23"/>
        </w:rPr>
        <w:t>Leone</w:t>
      </w:r>
      <w:r>
        <w:rPr>
          <w:color w:val="231F20"/>
          <w:spacing w:val="-13"/>
          <w:sz w:val="23"/>
        </w:rPr>
        <w:t> </w:t>
      </w:r>
      <w:r>
        <w:rPr>
          <w:color w:val="231F20"/>
          <w:sz w:val="23"/>
        </w:rPr>
        <w:t>also</w:t>
      </w:r>
      <w:r>
        <w:rPr>
          <w:color w:val="231F20"/>
          <w:spacing w:val="-13"/>
          <w:sz w:val="23"/>
        </w:rPr>
        <w:t> </w:t>
      </w:r>
      <w:r>
        <w:rPr>
          <w:color w:val="231F20"/>
          <w:sz w:val="23"/>
        </w:rPr>
        <w:t>maintained</w:t>
      </w:r>
      <w:r>
        <w:rPr>
          <w:color w:val="231F20"/>
          <w:spacing w:val="-13"/>
          <w:sz w:val="23"/>
        </w:rPr>
        <w:t> </w:t>
      </w:r>
      <w:r>
        <w:rPr>
          <w:color w:val="231F20"/>
          <w:sz w:val="23"/>
        </w:rPr>
        <w:t>a</w:t>
      </w:r>
      <w:r>
        <w:rPr>
          <w:color w:val="231F20"/>
          <w:spacing w:val="-13"/>
          <w:sz w:val="23"/>
        </w:rPr>
        <w:t> </w:t>
      </w:r>
      <w:r>
        <w:rPr>
          <w:color w:val="231F20"/>
          <w:sz w:val="23"/>
        </w:rPr>
        <w:t>score</w:t>
      </w:r>
      <w:r>
        <w:rPr>
          <w:color w:val="231F20"/>
          <w:spacing w:val="-13"/>
          <w:sz w:val="23"/>
        </w:rPr>
        <w:t> </w:t>
      </w:r>
      <w:r>
        <w:rPr>
          <w:color w:val="231F20"/>
          <w:sz w:val="23"/>
        </w:rPr>
        <w:t>of</w:t>
      </w:r>
      <w:r>
        <w:rPr>
          <w:color w:val="231F20"/>
          <w:spacing w:val="-13"/>
          <w:sz w:val="23"/>
        </w:rPr>
        <w:t> </w:t>
      </w:r>
      <w:r>
        <w:rPr>
          <w:color w:val="231F20"/>
          <w:sz w:val="23"/>
        </w:rPr>
        <w:t>3.2</w:t>
      </w:r>
      <w:r>
        <w:rPr>
          <w:color w:val="231F20"/>
          <w:spacing w:val="-13"/>
          <w:sz w:val="23"/>
        </w:rPr>
        <w:t> </w:t>
      </w:r>
      <w:r>
        <w:rPr>
          <w:color w:val="231F20"/>
          <w:sz w:val="23"/>
        </w:rPr>
        <w:t>in</w:t>
      </w:r>
      <w:r>
        <w:rPr>
          <w:color w:val="231F20"/>
          <w:spacing w:val="-13"/>
          <w:sz w:val="23"/>
        </w:rPr>
        <w:t> </w:t>
      </w:r>
      <w:r>
        <w:rPr>
          <w:color w:val="231F20"/>
          <w:sz w:val="23"/>
        </w:rPr>
        <w:t>the</w:t>
      </w:r>
      <w:r>
        <w:rPr>
          <w:color w:val="231F20"/>
          <w:spacing w:val="-13"/>
          <w:sz w:val="23"/>
        </w:rPr>
        <w:t> </w:t>
      </w:r>
      <w:r>
        <w:rPr>
          <w:color w:val="231F20"/>
          <w:sz w:val="23"/>
        </w:rPr>
        <w:t>2018</w:t>
      </w:r>
      <w:r>
        <w:rPr>
          <w:color w:val="231F20"/>
          <w:spacing w:val="-13"/>
          <w:sz w:val="23"/>
        </w:rPr>
        <w:t> </w:t>
      </w:r>
      <w:r>
        <w:rPr>
          <w:color w:val="231F20"/>
          <w:sz w:val="23"/>
        </w:rPr>
        <w:t>World Bank Country Policy and Institutional Assessment (CPIA) and is improving its performance on other international governance</w:t>
      </w:r>
      <w:r>
        <w:rPr>
          <w:color w:val="231F20"/>
          <w:spacing w:val="20"/>
          <w:sz w:val="23"/>
        </w:rPr>
        <w:t> </w:t>
      </w:r>
      <w:r>
        <w:rPr>
          <w:color w:val="231F20"/>
          <w:sz w:val="23"/>
        </w:rPr>
        <w:t>benchmarks.</w:t>
      </w:r>
    </w:p>
    <w:p>
      <w:pPr>
        <w:pStyle w:val="BodyText"/>
        <w:spacing w:before="8"/>
        <w:rPr>
          <w:sz w:val="26"/>
        </w:rPr>
      </w:pPr>
    </w:p>
    <w:p>
      <w:pPr>
        <w:pStyle w:val="ListParagraph"/>
        <w:numPr>
          <w:ilvl w:val="0"/>
          <w:numId w:val="2"/>
        </w:numPr>
        <w:tabs>
          <w:tab w:pos="954" w:val="left" w:leader="none"/>
        </w:tabs>
        <w:spacing w:line="285" w:lineRule="auto" w:before="0" w:after="0"/>
        <w:ind w:left="103" w:right="120" w:firstLine="87"/>
        <w:jc w:val="both"/>
        <w:rPr>
          <w:sz w:val="23"/>
        </w:rPr>
      </w:pPr>
      <w:r>
        <w:rPr>
          <w:color w:val="231F20"/>
          <w:sz w:val="23"/>
        </w:rPr>
        <w:t>Mr.</w:t>
      </w:r>
      <w:r>
        <w:rPr>
          <w:color w:val="231F20"/>
          <w:spacing w:val="-54"/>
          <w:sz w:val="23"/>
        </w:rPr>
        <w:t> </w:t>
      </w:r>
      <w:r>
        <w:rPr>
          <w:color w:val="231F20"/>
          <w:sz w:val="23"/>
        </w:rPr>
        <w:t>Speaker,</w:t>
      </w:r>
      <w:r>
        <w:rPr>
          <w:color w:val="231F20"/>
          <w:spacing w:val="-53"/>
          <w:sz w:val="23"/>
        </w:rPr>
        <w:t> </w:t>
      </w:r>
      <w:r>
        <w:rPr>
          <w:color w:val="231F20"/>
          <w:sz w:val="23"/>
        </w:rPr>
        <w:t>Honourable</w:t>
      </w:r>
      <w:r>
        <w:rPr>
          <w:color w:val="231F20"/>
          <w:spacing w:val="-53"/>
          <w:sz w:val="23"/>
        </w:rPr>
        <w:t> </w:t>
      </w:r>
      <w:r>
        <w:rPr>
          <w:color w:val="231F20"/>
          <w:sz w:val="23"/>
        </w:rPr>
        <w:t>Members,</w:t>
      </w:r>
      <w:r>
        <w:rPr>
          <w:color w:val="231F20"/>
          <w:spacing w:val="-53"/>
          <w:sz w:val="23"/>
        </w:rPr>
        <w:t> </w:t>
      </w:r>
      <w:r>
        <w:rPr>
          <w:color w:val="231F20"/>
          <w:sz w:val="23"/>
        </w:rPr>
        <w:t>Government</w:t>
      </w:r>
      <w:r>
        <w:rPr>
          <w:color w:val="231F20"/>
          <w:spacing w:val="-53"/>
          <w:sz w:val="23"/>
        </w:rPr>
        <w:t> </w:t>
      </w:r>
      <w:r>
        <w:rPr>
          <w:color w:val="231F20"/>
          <w:sz w:val="23"/>
        </w:rPr>
        <w:t>remains</w:t>
      </w:r>
      <w:r>
        <w:rPr>
          <w:color w:val="231F20"/>
          <w:spacing w:val="-54"/>
          <w:sz w:val="23"/>
        </w:rPr>
        <w:t> </w:t>
      </w:r>
      <w:r>
        <w:rPr>
          <w:color w:val="231F20"/>
          <w:sz w:val="23"/>
        </w:rPr>
        <w:t>committed</w:t>
      </w:r>
      <w:r>
        <w:rPr>
          <w:color w:val="231F20"/>
          <w:spacing w:val="-53"/>
          <w:sz w:val="23"/>
        </w:rPr>
        <w:t> </w:t>
      </w:r>
      <w:r>
        <w:rPr>
          <w:color w:val="231F20"/>
          <w:sz w:val="23"/>
        </w:rPr>
        <w:t>to</w:t>
      </w:r>
      <w:r>
        <w:rPr>
          <w:color w:val="231F20"/>
          <w:spacing w:val="-53"/>
          <w:sz w:val="23"/>
        </w:rPr>
        <w:t> </w:t>
      </w:r>
      <w:r>
        <w:rPr>
          <w:color w:val="231F20"/>
          <w:sz w:val="23"/>
        </w:rPr>
        <w:t>tackling corruption</w:t>
      </w:r>
      <w:r>
        <w:rPr>
          <w:color w:val="231F20"/>
          <w:spacing w:val="-43"/>
          <w:sz w:val="23"/>
        </w:rPr>
        <w:t> </w:t>
      </w:r>
      <w:r>
        <w:rPr>
          <w:color w:val="231F20"/>
          <w:sz w:val="23"/>
        </w:rPr>
        <w:t>in</w:t>
      </w:r>
      <w:r>
        <w:rPr>
          <w:color w:val="231F20"/>
          <w:spacing w:val="-43"/>
          <w:sz w:val="23"/>
        </w:rPr>
        <w:t> </w:t>
      </w:r>
      <w:r>
        <w:rPr>
          <w:color w:val="231F20"/>
          <w:sz w:val="23"/>
        </w:rPr>
        <w:t>accordance</w:t>
      </w:r>
      <w:r>
        <w:rPr>
          <w:color w:val="231F20"/>
          <w:spacing w:val="-43"/>
          <w:sz w:val="23"/>
        </w:rPr>
        <w:t> </w:t>
      </w:r>
      <w:r>
        <w:rPr>
          <w:color w:val="231F20"/>
          <w:sz w:val="23"/>
        </w:rPr>
        <w:t>with</w:t>
      </w:r>
      <w:r>
        <w:rPr>
          <w:color w:val="231F20"/>
          <w:spacing w:val="-42"/>
          <w:sz w:val="23"/>
        </w:rPr>
        <w:t> </w:t>
      </w:r>
      <w:r>
        <w:rPr>
          <w:color w:val="231F20"/>
          <w:sz w:val="23"/>
        </w:rPr>
        <w:t>the</w:t>
      </w:r>
      <w:r>
        <w:rPr>
          <w:color w:val="231F20"/>
          <w:spacing w:val="-43"/>
          <w:sz w:val="23"/>
        </w:rPr>
        <w:t> </w:t>
      </w:r>
      <w:r>
        <w:rPr>
          <w:color w:val="231F20"/>
          <w:sz w:val="23"/>
        </w:rPr>
        <w:t>Anti</w:t>
      </w:r>
      <w:r>
        <w:rPr>
          <w:color w:val="231F20"/>
          <w:spacing w:val="-44"/>
          <w:sz w:val="23"/>
        </w:rPr>
        <w:t> </w:t>
      </w:r>
      <w:r>
        <w:rPr>
          <w:color w:val="231F20"/>
          <w:sz w:val="23"/>
        </w:rPr>
        <w:t>Corruption</w:t>
      </w:r>
      <w:r>
        <w:rPr>
          <w:color w:val="231F20"/>
          <w:spacing w:val="-42"/>
          <w:sz w:val="23"/>
        </w:rPr>
        <w:t> </w:t>
      </w:r>
      <w:r>
        <w:rPr>
          <w:color w:val="231F20"/>
          <w:sz w:val="23"/>
        </w:rPr>
        <w:t>Act</w:t>
      </w:r>
      <w:r>
        <w:rPr>
          <w:color w:val="231F20"/>
          <w:spacing w:val="-44"/>
          <w:sz w:val="23"/>
        </w:rPr>
        <w:t> </w:t>
      </w:r>
      <w:r>
        <w:rPr>
          <w:color w:val="231F20"/>
          <w:sz w:val="23"/>
        </w:rPr>
        <w:t>2008</w:t>
      </w:r>
      <w:r>
        <w:rPr>
          <w:color w:val="231F20"/>
          <w:spacing w:val="-43"/>
          <w:sz w:val="23"/>
        </w:rPr>
        <w:t> </w:t>
      </w:r>
      <w:r>
        <w:rPr>
          <w:color w:val="231F20"/>
          <w:sz w:val="23"/>
        </w:rPr>
        <w:t>(as</w:t>
      </w:r>
      <w:r>
        <w:rPr>
          <w:color w:val="231F20"/>
          <w:spacing w:val="-42"/>
          <w:sz w:val="23"/>
        </w:rPr>
        <w:t> </w:t>
      </w:r>
      <w:r>
        <w:rPr>
          <w:color w:val="231F20"/>
          <w:sz w:val="23"/>
        </w:rPr>
        <w:t>amended)</w:t>
      </w:r>
      <w:r>
        <w:rPr>
          <w:color w:val="231F20"/>
          <w:spacing w:val="-43"/>
          <w:sz w:val="23"/>
        </w:rPr>
        <w:t> </w:t>
      </w:r>
      <w:r>
        <w:rPr>
          <w:color w:val="231F20"/>
          <w:sz w:val="23"/>
        </w:rPr>
        <w:t>and</w:t>
      </w:r>
      <w:r>
        <w:rPr>
          <w:color w:val="231F20"/>
          <w:spacing w:val="-43"/>
          <w:sz w:val="23"/>
        </w:rPr>
        <w:t> </w:t>
      </w:r>
      <w:r>
        <w:rPr>
          <w:color w:val="231F20"/>
          <w:sz w:val="23"/>
        </w:rPr>
        <w:t>investing in measures to drive the needed behavioural</w:t>
      </w:r>
      <w:r>
        <w:rPr>
          <w:color w:val="231F20"/>
          <w:spacing w:val="63"/>
          <w:sz w:val="23"/>
        </w:rPr>
        <w:t> </w:t>
      </w:r>
      <w:r>
        <w:rPr>
          <w:color w:val="231F20"/>
          <w:sz w:val="23"/>
        </w:rPr>
        <w:t>change.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pStyle w:val="Heading1"/>
      </w:pPr>
      <w:r>
        <w:rPr>
          <w:color w:val="231F20"/>
        </w:rPr>
        <w:t>27</w:t>
      </w:r>
    </w:p>
    <w:p>
      <w:pPr>
        <w:spacing w:after="0"/>
        <w:sectPr>
          <w:pgSz w:w="11900" w:h="16840"/>
          <w:pgMar w:top="1160" w:bottom="280" w:left="1140" w:right="1120"/>
        </w:sectPr>
      </w:pPr>
    </w:p>
    <w:p>
      <w:pPr>
        <w:pStyle w:val="ListParagraph"/>
        <w:numPr>
          <w:ilvl w:val="0"/>
          <w:numId w:val="2"/>
        </w:numPr>
        <w:tabs>
          <w:tab w:pos="954" w:val="left" w:leader="none"/>
        </w:tabs>
        <w:spacing w:line="285" w:lineRule="auto" w:before="83" w:after="0"/>
        <w:ind w:left="103" w:right="120" w:firstLine="87"/>
        <w:jc w:val="both"/>
        <w:rPr>
          <w:sz w:val="23"/>
        </w:rPr>
      </w:pPr>
      <w:r>
        <w:rPr>
          <w:color w:val="231F20"/>
          <w:sz w:val="23"/>
        </w:rPr>
        <w:t>Mr. Speaker, Honourable Members, in his address to this Noble House, the President reiterated his Government’s commitment to drive behavioural change by launching a National Civic Education Program. The overarching goal of the Civic Education for Development Program is to empower citizens through knowledge and skills acquisition, to internalise positive attitudes and values to make meaningful contributions</w:t>
      </w:r>
      <w:r>
        <w:rPr>
          <w:color w:val="231F20"/>
          <w:spacing w:val="-46"/>
          <w:sz w:val="23"/>
        </w:rPr>
        <w:t> </w:t>
      </w:r>
      <w:r>
        <w:rPr>
          <w:color w:val="231F20"/>
          <w:sz w:val="23"/>
        </w:rPr>
        <w:t>to</w:t>
      </w:r>
      <w:r>
        <w:rPr>
          <w:color w:val="231F20"/>
          <w:spacing w:val="-45"/>
          <w:sz w:val="23"/>
        </w:rPr>
        <w:t> </w:t>
      </w:r>
      <w:r>
        <w:rPr>
          <w:color w:val="231F20"/>
          <w:sz w:val="23"/>
        </w:rPr>
        <w:t>sustainable</w:t>
      </w:r>
      <w:r>
        <w:rPr>
          <w:color w:val="231F20"/>
          <w:spacing w:val="-46"/>
          <w:sz w:val="23"/>
        </w:rPr>
        <w:t> </w:t>
      </w:r>
      <w:r>
        <w:rPr>
          <w:color w:val="231F20"/>
          <w:sz w:val="23"/>
        </w:rPr>
        <w:t>development</w:t>
      </w:r>
      <w:r>
        <w:rPr>
          <w:color w:val="231F20"/>
          <w:spacing w:val="-45"/>
          <w:sz w:val="23"/>
        </w:rPr>
        <w:t> </w:t>
      </w:r>
      <w:r>
        <w:rPr>
          <w:color w:val="231F20"/>
          <w:sz w:val="23"/>
        </w:rPr>
        <w:t>processes.</w:t>
      </w:r>
      <w:r>
        <w:rPr>
          <w:color w:val="231F20"/>
          <w:spacing w:val="-46"/>
          <w:sz w:val="23"/>
        </w:rPr>
        <w:t> </w:t>
      </w:r>
      <w:r>
        <w:rPr>
          <w:color w:val="231F20"/>
          <w:sz w:val="23"/>
        </w:rPr>
        <w:t>Accordingly,</w:t>
      </w:r>
      <w:r>
        <w:rPr>
          <w:color w:val="231F20"/>
          <w:spacing w:val="-45"/>
          <w:sz w:val="23"/>
        </w:rPr>
        <w:t> </w:t>
      </w:r>
      <w:r>
        <w:rPr>
          <w:color w:val="231F20"/>
          <w:sz w:val="23"/>
        </w:rPr>
        <w:t>the</w:t>
      </w:r>
      <w:r>
        <w:rPr>
          <w:color w:val="231F20"/>
          <w:spacing w:val="-46"/>
          <w:sz w:val="23"/>
        </w:rPr>
        <w:t> </w:t>
      </w:r>
      <w:r>
        <w:rPr>
          <w:color w:val="231F20"/>
          <w:sz w:val="23"/>
        </w:rPr>
        <w:t>National</w:t>
      </w:r>
      <w:r>
        <w:rPr>
          <w:color w:val="231F20"/>
          <w:spacing w:val="-45"/>
          <w:sz w:val="23"/>
        </w:rPr>
        <w:t> </w:t>
      </w:r>
      <w:r>
        <w:rPr>
          <w:color w:val="231F20"/>
          <w:sz w:val="23"/>
        </w:rPr>
        <w:t>Council for</w:t>
      </w:r>
      <w:r>
        <w:rPr>
          <w:color w:val="231F20"/>
          <w:spacing w:val="-43"/>
          <w:sz w:val="23"/>
        </w:rPr>
        <w:t> </w:t>
      </w:r>
      <w:r>
        <w:rPr>
          <w:color w:val="231F20"/>
          <w:sz w:val="23"/>
        </w:rPr>
        <w:t>Civic</w:t>
      </w:r>
      <w:r>
        <w:rPr>
          <w:color w:val="231F20"/>
          <w:spacing w:val="-43"/>
          <w:sz w:val="23"/>
        </w:rPr>
        <w:t> </w:t>
      </w:r>
      <w:r>
        <w:rPr>
          <w:color w:val="231F20"/>
          <w:sz w:val="23"/>
        </w:rPr>
        <w:t>Education</w:t>
      </w:r>
      <w:r>
        <w:rPr>
          <w:color w:val="231F20"/>
          <w:spacing w:val="-43"/>
          <w:sz w:val="23"/>
        </w:rPr>
        <w:t> </w:t>
      </w:r>
      <w:r>
        <w:rPr>
          <w:color w:val="231F20"/>
          <w:sz w:val="23"/>
        </w:rPr>
        <w:t>and</w:t>
      </w:r>
      <w:r>
        <w:rPr>
          <w:color w:val="231F20"/>
          <w:spacing w:val="-43"/>
          <w:sz w:val="23"/>
        </w:rPr>
        <w:t> </w:t>
      </w:r>
      <w:r>
        <w:rPr>
          <w:color w:val="231F20"/>
          <w:sz w:val="23"/>
        </w:rPr>
        <w:t>Development</w:t>
      </w:r>
      <w:r>
        <w:rPr>
          <w:color w:val="231F20"/>
          <w:spacing w:val="-43"/>
          <w:sz w:val="23"/>
        </w:rPr>
        <w:t> </w:t>
      </w:r>
      <w:r>
        <w:rPr>
          <w:color w:val="231F20"/>
          <w:sz w:val="23"/>
        </w:rPr>
        <w:t>(NaCCED)</w:t>
      </w:r>
      <w:r>
        <w:rPr>
          <w:color w:val="231F20"/>
          <w:spacing w:val="-43"/>
          <w:sz w:val="23"/>
        </w:rPr>
        <w:t> </w:t>
      </w:r>
      <w:r>
        <w:rPr>
          <w:color w:val="231F20"/>
          <w:sz w:val="23"/>
        </w:rPr>
        <w:t>has</w:t>
      </w:r>
      <w:r>
        <w:rPr>
          <w:color w:val="231F20"/>
          <w:spacing w:val="-42"/>
          <w:sz w:val="23"/>
        </w:rPr>
        <w:t> </w:t>
      </w:r>
      <w:r>
        <w:rPr>
          <w:color w:val="231F20"/>
          <w:sz w:val="23"/>
        </w:rPr>
        <w:t>been</w:t>
      </w:r>
      <w:r>
        <w:rPr>
          <w:color w:val="231F20"/>
          <w:spacing w:val="-43"/>
          <w:sz w:val="23"/>
        </w:rPr>
        <w:t> </w:t>
      </w:r>
      <w:r>
        <w:rPr>
          <w:color w:val="231F20"/>
          <w:sz w:val="23"/>
        </w:rPr>
        <w:t>established</w:t>
      </w:r>
      <w:r>
        <w:rPr>
          <w:color w:val="231F20"/>
          <w:spacing w:val="-43"/>
          <w:sz w:val="23"/>
        </w:rPr>
        <w:t> </w:t>
      </w:r>
      <w:r>
        <w:rPr>
          <w:color w:val="231F20"/>
          <w:sz w:val="23"/>
        </w:rPr>
        <w:t>as</w:t>
      </w:r>
      <w:r>
        <w:rPr>
          <w:color w:val="231F20"/>
          <w:spacing w:val="-43"/>
          <w:sz w:val="23"/>
        </w:rPr>
        <w:t> </w:t>
      </w:r>
      <w:r>
        <w:rPr>
          <w:color w:val="231F20"/>
          <w:sz w:val="23"/>
        </w:rPr>
        <w:t>an</w:t>
      </w:r>
      <w:r>
        <w:rPr>
          <w:color w:val="231F20"/>
          <w:spacing w:val="-43"/>
          <w:sz w:val="23"/>
        </w:rPr>
        <w:t> </w:t>
      </w:r>
      <w:r>
        <w:rPr>
          <w:color w:val="231F20"/>
          <w:sz w:val="23"/>
        </w:rPr>
        <w:t>institution.</w:t>
      </w:r>
    </w:p>
    <w:p>
      <w:pPr>
        <w:pStyle w:val="BodyText"/>
        <w:spacing w:before="7"/>
        <w:rPr>
          <w:sz w:val="26"/>
        </w:rPr>
      </w:pPr>
    </w:p>
    <w:p>
      <w:pPr>
        <w:pStyle w:val="ListParagraph"/>
        <w:numPr>
          <w:ilvl w:val="0"/>
          <w:numId w:val="2"/>
        </w:numPr>
        <w:tabs>
          <w:tab w:pos="954" w:val="left" w:leader="none"/>
        </w:tabs>
        <w:spacing w:line="285" w:lineRule="auto" w:before="0" w:after="0"/>
        <w:ind w:left="103" w:right="120" w:firstLine="87"/>
        <w:jc w:val="both"/>
        <w:rPr>
          <w:sz w:val="23"/>
        </w:rPr>
      </w:pPr>
      <w:r>
        <w:rPr>
          <w:color w:val="231F20"/>
          <w:sz w:val="23"/>
        </w:rPr>
        <w:t>In</w:t>
      </w:r>
      <w:r>
        <w:rPr>
          <w:color w:val="231F20"/>
          <w:spacing w:val="-43"/>
          <w:sz w:val="23"/>
        </w:rPr>
        <w:t> </w:t>
      </w:r>
      <w:r>
        <w:rPr>
          <w:color w:val="231F20"/>
          <w:spacing w:val="-4"/>
          <w:sz w:val="23"/>
        </w:rPr>
        <w:t>2020,</w:t>
      </w:r>
      <w:r>
        <w:rPr>
          <w:color w:val="231F20"/>
          <w:spacing w:val="-42"/>
          <w:sz w:val="23"/>
        </w:rPr>
        <w:t> </w:t>
      </w:r>
      <w:r>
        <w:rPr>
          <w:color w:val="231F20"/>
          <w:spacing w:val="-3"/>
          <w:sz w:val="23"/>
        </w:rPr>
        <w:t>NaCCED</w:t>
      </w:r>
      <w:r>
        <w:rPr>
          <w:color w:val="231F20"/>
          <w:spacing w:val="-42"/>
          <w:sz w:val="23"/>
        </w:rPr>
        <w:t> </w:t>
      </w:r>
      <w:r>
        <w:rPr>
          <w:color w:val="231F20"/>
          <w:spacing w:val="-3"/>
          <w:sz w:val="23"/>
        </w:rPr>
        <w:t>will</w:t>
      </w:r>
      <w:r>
        <w:rPr>
          <w:color w:val="231F20"/>
          <w:spacing w:val="-43"/>
          <w:sz w:val="23"/>
        </w:rPr>
        <w:t> </w:t>
      </w:r>
      <w:r>
        <w:rPr>
          <w:color w:val="231F20"/>
          <w:spacing w:val="-4"/>
          <w:sz w:val="23"/>
        </w:rPr>
        <w:t>design</w:t>
      </w:r>
      <w:r>
        <w:rPr>
          <w:color w:val="231F20"/>
          <w:spacing w:val="-42"/>
          <w:sz w:val="23"/>
        </w:rPr>
        <w:t> </w:t>
      </w:r>
      <w:r>
        <w:rPr>
          <w:color w:val="231F20"/>
          <w:spacing w:val="-3"/>
          <w:sz w:val="23"/>
        </w:rPr>
        <w:t>and</w:t>
      </w:r>
      <w:r>
        <w:rPr>
          <w:color w:val="231F20"/>
          <w:spacing w:val="-42"/>
          <w:sz w:val="23"/>
        </w:rPr>
        <w:t> </w:t>
      </w:r>
      <w:r>
        <w:rPr>
          <w:color w:val="231F20"/>
          <w:spacing w:val="-3"/>
          <w:sz w:val="23"/>
        </w:rPr>
        <w:t>commence</w:t>
      </w:r>
      <w:r>
        <w:rPr>
          <w:color w:val="231F20"/>
          <w:spacing w:val="-43"/>
          <w:sz w:val="23"/>
        </w:rPr>
        <w:t> </w:t>
      </w:r>
      <w:r>
        <w:rPr>
          <w:color w:val="231F20"/>
          <w:sz w:val="23"/>
        </w:rPr>
        <w:t>the</w:t>
      </w:r>
      <w:r>
        <w:rPr>
          <w:color w:val="231F20"/>
          <w:spacing w:val="-42"/>
          <w:sz w:val="23"/>
        </w:rPr>
        <w:t> </w:t>
      </w:r>
      <w:r>
        <w:rPr>
          <w:color w:val="231F20"/>
          <w:spacing w:val="-3"/>
          <w:sz w:val="23"/>
        </w:rPr>
        <w:t>implementation</w:t>
      </w:r>
      <w:r>
        <w:rPr>
          <w:color w:val="231F20"/>
          <w:spacing w:val="-42"/>
          <w:sz w:val="23"/>
        </w:rPr>
        <w:t> </w:t>
      </w:r>
      <w:r>
        <w:rPr>
          <w:color w:val="231F20"/>
          <w:sz w:val="23"/>
        </w:rPr>
        <w:t>of</w:t>
      </w:r>
      <w:r>
        <w:rPr>
          <w:color w:val="231F20"/>
          <w:spacing w:val="-43"/>
          <w:sz w:val="23"/>
        </w:rPr>
        <w:t> </w:t>
      </w:r>
      <w:r>
        <w:rPr>
          <w:color w:val="231F20"/>
          <w:sz w:val="23"/>
        </w:rPr>
        <w:t>a</w:t>
      </w:r>
      <w:r>
        <w:rPr>
          <w:color w:val="231F20"/>
          <w:spacing w:val="-42"/>
          <w:sz w:val="23"/>
        </w:rPr>
        <w:t> </w:t>
      </w:r>
      <w:r>
        <w:rPr>
          <w:color w:val="231F20"/>
          <w:spacing w:val="-3"/>
          <w:sz w:val="23"/>
        </w:rPr>
        <w:t>Community </w:t>
      </w:r>
      <w:r>
        <w:rPr>
          <w:color w:val="231F20"/>
          <w:sz w:val="23"/>
        </w:rPr>
        <w:t>Civic</w:t>
      </w:r>
      <w:r>
        <w:rPr>
          <w:color w:val="231F20"/>
          <w:spacing w:val="-10"/>
          <w:sz w:val="23"/>
        </w:rPr>
        <w:t> </w:t>
      </w:r>
      <w:r>
        <w:rPr>
          <w:color w:val="231F20"/>
          <w:sz w:val="23"/>
        </w:rPr>
        <w:t>Engagement</w:t>
      </w:r>
      <w:r>
        <w:rPr>
          <w:color w:val="231F20"/>
          <w:spacing w:val="-10"/>
          <w:sz w:val="23"/>
        </w:rPr>
        <w:t> </w:t>
      </w:r>
      <w:r>
        <w:rPr>
          <w:color w:val="231F20"/>
          <w:sz w:val="23"/>
        </w:rPr>
        <w:t>for</w:t>
      </w:r>
      <w:r>
        <w:rPr>
          <w:color w:val="231F20"/>
          <w:spacing w:val="-10"/>
          <w:sz w:val="23"/>
        </w:rPr>
        <w:t> </w:t>
      </w:r>
      <w:r>
        <w:rPr>
          <w:color w:val="231F20"/>
          <w:sz w:val="23"/>
        </w:rPr>
        <w:t>Development</w:t>
      </w:r>
      <w:r>
        <w:rPr>
          <w:color w:val="231F20"/>
          <w:spacing w:val="-10"/>
          <w:sz w:val="23"/>
        </w:rPr>
        <w:t> </w:t>
      </w:r>
      <w:r>
        <w:rPr>
          <w:color w:val="231F20"/>
          <w:sz w:val="23"/>
        </w:rPr>
        <w:t>program</w:t>
      </w:r>
      <w:r>
        <w:rPr>
          <w:color w:val="231F20"/>
          <w:spacing w:val="-10"/>
          <w:sz w:val="23"/>
        </w:rPr>
        <w:t> </w:t>
      </w:r>
      <w:r>
        <w:rPr>
          <w:color w:val="231F20"/>
          <w:sz w:val="23"/>
        </w:rPr>
        <w:t>that</w:t>
      </w:r>
      <w:r>
        <w:rPr>
          <w:color w:val="231F20"/>
          <w:spacing w:val="-10"/>
          <w:sz w:val="23"/>
        </w:rPr>
        <w:t> </w:t>
      </w:r>
      <w:r>
        <w:rPr>
          <w:color w:val="231F20"/>
          <w:sz w:val="23"/>
        </w:rPr>
        <w:t>will</w:t>
      </w:r>
      <w:r>
        <w:rPr>
          <w:color w:val="231F20"/>
          <w:spacing w:val="-10"/>
          <w:sz w:val="23"/>
        </w:rPr>
        <w:t> </w:t>
      </w:r>
      <w:r>
        <w:rPr>
          <w:color w:val="231F20"/>
          <w:sz w:val="23"/>
        </w:rPr>
        <w:t>enable</w:t>
      </w:r>
      <w:r>
        <w:rPr>
          <w:color w:val="231F20"/>
          <w:spacing w:val="-10"/>
          <w:sz w:val="23"/>
        </w:rPr>
        <w:t> </w:t>
      </w:r>
      <w:r>
        <w:rPr>
          <w:color w:val="231F20"/>
          <w:sz w:val="23"/>
        </w:rPr>
        <w:t>communities</w:t>
      </w:r>
      <w:r>
        <w:rPr>
          <w:color w:val="231F20"/>
          <w:spacing w:val="-10"/>
          <w:sz w:val="23"/>
        </w:rPr>
        <w:t> </w:t>
      </w:r>
      <w:r>
        <w:rPr>
          <w:color w:val="231F20"/>
          <w:sz w:val="23"/>
        </w:rPr>
        <w:t>across</w:t>
      </w:r>
      <w:r>
        <w:rPr>
          <w:color w:val="231F20"/>
          <w:spacing w:val="-10"/>
          <w:sz w:val="23"/>
        </w:rPr>
        <w:t> </w:t>
      </w:r>
      <w:r>
        <w:rPr>
          <w:color w:val="231F20"/>
          <w:sz w:val="23"/>
        </w:rPr>
        <w:t>the country</w:t>
      </w:r>
      <w:r>
        <w:rPr>
          <w:color w:val="231F20"/>
          <w:spacing w:val="-32"/>
          <w:sz w:val="23"/>
        </w:rPr>
        <w:t> </w:t>
      </w:r>
      <w:r>
        <w:rPr>
          <w:color w:val="231F20"/>
          <w:sz w:val="23"/>
        </w:rPr>
        <w:t>to</w:t>
      </w:r>
      <w:r>
        <w:rPr>
          <w:color w:val="231F20"/>
          <w:spacing w:val="-32"/>
          <w:sz w:val="23"/>
        </w:rPr>
        <w:t> </w:t>
      </w:r>
      <w:r>
        <w:rPr>
          <w:color w:val="231F20"/>
          <w:sz w:val="23"/>
        </w:rPr>
        <w:t>keep</w:t>
      </w:r>
      <w:r>
        <w:rPr>
          <w:color w:val="231F20"/>
          <w:spacing w:val="-32"/>
          <w:sz w:val="23"/>
        </w:rPr>
        <w:t> </w:t>
      </w:r>
      <w:r>
        <w:rPr>
          <w:color w:val="231F20"/>
          <w:sz w:val="23"/>
        </w:rPr>
        <w:t>abreast</w:t>
      </w:r>
      <w:r>
        <w:rPr>
          <w:color w:val="231F20"/>
          <w:spacing w:val="-32"/>
          <w:sz w:val="23"/>
        </w:rPr>
        <w:t> </w:t>
      </w:r>
      <w:r>
        <w:rPr>
          <w:color w:val="231F20"/>
          <w:sz w:val="23"/>
        </w:rPr>
        <w:t>with</w:t>
      </w:r>
      <w:r>
        <w:rPr>
          <w:color w:val="231F20"/>
          <w:spacing w:val="-32"/>
          <w:sz w:val="23"/>
        </w:rPr>
        <w:t> </w:t>
      </w:r>
      <w:r>
        <w:rPr>
          <w:color w:val="231F20"/>
          <w:sz w:val="23"/>
        </w:rPr>
        <w:t>happenings</w:t>
      </w:r>
      <w:r>
        <w:rPr>
          <w:color w:val="231F20"/>
          <w:spacing w:val="-32"/>
          <w:sz w:val="23"/>
        </w:rPr>
        <w:t> </w:t>
      </w:r>
      <w:r>
        <w:rPr>
          <w:color w:val="231F20"/>
          <w:sz w:val="23"/>
        </w:rPr>
        <w:t>at</w:t>
      </w:r>
      <w:r>
        <w:rPr>
          <w:color w:val="231F20"/>
          <w:spacing w:val="-32"/>
          <w:sz w:val="23"/>
        </w:rPr>
        <w:t> </w:t>
      </w:r>
      <w:r>
        <w:rPr>
          <w:color w:val="231F20"/>
          <w:sz w:val="23"/>
        </w:rPr>
        <w:t>the</w:t>
      </w:r>
      <w:r>
        <w:rPr>
          <w:color w:val="231F20"/>
          <w:spacing w:val="-32"/>
          <w:sz w:val="23"/>
        </w:rPr>
        <w:t> </w:t>
      </w:r>
      <w:r>
        <w:rPr>
          <w:color w:val="231F20"/>
          <w:sz w:val="23"/>
        </w:rPr>
        <w:t>national</w:t>
      </w:r>
      <w:r>
        <w:rPr>
          <w:color w:val="231F20"/>
          <w:spacing w:val="-32"/>
          <w:sz w:val="23"/>
        </w:rPr>
        <w:t> </w:t>
      </w:r>
      <w:r>
        <w:rPr>
          <w:color w:val="231F20"/>
          <w:sz w:val="23"/>
        </w:rPr>
        <w:t>level</w:t>
      </w:r>
      <w:r>
        <w:rPr>
          <w:color w:val="231F20"/>
          <w:spacing w:val="-32"/>
          <w:sz w:val="23"/>
        </w:rPr>
        <w:t> </w:t>
      </w:r>
      <w:r>
        <w:rPr>
          <w:color w:val="231F20"/>
          <w:sz w:val="23"/>
        </w:rPr>
        <w:t>through</w:t>
      </w:r>
      <w:r>
        <w:rPr>
          <w:color w:val="231F20"/>
          <w:spacing w:val="-32"/>
          <w:sz w:val="23"/>
        </w:rPr>
        <w:t> </w:t>
      </w:r>
      <w:r>
        <w:rPr>
          <w:color w:val="231F20"/>
          <w:sz w:val="23"/>
        </w:rPr>
        <w:t>video</w:t>
      </w:r>
      <w:r>
        <w:rPr>
          <w:color w:val="231F20"/>
          <w:spacing w:val="-32"/>
          <w:sz w:val="23"/>
        </w:rPr>
        <w:t> </w:t>
      </w:r>
      <w:r>
        <w:rPr>
          <w:color w:val="231F20"/>
          <w:sz w:val="23"/>
        </w:rPr>
        <w:t>messaging and community</w:t>
      </w:r>
      <w:r>
        <w:rPr>
          <w:color w:val="231F20"/>
          <w:spacing w:val="-36"/>
          <w:sz w:val="23"/>
        </w:rPr>
        <w:t> </w:t>
      </w:r>
      <w:r>
        <w:rPr>
          <w:color w:val="231F20"/>
          <w:sz w:val="23"/>
        </w:rPr>
        <w:t>feedback.</w:t>
      </w:r>
    </w:p>
    <w:p>
      <w:pPr>
        <w:pStyle w:val="BodyText"/>
        <w:spacing w:before="10"/>
        <w:rPr>
          <w:sz w:val="26"/>
        </w:rPr>
      </w:pPr>
    </w:p>
    <w:p>
      <w:pPr>
        <w:pStyle w:val="ListParagraph"/>
        <w:numPr>
          <w:ilvl w:val="0"/>
          <w:numId w:val="2"/>
        </w:numPr>
        <w:tabs>
          <w:tab w:pos="954" w:val="left" w:leader="none"/>
        </w:tabs>
        <w:spacing w:line="283" w:lineRule="auto" w:before="0" w:after="0"/>
        <w:ind w:left="103" w:right="124" w:firstLine="87"/>
        <w:jc w:val="both"/>
        <w:rPr>
          <w:sz w:val="23"/>
        </w:rPr>
      </w:pPr>
      <w:r>
        <w:rPr>
          <w:color w:val="231F20"/>
          <w:sz w:val="23"/>
        </w:rPr>
        <w:t>Sustained</w:t>
      </w:r>
      <w:r>
        <w:rPr>
          <w:color w:val="231F20"/>
          <w:spacing w:val="-21"/>
          <w:sz w:val="23"/>
        </w:rPr>
        <w:t> </w:t>
      </w:r>
      <w:r>
        <w:rPr>
          <w:color w:val="231F20"/>
          <w:sz w:val="23"/>
        </w:rPr>
        <w:t>good</w:t>
      </w:r>
      <w:r>
        <w:rPr>
          <w:color w:val="231F20"/>
          <w:spacing w:val="-21"/>
          <w:sz w:val="23"/>
        </w:rPr>
        <w:t> </w:t>
      </w:r>
      <w:r>
        <w:rPr>
          <w:color w:val="231F20"/>
          <w:sz w:val="23"/>
        </w:rPr>
        <w:t>governance</w:t>
      </w:r>
      <w:r>
        <w:rPr>
          <w:color w:val="231F20"/>
          <w:spacing w:val="-21"/>
          <w:sz w:val="23"/>
        </w:rPr>
        <w:t> </w:t>
      </w:r>
      <w:r>
        <w:rPr>
          <w:color w:val="231F20"/>
          <w:sz w:val="23"/>
        </w:rPr>
        <w:t>and</w:t>
      </w:r>
      <w:r>
        <w:rPr>
          <w:color w:val="231F20"/>
          <w:spacing w:val="-21"/>
          <w:sz w:val="23"/>
        </w:rPr>
        <w:t> </w:t>
      </w:r>
      <w:r>
        <w:rPr>
          <w:color w:val="231F20"/>
          <w:sz w:val="23"/>
        </w:rPr>
        <w:t>economic</w:t>
      </w:r>
      <w:r>
        <w:rPr>
          <w:color w:val="231F20"/>
          <w:spacing w:val="-21"/>
          <w:sz w:val="23"/>
        </w:rPr>
        <w:t> </w:t>
      </w:r>
      <w:r>
        <w:rPr>
          <w:color w:val="231F20"/>
          <w:sz w:val="23"/>
        </w:rPr>
        <w:t>stability</w:t>
      </w:r>
      <w:r>
        <w:rPr>
          <w:color w:val="231F20"/>
          <w:spacing w:val="-21"/>
          <w:sz w:val="23"/>
        </w:rPr>
        <w:t> </w:t>
      </w:r>
      <w:r>
        <w:rPr>
          <w:color w:val="231F20"/>
          <w:sz w:val="23"/>
        </w:rPr>
        <w:t>are</w:t>
      </w:r>
      <w:r>
        <w:rPr>
          <w:color w:val="231F20"/>
          <w:spacing w:val="-21"/>
          <w:sz w:val="23"/>
        </w:rPr>
        <w:t> </w:t>
      </w:r>
      <w:r>
        <w:rPr>
          <w:color w:val="231F20"/>
          <w:sz w:val="23"/>
        </w:rPr>
        <w:t>expected</w:t>
      </w:r>
      <w:r>
        <w:rPr>
          <w:color w:val="231F20"/>
          <w:spacing w:val="-21"/>
          <w:sz w:val="23"/>
        </w:rPr>
        <w:t> </w:t>
      </w:r>
      <w:r>
        <w:rPr>
          <w:color w:val="231F20"/>
          <w:sz w:val="23"/>
        </w:rPr>
        <w:t>to</w:t>
      </w:r>
      <w:r>
        <w:rPr>
          <w:color w:val="231F20"/>
          <w:spacing w:val="-20"/>
          <w:sz w:val="23"/>
        </w:rPr>
        <w:t> </w:t>
      </w:r>
      <w:r>
        <w:rPr>
          <w:color w:val="231F20"/>
          <w:sz w:val="23"/>
        </w:rPr>
        <w:t>strengthen donor</w:t>
      </w:r>
      <w:r>
        <w:rPr>
          <w:color w:val="231F20"/>
          <w:spacing w:val="10"/>
          <w:sz w:val="23"/>
        </w:rPr>
        <w:t> </w:t>
      </w:r>
      <w:r>
        <w:rPr>
          <w:color w:val="231F20"/>
          <w:sz w:val="23"/>
        </w:rPr>
        <w:t>and</w:t>
      </w:r>
      <w:r>
        <w:rPr>
          <w:color w:val="231F20"/>
          <w:spacing w:val="10"/>
          <w:sz w:val="23"/>
        </w:rPr>
        <w:t> </w:t>
      </w:r>
      <w:r>
        <w:rPr>
          <w:color w:val="231F20"/>
          <w:sz w:val="23"/>
        </w:rPr>
        <w:t>investor</w:t>
      </w:r>
      <w:r>
        <w:rPr>
          <w:color w:val="231F20"/>
          <w:spacing w:val="10"/>
          <w:sz w:val="23"/>
        </w:rPr>
        <w:t> </w:t>
      </w:r>
      <w:r>
        <w:rPr>
          <w:color w:val="231F20"/>
          <w:sz w:val="23"/>
        </w:rPr>
        <w:t>confidence.</w:t>
      </w:r>
      <w:r>
        <w:rPr>
          <w:color w:val="231F20"/>
          <w:spacing w:val="10"/>
          <w:sz w:val="23"/>
        </w:rPr>
        <w:t> </w:t>
      </w:r>
      <w:r>
        <w:rPr>
          <w:color w:val="231F20"/>
          <w:sz w:val="23"/>
        </w:rPr>
        <w:t>We</w:t>
      </w:r>
      <w:r>
        <w:rPr>
          <w:color w:val="231F20"/>
          <w:spacing w:val="10"/>
          <w:sz w:val="23"/>
        </w:rPr>
        <w:t> </w:t>
      </w:r>
      <w:r>
        <w:rPr>
          <w:color w:val="231F20"/>
          <w:sz w:val="23"/>
        </w:rPr>
        <w:t>will,</w:t>
      </w:r>
      <w:r>
        <w:rPr>
          <w:color w:val="231F20"/>
          <w:spacing w:val="10"/>
          <w:sz w:val="23"/>
        </w:rPr>
        <w:t> </w:t>
      </w:r>
      <w:r>
        <w:rPr>
          <w:color w:val="231F20"/>
          <w:sz w:val="23"/>
        </w:rPr>
        <w:t>therefore,</w:t>
      </w:r>
      <w:r>
        <w:rPr>
          <w:color w:val="231F20"/>
          <w:spacing w:val="10"/>
          <w:sz w:val="23"/>
        </w:rPr>
        <w:t> </w:t>
      </w:r>
      <w:r>
        <w:rPr>
          <w:color w:val="231F20"/>
          <w:sz w:val="23"/>
        </w:rPr>
        <w:t>continue</w:t>
      </w:r>
      <w:r>
        <w:rPr>
          <w:color w:val="231F20"/>
          <w:spacing w:val="10"/>
          <w:sz w:val="23"/>
        </w:rPr>
        <w:t> </w:t>
      </w:r>
      <w:r>
        <w:rPr>
          <w:color w:val="231F20"/>
          <w:sz w:val="23"/>
        </w:rPr>
        <w:t>in</w:t>
      </w:r>
      <w:r>
        <w:rPr>
          <w:color w:val="231F20"/>
          <w:spacing w:val="10"/>
          <w:sz w:val="23"/>
        </w:rPr>
        <w:t> </w:t>
      </w:r>
      <w:r>
        <w:rPr>
          <w:color w:val="231F20"/>
          <w:sz w:val="23"/>
        </w:rPr>
        <w:t>this</w:t>
      </w:r>
      <w:r>
        <w:rPr>
          <w:color w:val="231F20"/>
          <w:spacing w:val="10"/>
          <w:sz w:val="23"/>
        </w:rPr>
        <w:t> </w:t>
      </w:r>
      <w:r>
        <w:rPr>
          <w:color w:val="231F20"/>
          <w:sz w:val="23"/>
        </w:rPr>
        <w:t>direction.</w:t>
      </w:r>
    </w:p>
    <w:p>
      <w:pPr>
        <w:pStyle w:val="BodyText"/>
        <w:spacing w:before="6"/>
        <w:rPr>
          <w:sz w:val="27"/>
        </w:rPr>
      </w:pPr>
    </w:p>
    <w:p>
      <w:pPr>
        <w:pStyle w:val="Heading2"/>
        <w:jc w:val="both"/>
      </w:pPr>
      <w:r>
        <w:rPr>
          <w:color w:val="231F20"/>
        </w:rPr>
        <w:t>Targeted Interventions for Job Creation</w:t>
      </w:r>
    </w:p>
    <w:p>
      <w:pPr>
        <w:pStyle w:val="ListParagraph"/>
        <w:numPr>
          <w:ilvl w:val="0"/>
          <w:numId w:val="2"/>
        </w:numPr>
        <w:tabs>
          <w:tab w:pos="954" w:val="left" w:leader="none"/>
        </w:tabs>
        <w:spacing w:line="283" w:lineRule="auto" w:before="49" w:after="0"/>
        <w:ind w:left="103" w:right="119" w:firstLine="87"/>
        <w:jc w:val="both"/>
        <w:rPr>
          <w:sz w:val="23"/>
        </w:rPr>
      </w:pPr>
      <w:r>
        <w:rPr>
          <w:color w:val="231F20"/>
          <w:sz w:val="23"/>
        </w:rPr>
        <w:t>Mr. Speaker, Honourable Members, while implementing macro-economic policies and improving the business climate remain essential, the benefits of these policies</w:t>
      </w:r>
      <w:r>
        <w:rPr>
          <w:color w:val="231F20"/>
          <w:spacing w:val="-25"/>
          <w:sz w:val="23"/>
        </w:rPr>
        <w:t> </w:t>
      </w:r>
      <w:r>
        <w:rPr>
          <w:color w:val="231F20"/>
          <w:sz w:val="23"/>
        </w:rPr>
        <w:t>and</w:t>
      </w:r>
      <w:r>
        <w:rPr>
          <w:color w:val="231F20"/>
          <w:spacing w:val="-25"/>
          <w:sz w:val="23"/>
        </w:rPr>
        <w:t> </w:t>
      </w:r>
      <w:r>
        <w:rPr>
          <w:color w:val="231F20"/>
          <w:sz w:val="23"/>
        </w:rPr>
        <w:t>their</w:t>
      </w:r>
      <w:r>
        <w:rPr>
          <w:color w:val="231F20"/>
          <w:spacing w:val="-24"/>
          <w:sz w:val="23"/>
        </w:rPr>
        <w:t> </w:t>
      </w:r>
      <w:r>
        <w:rPr>
          <w:color w:val="231F20"/>
          <w:sz w:val="23"/>
        </w:rPr>
        <w:t>impact</w:t>
      </w:r>
      <w:r>
        <w:rPr>
          <w:color w:val="231F20"/>
          <w:spacing w:val="-24"/>
          <w:sz w:val="23"/>
        </w:rPr>
        <w:t> </w:t>
      </w:r>
      <w:r>
        <w:rPr>
          <w:color w:val="231F20"/>
          <w:sz w:val="23"/>
        </w:rPr>
        <w:t>on</w:t>
      </w:r>
      <w:r>
        <w:rPr>
          <w:color w:val="231F20"/>
          <w:spacing w:val="-25"/>
          <w:sz w:val="23"/>
        </w:rPr>
        <w:t> </w:t>
      </w:r>
      <w:r>
        <w:rPr>
          <w:color w:val="231F20"/>
          <w:sz w:val="23"/>
        </w:rPr>
        <w:t>living</w:t>
      </w:r>
      <w:r>
        <w:rPr>
          <w:color w:val="231F20"/>
          <w:spacing w:val="-24"/>
          <w:sz w:val="23"/>
        </w:rPr>
        <w:t> </w:t>
      </w:r>
      <w:r>
        <w:rPr>
          <w:color w:val="231F20"/>
          <w:sz w:val="23"/>
        </w:rPr>
        <w:t>standards</w:t>
      </w:r>
      <w:r>
        <w:rPr>
          <w:color w:val="231F20"/>
          <w:spacing w:val="-25"/>
          <w:sz w:val="23"/>
        </w:rPr>
        <w:t> </w:t>
      </w:r>
      <w:r>
        <w:rPr>
          <w:color w:val="231F20"/>
          <w:sz w:val="23"/>
        </w:rPr>
        <w:t>may</w:t>
      </w:r>
      <w:r>
        <w:rPr>
          <w:color w:val="231F20"/>
          <w:spacing w:val="-25"/>
          <w:sz w:val="23"/>
        </w:rPr>
        <w:t> </w:t>
      </w:r>
      <w:r>
        <w:rPr>
          <w:color w:val="231F20"/>
          <w:sz w:val="23"/>
        </w:rPr>
        <w:t>take</w:t>
      </w:r>
      <w:r>
        <w:rPr>
          <w:color w:val="231F20"/>
          <w:spacing w:val="-24"/>
          <w:sz w:val="23"/>
        </w:rPr>
        <w:t> </w:t>
      </w:r>
      <w:r>
        <w:rPr>
          <w:color w:val="231F20"/>
          <w:sz w:val="23"/>
        </w:rPr>
        <w:t>time</w:t>
      </w:r>
      <w:r>
        <w:rPr>
          <w:color w:val="231F20"/>
          <w:spacing w:val="-24"/>
          <w:sz w:val="23"/>
        </w:rPr>
        <w:t> </w:t>
      </w:r>
      <w:r>
        <w:rPr>
          <w:color w:val="231F20"/>
          <w:sz w:val="23"/>
        </w:rPr>
        <w:t>to</w:t>
      </w:r>
      <w:r>
        <w:rPr>
          <w:color w:val="231F20"/>
          <w:spacing w:val="-24"/>
          <w:sz w:val="23"/>
        </w:rPr>
        <w:t> </w:t>
      </w:r>
      <w:r>
        <w:rPr>
          <w:color w:val="231F20"/>
          <w:sz w:val="23"/>
        </w:rPr>
        <w:t>yield</w:t>
      </w:r>
      <w:r>
        <w:rPr>
          <w:color w:val="231F20"/>
          <w:spacing w:val="-25"/>
          <w:sz w:val="23"/>
        </w:rPr>
        <w:t> </w:t>
      </w:r>
      <w:r>
        <w:rPr>
          <w:color w:val="231F20"/>
          <w:sz w:val="23"/>
        </w:rPr>
        <w:t>the</w:t>
      </w:r>
      <w:r>
        <w:rPr>
          <w:color w:val="231F20"/>
          <w:spacing w:val="-24"/>
          <w:sz w:val="23"/>
        </w:rPr>
        <w:t> </w:t>
      </w:r>
      <w:r>
        <w:rPr>
          <w:color w:val="231F20"/>
          <w:sz w:val="23"/>
        </w:rPr>
        <w:t>desired</w:t>
      </w:r>
      <w:r>
        <w:rPr>
          <w:color w:val="231F20"/>
          <w:spacing w:val="-25"/>
          <w:sz w:val="23"/>
        </w:rPr>
        <w:t> </w:t>
      </w:r>
      <w:r>
        <w:rPr>
          <w:color w:val="231F20"/>
          <w:sz w:val="23"/>
        </w:rPr>
        <w:t>results in</w:t>
      </w:r>
      <w:r>
        <w:rPr>
          <w:color w:val="231F20"/>
          <w:spacing w:val="-37"/>
          <w:sz w:val="23"/>
        </w:rPr>
        <w:t> </w:t>
      </w:r>
      <w:r>
        <w:rPr>
          <w:color w:val="231F20"/>
          <w:sz w:val="23"/>
        </w:rPr>
        <w:t>terms</w:t>
      </w:r>
      <w:r>
        <w:rPr>
          <w:color w:val="231F20"/>
          <w:spacing w:val="-37"/>
          <w:sz w:val="23"/>
        </w:rPr>
        <w:t> </w:t>
      </w:r>
      <w:r>
        <w:rPr>
          <w:color w:val="231F20"/>
          <w:sz w:val="23"/>
        </w:rPr>
        <w:t>of</w:t>
      </w:r>
      <w:r>
        <w:rPr>
          <w:color w:val="231F20"/>
          <w:spacing w:val="-37"/>
          <w:sz w:val="23"/>
        </w:rPr>
        <w:t> </w:t>
      </w:r>
      <w:r>
        <w:rPr>
          <w:color w:val="231F20"/>
          <w:sz w:val="23"/>
        </w:rPr>
        <w:t>employment</w:t>
      </w:r>
      <w:r>
        <w:rPr>
          <w:color w:val="231F20"/>
          <w:spacing w:val="-37"/>
          <w:sz w:val="23"/>
        </w:rPr>
        <w:t> </w:t>
      </w:r>
      <w:r>
        <w:rPr>
          <w:color w:val="231F20"/>
          <w:sz w:val="23"/>
        </w:rPr>
        <w:t>growth.</w:t>
      </w:r>
      <w:r>
        <w:rPr>
          <w:color w:val="231F20"/>
          <w:spacing w:val="-37"/>
          <w:sz w:val="23"/>
        </w:rPr>
        <w:t> </w:t>
      </w:r>
      <w:r>
        <w:rPr>
          <w:color w:val="231F20"/>
          <w:sz w:val="23"/>
        </w:rPr>
        <w:t>Therefore,</w:t>
      </w:r>
      <w:r>
        <w:rPr>
          <w:color w:val="231F20"/>
          <w:spacing w:val="-37"/>
          <w:sz w:val="23"/>
        </w:rPr>
        <w:t> </w:t>
      </w:r>
      <w:r>
        <w:rPr>
          <w:color w:val="231F20"/>
          <w:sz w:val="23"/>
        </w:rPr>
        <w:t>these</w:t>
      </w:r>
      <w:r>
        <w:rPr>
          <w:color w:val="231F20"/>
          <w:spacing w:val="-37"/>
          <w:sz w:val="23"/>
        </w:rPr>
        <w:t> </w:t>
      </w:r>
      <w:r>
        <w:rPr>
          <w:color w:val="231F20"/>
          <w:sz w:val="23"/>
        </w:rPr>
        <w:t>policies</w:t>
      </w:r>
      <w:r>
        <w:rPr>
          <w:color w:val="231F20"/>
          <w:spacing w:val="-37"/>
          <w:sz w:val="23"/>
        </w:rPr>
        <w:t> </w:t>
      </w:r>
      <w:r>
        <w:rPr>
          <w:color w:val="231F20"/>
          <w:sz w:val="23"/>
        </w:rPr>
        <w:t>should</w:t>
      </w:r>
      <w:r>
        <w:rPr>
          <w:color w:val="231F20"/>
          <w:spacing w:val="-37"/>
          <w:sz w:val="23"/>
        </w:rPr>
        <w:t> </w:t>
      </w:r>
      <w:r>
        <w:rPr>
          <w:color w:val="231F20"/>
          <w:sz w:val="23"/>
        </w:rPr>
        <w:t>be</w:t>
      </w:r>
      <w:r>
        <w:rPr>
          <w:color w:val="231F20"/>
          <w:spacing w:val="-36"/>
          <w:sz w:val="23"/>
        </w:rPr>
        <w:t> </w:t>
      </w:r>
      <w:r>
        <w:rPr>
          <w:color w:val="231F20"/>
          <w:sz w:val="23"/>
        </w:rPr>
        <w:t>complemented</w:t>
      </w:r>
      <w:r>
        <w:rPr>
          <w:color w:val="231F20"/>
          <w:spacing w:val="-37"/>
          <w:sz w:val="23"/>
        </w:rPr>
        <w:t> </w:t>
      </w:r>
      <w:r>
        <w:rPr>
          <w:color w:val="231F20"/>
          <w:spacing w:val="-3"/>
          <w:sz w:val="23"/>
        </w:rPr>
        <w:t>with </w:t>
      </w:r>
      <w:r>
        <w:rPr>
          <w:color w:val="231F20"/>
          <w:sz w:val="23"/>
        </w:rPr>
        <w:t>targeted</w:t>
      </w:r>
      <w:r>
        <w:rPr>
          <w:color w:val="231F20"/>
          <w:spacing w:val="-25"/>
          <w:sz w:val="23"/>
        </w:rPr>
        <w:t> </w:t>
      </w:r>
      <w:r>
        <w:rPr>
          <w:color w:val="231F20"/>
          <w:sz w:val="23"/>
        </w:rPr>
        <w:t>interventions</w:t>
      </w:r>
      <w:r>
        <w:rPr>
          <w:color w:val="231F20"/>
          <w:spacing w:val="-25"/>
          <w:sz w:val="23"/>
        </w:rPr>
        <w:t> </w:t>
      </w:r>
      <w:r>
        <w:rPr>
          <w:color w:val="231F20"/>
          <w:sz w:val="23"/>
        </w:rPr>
        <w:t>to</w:t>
      </w:r>
      <w:r>
        <w:rPr>
          <w:color w:val="231F20"/>
          <w:spacing w:val="-25"/>
          <w:sz w:val="23"/>
        </w:rPr>
        <w:t> </w:t>
      </w:r>
      <w:r>
        <w:rPr>
          <w:color w:val="231F20"/>
          <w:sz w:val="23"/>
        </w:rPr>
        <w:t>support</w:t>
      </w:r>
      <w:r>
        <w:rPr>
          <w:color w:val="231F20"/>
          <w:spacing w:val="-25"/>
          <w:sz w:val="23"/>
        </w:rPr>
        <w:t> </w:t>
      </w:r>
      <w:r>
        <w:rPr>
          <w:color w:val="231F20"/>
          <w:sz w:val="23"/>
        </w:rPr>
        <w:t>job</w:t>
      </w:r>
      <w:r>
        <w:rPr>
          <w:color w:val="231F20"/>
          <w:spacing w:val="-25"/>
          <w:sz w:val="23"/>
        </w:rPr>
        <w:t> </w:t>
      </w:r>
      <w:r>
        <w:rPr>
          <w:color w:val="231F20"/>
          <w:sz w:val="23"/>
        </w:rPr>
        <w:t>creation</w:t>
      </w:r>
      <w:r>
        <w:rPr>
          <w:color w:val="231F20"/>
          <w:spacing w:val="-25"/>
          <w:sz w:val="23"/>
        </w:rPr>
        <w:t> </w:t>
      </w:r>
      <w:r>
        <w:rPr>
          <w:color w:val="231F20"/>
          <w:sz w:val="23"/>
        </w:rPr>
        <w:t>and</w:t>
      </w:r>
      <w:r>
        <w:rPr>
          <w:color w:val="231F20"/>
          <w:spacing w:val="-25"/>
          <w:sz w:val="23"/>
        </w:rPr>
        <w:t> </w:t>
      </w:r>
      <w:r>
        <w:rPr>
          <w:color w:val="231F20"/>
          <w:sz w:val="23"/>
        </w:rPr>
        <w:t>higher</w:t>
      </w:r>
      <w:r>
        <w:rPr>
          <w:color w:val="231F20"/>
          <w:spacing w:val="-25"/>
          <w:sz w:val="23"/>
        </w:rPr>
        <w:t> </w:t>
      </w:r>
      <w:r>
        <w:rPr>
          <w:color w:val="231F20"/>
          <w:sz w:val="23"/>
        </w:rPr>
        <w:t>utilisation</w:t>
      </w:r>
      <w:r>
        <w:rPr>
          <w:color w:val="231F20"/>
          <w:spacing w:val="-25"/>
          <w:sz w:val="23"/>
        </w:rPr>
        <w:t> </w:t>
      </w:r>
      <w:r>
        <w:rPr>
          <w:color w:val="231F20"/>
          <w:sz w:val="23"/>
        </w:rPr>
        <w:t>of</w:t>
      </w:r>
      <w:r>
        <w:rPr>
          <w:color w:val="231F20"/>
          <w:spacing w:val="-25"/>
          <w:sz w:val="23"/>
        </w:rPr>
        <w:t> </w:t>
      </w:r>
      <w:r>
        <w:rPr>
          <w:color w:val="231F20"/>
          <w:sz w:val="23"/>
        </w:rPr>
        <w:t>human</w:t>
      </w:r>
      <w:r>
        <w:rPr>
          <w:color w:val="231F20"/>
          <w:spacing w:val="-25"/>
          <w:sz w:val="23"/>
        </w:rPr>
        <w:t> </w:t>
      </w:r>
      <w:r>
        <w:rPr>
          <w:color w:val="231F20"/>
          <w:sz w:val="23"/>
        </w:rPr>
        <w:t>capital.</w:t>
      </w:r>
    </w:p>
    <w:p>
      <w:pPr>
        <w:pStyle w:val="BodyText"/>
        <w:spacing w:before="10"/>
        <w:rPr>
          <w:sz w:val="27"/>
        </w:rPr>
      </w:pPr>
    </w:p>
    <w:p>
      <w:pPr>
        <w:pStyle w:val="ListParagraph"/>
        <w:numPr>
          <w:ilvl w:val="0"/>
          <w:numId w:val="2"/>
        </w:numPr>
        <w:tabs>
          <w:tab w:pos="954" w:val="left" w:leader="none"/>
        </w:tabs>
        <w:spacing w:line="288" w:lineRule="auto" w:before="1" w:after="0"/>
        <w:ind w:left="103" w:right="117" w:firstLine="87"/>
        <w:jc w:val="both"/>
        <w:rPr>
          <w:sz w:val="23"/>
        </w:rPr>
      </w:pPr>
      <w:r>
        <w:rPr>
          <w:color w:val="231F20"/>
          <w:sz w:val="23"/>
        </w:rPr>
        <w:t>Mr. Speaker, Honourable Members, the availability of jobs is the</w:t>
      </w:r>
      <w:r>
        <w:rPr>
          <w:color w:val="231F20"/>
          <w:spacing w:val="23"/>
          <w:sz w:val="23"/>
        </w:rPr>
        <w:t> </w:t>
      </w:r>
      <w:r>
        <w:rPr>
          <w:color w:val="231F20"/>
          <w:sz w:val="23"/>
        </w:rPr>
        <w:t>most predictable means by which our youths can acquire the much needed </w:t>
      </w:r>
      <w:r>
        <w:rPr>
          <w:b/>
          <w:i/>
          <w:color w:val="231F20"/>
          <w:sz w:val="23"/>
        </w:rPr>
        <w:t>‘bread and butter’</w:t>
      </w:r>
      <w:r>
        <w:rPr>
          <w:color w:val="231F20"/>
          <w:sz w:val="23"/>
        </w:rPr>
        <w:t>. Given the urgent need to create job opportunities for our youth, especially those in the informal sector, Government will be implementing the following job- creating targeted interventions in</w:t>
      </w:r>
      <w:r>
        <w:rPr>
          <w:color w:val="231F20"/>
          <w:spacing w:val="52"/>
          <w:sz w:val="23"/>
        </w:rPr>
        <w:t> </w:t>
      </w:r>
      <w:r>
        <w:rPr>
          <w:color w:val="231F20"/>
          <w:sz w:val="23"/>
        </w:rPr>
        <w:t>2020:</w:t>
      </w:r>
    </w:p>
    <w:p>
      <w:pPr>
        <w:pStyle w:val="BodyText"/>
        <w:spacing w:before="7"/>
        <w:rPr>
          <w:sz w:val="29"/>
        </w:rPr>
      </w:pPr>
    </w:p>
    <w:p>
      <w:pPr>
        <w:pStyle w:val="Heading2"/>
        <w:ind w:left="1238"/>
      </w:pPr>
      <w:r>
        <w:rPr>
          <w:color w:val="231F20"/>
        </w:rPr>
        <w:t>Supporting Small and Medium Scale Enterprises (SMEs)</w:t>
      </w:r>
    </w:p>
    <w:p>
      <w:pPr>
        <w:pStyle w:val="ListParagraph"/>
        <w:numPr>
          <w:ilvl w:val="0"/>
          <w:numId w:val="2"/>
        </w:numPr>
        <w:tabs>
          <w:tab w:pos="954" w:val="left" w:leader="none"/>
        </w:tabs>
        <w:spacing w:line="292" w:lineRule="auto" w:before="59" w:after="0"/>
        <w:ind w:left="103" w:right="118" w:firstLine="87"/>
        <w:jc w:val="both"/>
        <w:rPr>
          <w:sz w:val="23"/>
        </w:rPr>
      </w:pPr>
      <w:r>
        <w:rPr>
          <w:color w:val="231F20"/>
          <w:sz w:val="23"/>
        </w:rPr>
        <w:t>Mr. Speaker, Honourable Members, as a result of rural neglect, since the 1980s,</w:t>
      </w:r>
      <w:r>
        <w:rPr>
          <w:color w:val="231F20"/>
          <w:spacing w:val="-44"/>
          <w:sz w:val="23"/>
        </w:rPr>
        <w:t> </w:t>
      </w:r>
      <w:r>
        <w:rPr>
          <w:color w:val="231F20"/>
          <w:sz w:val="23"/>
        </w:rPr>
        <w:t>we</w:t>
      </w:r>
      <w:r>
        <w:rPr>
          <w:color w:val="231F20"/>
          <w:spacing w:val="-43"/>
          <w:sz w:val="23"/>
        </w:rPr>
        <w:t> </w:t>
      </w:r>
      <w:r>
        <w:rPr>
          <w:color w:val="231F20"/>
          <w:sz w:val="23"/>
        </w:rPr>
        <w:t>have</w:t>
      </w:r>
      <w:r>
        <w:rPr>
          <w:color w:val="231F20"/>
          <w:spacing w:val="-44"/>
          <w:sz w:val="23"/>
        </w:rPr>
        <w:t> </w:t>
      </w:r>
      <w:r>
        <w:rPr>
          <w:color w:val="231F20"/>
          <w:sz w:val="23"/>
        </w:rPr>
        <w:t>experienced</w:t>
      </w:r>
      <w:r>
        <w:rPr>
          <w:color w:val="231F20"/>
          <w:spacing w:val="-43"/>
          <w:sz w:val="23"/>
        </w:rPr>
        <w:t> </w:t>
      </w:r>
      <w:r>
        <w:rPr>
          <w:color w:val="231F20"/>
          <w:sz w:val="23"/>
        </w:rPr>
        <w:t>increased</w:t>
      </w:r>
      <w:r>
        <w:rPr>
          <w:color w:val="231F20"/>
          <w:spacing w:val="-44"/>
          <w:sz w:val="23"/>
        </w:rPr>
        <w:t> </w:t>
      </w:r>
      <w:r>
        <w:rPr>
          <w:color w:val="231F20"/>
          <w:sz w:val="23"/>
        </w:rPr>
        <w:t>migration</w:t>
      </w:r>
      <w:r>
        <w:rPr>
          <w:color w:val="231F20"/>
          <w:spacing w:val="-43"/>
          <w:sz w:val="23"/>
        </w:rPr>
        <w:t> </w:t>
      </w:r>
      <w:r>
        <w:rPr>
          <w:color w:val="231F20"/>
          <w:sz w:val="23"/>
        </w:rPr>
        <w:t>to</w:t>
      </w:r>
      <w:r>
        <w:rPr>
          <w:color w:val="231F20"/>
          <w:spacing w:val="-43"/>
          <w:sz w:val="23"/>
        </w:rPr>
        <w:t> </w:t>
      </w:r>
      <w:r>
        <w:rPr>
          <w:color w:val="231F20"/>
          <w:sz w:val="23"/>
        </w:rPr>
        <w:t>urban</w:t>
      </w:r>
      <w:r>
        <w:rPr>
          <w:color w:val="231F20"/>
          <w:spacing w:val="-44"/>
          <w:sz w:val="23"/>
        </w:rPr>
        <w:t> </w:t>
      </w:r>
      <w:r>
        <w:rPr>
          <w:color w:val="231F20"/>
          <w:sz w:val="23"/>
        </w:rPr>
        <w:t>towns,</w:t>
      </w:r>
      <w:r>
        <w:rPr>
          <w:color w:val="231F20"/>
          <w:spacing w:val="-43"/>
          <w:sz w:val="23"/>
        </w:rPr>
        <w:t> </w:t>
      </w:r>
      <w:r>
        <w:rPr>
          <w:color w:val="231F20"/>
          <w:sz w:val="23"/>
        </w:rPr>
        <w:t>particularly</w:t>
      </w:r>
      <w:r>
        <w:rPr>
          <w:color w:val="231F20"/>
          <w:spacing w:val="-44"/>
          <w:sz w:val="23"/>
        </w:rPr>
        <w:t> </w:t>
      </w:r>
      <w:r>
        <w:rPr>
          <w:color w:val="231F20"/>
          <w:sz w:val="23"/>
        </w:rPr>
        <w:t>Freetown and the provincial capitals. We have also experienced an increase in the number of early school leavers. These migrants and the early school leavers, as well as our mothers and sisters, are engaged in informal activities on small and</w:t>
      </w:r>
      <w:r>
        <w:rPr>
          <w:color w:val="231F20"/>
          <w:spacing w:val="44"/>
          <w:sz w:val="23"/>
        </w:rPr>
        <w:t> </w:t>
      </w:r>
      <w:r>
        <w:rPr>
          <w:color w:val="231F20"/>
          <w:sz w:val="23"/>
        </w:rPr>
        <w:t>medium-scale.</w:t>
      </w:r>
    </w:p>
    <w:p>
      <w:pPr>
        <w:pStyle w:val="BodyText"/>
        <w:spacing w:before="4"/>
        <w:rPr>
          <w:sz w:val="28"/>
        </w:rPr>
      </w:pPr>
    </w:p>
    <w:p>
      <w:pPr>
        <w:pStyle w:val="ListParagraph"/>
        <w:numPr>
          <w:ilvl w:val="0"/>
          <w:numId w:val="2"/>
        </w:numPr>
        <w:tabs>
          <w:tab w:pos="954" w:val="left" w:leader="none"/>
        </w:tabs>
        <w:spacing w:line="292" w:lineRule="auto" w:before="1" w:after="0"/>
        <w:ind w:left="103" w:right="118" w:firstLine="87"/>
        <w:jc w:val="both"/>
        <w:rPr>
          <w:sz w:val="23"/>
        </w:rPr>
      </w:pPr>
      <w:r>
        <w:rPr>
          <w:color w:val="231F20"/>
          <w:sz w:val="23"/>
        </w:rPr>
        <w:t>Overall,</w:t>
      </w:r>
      <w:r>
        <w:rPr>
          <w:color w:val="231F20"/>
          <w:spacing w:val="-31"/>
          <w:sz w:val="23"/>
        </w:rPr>
        <w:t> </w:t>
      </w:r>
      <w:r>
        <w:rPr>
          <w:color w:val="231F20"/>
          <w:sz w:val="23"/>
        </w:rPr>
        <w:t>at</w:t>
      </w:r>
      <w:r>
        <w:rPr>
          <w:color w:val="231F20"/>
          <w:spacing w:val="-31"/>
          <w:sz w:val="23"/>
        </w:rPr>
        <w:t> </w:t>
      </w:r>
      <w:r>
        <w:rPr>
          <w:color w:val="231F20"/>
          <w:sz w:val="23"/>
        </w:rPr>
        <w:t>least</w:t>
      </w:r>
      <w:r>
        <w:rPr>
          <w:color w:val="231F20"/>
          <w:spacing w:val="-31"/>
          <w:sz w:val="23"/>
        </w:rPr>
        <w:t> </w:t>
      </w:r>
      <w:r>
        <w:rPr>
          <w:color w:val="231F20"/>
          <w:sz w:val="23"/>
        </w:rPr>
        <w:t>70</w:t>
      </w:r>
      <w:r>
        <w:rPr>
          <w:color w:val="231F20"/>
          <w:spacing w:val="-31"/>
          <w:sz w:val="23"/>
        </w:rPr>
        <w:t> </w:t>
      </w:r>
      <w:r>
        <w:rPr>
          <w:color w:val="231F20"/>
          <w:sz w:val="23"/>
        </w:rPr>
        <w:t>per</w:t>
      </w:r>
      <w:r>
        <w:rPr>
          <w:color w:val="231F20"/>
          <w:spacing w:val="-31"/>
          <w:sz w:val="23"/>
        </w:rPr>
        <w:t> </w:t>
      </w:r>
      <w:r>
        <w:rPr>
          <w:color w:val="231F20"/>
          <w:sz w:val="23"/>
        </w:rPr>
        <w:t>cent</w:t>
      </w:r>
      <w:r>
        <w:rPr>
          <w:color w:val="231F20"/>
          <w:spacing w:val="-31"/>
          <w:sz w:val="23"/>
        </w:rPr>
        <w:t> </w:t>
      </w:r>
      <w:r>
        <w:rPr>
          <w:color w:val="231F20"/>
          <w:sz w:val="23"/>
        </w:rPr>
        <w:t>of</w:t>
      </w:r>
      <w:r>
        <w:rPr>
          <w:color w:val="231F20"/>
          <w:spacing w:val="-31"/>
          <w:sz w:val="23"/>
        </w:rPr>
        <w:t> </w:t>
      </w:r>
      <w:r>
        <w:rPr>
          <w:color w:val="231F20"/>
          <w:sz w:val="23"/>
        </w:rPr>
        <w:t>the</w:t>
      </w:r>
      <w:r>
        <w:rPr>
          <w:color w:val="231F20"/>
          <w:spacing w:val="-31"/>
          <w:sz w:val="23"/>
        </w:rPr>
        <w:t> </w:t>
      </w:r>
      <w:r>
        <w:rPr>
          <w:color w:val="231F20"/>
          <w:sz w:val="23"/>
        </w:rPr>
        <w:t>active</w:t>
      </w:r>
      <w:r>
        <w:rPr>
          <w:color w:val="231F20"/>
          <w:spacing w:val="-31"/>
          <w:sz w:val="23"/>
        </w:rPr>
        <w:t> </w:t>
      </w:r>
      <w:r>
        <w:rPr>
          <w:color w:val="231F20"/>
          <w:sz w:val="23"/>
        </w:rPr>
        <w:t>labour</w:t>
      </w:r>
      <w:r>
        <w:rPr>
          <w:color w:val="231F20"/>
          <w:spacing w:val="-31"/>
          <w:sz w:val="23"/>
        </w:rPr>
        <w:t> </w:t>
      </w:r>
      <w:r>
        <w:rPr>
          <w:color w:val="231F20"/>
          <w:sz w:val="23"/>
        </w:rPr>
        <w:t>force</w:t>
      </w:r>
      <w:r>
        <w:rPr>
          <w:color w:val="231F20"/>
          <w:spacing w:val="-31"/>
          <w:sz w:val="23"/>
        </w:rPr>
        <w:t> </w:t>
      </w:r>
      <w:r>
        <w:rPr>
          <w:color w:val="231F20"/>
          <w:sz w:val="23"/>
        </w:rPr>
        <w:t>in</w:t>
      </w:r>
      <w:r>
        <w:rPr>
          <w:color w:val="231F20"/>
          <w:spacing w:val="-31"/>
          <w:sz w:val="23"/>
        </w:rPr>
        <w:t> </w:t>
      </w:r>
      <w:r>
        <w:rPr>
          <w:color w:val="231F20"/>
          <w:sz w:val="23"/>
        </w:rPr>
        <w:t>urban</w:t>
      </w:r>
      <w:r>
        <w:rPr>
          <w:color w:val="231F20"/>
          <w:spacing w:val="-31"/>
          <w:sz w:val="23"/>
        </w:rPr>
        <w:t> </w:t>
      </w:r>
      <w:r>
        <w:rPr>
          <w:color w:val="231F20"/>
          <w:sz w:val="23"/>
        </w:rPr>
        <w:t>towns</w:t>
      </w:r>
      <w:r>
        <w:rPr>
          <w:color w:val="231F20"/>
          <w:spacing w:val="-31"/>
          <w:sz w:val="23"/>
        </w:rPr>
        <w:t> </w:t>
      </w:r>
      <w:r>
        <w:rPr>
          <w:color w:val="231F20"/>
          <w:sz w:val="23"/>
        </w:rPr>
        <w:t>is</w:t>
      </w:r>
      <w:r>
        <w:rPr>
          <w:color w:val="231F20"/>
          <w:spacing w:val="-31"/>
          <w:sz w:val="23"/>
        </w:rPr>
        <w:t> </w:t>
      </w:r>
      <w:r>
        <w:rPr>
          <w:color w:val="231F20"/>
          <w:sz w:val="23"/>
        </w:rPr>
        <w:t>engaged in</w:t>
      </w:r>
      <w:r>
        <w:rPr>
          <w:color w:val="231F20"/>
          <w:spacing w:val="-15"/>
          <w:sz w:val="23"/>
        </w:rPr>
        <w:t> </w:t>
      </w:r>
      <w:r>
        <w:rPr>
          <w:color w:val="231F20"/>
          <w:sz w:val="23"/>
        </w:rPr>
        <w:t>informal</w:t>
      </w:r>
      <w:r>
        <w:rPr>
          <w:color w:val="231F20"/>
          <w:spacing w:val="-15"/>
          <w:sz w:val="23"/>
        </w:rPr>
        <w:t> </w:t>
      </w:r>
      <w:r>
        <w:rPr>
          <w:color w:val="231F20"/>
          <w:sz w:val="23"/>
        </w:rPr>
        <w:t>sector</w:t>
      </w:r>
      <w:r>
        <w:rPr>
          <w:color w:val="231F20"/>
          <w:spacing w:val="-15"/>
          <w:sz w:val="23"/>
        </w:rPr>
        <w:t> </w:t>
      </w:r>
      <w:r>
        <w:rPr>
          <w:color w:val="231F20"/>
          <w:sz w:val="23"/>
        </w:rPr>
        <w:t>activities.</w:t>
      </w:r>
      <w:r>
        <w:rPr>
          <w:color w:val="231F20"/>
          <w:spacing w:val="-15"/>
          <w:sz w:val="23"/>
        </w:rPr>
        <w:t> </w:t>
      </w:r>
      <w:r>
        <w:rPr>
          <w:color w:val="231F20"/>
          <w:sz w:val="23"/>
        </w:rPr>
        <w:t>Existing</w:t>
      </w:r>
      <w:r>
        <w:rPr>
          <w:color w:val="231F20"/>
          <w:spacing w:val="-15"/>
          <w:sz w:val="23"/>
        </w:rPr>
        <w:t> </w:t>
      </w:r>
      <w:r>
        <w:rPr>
          <w:color w:val="231F20"/>
          <w:sz w:val="23"/>
        </w:rPr>
        <w:t>research</w:t>
      </w:r>
      <w:r>
        <w:rPr>
          <w:color w:val="231F20"/>
          <w:spacing w:val="-15"/>
          <w:sz w:val="23"/>
        </w:rPr>
        <w:t> </w:t>
      </w:r>
      <w:r>
        <w:rPr>
          <w:color w:val="231F20"/>
          <w:sz w:val="23"/>
        </w:rPr>
        <w:t>suggests</w:t>
      </w:r>
      <w:r>
        <w:rPr>
          <w:color w:val="231F20"/>
          <w:spacing w:val="-15"/>
          <w:sz w:val="23"/>
        </w:rPr>
        <w:t> </w:t>
      </w:r>
      <w:r>
        <w:rPr>
          <w:color w:val="231F20"/>
          <w:sz w:val="23"/>
        </w:rPr>
        <w:t>that</w:t>
      </w:r>
      <w:r>
        <w:rPr>
          <w:color w:val="231F20"/>
          <w:spacing w:val="-15"/>
          <w:sz w:val="23"/>
        </w:rPr>
        <w:t> </w:t>
      </w:r>
      <w:r>
        <w:rPr>
          <w:color w:val="231F20"/>
          <w:sz w:val="23"/>
        </w:rPr>
        <w:t>limited</w:t>
      </w:r>
      <w:r>
        <w:rPr>
          <w:color w:val="231F20"/>
          <w:spacing w:val="-15"/>
          <w:sz w:val="23"/>
        </w:rPr>
        <w:t> </w:t>
      </w:r>
      <w:r>
        <w:rPr>
          <w:color w:val="231F20"/>
          <w:sz w:val="23"/>
        </w:rPr>
        <w:t>access</w:t>
      </w:r>
      <w:r>
        <w:rPr>
          <w:color w:val="231F20"/>
          <w:spacing w:val="-15"/>
          <w:sz w:val="23"/>
        </w:rPr>
        <w:t> </w:t>
      </w:r>
      <w:r>
        <w:rPr>
          <w:color w:val="231F20"/>
          <w:sz w:val="23"/>
        </w:rPr>
        <w:t>to</w:t>
      </w:r>
      <w:r>
        <w:rPr>
          <w:color w:val="231F20"/>
          <w:spacing w:val="-15"/>
          <w:sz w:val="23"/>
        </w:rPr>
        <w:t> </w:t>
      </w:r>
      <w:r>
        <w:rPr>
          <w:color w:val="231F20"/>
          <w:sz w:val="23"/>
        </w:rPr>
        <w:t>finance constitutes</w:t>
      </w:r>
      <w:r>
        <w:rPr>
          <w:color w:val="231F20"/>
          <w:spacing w:val="-27"/>
          <w:sz w:val="23"/>
        </w:rPr>
        <w:t> </w:t>
      </w:r>
      <w:r>
        <w:rPr>
          <w:color w:val="231F20"/>
          <w:sz w:val="23"/>
        </w:rPr>
        <w:t>the</w:t>
      </w:r>
      <w:r>
        <w:rPr>
          <w:color w:val="231F20"/>
          <w:spacing w:val="-27"/>
          <w:sz w:val="23"/>
        </w:rPr>
        <w:t> </w:t>
      </w:r>
      <w:r>
        <w:rPr>
          <w:color w:val="231F20"/>
          <w:sz w:val="23"/>
        </w:rPr>
        <w:t>critical</w:t>
      </w:r>
      <w:r>
        <w:rPr>
          <w:color w:val="231F20"/>
          <w:spacing w:val="-27"/>
          <w:sz w:val="23"/>
        </w:rPr>
        <w:t> </w:t>
      </w:r>
      <w:r>
        <w:rPr>
          <w:color w:val="231F20"/>
          <w:sz w:val="23"/>
        </w:rPr>
        <w:t>barrier</w:t>
      </w:r>
      <w:r>
        <w:rPr>
          <w:color w:val="231F20"/>
          <w:spacing w:val="-27"/>
          <w:sz w:val="23"/>
        </w:rPr>
        <w:t> </w:t>
      </w:r>
      <w:r>
        <w:rPr>
          <w:color w:val="231F20"/>
          <w:sz w:val="23"/>
        </w:rPr>
        <w:t>to</w:t>
      </w:r>
      <w:r>
        <w:rPr>
          <w:color w:val="231F20"/>
          <w:spacing w:val="-27"/>
          <w:sz w:val="23"/>
        </w:rPr>
        <w:t> </w:t>
      </w:r>
      <w:r>
        <w:rPr>
          <w:color w:val="231F20"/>
          <w:sz w:val="23"/>
        </w:rPr>
        <w:t>start</w:t>
      </w:r>
      <w:r>
        <w:rPr>
          <w:color w:val="231F20"/>
          <w:spacing w:val="-27"/>
          <w:sz w:val="23"/>
        </w:rPr>
        <w:t> </w:t>
      </w:r>
      <w:r>
        <w:rPr>
          <w:color w:val="231F20"/>
          <w:sz w:val="23"/>
        </w:rPr>
        <w:t>or</w:t>
      </w:r>
      <w:r>
        <w:rPr>
          <w:color w:val="231F20"/>
          <w:spacing w:val="-27"/>
          <w:sz w:val="23"/>
        </w:rPr>
        <w:t> </w:t>
      </w:r>
      <w:r>
        <w:rPr>
          <w:color w:val="231F20"/>
          <w:sz w:val="23"/>
        </w:rPr>
        <w:t>expand</w:t>
      </w:r>
      <w:r>
        <w:rPr>
          <w:color w:val="231F20"/>
          <w:spacing w:val="-27"/>
          <w:sz w:val="23"/>
        </w:rPr>
        <w:t> </w:t>
      </w:r>
      <w:r>
        <w:rPr>
          <w:color w:val="231F20"/>
          <w:sz w:val="23"/>
        </w:rPr>
        <w:t>on</w:t>
      </w:r>
      <w:r>
        <w:rPr>
          <w:color w:val="231F20"/>
          <w:spacing w:val="-27"/>
          <w:sz w:val="23"/>
        </w:rPr>
        <w:t> </w:t>
      </w:r>
      <w:r>
        <w:rPr>
          <w:color w:val="231F20"/>
          <w:sz w:val="23"/>
        </w:rPr>
        <w:t>small</w:t>
      </w:r>
      <w:r>
        <w:rPr>
          <w:color w:val="231F20"/>
          <w:spacing w:val="-27"/>
          <w:sz w:val="23"/>
        </w:rPr>
        <w:t> </w:t>
      </w:r>
      <w:r>
        <w:rPr>
          <w:color w:val="231F20"/>
          <w:sz w:val="23"/>
        </w:rPr>
        <w:t>businesses.</w:t>
      </w:r>
      <w:r>
        <w:rPr>
          <w:color w:val="231F20"/>
          <w:spacing w:val="-27"/>
          <w:sz w:val="23"/>
        </w:rPr>
        <w:t> </w:t>
      </w:r>
      <w:r>
        <w:rPr>
          <w:color w:val="231F20"/>
          <w:sz w:val="23"/>
        </w:rPr>
        <w:t>Currently,</w:t>
      </w:r>
      <w:r>
        <w:rPr>
          <w:color w:val="231F20"/>
          <w:spacing w:val="-27"/>
          <w:sz w:val="23"/>
        </w:rPr>
        <w:t> </w:t>
      </w:r>
      <w:r>
        <w:rPr>
          <w:color w:val="231F20"/>
          <w:sz w:val="23"/>
        </w:rPr>
        <w:t>a</w:t>
      </w:r>
      <w:r>
        <w:rPr>
          <w:color w:val="231F20"/>
          <w:spacing w:val="-27"/>
          <w:sz w:val="23"/>
        </w:rPr>
        <w:t> </w:t>
      </w:r>
      <w:r>
        <w:rPr>
          <w:color w:val="231F20"/>
          <w:sz w:val="23"/>
        </w:rPr>
        <w:t>few NGOs</w:t>
      </w:r>
      <w:r>
        <w:rPr>
          <w:color w:val="231F20"/>
          <w:spacing w:val="-19"/>
          <w:sz w:val="23"/>
        </w:rPr>
        <w:t> </w:t>
      </w:r>
      <w:r>
        <w:rPr>
          <w:color w:val="231F20"/>
          <w:sz w:val="23"/>
        </w:rPr>
        <w:t>and</w:t>
      </w:r>
      <w:r>
        <w:rPr>
          <w:color w:val="231F20"/>
          <w:spacing w:val="-19"/>
          <w:sz w:val="23"/>
        </w:rPr>
        <w:t> </w:t>
      </w:r>
      <w:r>
        <w:rPr>
          <w:color w:val="231F20"/>
          <w:sz w:val="23"/>
        </w:rPr>
        <w:t>financial</w:t>
      </w:r>
      <w:r>
        <w:rPr>
          <w:color w:val="231F20"/>
          <w:spacing w:val="-19"/>
          <w:sz w:val="23"/>
        </w:rPr>
        <w:t> </w:t>
      </w:r>
      <w:r>
        <w:rPr>
          <w:color w:val="231F20"/>
          <w:sz w:val="23"/>
        </w:rPr>
        <w:t>institutions</w:t>
      </w:r>
      <w:r>
        <w:rPr>
          <w:color w:val="231F20"/>
          <w:spacing w:val="-19"/>
          <w:sz w:val="23"/>
        </w:rPr>
        <w:t> </w:t>
      </w:r>
      <w:r>
        <w:rPr>
          <w:color w:val="231F20"/>
          <w:sz w:val="23"/>
        </w:rPr>
        <w:t>provide</w:t>
      </w:r>
      <w:r>
        <w:rPr>
          <w:color w:val="231F20"/>
          <w:spacing w:val="-19"/>
          <w:sz w:val="23"/>
        </w:rPr>
        <w:t> </w:t>
      </w:r>
      <w:r>
        <w:rPr>
          <w:color w:val="231F20"/>
          <w:sz w:val="23"/>
        </w:rPr>
        <w:t>finance</w:t>
      </w:r>
      <w:r>
        <w:rPr>
          <w:color w:val="231F20"/>
          <w:spacing w:val="-19"/>
          <w:sz w:val="23"/>
        </w:rPr>
        <w:t> </w:t>
      </w:r>
      <w:r>
        <w:rPr>
          <w:color w:val="231F20"/>
          <w:sz w:val="23"/>
        </w:rPr>
        <w:t>for</w:t>
      </w:r>
      <w:r>
        <w:rPr>
          <w:color w:val="231F20"/>
          <w:spacing w:val="-19"/>
          <w:sz w:val="23"/>
        </w:rPr>
        <w:t> </w:t>
      </w:r>
      <w:r>
        <w:rPr>
          <w:color w:val="231F20"/>
          <w:sz w:val="23"/>
        </w:rPr>
        <w:t>SME</w:t>
      </w:r>
      <w:r>
        <w:rPr>
          <w:color w:val="231F20"/>
          <w:spacing w:val="-19"/>
          <w:sz w:val="23"/>
        </w:rPr>
        <w:t> </w:t>
      </w:r>
      <w:r>
        <w:rPr>
          <w:color w:val="231F20"/>
          <w:sz w:val="23"/>
        </w:rPr>
        <w:t>activities.</w:t>
      </w:r>
      <w:r>
        <w:rPr>
          <w:color w:val="231F20"/>
          <w:spacing w:val="-19"/>
          <w:sz w:val="23"/>
        </w:rPr>
        <w:t> </w:t>
      </w:r>
      <w:r>
        <w:rPr>
          <w:color w:val="231F20"/>
          <w:sz w:val="23"/>
        </w:rPr>
        <w:t>Past</w:t>
      </w:r>
      <w:r>
        <w:rPr>
          <w:color w:val="231F20"/>
          <w:spacing w:val="-19"/>
          <w:sz w:val="23"/>
        </w:rPr>
        <w:t> </w:t>
      </w:r>
      <w:r>
        <w:rPr>
          <w:color w:val="231F20"/>
          <w:sz w:val="23"/>
        </w:rPr>
        <w:t>interventions of Government have been politicised, faced with faulty implementation strategies or delivery mechanisms, making them</w:t>
      </w:r>
      <w:r>
        <w:rPr>
          <w:color w:val="231F20"/>
          <w:spacing w:val="24"/>
          <w:sz w:val="23"/>
        </w:rPr>
        <w:t> </w:t>
      </w:r>
      <w:r>
        <w:rPr>
          <w:color w:val="231F20"/>
          <w:sz w:val="23"/>
        </w:rPr>
        <w:t>unsustainable.</w:t>
      </w:r>
    </w:p>
    <w:p>
      <w:pPr>
        <w:pStyle w:val="BodyText"/>
        <w:rPr>
          <w:sz w:val="20"/>
        </w:rPr>
      </w:pPr>
    </w:p>
    <w:p>
      <w:pPr>
        <w:pStyle w:val="BodyText"/>
        <w:rPr>
          <w:sz w:val="20"/>
        </w:rPr>
      </w:pPr>
    </w:p>
    <w:p>
      <w:pPr>
        <w:pStyle w:val="BodyText"/>
        <w:rPr>
          <w:sz w:val="20"/>
        </w:rPr>
      </w:pPr>
    </w:p>
    <w:p>
      <w:pPr>
        <w:pStyle w:val="BodyText"/>
        <w:rPr>
          <w:sz w:val="22"/>
        </w:rPr>
      </w:pPr>
    </w:p>
    <w:p>
      <w:pPr>
        <w:pStyle w:val="Heading1"/>
      </w:pPr>
      <w:r>
        <w:rPr>
          <w:color w:val="231F20"/>
        </w:rPr>
        <w:t>28</w:t>
      </w:r>
    </w:p>
    <w:p>
      <w:pPr>
        <w:spacing w:after="0"/>
        <w:sectPr>
          <w:pgSz w:w="11900" w:h="16840"/>
          <w:pgMar w:top="1160" w:bottom="280" w:left="1140" w:right="1120"/>
        </w:sectPr>
      </w:pPr>
    </w:p>
    <w:p>
      <w:pPr>
        <w:pStyle w:val="ListParagraph"/>
        <w:numPr>
          <w:ilvl w:val="0"/>
          <w:numId w:val="2"/>
        </w:numPr>
        <w:tabs>
          <w:tab w:pos="954" w:val="left" w:leader="none"/>
        </w:tabs>
        <w:spacing w:line="292" w:lineRule="auto" w:before="70" w:after="0"/>
        <w:ind w:left="103" w:right="118" w:firstLine="87"/>
        <w:jc w:val="both"/>
        <w:rPr>
          <w:sz w:val="23"/>
        </w:rPr>
      </w:pPr>
      <w:r>
        <w:rPr>
          <w:color w:val="231F20"/>
          <w:sz w:val="23"/>
        </w:rPr>
        <w:t>Mr.</w:t>
      </w:r>
      <w:r>
        <w:rPr>
          <w:color w:val="231F20"/>
          <w:spacing w:val="-12"/>
          <w:sz w:val="23"/>
        </w:rPr>
        <w:t> </w:t>
      </w:r>
      <w:r>
        <w:rPr>
          <w:color w:val="231F20"/>
          <w:sz w:val="23"/>
        </w:rPr>
        <w:t>Speaker,</w:t>
      </w:r>
      <w:r>
        <w:rPr>
          <w:color w:val="231F20"/>
          <w:spacing w:val="-12"/>
          <w:sz w:val="23"/>
        </w:rPr>
        <w:t> </w:t>
      </w:r>
      <w:r>
        <w:rPr>
          <w:color w:val="231F20"/>
          <w:sz w:val="23"/>
        </w:rPr>
        <w:t>Honourable</w:t>
      </w:r>
      <w:r>
        <w:rPr>
          <w:color w:val="231F20"/>
          <w:spacing w:val="-12"/>
          <w:sz w:val="23"/>
        </w:rPr>
        <w:t> </w:t>
      </w:r>
      <w:r>
        <w:rPr>
          <w:color w:val="231F20"/>
          <w:sz w:val="23"/>
        </w:rPr>
        <w:t>Members,</w:t>
      </w:r>
      <w:r>
        <w:rPr>
          <w:color w:val="231F20"/>
          <w:spacing w:val="-12"/>
          <w:sz w:val="23"/>
        </w:rPr>
        <w:t> </w:t>
      </w:r>
      <w:r>
        <w:rPr>
          <w:color w:val="231F20"/>
          <w:sz w:val="23"/>
        </w:rPr>
        <w:t>after</w:t>
      </w:r>
      <w:r>
        <w:rPr>
          <w:color w:val="231F20"/>
          <w:spacing w:val="-12"/>
          <w:sz w:val="23"/>
        </w:rPr>
        <w:t> </w:t>
      </w:r>
      <w:r>
        <w:rPr>
          <w:color w:val="231F20"/>
          <w:sz w:val="23"/>
        </w:rPr>
        <w:t>a</w:t>
      </w:r>
      <w:r>
        <w:rPr>
          <w:color w:val="231F20"/>
          <w:spacing w:val="-12"/>
          <w:sz w:val="23"/>
        </w:rPr>
        <w:t> </w:t>
      </w:r>
      <w:r>
        <w:rPr>
          <w:color w:val="231F20"/>
          <w:sz w:val="23"/>
        </w:rPr>
        <w:t>careful</w:t>
      </w:r>
      <w:r>
        <w:rPr>
          <w:color w:val="231F20"/>
          <w:spacing w:val="-12"/>
          <w:sz w:val="23"/>
        </w:rPr>
        <w:t> </w:t>
      </w:r>
      <w:r>
        <w:rPr>
          <w:color w:val="231F20"/>
          <w:sz w:val="23"/>
        </w:rPr>
        <w:t>review,</w:t>
      </w:r>
      <w:r>
        <w:rPr>
          <w:color w:val="231F20"/>
          <w:spacing w:val="49"/>
          <w:sz w:val="23"/>
        </w:rPr>
        <w:t> </w:t>
      </w:r>
      <w:r>
        <w:rPr>
          <w:color w:val="231F20"/>
          <w:sz w:val="23"/>
        </w:rPr>
        <w:t>Government</w:t>
      </w:r>
      <w:r>
        <w:rPr>
          <w:color w:val="231F20"/>
          <w:spacing w:val="-12"/>
          <w:sz w:val="23"/>
        </w:rPr>
        <w:t> </w:t>
      </w:r>
      <w:r>
        <w:rPr>
          <w:color w:val="231F20"/>
          <w:sz w:val="23"/>
        </w:rPr>
        <w:t>is</w:t>
      </w:r>
      <w:r>
        <w:rPr>
          <w:color w:val="231F20"/>
          <w:spacing w:val="-12"/>
          <w:sz w:val="23"/>
        </w:rPr>
        <w:t> </w:t>
      </w:r>
      <w:r>
        <w:rPr>
          <w:color w:val="231F20"/>
          <w:sz w:val="23"/>
        </w:rPr>
        <w:t>re- introducing a national micro credit scheme. The scheme will be executed by the Ministry</w:t>
      </w:r>
      <w:r>
        <w:rPr>
          <w:color w:val="231F20"/>
          <w:spacing w:val="-9"/>
          <w:sz w:val="23"/>
        </w:rPr>
        <w:t> </w:t>
      </w:r>
      <w:r>
        <w:rPr>
          <w:color w:val="231F20"/>
          <w:sz w:val="23"/>
        </w:rPr>
        <w:t>of</w:t>
      </w:r>
      <w:r>
        <w:rPr>
          <w:color w:val="231F20"/>
          <w:spacing w:val="-9"/>
          <w:sz w:val="23"/>
        </w:rPr>
        <w:t> </w:t>
      </w:r>
      <w:r>
        <w:rPr>
          <w:color w:val="231F20"/>
          <w:sz w:val="23"/>
        </w:rPr>
        <w:t>Trade</w:t>
      </w:r>
      <w:r>
        <w:rPr>
          <w:color w:val="231F20"/>
          <w:spacing w:val="-10"/>
          <w:sz w:val="23"/>
        </w:rPr>
        <w:t> </w:t>
      </w:r>
      <w:r>
        <w:rPr>
          <w:color w:val="231F20"/>
          <w:sz w:val="23"/>
        </w:rPr>
        <w:t>and</w:t>
      </w:r>
      <w:r>
        <w:rPr>
          <w:color w:val="231F20"/>
          <w:spacing w:val="-10"/>
          <w:sz w:val="23"/>
        </w:rPr>
        <w:t> </w:t>
      </w:r>
      <w:r>
        <w:rPr>
          <w:color w:val="231F20"/>
          <w:sz w:val="23"/>
        </w:rPr>
        <w:t>Industry</w:t>
      </w:r>
      <w:r>
        <w:rPr>
          <w:color w:val="231F20"/>
          <w:spacing w:val="-9"/>
          <w:sz w:val="23"/>
        </w:rPr>
        <w:t> </w:t>
      </w:r>
      <w:r>
        <w:rPr>
          <w:color w:val="231F20"/>
          <w:sz w:val="23"/>
        </w:rPr>
        <w:t>using</w:t>
      </w:r>
      <w:r>
        <w:rPr>
          <w:color w:val="231F20"/>
          <w:spacing w:val="-10"/>
          <w:sz w:val="23"/>
        </w:rPr>
        <w:t> </w:t>
      </w:r>
      <w:r>
        <w:rPr>
          <w:color w:val="231F20"/>
          <w:sz w:val="23"/>
        </w:rPr>
        <w:t>NGOs,</w:t>
      </w:r>
      <w:r>
        <w:rPr>
          <w:color w:val="231F20"/>
          <w:spacing w:val="-9"/>
          <w:sz w:val="23"/>
        </w:rPr>
        <w:t> </w:t>
      </w:r>
      <w:r>
        <w:rPr>
          <w:color w:val="231F20"/>
          <w:sz w:val="23"/>
        </w:rPr>
        <w:t>Micro</w:t>
      </w:r>
      <w:r>
        <w:rPr>
          <w:color w:val="231F20"/>
          <w:spacing w:val="-9"/>
          <w:sz w:val="23"/>
        </w:rPr>
        <w:t> </w:t>
      </w:r>
      <w:r>
        <w:rPr>
          <w:color w:val="231F20"/>
          <w:sz w:val="23"/>
        </w:rPr>
        <w:t>Finance</w:t>
      </w:r>
      <w:r>
        <w:rPr>
          <w:color w:val="231F20"/>
          <w:spacing w:val="-10"/>
          <w:sz w:val="23"/>
        </w:rPr>
        <w:t> </w:t>
      </w:r>
      <w:r>
        <w:rPr>
          <w:color w:val="231F20"/>
          <w:sz w:val="23"/>
        </w:rPr>
        <w:t>Institutions,</w:t>
      </w:r>
      <w:r>
        <w:rPr>
          <w:color w:val="231F20"/>
          <w:spacing w:val="-9"/>
          <w:sz w:val="23"/>
        </w:rPr>
        <w:t> </w:t>
      </w:r>
      <w:r>
        <w:rPr>
          <w:color w:val="231F20"/>
          <w:sz w:val="23"/>
        </w:rPr>
        <w:t>Commercial Banks</w:t>
      </w:r>
      <w:r>
        <w:rPr>
          <w:color w:val="231F20"/>
          <w:spacing w:val="-7"/>
          <w:sz w:val="23"/>
        </w:rPr>
        <w:t> </w:t>
      </w:r>
      <w:r>
        <w:rPr>
          <w:color w:val="231F20"/>
          <w:sz w:val="23"/>
        </w:rPr>
        <w:t>and</w:t>
      </w:r>
      <w:r>
        <w:rPr>
          <w:color w:val="231F20"/>
          <w:spacing w:val="-7"/>
          <w:sz w:val="23"/>
        </w:rPr>
        <w:t> </w:t>
      </w:r>
      <w:r>
        <w:rPr>
          <w:color w:val="231F20"/>
          <w:sz w:val="23"/>
        </w:rPr>
        <w:t>Community</w:t>
      </w:r>
      <w:r>
        <w:rPr>
          <w:color w:val="231F20"/>
          <w:spacing w:val="-7"/>
          <w:sz w:val="23"/>
        </w:rPr>
        <w:t> </w:t>
      </w:r>
      <w:r>
        <w:rPr>
          <w:color w:val="231F20"/>
          <w:sz w:val="23"/>
        </w:rPr>
        <w:t>Banks</w:t>
      </w:r>
      <w:r>
        <w:rPr>
          <w:color w:val="231F20"/>
          <w:spacing w:val="-7"/>
          <w:sz w:val="23"/>
        </w:rPr>
        <w:t> </w:t>
      </w:r>
      <w:r>
        <w:rPr>
          <w:color w:val="231F20"/>
          <w:sz w:val="23"/>
        </w:rPr>
        <w:t>as</w:t>
      </w:r>
      <w:r>
        <w:rPr>
          <w:color w:val="231F20"/>
          <w:spacing w:val="-7"/>
          <w:sz w:val="23"/>
        </w:rPr>
        <w:t> </w:t>
      </w:r>
      <w:r>
        <w:rPr>
          <w:color w:val="231F20"/>
          <w:sz w:val="23"/>
        </w:rPr>
        <w:t>implementing</w:t>
      </w:r>
      <w:r>
        <w:rPr>
          <w:color w:val="231F20"/>
          <w:spacing w:val="-7"/>
          <w:sz w:val="23"/>
        </w:rPr>
        <w:t> </w:t>
      </w:r>
      <w:r>
        <w:rPr>
          <w:color w:val="231F20"/>
          <w:sz w:val="23"/>
        </w:rPr>
        <w:t>partners.</w:t>
      </w:r>
      <w:r>
        <w:rPr>
          <w:color w:val="231F20"/>
          <w:spacing w:val="-7"/>
          <w:sz w:val="23"/>
        </w:rPr>
        <w:t> </w:t>
      </w:r>
      <w:r>
        <w:rPr>
          <w:color w:val="231F20"/>
          <w:sz w:val="23"/>
        </w:rPr>
        <w:t>The</w:t>
      </w:r>
      <w:r>
        <w:rPr>
          <w:color w:val="231F20"/>
          <w:spacing w:val="-7"/>
          <w:sz w:val="23"/>
        </w:rPr>
        <w:t> </w:t>
      </w:r>
      <w:r>
        <w:rPr>
          <w:color w:val="231F20"/>
          <w:sz w:val="23"/>
        </w:rPr>
        <w:t>design</w:t>
      </w:r>
      <w:r>
        <w:rPr>
          <w:color w:val="231F20"/>
          <w:spacing w:val="-7"/>
          <w:sz w:val="23"/>
        </w:rPr>
        <w:t> </w:t>
      </w:r>
      <w:r>
        <w:rPr>
          <w:color w:val="231F20"/>
          <w:sz w:val="23"/>
        </w:rPr>
        <w:t>will</w:t>
      </w:r>
      <w:r>
        <w:rPr>
          <w:color w:val="231F20"/>
          <w:spacing w:val="-7"/>
          <w:sz w:val="23"/>
        </w:rPr>
        <w:t> </w:t>
      </w:r>
      <w:r>
        <w:rPr>
          <w:color w:val="231F20"/>
          <w:sz w:val="23"/>
        </w:rPr>
        <w:t>conform</w:t>
      </w:r>
      <w:r>
        <w:rPr>
          <w:color w:val="231F20"/>
          <w:spacing w:val="-7"/>
          <w:sz w:val="23"/>
        </w:rPr>
        <w:t> </w:t>
      </w:r>
      <w:r>
        <w:rPr>
          <w:color w:val="231F20"/>
          <w:sz w:val="23"/>
        </w:rPr>
        <w:t>to all principles of a sustainable micro-credit scheme and a comprehensive operations manual will be developed to guide the implementation and monitoring.</w:t>
      </w:r>
    </w:p>
    <w:p>
      <w:pPr>
        <w:pStyle w:val="BodyText"/>
        <w:spacing w:before="6"/>
        <w:rPr>
          <w:sz w:val="28"/>
        </w:rPr>
      </w:pPr>
    </w:p>
    <w:p>
      <w:pPr>
        <w:pStyle w:val="ListParagraph"/>
        <w:numPr>
          <w:ilvl w:val="0"/>
          <w:numId w:val="2"/>
        </w:numPr>
        <w:tabs>
          <w:tab w:pos="954" w:val="left" w:leader="none"/>
        </w:tabs>
        <w:spacing w:line="292" w:lineRule="auto" w:before="1" w:after="0"/>
        <w:ind w:left="103" w:right="122" w:firstLine="87"/>
        <w:jc w:val="both"/>
        <w:rPr>
          <w:sz w:val="23"/>
        </w:rPr>
      </w:pPr>
      <w:r>
        <w:rPr>
          <w:color w:val="231F20"/>
          <w:sz w:val="23"/>
        </w:rPr>
        <w:t>Between 2020 and 2022, Government will provide Le 100 billion for micro- enterprises</w:t>
      </w:r>
      <w:r>
        <w:rPr>
          <w:color w:val="231F20"/>
          <w:spacing w:val="-22"/>
          <w:sz w:val="23"/>
        </w:rPr>
        <w:t> </w:t>
      </w:r>
      <w:r>
        <w:rPr>
          <w:color w:val="231F20"/>
          <w:sz w:val="23"/>
        </w:rPr>
        <w:t>development</w:t>
      </w:r>
      <w:r>
        <w:rPr>
          <w:color w:val="231F20"/>
          <w:spacing w:val="-22"/>
          <w:sz w:val="23"/>
        </w:rPr>
        <w:t> </w:t>
      </w:r>
      <w:r>
        <w:rPr>
          <w:color w:val="231F20"/>
          <w:sz w:val="23"/>
        </w:rPr>
        <w:t>targeting</w:t>
      </w:r>
      <w:r>
        <w:rPr>
          <w:color w:val="231F20"/>
          <w:spacing w:val="-22"/>
          <w:sz w:val="23"/>
        </w:rPr>
        <w:t> </w:t>
      </w:r>
      <w:r>
        <w:rPr>
          <w:color w:val="231F20"/>
          <w:sz w:val="23"/>
        </w:rPr>
        <w:t>20,000</w:t>
      </w:r>
      <w:r>
        <w:rPr>
          <w:color w:val="231F20"/>
          <w:spacing w:val="-22"/>
          <w:sz w:val="23"/>
        </w:rPr>
        <w:t> </w:t>
      </w:r>
      <w:r>
        <w:rPr>
          <w:color w:val="231F20"/>
          <w:sz w:val="23"/>
        </w:rPr>
        <w:t>people</w:t>
      </w:r>
      <w:r>
        <w:rPr>
          <w:color w:val="231F20"/>
          <w:spacing w:val="-22"/>
          <w:sz w:val="23"/>
        </w:rPr>
        <w:t> </w:t>
      </w:r>
      <w:r>
        <w:rPr>
          <w:color w:val="231F20"/>
          <w:sz w:val="23"/>
        </w:rPr>
        <w:t>of</w:t>
      </w:r>
      <w:r>
        <w:rPr>
          <w:color w:val="231F20"/>
          <w:spacing w:val="-22"/>
          <w:sz w:val="23"/>
        </w:rPr>
        <w:t> </w:t>
      </w:r>
      <w:r>
        <w:rPr>
          <w:color w:val="231F20"/>
          <w:sz w:val="23"/>
        </w:rPr>
        <w:t>which</w:t>
      </w:r>
      <w:r>
        <w:rPr>
          <w:color w:val="231F20"/>
          <w:spacing w:val="-22"/>
          <w:sz w:val="23"/>
        </w:rPr>
        <w:t> </w:t>
      </w:r>
      <w:r>
        <w:rPr>
          <w:color w:val="231F20"/>
          <w:sz w:val="23"/>
        </w:rPr>
        <w:t>seventy</w:t>
      </w:r>
      <w:r>
        <w:rPr>
          <w:color w:val="231F20"/>
          <w:spacing w:val="-22"/>
          <w:sz w:val="23"/>
        </w:rPr>
        <w:t> </w:t>
      </w:r>
      <w:r>
        <w:rPr>
          <w:color w:val="231F20"/>
          <w:sz w:val="23"/>
        </w:rPr>
        <w:t>percent</w:t>
      </w:r>
      <w:r>
        <w:rPr>
          <w:color w:val="231F20"/>
          <w:spacing w:val="-22"/>
          <w:sz w:val="23"/>
        </w:rPr>
        <w:t> </w:t>
      </w:r>
      <w:r>
        <w:rPr>
          <w:color w:val="231F20"/>
          <w:sz w:val="23"/>
        </w:rPr>
        <w:t>are</w:t>
      </w:r>
      <w:r>
        <w:rPr>
          <w:color w:val="231F20"/>
          <w:spacing w:val="-22"/>
          <w:sz w:val="23"/>
        </w:rPr>
        <w:t> </w:t>
      </w:r>
      <w:r>
        <w:rPr>
          <w:color w:val="231F20"/>
          <w:sz w:val="23"/>
        </w:rPr>
        <w:t>women and thirty percent are youth. In 2020, Le 21 billion has been allocated to setup and pilot the scheme. This amount will be progressively increased in ensuing</w:t>
      </w:r>
      <w:r>
        <w:rPr>
          <w:color w:val="231F20"/>
          <w:spacing w:val="3"/>
          <w:sz w:val="23"/>
        </w:rPr>
        <w:t> </w:t>
      </w:r>
      <w:r>
        <w:rPr>
          <w:color w:val="231F20"/>
          <w:sz w:val="23"/>
        </w:rPr>
        <w:t>years.</w:t>
      </w:r>
    </w:p>
    <w:p>
      <w:pPr>
        <w:pStyle w:val="BodyText"/>
        <w:spacing w:before="2"/>
        <w:rPr>
          <w:sz w:val="28"/>
        </w:rPr>
      </w:pPr>
    </w:p>
    <w:p>
      <w:pPr>
        <w:pStyle w:val="ListParagraph"/>
        <w:numPr>
          <w:ilvl w:val="0"/>
          <w:numId w:val="2"/>
        </w:numPr>
        <w:tabs>
          <w:tab w:pos="954" w:val="left" w:leader="none"/>
        </w:tabs>
        <w:spacing w:line="292" w:lineRule="auto" w:before="0" w:after="0"/>
        <w:ind w:left="103" w:right="118" w:firstLine="87"/>
        <w:jc w:val="both"/>
        <w:rPr>
          <w:sz w:val="23"/>
        </w:rPr>
      </w:pPr>
      <w:r>
        <w:rPr>
          <w:color w:val="231F20"/>
          <w:sz w:val="23"/>
        </w:rPr>
        <w:t>Mr.</w:t>
      </w:r>
      <w:r>
        <w:rPr>
          <w:color w:val="231F20"/>
          <w:spacing w:val="-50"/>
          <w:sz w:val="23"/>
        </w:rPr>
        <w:t> </w:t>
      </w:r>
      <w:r>
        <w:rPr>
          <w:color w:val="231F20"/>
          <w:sz w:val="23"/>
        </w:rPr>
        <w:t>Speaker,</w:t>
      </w:r>
      <w:r>
        <w:rPr>
          <w:color w:val="231F20"/>
          <w:spacing w:val="-50"/>
          <w:sz w:val="23"/>
        </w:rPr>
        <w:t> </w:t>
      </w:r>
      <w:r>
        <w:rPr>
          <w:color w:val="231F20"/>
          <w:sz w:val="23"/>
        </w:rPr>
        <w:t>Honourable</w:t>
      </w:r>
      <w:r>
        <w:rPr>
          <w:color w:val="231F20"/>
          <w:spacing w:val="-50"/>
          <w:sz w:val="23"/>
        </w:rPr>
        <w:t> </w:t>
      </w:r>
      <w:r>
        <w:rPr>
          <w:color w:val="231F20"/>
          <w:sz w:val="23"/>
        </w:rPr>
        <w:t>Members,</w:t>
      </w:r>
      <w:r>
        <w:rPr>
          <w:color w:val="231F20"/>
          <w:spacing w:val="-49"/>
          <w:sz w:val="23"/>
        </w:rPr>
        <w:t> </w:t>
      </w:r>
      <w:r>
        <w:rPr>
          <w:color w:val="231F20"/>
          <w:sz w:val="23"/>
        </w:rPr>
        <w:t>additionally,</w:t>
      </w:r>
      <w:r>
        <w:rPr>
          <w:color w:val="231F20"/>
          <w:spacing w:val="-50"/>
          <w:sz w:val="23"/>
        </w:rPr>
        <w:t> </w:t>
      </w:r>
      <w:r>
        <w:rPr>
          <w:color w:val="231F20"/>
          <w:sz w:val="23"/>
        </w:rPr>
        <w:t>an</w:t>
      </w:r>
      <w:r>
        <w:rPr>
          <w:color w:val="231F20"/>
          <w:spacing w:val="-50"/>
          <w:sz w:val="23"/>
        </w:rPr>
        <w:t> </w:t>
      </w:r>
      <w:r>
        <w:rPr>
          <w:color w:val="231F20"/>
          <w:sz w:val="23"/>
        </w:rPr>
        <w:t>amount</w:t>
      </w:r>
      <w:r>
        <w:rPr>
          <w:color w:val="231F20"/>
          <w:spacing w:val="-49"/>
          <w:sz w:val="23"/>
        </w:rPr>
        <w:t> </w:t>
      </w:r>
      <w:r>
        <w:rPr>
          <w:color w:val="231F20"/>
          <w:sz w:val="23"/>
        </w:rPr>
        <w:t>of</w:t>
      </w:r>
      <w:r>
        <w:rPr>
          <w:color w:val="231F20"/>
          <w:spacing w:val="-50"/>
          <w:sz w:val="23"/>
        </w:rPr>
        <w:t> </w:t>
      </w:r>
      <w:r>
        <w:rPr>
          <w:color w:val="231F20"/>
          <w:sz w:val="23"/>
        </w:rPr>
        <w:t>US$</w:t>
      </w:r>
      <w:r>
        <w:rPr>
          <w:color w:val="231F20"/>
          <w:spacing w:val="-50"/>
          <w:sz w:val="23"/>
        </w:rPr>
        <w:t> </w:t>
      </w:r>
      <w:r>
        <w:rPr>
          <w:color w:val="231F20"/>
          <w:sz w:val="23"/>
        </w:rPr>
        <w:t>20.3</w:t>
      </w:r>
      <w:r>
        <w:rPr>
          <w:color w:val="231F20"/>
          <w:spacing w:val="-50"/>
          <w:sz w:val="23"/>
        </w:rPr>
        <w:t> </w:t>
      </w:r>
      <w:r>
        <w:rPr>
          <w:color w:val="231F20"/>
          <w:sz w:val="23"/>
        </w:rPr>
        <w:t>million has been allocated under the planned World Bank funded Sierra Leone Economic Diversification Project to facilitate SME growth and stimulate entrepreneurship in high-growth productive sectors by addressing critical firm level and sector level constraints.</w:t>
      </w:r>
      <w:r>
        <w:rPr>
          <w:color w:val="231F20"/>
          <w:spacing w:val="-29"/>
          <w:sz w:val="23"/>
        </w:rPr>
        <w:t> </w:t>
      </w:r>
      <w:r>
        <w:rPr>
          <w:color w:val="231F20"/>
          <w:sz w:val="23"/>
        </w:rPr>
        <w:t>The</w:t>
      </w:r>
      <w:r>
        <w:rPr>
          <w:color w:val="231F20"/>
          <w:spacing w:val="-29"/>
          <w:sz w:val="23"/>
        </w:rPr>
        <w:t> </w:t>
      </w:r>
      <w:r>
        <w:rPr>
          <w:color w:val="231F20"/>
          <w:sz w:val="23"/>
        </w:rPr>
        <w:t>project</w:t>
      </w:r>
      <w:r>
        <w:rPr>
          <w:color w:val="231F20"/>
          <w:spacing w:val="-29"/>
          <w:sz w:val="23"/>
        </w:rPr>
        <w:t> </w:t>
      </w:r>
      <w:r>
        <w:rPr>
          <w:color w:val="231F20"/>
          <w:sz w:val="23"/>
        </w:rPr>
        <w:t>also</w:t>
      </w:r>
      <w:r>
        <w:rPr>
          <w:color w:val="231F20"/>
          <w:spacing w:val="-29"/>
          <w:sz w:val="23"/>
        </w:rPr>
        <w:t> </w:t>
      </w:r>
      <w:r>
        <w:rPr>
          <w:color w:val="231F20"/>
          <w:sz w:val="23"/>
        </w:rPr>
        <w:t>includes</w:t>
      </w:r>
      <w:r>
        <w:rPr>
          <w:color w:val="231F20"/>
          <w:spacing w:val="-29"/>
          <w:sz w:val="23"/>
        </w:rPr>
        <w:t> </w:t>
      </w:r>
      <w:r>
        <w:rPr>
          <w:color w:val="231F20"/>
          <w:sz w:val="23"/>
        </w:rPr>
        <w:t>the</w:t>
      </w:r>
      <w:r>
        <w:rPr>
          <w:color w:val="231F20"/>
          <w:spacing w:val="-29"/>
          <w:sz w:val="23"/>
        </w:rPr>
        <w:t> </w:t>
      </w:r>
      <w:r>
        <w:rPr>
          <w:color w:val="231F20"/>
          <w:sz w:val="23"/>
        </w:rPr>
        <w:t>establishment</w:t>
      </w:r>
      <w:r>
        <w:rPr>
          <w:color w:val="231F20"/>
          <w:spacing w:val="-29"/>
          <w:sz w:val="23"/>
        </w:rPr>
        <w:t> </w:t>
      </w:r>
      <w:r>
        <w:rPr>
          <w:color w:val="231F20"/>
          <w:sz w:val="23"/>
        </w:rPr>
        <w:t>of</w:t>
      </w:r>
      <w:r>
        <w:rPr>
          <w:color w:val="231F20"/>
          <w:spacing w:val="-29"/>
          <w:sz w:val="23"/>
        </w:rPr>
        <w:t> </w:t>
      </w:r>
      <w:r>
        <w:rPr>
          <w:color w:val="231F20"/>
          <w:sz w:val="23"/>
        </w:rPr>
        <w:t>two</w:t>
      </w:r>
      <w:r>
        <w:rPr>
          <w:color w:val="231F20"/>
          <w:spacing w:val="-29"/>
          <w:sz w:val="23"/>
        </w:rPr>
        <w:t> </w:t>
      </w:r>
      <w:r>
        <w:rPr>
          <w:color w:val="231F20"/>
          <w:sz w:val="23"/>
        </w:rPr>
        <w:t>SME</w:t>
      </w:r>
      <w:r>
        <w:rPr>
          <w:color w:val="231F20"/>
          <w:spacing w:val="-29"/>
          <w:sz w:val="23"/>
        </w:rPr>
        <w:t> </w:t>
      </w:r>
      <w:r>
        <w:rPr>
          <w:color w:val="231F20"/>
          <w:sz w:val="23"/>
        </w:rPr>
        <w:t>business</w:t>
      </w:r>
      <w:r>
        <w:rPr>
          <w:color w:val="231F20"/>
          <w:spacing w:val="-29"/>
          <w:sz w:val="23"/>
        </w:rPr>
        <w:t> </w:t>
      </w:r>
      <w:r>
        <w:rPr>
          <w:color w:val="231F20"/>
          <w:sz w:val="23"/>
        </w:rPr>
        <w:t>solution centres</w:t>
      </w:r>
      <w:r>
        <w:rPr>
          <w:color w:val="231F20"/>
          <w:spacing w:val="-17"/>
          <w:sz w:val="23"/>
        </w:rPr>
        <w:t> </w:t>
      </w:r>
      <w:r>
        <w:rPr>
          <w:color w:val="231F20"/>
          <w:sz w:val="23"/>
        </w:rPr>
        <w:t>to</w:t>
      </w:r>
      <w:r>
        <w:rPr>
          <w:color w:val="231F20"/>
          <w:spacing w:val="-16"/>
          <w:sz w:val="23"/>
        </w:rPr>
        <w:t> </w:t>
      </w:r>
      <w:r>
        <w:rPr>
          <w:color w:val="231F20"/>
          <w:sz w:val="23"/>
        </w:rPr>
        <w:t>improve</w:t>
      </w:r>
      <w:r>
        <w:rPr>
          <w:color w:val="231F20"/>
          <w:spacing w:val="-16"/>
          <w:sz w:val="23"/>
        </w:rPr>
        <w:t> </w:t>
      </w:r>
      <w:r>
        <w:rPr>
          <w:color w:val="231F20"/>
          <w:sz w:val="23"/>
        </w:rPr>
        <w:t>access</w:t>
      </w:r>
      <w:r>
        <w:rPr>
          <w:color w:val="231F20"/>
          <w:spacing w:val="-17"/>
          <w:sz w:val="23"/>
        </w:rPr>
        <w:t> </w:t>
      </w:r>
      <w:r>
        <w:rPr>
          <w:color w:val="231F20"/>
          <w:sz w:val="23"/>
        </w:rPr>
        <w:t>to</w:t>
      </w:r>
      <w:r>
        <w:rPr>
          <w:color w:val="231F20"/>
          <w:spacing w:val="-16"/>
          <w:sz w:val="23"/>
        </w:rPr>
        <w:t> </w:t>
      </w:r>
      <w:r>
        <w:rPr>
          <w:color w:val="231F20"/>
          <w:sz w:val="23"/>
        </w:rPr>
        <w:t>services</w:t>
      </w:r>
      <w:r>
        <w:rPr>
          <w:color w:val="231F20"/>
          <w:spacing w:val="-17"/>
          <w:sz w:val="23"/>
        </w:rPr>
        <w:t> </w:t>
      </w:r>
      <w:r>
        <w:rPr>
          <w:color w:val="231F20"/>
          <w:sz w:val="23"/>
        </w:rPr>
        <w:t>such</w:t>
      </w:r>
      <w:r>
        <w:rPr>
          <w:color w:val="231F20"/>
          <w:spacing w:val="-17"/>
          <w:sz w:val="23"/>
        </w:rPr>
        <w:t> </w:t>
      </w:r>
      <w:r>
        <w:rPr>
          <w:color w:val="231F20"/>
          <w:sz w:val="23"/>
        </w:rPr>
        <w:t>as</w:t>
      </w:r>
      <w:r>
        <w:rPr>
          <w:color w:val="231F20"/>
          <w:spacing w:val="-17"/>
          <w:sz w:val="23"/>
        </w:rPr>
        <w:t> </w:t>
      </w:r>
      <w:r>
        <w:rPr>
          <w:color w:val="231F20"/>
          <w:sz w:val="23"/>
        </w:rPr>
        <w:t>registration,</w:t>
      </w:r>
      <w:r>
        <w:rPr>
          <w:color w:val="231F20"/>
          <w:spacing w:val="-16"/>
          <w:sz w:val="23"/>
        </w:rPr>
        <w:t> </w:t>
      </w:r>
      <w:r>
        <w:rPr>
          <w:color w:val="231F20"/>
          <w:sz w:val="23"/>
        </w:rPr>
        <w:t>licensing</w:t>
      </w:r>
      <w:r>
        <w:rPr>
          <w:color w:val="231F20"/>
          <w:spacing w:val="-16"/>
          <w:sz w:val="23"/>
        </w:rPr>
        <w:t> </w:t>
      </w:r>
      <w:r>
        <w:rPr>
          <w:color w:val="231F20"/>
          <w:sz w:val="23"/>
        </w:rPr>
        <w:t>and</w:t>
      </w:r>
      <w:r>
        <w:rPr>
          <w:color w:val="231F20"/>
          <w:spacing w:val="-17"/>
          <w:sz w:val="23"/>
        </w:rPr>
        <w:t> </w:t>
      </w:r>
      <w:r>
        <w:rPr>
          <w:color w:val="231F20"/>
          <w:sz w:val="23"/>
        </w:rPr>
        <w:t>permits,</w:t>
      </w:r>
      <w:r>
        <w:rPr>
          <w:color w:val="231F20"/>
          <w:spacing w:val="-17"/>
          <w:sz w:val="23"/>
        </w:rPr>
        <w:t> </w:t>
      </w:r>
      <w:r>
        <w:rPr>
          <w:color w:val="231F20"/>
          <w:sz w:val="23"/>
        </w:rPr>
        <w:t>and business advice and technical assistance for SMEs and startups. This project will support the regularisation of SMEs that are still in the informal sector while the Government continues to simplify the process of doing</w:t>
      </w:r>
      <w:r>
        <w:rPr>
          <w:color w:val="231F20"/>
          <w:spacing w:val="-40"/>
          <w:sz w:val="23"/>
        </w:rPr>
        <w:t> </w:t>
      </w:r>
      <w:r>
        <w:rPr>
          <w:color w:val="231F20"/>
          <w:sz w:val="23"/>
        </w:rPr>
        <w:t>business.</w:t>
      </w:r>
    </w:p>
    <w:p>
      <w:pPr>
        <w:pStyle w:val="BodyText"/>
        <w:spacing w:before="7"/>
        <w:rPr>
          <w:sz w:val="28"/>
        </w:rPr>
      </w:pPr>
    </w:p>
    <w:p>
      <w:pPr>
        <w:pStyle w:val="Heading2"/>
        <w:ind w:left="953"/>
      </w:pPr>
      <w:r>
        <w:rPr>
          <w:color w:val="231F20"/>
        </w:rPr>
        <w:t>Labour Based Public Works</w:t>
      </w:r>
    </w:p>
    <w:p>
      <w:pPr>
        <w:pStyle w:val="ListParagraph"/>
        <w:numPr>
          <w:ilvl w:val="0"/>
          <w:numId w:val="2"/>
        </w:numPr>
        <w:tabs>
          <w:tab w:pos="954" w:val="left" w:leader="none"/>
        </w:tabs>
        <w:spacing w:line="295" w:lineRule="auto" w:before="61" w:after="0"/>
        <w:ind w:left="103" w:right="118" w:firstLine="87"/>
        <w:jc w:val="both"/>
        <w:rPr>
          <w:sz w:val="23"/>
        </w:rPr>
      </w:pPr>
      <w:r>
        <w:rPr>
          <w:color w:val="231F20"/>
          <w:sz w:val="23"/>
        </w:rPr>
        <w:t>Mr.</w:t>
      </w:r>
      <w:r>
        <w:rPr>
          <w:color w:val="231F20"/>
          <w:spacing w:val="-43"/>
          <w:sz w:val="23"/>
        </w:rPr>
        <w:t> </w:t>
      </w:r>
      <w:r>
        <w:rPr>
          <w:color w:val="231F20"/>
          <w:sz w:val="23"/>
        </w:rPr>
        <w:t>Speaker,</w:t>
      </w:r>
      <w:r>
        <w:rPr>
          <w:color w:val="231F20"/>
          <w:spacing w:val="-42"/>
          <w:sz w:val="23"/>
        </w:rPr>
        <w:t> </w:t>
      </w:r>
      <w:r>
        <w:rPr>
          <w:color w:val="231F20"/>
          <w:sz w:val="23"/>
        </w:rPr>
        <w:t>Honourable</w:t>
      </w:r>
      <w:r>
        <w:rPr>
          <w:color w:val="231F20"/>
          <w:spacing w:val="-42"/>
          <w:sz w:val="23"/>
        </w:rPr>
        <w:t> </w:t>
      </w:r>
      <w:r>
        <w:rPr>
          <w:color w:val="231F20"/>
          <w:sz w:val="23"/>
        </w:rPr>
        <w:t>Members,</w:t>
      </w:r>
      <w:r>
        <w:rPr>
          <w:color w:val="231F20"/>
          <w:spacing w:val="-42"/>
          <w:sz w:val="23"/>
        </w:rPr>
        <w:t> </w:t>
      </w:r>
      <w:r>
        <w:rPr>
          <w:color w:val="231F20"/>
          <w:sz w:val="23"/>
        </w:rPr>
        <w:t>over</w:t>
      </w:r>
      <w:r>
        <w:rPr>
          <w:color w:val="231F20"/>
          <w:spacing w:val="-42"/>
          <w:sz w:val="23"/>
        </w:rPr>
        <w:t> </w:t>
      </w:r>
      <w:r>
        <w:rPr>
          <w:color w:val="231F20"/>
          <w:sz w:val="23"/>
        </w:rPr>
        <w:t>the</w:t>
      </w:r>
      <w:r>
        <w:rPr>
          <w:color w:val="231F20"/>
          <w:spacing w:val="-43"/>
          <w:sz w:val="23"/>
        </w:rPr>
        <w:t> </w:t>
      </w:r>
      <w:r>
        <w:rPr>
          <w:color w:val="231F20"/>
          <w:sz w:val="23"/>
        </w:rPr>
        <w:t>years,</w:t>
      </w:r>
      <w:r>
        <w:rPr>
          <w:color w:val="231F20"/>
          <w:spacing w:val="-42"/>
          <w:sz w:val="23"/>
        </w:rPr>
        <w:t> </w:t>
      </w:r>
      <w:r>
        <w:rPr>
          <w:color w:val="231F20"/>
          <w:sz w:val="23"/>
        </w:rPr>
        <w:t>in</w:t>
      </w:r>
      <w:r>
        <w:rPr>
          <w:color w:val="231F20"/>
          <w:spacing w:val="-42"/>
          <w:sz w:val="23"/>
        </w:rPr>
        <w:t> </w:t>
      </w:r>
      <w:r>
        <w:rPr>
          <w:color w:val="231F20"/>
          <w:sz w:val="23"/>
        </w:rPr>
        <w:t>spite</w:t>
      </w:r>
      <w:r>
        <w:rPr>
          <w:color w:val="231F20"/>
          <w:spacing w:val="-42"/>
          <w:sz w:val="23"/>
        </w:rPr>
        <w:t> </w:t>
      </w:r>
      <w:r>
        <w:rPr>
          <w:color w:val="231F20"/>
          <w:sz w:val="23"/>
        </w:rPr>
        <w:t>of</w:t>
      </w:r>
      <w:r>
        <w:rPr>
          <w:color w:val="231F20"/>
          <w:spacing w:val="-42"/>
          <w:sz w:val="23"/>
        </w:rPr>
        <w:t> </w:t>
      </w:r>
      <w:r>
        <w:rPr>
          <w:color w:val="231F20"/>
          <w:sz w:val="23"/>
        </w:rPr>
        <w:t>the</w:t>
      </w:r>
      <w:r>
        <w:rPr>
          <w:color w:val="231F20"/>
          <w:spacing w:val="-42"/>
          <w:sz w:val="23"/>
        </w:rPr>
        <w:t> </w:t>
      </w:r>
      <w:r>
        <w:rPr>
          <w:color w:val="231F20"/>
          <w:sz w:val="23"/>
        </w:rPr>
        <w:t>vast</w:t>
      </w:r>
      <w:r>
        <w:rPr>
          <w:color w:val="231F20"/>
          <w:spacing w:val="-43"/>
          <w:sz w:val="23"/>
        </w:rPr>
        <w:t> </w:t>
      </w:r>
      <w:r>
        <w:rPr>
          <w:color w:val="231F20"/>
          <w:sz w:val="23"/>
        </w:rPr>
        <w:t>resources spent</w:t>
      </w:r>
      <w:r>
        <w:rPr>
          <w:color w:val="231F20"/>
          <w:spacing w:val="-10"/>
          <w:sz w:val="23"/>
        </w:rPr>
        <w:t> </w:t>
      </w:r>
      <w:r>
        <w:rPr>
          <w:color w:val="231F20"/>
          <w:sz w:val="23"/>
        </w:rPr>
        <w:t>on</w:t>
      </w:r>
      <w:r>
        <w:rPr>
          <w:color w:val="231F20"/>
          <w:spacing w:val="-10"/>
          <w:sz w:val="23"/>
        </w:rPr>
        <w:t> </w:t>
      </w:r>
      <w:r>
        <w:rPr>
          <w:color w:val="231F20"/>
          <w:sz w:val="23"/>
        </w:rPr>
        <w:t>road</w:t>
      </w:r>
      <w:r>
        <w:rPr>
          <w:color w:val="231F20"/>
          <w:spacing w:val="-10"/>
          <w:sz w:val="23"/>
        </w:rPr>
        <w:t> </w:t>
      </w:r>
      <w:r>
        <w:rPr>
          <w:color w:val="231F20"/>
          <w:sz w:val="23"/>
        </w:rPr>
        <w:t>construction</w:t>
      </w:r>
      <w:r>
        <w:rPr>
          <w:color w:val="231F20"/>
          <w:spacing w:val="-10"/>
          <w:sz w:val="23"/>
        </w:rPr>
        <w:t> </w:t>
      </w:r>
      <w:r>
        <w:rPr>
          <w:color w:val="231F20"/>
          <w:sz w:val="23"/>
        </w:rPr>
        <w:t>and</w:t>
      </w:r>
      <w:r>
        <w:rPr>
          <w:color w:val="231F20"/>
          <w:spacing w:val="-10"/>
          <w:sz w:val="23"/>
        </w:rPr>
        <w:t> </w:t>
      </w:r>
      <w:r>
        <w:rPr>
          <w:color w:val="231F20"/>
          <w:sz w:val="23"/>
        </w:rPr>
        <w:t>rehabilitation,</w:t>
      </w:r>
      <w:r>
        <w:rPr>
          <w:color w:val="231F20"/>
          <w:spacing w:val="-10"/>
          <w:sz w:val="23"/>
        </w:rPr>
        <w:t> </w:t>
      </w:r>
      <w:r>
        <w:rPr>
          <w:color w:val="231F20"/>
          <w:sz w:val="23"/>
        </w:rPr>
        <w:t>most</w:t>
      </w:r>
      <w:r>
        <w:rPr>
          <w:color w:val="231F20"/>
          <w:spacing w:val="-10"/>
          <w:sz w:val="23"/>
        </w:rPr>
        <w:t> </w:t>
      </w:r>
      <w:r>
        <w:rPr>
          <w:color w:val="231F20"/>
          <w:sz w:val="23"/>
        </w:rPr>
        <w:t>of</w:t>
      </w:r>
      <w:r>
        <w:rPr>
          <w:color w:val="231F20"/>
          <w:spacing w:val="-10"/>
          <w:sz w:val="23"/>
        </w:rPr>
        <w:t> </w:t>
      </w:r>
      <w:r>
        <w:rPr>
          <w:color w:val="231F20"/>
          <w:sz w:val="23"/>
        </w:rPr>
        <w:t>the</w:t>
      </w:r>
      <w:r>
        <w:rPr>
          <w:color w:val="231F20"/>
          <w:spacing w:val="-10"/>
          <w:sz w:val="23"/>
        </w:rPr>
        <w:t> </w:t>
      </w:r>
      <w:r>
        <w:rPr>
          <w:color w:val="231F20"/>
          <w:sz w:val="23"/>
        </w:rPr>
        <w:t>feeder</w:t>
      </w:r>
      <w:r>
        <w:rPr>
          <w:color w:val="231F20"/>
          <w:spacing w:val="-10"/>
          <w:sz w:val="23"/>
        </w:rPr>
        <w:t> </w:t>
      </w:r>
      <w:r>
        <w:rPr>
          <w:color w:val="231F20"/>
          <w:sz w:val="23"/>
        </w:rPr>
        <w:t>roads,</w:t>
      </w:r>
      <w:r>
        <w:rPr>
          <w:color w:val="231F20"/>
          <w:spacing w:val="-10"/>
          <w:sz w:val="23"/>
        </w:rPr>
        <w:t> </w:t>
      </w:r>
      <w:r>
        <w:rPr>
          <w:color w:val="231F20"/>
          <w:sz w:val="23"/>
        </w:rPr>
        <w:t>especially</w:t>
      </w:r>
      <w:r>
        <w:rPr>
          <w:color w:val="231F20"/>
          <w:spacing w:val="-10"/>
          <w:sz w:val="23"/>
        </w:rPr>
        <w:t> </w:t>
      </w:r>
      <w:r>
        <w:rPr>
          <w:color w:val="231F20"/>
          <w:sz w:val="23"/>
        </w:rPr>
        <w:t>in the rural areas remain in deplorable conditions. They need to be rehabilitated after every</w:t>
      </w:r>
      <w:r>
        <w:rPr>
          <w:color w:val="231F20"/>
          <w:spacing w:val="-18"/>
          <w:sz w:val="23"/>
        </w:rPr>
        <w:t> </w:t>
      </w:r>
      <w:r>
        <w:rPr>
          <w:color w:val="231F20"/>
          <w:sz w:val="23"/>
        </w:rPr>
        <w:t>rainy</w:t>
      </w:r>
      <w:r>
        <w:rPr>
          <w:color w:val="231F20"/>
          <w:spacing w:val="-18"/>
          <w:sz w:val="23"/>
        </w:rPr>
        <w:t> </w:t>
      </w:r>
      <w:r>
        <w:rPr>
          <w:color w:val="231F20"/>
          <w:sz w:val="23"/>
        </w:rPr>
        <w:t>season.</w:t>
      </w:r>
      <w:r>
        <w:rPr>
          <w:color w:val="231F20"/>
          <w:spacing w:val="-18"/>
          <w:sz w:val="23"/>
        </w:rPr>
        <w:t> </w:t>
      </w:r>
      <w:r>
        <w:rPr>
          <w:color w:val="231F20"/>
          <w:sz w:val="23"/>
        </w:rPr>
        <w:t>The</w:t>
      </w:r>
      <w:r>
        <w:rPr>
          <w:color w:val="231F20"/>
          <w:spacing w:val="-18"/>
          <w:sz w:val="23"/>
        </w:rPr>
        <w:t> </w:t>
      </w:r>
      <w:r>
        <w:rPr>
          <w:color w:val="231F20"/>
          <w:sz w:val="23"/>
        </w:rPr>
        <w:t>Local</w:t>
      </w:r>
      <w:r>
        <w:rPr>
          <w:color w:val="231F20"/>
          <w:spacing w:val="-18"/>
          <w:sz w:val="23"/>
        </w:rPr>
        <w:t> </w:t>
      </w:r>
      <w:r>
        <w:rPr>
          <w:color w:val="231F20"/>
          <w:sz w:val="23"/>
        </w:rPr>
        <w:t>Councils</w:t>
      </w:r>
      <w:r>
        <w:rPr>
          <w:color w:val="231F20"/>
          <w:spacing w:val="-18"/>
          <w:sz w:val="23"/>
        </w:rPr>
        <w:t> </w:t>
      </w:r>
      <w:r>
        <w:rPr>
          <w:color w:val="231F20"/>
          <w:sz w:val="23"/>
        </w:rPr>
        <w:t>and</w:t>
      </w:r>
      <w:r>
        <w:rPr>
          <w:color w:val="231F20"/>
          <w:spacing w:val="-18"/>
          <w:sz w:val="23"/>
        </w:rPr>
        <w:t> </w:t>
      </w:r>
      <w:r>
        <w:rPr>
          <w:color w:val="231F20"/>
          <w:sz w:val="23"/>
        </w:rPr>
        <w:t>the</w:t>
      </w:r>
      <w:r>
        <w:rPr>
          <w:color w:val="231F20"/>
          <w:spacing w:val="-18"/>
          <w:sz w:val="23"/>
        </w:rPr>
        <w:t> </w:t>
      </w:r>
      <w:r>
        <w:rPr>
          <w:color w:val="231F20"/>
          <w:sz w:val="23"/>
        </w:rPr>
        <w:t>Sierra</w:t>
      </w:r>
      <w:r>
        <w:rPr>
          <w:color w:val="231F20"/>
          <w:spacing w:val="-18"/>
          <w:sz w:val="23"/>
        </w:rPr>
        <w:t> </w:t>
      </w:r>
      <w:r>
        <w:rPr>
          <w:color w:val="231F20"/>
          <w:sz w:val="23"/>
        </w:rPr>
        <w:t>Leone</w:t>
      </w:r>
      <w:r>
        <w:rPr>
          <w:color w:val="231F20"/>
          <w:spacing w:val="-18"/>
          <w:sz w:val="23"/>
        </w:rPr>
        <w:t> </w:t>
      </w:r>
      <w:r>
        <w:rPr>
          <w:color w:val="231F20"/>
          <w:sz w:val="23"/>
        </w:rPr>
        <w:t>Roads</w:t>
      </w:r>
      <w:r>
        <w:rPr>
          <w:color w:val="231F20"/>
          <w:spacing w:val="-18"/>
          <w:sz w:val="23"/>
        </w:rPr>
        <w:t> </w:t>
      </w:r>
      <w:r>
        <w:rPr>
          <w:color w:val="231F20"/>
          <w:sz w:val="23"/>
        </w:rPr>
        <w:t>Authority</w:t>
      </w:r>
      <w:r>
        <w:rPr>
          <w:color w:val="231F20"/>
          <w:spacing w:val="-18"/>
          <w:sz w:val="23"/>
        </w:rPr>
        <w:t> </w:t>
      </w:r>
      <w:r>
        <w:rPr>
          <w:color w:val="231F20"/>
          <w:sz w:val="23"/>
        </w:rPr>
        <w:t>have</w:t>
      </w:r>
      <w:r>
        <w:rPr>
          <w:color w:val="231F20"/>
          <w:spacing w:val="-18"/>
          <w:sz w:val="23"/>
        </w:rPr>
        <w:t> </w:t>
      </w:r>
      <w:r>
        <w:rPr>
          <w:color w:val="231F20"/>
          <w:sz w:val="23"/>
        </w:rPr>
        <w:t>no capacity</w:t>
      </w:r>
      <w:r>
        <w:rPr>
          <w:color w:val="231F20"/>
          <w:spacing w:val="-6"/>
          <w:sz w:val="23"/>
        </w:rPr>
        <w:t> </w:t>
      </w:r>
      <w:r>
        <w:rPr>
          <w:color w:val="231F20"/>
          <w:sz w:val="23"/>
        </w:rPr>
        <w:t>in</w:t>
      </w:r>
      <w:r>
        <w:rPr>
          <w:color w:val="231F20"/>
          <w:spacing w:val="-6"/>
          <w:sz w:val="23"/>
        </w:rPr>
        <w:t> </w:t>
      </w:r>
      <w:r>
        <w:rPr>
          <w:color w:val="231F20"/>
          <w:sz w:val="23"/>
        </w:rPr>
        <w:t>terms</w:t>
      </w:r>
      <w:r>
        <w:rPr>
          <w:color w:val="231F20"/>
          <w:spacing w:val="-6"/>
          <w:sz w:val="23"/>
        </w:rPr>
        <w:t> </w:t>
      </w:r>
      <w:r>
        <w:rPr>
          <w:color w:val="231F20"/>
          <w:sz w:val="23"/>
        </w:rPr>
        <w:t>of</w:t>
      </w:r>
      <w:r>
        <w:rPr>
          <w:color w:val="231F20"/>
          <w:spacing w:val="-6"/>
          <w:sz w:val="23"/>
        </w:rPr>
        <w:t> </w:t>
      </w:r>
      <w:r>
        <w:rPr>
          <w:color w:val="231F20"/>
          <w:sz w:val="23"/>
        </w:rPr>
        <w:t>equipment</w:t>
      </w:r>
      <w:r>
        <w:rPr>
          <w:color w:val="231F20"/>
          <w:spacing w:val="-6"/>
          <w:sz w:val="23"/>
        </w:rPr>
        <w:t> </w:t>
      </w:r>
      <w:r>
        <w:rPr>
          <w:color w:val="231F20"/>
          <w:sz w:val="23"/>
        </w:rPr>
        <w:t>and</w:t>
      </w:r>
      <w:r>
        <w:rPr>
          <w:color w:val="231F20"/>
          <w:spacing w:val="-6"/>
          <w:sz w:val="23"/>
        </w:rPr>
        <w:t> </w:t>
      </w:r>
      <w:r>
        <w:rPr>
          <w:color w:val="231F20"/>
          <w:sz w:val="23"/>
        </w:rPr>
        <w:t>trained</w:t>
      </w:r>
      <w:r>
        <w:rPr>
          <w:color w:val="231F20"/>
          <w:spacing w:val="-6"/>
          <w:sz w:val="23"/>
        </w:rPr>
        <w:t> </w:t>
      </w:r>
      <w:r>
        <w:rPr>
          <w:color w:val="231F20"/>
          <w:sz w:val="23"/>
        </w:rPr>
        <w:t>labour</w:t>
      </w:r>
      <w:r>
        <w:rPr>
          <w:color w:val="231F20"/>
          <w:spacing w:val="-6"/>
          <w:sz w:val="23"/>
        </w:rPr>
        <w:t> </w:t>
      </w:r>
      <w:r>
        <w:rPr>
          <w:color w:val="231F20"/>
          <w:sz w:val="23"/>
        </w:rPr>
        <w:t>at</w:t>
      </w:r>
      <w:r>
        <w:rPr>
          <w:color w:val="231F20"/>
          <w:spacing w:val="-6"/>
          <w:sz w:val="23"/>
        </w:rPr>
        <w:t> </w:t>
      </w:r>
      <w:r>
        <w:rPr>
          <w:color w:val="231F20"/>
          <w:sz w:val="23"/>
        </w:rPr>
        <w:t>the</w:t>
      </w:r>
      <w:r>
        <w:rPr>
          <w:color w:val="231F20"/>
          <w:spacing w:val="-6"/>
          <w:sz w:val="23"/>
        </w:rPr>
        <w:t> </w:t>
      </w:r>
      <w:r>
        <w:rPr>
          <w:color w:val="231F20"/>
          <w:sz w:val="23"/>
        </w:rPr>
        <w:t>district</w:t>
      </w:r>
      <w:r>
        <w:rPr>
          <w:color w:val="231F20"/>
          <w:spacing w:val="-6"/>
          <w:sz w:val="23"/>
        </w:rPr>
        <w:t> </w:t>
      </w:r>
      <w:r>
        <w:rPr>
          <w:color w:val="231F20"/>
          <w:sz w:val="23"/>
        </w:rPr>
        <w:t>level</w:t>
      </w:r>
      <w:r>
        <w:rPr>
          <w:color w:val="231F20"/>
          <w:spacing w:val="-6"/>
          <w:sz w:val="23"/>
        </w:rPr>
        <w:t> </w:t>
      </w:r>
      <w:r>
        <w:rPr>
          <w:color w:val="231F20"/>
          <w:sz w:val="23"/>
        </w:rPr>
        <w:t>to</w:t>
      </w:r>
      <w:r>
        <w:rPr>
          <w:color w:val="231F20"/>
          <w:spacing w:val="-6"/>
          <w:sz w:val="23"/>
        </w:rPr>
        <w:t> </w:t>
      </w:r>
      <w:r>
        <w:rPr>
          <w:color w:val="231F20"/>
          <w:sz w:val="23"/>
        </w:rPr>
        <w:t>rehabilitate and maintain</w:t>
      </w:r>
      <w:r>
        <w:rPr>
          <w:color w:val="231F20"/>
          <w:spacing w:val="-8"/>
          <w:sz w:val="23"/>
        </w:rPr>
        <w:t> </w:t>
      </w:r>
      <w:r>
        <w:rPr>
          <w:color w:val="231F20"/>
          <w:sz w:val="23"/>
        </w:rPr>
        <w:t>roads.</w:t>
      </w:r>
    </w:p>
    <w:p>
      <w:pPr>
        <w:pStyle w:val="BodyText"/>
        <w:spacing w:before="2"/>
        <w:rPr>
          <w:sz w:val="28"/>
        </w:rPr>
      </w:pPr>
    </w:p>
    <w:p>
      <w:pPr>
        <w:pStyle w:val="ListParagraph"/>
        <w:numPr>
          <w:ilvl w:val="0"/>
          <w:numId w:val="2"/>
        </w:numPr>
        <w:tabs>
          <w:tab w:pos="954" w:val="left" w:leader="none"/>
        </w:tabs>
        <w:spacing w:line="283" w:lineRule="auto" w:before="1" w:after="0"/>
        <w:ind w:left="103" w:right="120" w:firstLine="87"/>
        <w:jc w:val="both"/>
        <w:rPr>
          <w:sz w:val="23"/>
        </w:rPr>
      </w:pPr>
      <w:r>
        <w:rPr>
          <w:color w:val="231F20"/>
          <w:sz w:val="23"/>
        </w:rPr>
        <w:t>The practice has been to contract feeder road rehabilitation and road maintenance</w:t>
      </w:r>
      <w:r>
        <w:rPr>
          <w:color w:val="231F20"/>
          <w:spacing w:val="-18"/>
          <w:sz w:val="23"/>
        </w:rPr>
        <w:t> </w:t>
      </w:r>
      <w:r>
        <w:rPr>
          <w:color w:val="231F20"/>
          <w:sz w:val="23"/>
        </w:rPr>
        <w:t>to</w:t>
      </w:r>
      <w:r>
        <w:rPr>
          <w:color w:val="231F20"/>
          <w:spacing w:val="-18"/>
          <w:sz w:val="23"/>
        </w:rPr>
        <w:t> </w:t>
      </w:r>
      <w:r>
        <w:rPr>
          <w:color w:val="231F20"/>
          <w:sz w:val="23"/>
        </w:rPr>
        <w:t>private</w:t>
      </w:r>
      <w:r>
        <w:rPr>
          <w:color w:val="231F20"/>
          <w:spacing w:val="-18"/>
          <w:sz w:val="23"/>
        </w:rPr>
        <w:t> </w:t>
      </w:r>
      <w:r>
        <w:rPr>
          <w:color w:val="231F20"/>
          <w:sz w:val="23"/>
        </w:rPr>
        <w:t>companies.</w:t>
      </w:r>
      <w:r>
        <w:rPr>
          <w:color w:val="231F20"/>
          <w:spacing w:val="-18"/>
          <w:sz w:val="23"/>
        </w:rPr>
        <w:t> </w:t>
      </w:r>
      <w:r>
        <w:rPr>
          <w:color w:val="231F20"/>
          <w:sz w:val="23"/>
        </w:rPr>
        <w:t>The</w:t>
      </w:r>
      <w:r>
        <w:rPr>
          <w:color w:val="231F20"/>
          <w:spacing w:val="-18"/>
          <w:sz w:val="23"/>
        </w:rPr>
        <w:t> </w:t>
      </w:r>
      <w:r>
        <w:rPr>
          <w:color w:val="231F20"/>
          <w:sz w:val="23"/>
        </w:rPr>
        <w:t>costs</w:t>
      </w:r>
      <w:r>
        <w:rPr>
          <w:color w:val="231F20"/>
          <w:spacing w:val="-18"/>
          <w:sz w:val="23"/>
        </w:rPr>
        <w:t> </w:t>
      </w:r>
      <w:r>
        <w:rPr>
          <w:color w:val="231F20"/>
          <w:sz w:val="23"/>
        </w:rPr>
        <w:t>of</w:t>
      </w:r>
      <w:r>
        <w:rPr>
          <w:color w:val="231F20"/>
          <w:spacing w:val="-18"/>
          <w:sz w:val="23"/>
        </w:rPr>
        <w:t> </w:t>
      </w:r>
      <w:r>
        <w:rPr>
          <w:color w:val="231F20"/>
          <w:sz w:val="23"/>
        </w:rPr>
        <w:t>these</w:t>
      </w:r>
      <w:r>
        <w:rPr>
          <w:color w:val="231F20"/>
          <w:spacing w:val="-18"/>
          <w:sz w:val="23"/>
        </w:rPr>
        <w:t> </w:t>
      </w:r>
      <w:r>
        <w:rPr>
          <w:color w:val="231F20"/>
          <w:sz w:val="23"/>
        </w:rPr>
        <w:t>contracts</w:t>
      </w:r>
      <w:r>
        <w:rPr>
          <w:color w:val="231F20"/>
          <w:spacing w:val="-18"/>
          <w:sz w:val="23"/>
        </w:rPr>
        <w:t> </w:t>
      </w:r>
      <w:r>
        <w:rPr>
          <w:color w:val="231F20"/>
          <w:sz w:val="23"/>
        </w:rPr>
        <w:t>have</w:t>
      </w:r>
      <w:r>
        <w:rPr>
          <w:color w:val="231F20"/>
          <w:spacing w:val="-18"/>
          <w:sz w:val="23"/>
        </w:rPr>
        <w:t> </w:t>
      </w:r>
      <w:r>
        <w:rPr>
          <w:color w:val="231F20"/>
          <w:sz w:val="23"/>
        </w:rPr>
        <w:t>often</w:t>
      </w:r>
      <w:r>
        <w:rPr>
          <w:color w:val="231F20"/>
          <w:spacing w:val="-18"/>
          <w:sz w:val="23"/>
        </w:rPr>
        <w:t> </w:t>
      </w:r>
      <w:r>
        <w:rPr>
          <w:color w:val="231F20"/>
          <w:sz w:val="23"/>
        </w:rPr>
        <w:t>been</w:t>
      </w:r>
      <w:r>
        <w:rPr>
          <w:color w:val="231F20"/>
          <w:spacing w:val="-18"/>
          <w:sz w:val="23"/>
        </w:rPr>
        <w:t> </w:t>
      </w:r>
      <w:r>
        <w:rPr>
          <w:color w:val="231F20"/>
          <w:sz w:val="23"/>
        </w:rPr>
        <w:t>over- bloated and the quality of the work has been poor. Also, the protracted contracting processes result in delays in maintenance, leading to further deterioration of the </w:t>
      </w:r>
      <w:r>
        <w:rPr>
          <w:color w:val="231F20"/>
          <w:spacing w:val="-3"/>
          <w:sz w:val="23"/>
        </w:rPr>
        <w:t>roads.</w:t>
      </w:r>
    </w:p>
    <w:p>
      <w:pPr>
        <w:pStyle w:val="BodyText"/>
        <w:spacing w:before="9"/>
        <w:rPr>
          <w:sz w:val="27"/>
        </w:rPr>
      </w:pPr>
    </w:p>
    <w:p>
      <w:pPr>
        <w:pStyle w:val="ListParagraph"/>
        <w:numPr>
          <w:ilvl w:val="0"/>
          <w:numId w:val="2"/>
        </w:numPr>
        <w:tabs>
          <w:tab w:pos="954" w:val="left" w:leader="none"/>
        </w:tabs>
        <w:spacing w:line="283" w:lineRule="auto" w:before="1" w:after="0"/>
        <w:ind w:left="103" w:right="119" w:firstLine="87"/>
        <w:jc w:val="both"/>
        <w:rPr>
          <w:sz w:val="23"/>
        </w:rPr>
      </w:pPr>
      <w:r>
        <w:rPr>
          <w:color w:val="231F20"/>
          <w:sz w:val="23"/>
        </w:rPr>
        <w:t>Commencing</w:t>
      </w:r>
      <w:r>
        <w:rPr>
          <w:color w:val="231F20"/>
          <w:spacing w:val="-18"/>
          <w:sz w:val="23"/>
        </w:rPr>
        <w:t> </w:t>
      </w:r>
      <w:r>
        <w:rPr>
          <w:color w:val="231F20"/>
          <w:sz w:val="23"/>
        </w:rPr>
        <w:t>in</w:t>
      </w:r>
      <w:r>
        <w:rPr>
          <w:color w:val="231F20"/>
          <w:spacing w:val="-18"/>
          <w:sz w:val="23"/>
        </w:rPr>
        <w:t> </w:t>
      </w:r>
      <w:r>
        <w:rPr>
          <w:color w:val="231F20"/>
          <w:sz w:val="23"/>
        </w:rPr>
        <w:t>2020,</w:t>
      </w:r>
      <w:r>
        <w:rPr>
          <w:color w:val="231F20"/>
          <w:spacing w:val="-18"/>
          <w:sz w:val="23"/>
        </w:rPr>
        <w:t> </w:t>
      </w:r>
      <w:r>
        <w:rPr>
          <w:color w:val="231F20"/>
          <w:sz w:val="23"/>
        </w:rPr>
        <w:t>the</w:t>
      </w:r>
      <w:r>
        <w:rPr>
          <w:color w:val="231F20"/>
          <w:spacing w:val="-18"/>
          <w:sz w:val="23"/>
        </w:rPr>
        <w:t> </w:t>
      </w:r>
      <w:r>
        <w:rPr>
          <w:color w:val="231F20"/>
          <w:sz w:val="23"/>
        </w:rPr>
        <w:t>SLRA,</w:t>
      </w:r>
      <w:r>
        <w:rPr>
          <w:color w:val="231F20"/>
          <w:spacing w:val="-18"/>
          <w:sz w:val="23"/>
        </w:rPr>
        <w:t> </w:t>
      </w:r>
      <w:r>
        <w:rPr>
          <w:color w:val="231F20"/>
          <w:sz w:val="23"/>
        </w:rPr>
        <w:t>in</w:t>
      </w:r>
      <w:r>
        <w:rPr>
          <w:color w:val="231F20"/>
          <w:spacing w:val="-18"/>
          <w:sz w:val="23"/>
        </w:rPr>
        <w:t> </w:t>
      </w:r>
      <w:r>
        <w:rPr>
          <w:color w:val="231F20"/>
          <w:sz w:val="23"/>
        </w:rPr>
        <w:t>collaboration</w:t>
      </w:r>
      <w:r>
        <w:rPr>
          <w:color w:val="231F20"/>
          <w:spacing w:val="-18"/>
          <w:sz w:val="23"/>
        </w:rPr>
        <w:t> </w:t>
      </w:r>
      <w:r>
        <w:rPr>
          <w:color w:val="231F20"/>
          <w:sz w:val="23"/>
        </w:rPr>
        <w:t>with</w:t>
      </w:r>
      <w:r>
        <w:rPr>
          <w:color w:val="231F20"/>
          <w:spacing w:val="-18"/>
          <w:sz w:val="23"/>
        </w:rPr>
        <w:t> </w:t>
      </w:r>
      <w:r>
        <w:rPr>
          <w:color w:val="231F20"/>
          <w:sz w:val="23"/>
        </w:rPr>
        <w:t>the</w:t>
      </w:r>
      <w:r>
        <w:rPr>
          <w:color w:val="231F20"/>
          <w:spacing w:val="-18"/>
          <w:sz w:val="23"/>
        </w:rPr>
        <w:t> </w:t>
      </w:r>
      <w:r>
        <w:rPr>
          <w:color w:val="231F20"/>
          <w:sz w:val="23"/>
        </w:rPr>
        <w:t>Local</w:t>
      </w:r>
      <w:r>
        <w:rPr>
          <w:color w:val="231F20"/>
          <w:spacing w:val="-18"/>
          <w:sz w:val="23"/>
        </w:rPr>
        <w:t> </w:t>
      </w:r>
      <w:r>
        <w:rPr>
          <w:color w:val="231F20"/>
          <w:sz w:val="23"/>
        </w:rPr>
        <w:t>Councils,</w:t>
      </w:r>
      <w:r>
        <w:rPr>
          <w:color w:val="231F20"/>
          <w:spacing w:val="-18"/>
          <w:sz w:val="23"/>
        </w:rPr>
        <w:t> </w:t>
      </w:r>
      <w:r>
        <w:rPr>
          <w:color w:val="231F20"/>
          <w:sz w:val="23"/>
        </w:rPr>
        <w:t>will be</w:t>
      </w:r>
      <w:r>
        <w:rPr>
          <w:color w:val="231F20"/>
          <w:spacing w:val="-45"/>
          <w:sz w:val="23"/>
        </w:rPr>
        <w:t> </w:t>
      </w:r>
      <w:r>
        <w:rPr>
          <w:color w:val="231F20"/>
          <w:sz w:val="23"/>
        </w:rPr>
        <w:t>required</w:t>
      </w:r>
      <w:r>
        <w:rPr>
          <w:color w:val="231F20"/>
          <w:spacing w:val="-44"/>
          <w:sz w:val="23"/>
        </w:rPr>
        <w:t> </w:t>
      </w:r>
      <w:r>
        <w:rPr>
          <w:color w:val="231F20"/>
          <w:sz w:val="23"/>
        </w:rPr>
        <w:t>to</w:t>
      </w:r>
      <w:r>
        <w:rPr>
          <w:color w:val="231F20"/>
          <w:spacing w:val="-44"/>
          <w:sz w:val="23"/>
        </w:rPr>
        <w:t> </w:t>
      </w:r>
      <w:r>
        <w:rPr>
          <w:color w:val="231F20"/>
          <w:sz w:val="23"/>
        </w:rPr>
        <w:t>procure</w:t>
      </w:r>
      <w:r>
        <w:rPr>
          <w:color w:val="231F20"/>
          <w:spacing w:val="-44"/>
          <w:sz w:val="23"/>
        </w:rPr>
        <w:t> </w:t>
      </w:r>
      <w:r>
        <w:rPr>
          <w:color w:val="231F20"/>
          <w:sz w:val="23"/>
        </w:rPr>
        <w:t>and</w:t>
      </w:r>
      <w:r>
        <w:rPr>
          <w:color w:val="231F20"/>
          <w:spacing w:val="-45"/>
          <w:sz w:val="23"/>
        </w:rPr>
        <w:t> </w:t>
      </w:r>
      <w:r>
        <w:rPr>
          <w:color w:val="231F20"/>
          <w:sz w:val="23"/>
        </w:rPr>
        <w:t>contract</w:t>
      </w:r>
      <w:r>
        <w:rPr>
          <w:color w:val="231F20"/>
          <w:spacing w:val="-44"/>
          <w:sz w:val="23"/>
        </w:rPr>
        <w:t> </w:t>
      </w:r>
      <w:r>
        <w:rPr>
          <w:color w:val="231F20"/>
          <w:sz w:val="23"/>
        </w:rPr>
        <w:t>road</w:t>
      </w:r>
      <w:r>
        <w:rPr>
          <w:color w:val="231F20"/>
          <w:spacing w:val="-44"/>
          <w:sz w:val="23"/>
        </w:rPr>
        <w:t> </w:t>
      </w:r>
      <w:r>
        <w:rPr>
          <w:color w:val="231F20"/>
          <w:sz w:val="23"/>
        </w:rPr>
        <w:t>construction</w:t>
      </w:r>
      <w:r>
        <w:rPr>
          <w:color w:val="231F20"/>
          <w:spacing w:val="-44"/>
          <w:sz w:val="23"/>
        </w:rPr>
        <w:t> </w:t>
      </w:r>
      <w:r>
        <w:rPr>
          <w:color w:val="231F20"/>
          <w:sz w:val="23"/>
        </w:rPr>
        <w:t>and</w:t>
      </w:r>
      <w:r>
        <w:rPr>
          <w:color w:val="231F20"/>
          <w:spacing w:val="-44"/>
          <w:sz w:val="23"/>
        </w:rPr>
        <w:t> </w:t>
      </w:r>
      <w:r>
        <w:rPr>
          <w:color w:val="231F20"/>
          <w:sz w:val="23"/>
        </w:rPr>
        <w:t>maintenance</w:t>
      </w:r>
      <w:r>
        <w:rPr>
          <w:color w:val="231F20"/>
          <w:spacing w:val="-45"/>
          <w:sz w:val="23"/>
        </w:rPr>
        <w:t> </w:t>
      </w:r>
      <w:r>
        <w:rPr>
          <w:color w:val="231F20"/>
          <w:sz w:val="23"/>
        </w:rPr>
        <w:t>services</w:t>
      </w:r>
      <w:r>
        <w:rPr>
          <w:color w:val="231F20"/>
          <w:spacing w:val="-44"/>
          <w:sz w:val="23"/>
        </w:rPr>
        <w:t> </w:t>
      </w:r>
      <w:r>
        <w:rPr>
          <w:color w:val="231F20"/>
          <w:sz w:val="23"/>
        </w:rPr>
        <w:t>locally and employ youths from their communities through labour-based public works supported by machinery. Therefore, youths will be engaged in the rehabilitation, reconstruction</w:t>
      </w:r>
      <w:r>
        <w:rPr>
          <w:color w:val="231F20"/>
          <w:spacing w:val="-7"/>
          <w:sz w:val="23"/>
        </w:rPr>
        <w:t> </w:t>
      </w:r>
      <w:r>
        <w:rPr>
          <w:color w:val="231F20"/>
          <w:sz w:val="23"/>
        </w:rPr>
        <w:t>and</w:t>
      </w:r>
      <w:r>
        <w:rPr>
          <w:color w:val="231F20"/>
          <w:spacing w:val="-7"/>
          <w:sz w:val="23"/>
        </w:rPr>
        <w:t> </w:t>
      </w:r>
      <w:r>
        <w:rPr>
          <w:color w:val="231F20"/>
          <w:sz w:val="23"/>
        </w:rPr>
        <w:t>upgrading</w:t>
      </w:r>
      <w:r>
        <w:rPr>
          <w:color w:val="231F20"/>
          <w:spacing w:val="-7"/>
          <w:sz w:val="23"/>
        </w:rPr>
        <w:t> </w:t>
      </w:r>
      <w:r>
        <w:rPr>
          <w:color w:val="231F20"/>
          <w:sz w:val="23"/>
        </w:rPr>
        <w:t>of</w:t>
      </w:r>
      <w:r>
        <w:rPr>
          <w:color w:val="231F20"/>
          <w:spacing w:val="-7"/>
          <w:sz w:val="23"/>
        </w:rPr>
        <w:t> </w:t>
      </w:r>
      <w:r>
        <w:rPr>
          <w:color w:val="231F20"/>
          <w:sz w:val="23"/>
        </w:rPr>
        <w:t>feeder</w:t>
      </w:r>
      <w:r>
        <w:rPr>
          <w:color w:val="231F20"/>
          <w:spacing w:val="-7"/>
          <w:sz w:val="23"/>
        </w:rPr>
        <w:t> </w:t>
      </w:r>
      <w:r>
        <w:rPr>
          <w:color w:val="231F20"/>
          <w:sz w:val="23"/>
        </w:rPr>
        <w:t>roads</w:t>
      </w:r>
      <w:r>
        <w:rPr>
          <w:color w:val="231F20"/>
          <w:spacing w:val="-7"/>
          <w:sz w:val="23"/>
        </w:rPr>
        <w:t> </w:t>
      </w:r>
      <w:r>
        <w:rPr>
          <w:color w:val="231F20"/>
          <w:sz w:val="23"/>
        </w:rPr>
        <w:t>nationwide.</w:t>
      </w:r>
      <w:r>
        <w:rPr>
          <w:color w:val="231F20"/>
          <w:spacing w:val="-7"/>
          <w:sz w:val="23"/>
        </w:rPr>
        <w:t> </w:t>
      </w:r>
      <w:r>
        <w:rPr>
          <w:color w:val="231F20"/>
          <w:sz w:val="23"/>
        </w:rPr>
        <w:t>They</w:t>
      </w:r>
      <w:r>
        <w:rPr>
          <w:color w:val="231F20"/>
          <w:spacing w:val="-7"/>
          <w:sz w:val="23"/>
        </w:rPr>
        <w:t> </w:t>
      </w:r>
      <w:r>
        <w:rPr>
          <w:color w:val="231F20"/>
          <w:sz w:val="23"/>
        </w:rPr>
        <w:t>will</w:t>
      </w:r>
      <w:r>
        <w:rPr>
          <w:color w:val="231F20"/>
          <w:spacing w:val="-7"/>
          <w:sz w:val="23"/>
        </w:rPr>
        <w:t> </w:t>
      </w:r>
      <w:r>
        <w:rPr>
          <w:color w:val="231F20"/>
          <w:sz w:val="23"/>
        </w:rPr>
        <w:t>be</w:t>
      </w:r>
      <w:r>
        <w:rPr>
          <w:color w:val="231F20"/>
          <w:spacing w:val="-7"/>
          <w:sz w:val="23"/>
        </w:rPr>
        <w:t> </w:t>
      </w:r>
      <w:r>
        <w:rPr>
          <w:color w:val="231F20"/>
          <w:sz w:val="23"/>
        </w:rPr>
        <w:t>provided</w:t>
      </w:r>
      <w:r>
        <w:rPr>
          <w:color w:val="231F20"/>
          <w:spacing w:val="-7"/>
          <w:sz w:val="23"/>
        </w:rPr>
        <w:t> </w:t>
      </w:r>
      <w:r>
        <w:rPr>
          <w:color w:val="231F20"/>
          <w:sz w:val="23"/>
        </w:rPr>
        <w:t>with the requisite capacities to undertake public works at chiefdom and district</w:t>
      </w:r>
      <w:r>
        <w:rPr>
          <w:color w:val="231F20"/>
          <w:spacing w:val="55"/>
          <w:sz w:val="23"/>
        </w:rPr>
        <w:t> </w:t>
      </w:r>
      <w:r>
        <w:rPr>
          <w:color w:val="231F20"/>
          <w:sz w:val="23"/>
        </w:rPr>
        <w:t>levels.</w:t>
      </w:r>
    </w:p>
    <w:p>
      <w:pPr>
        <w:pStyle w:val="BodyText"/>
        <w:rPr>
          <w:sz w:val="20"/>
        </w:rPr>
      </w:pPr>
    </w:p>
    <w:p>
      <w:pPr>
        <w:pStyle w:val="BodyText"/>
        <w:rPr>
          <w:sz w:val="20"/>
        </w:rPr>
      </w:pPr>
    </w:p>
    <w:p>
      <w:pPr>
        <w:pStyle w:val="BodyText"/>
        <w:rPr>
          <w:sz w:val="20"/>
        </w:rPr>
      </w:pPr>
    </w:p>
    <w:p>
      <w:pPr>
        <w:pStyle w:val="Heading1"/>
        <w:spacing w:before="219"/>
      </w:pPr>
      <w:r>
        <w:rPr>
          <w:color w:val="231F20"/>
        </w:rPr>
        <w:t>29</w:t>
      </w:r>
    </w:p>
    <w:p>
      <w:pPr>
        <w:spacing w:after="0"/>
        <w:sectPr>
          <w:pgSz w:w="11900" w:h="16840"/>
          <w:pgMar w:top="1180" w:bottom="280" w:left="1140" w:right="1120"/>
        </w:sectPr>
      </w:pPr>
    </w:p>
    <w:p>
      <w:pPr>
        <w:pStyle w:val="ListParagraph"/>
        <w:numPr>
          <w:ilvl w:val="0"/>
          <w:numId w:val="2"/>
        </w:numPr>
        <w:tabs>
          <w:tab w:pos="954" w:val="left" w:leader="none"/>
        </w:tabs>
        <w:spacing w:line="285" w:lineRule="auto" w:before="83" w:after="0"/>
        <w:ind w:left="103" w:right="118" w:firstLine="87"/>
        <w:jc w:val="both"/>
        <w:rPr>
          <w:sz w:val="23"/>
        </w:rPr>
      </w:pPr>
      <w:r>
        <w:rPr>
          <w:color w:val="231F20"/>
          <w:sz w:val="23"/>
        </w:rPr>
        <w:t>Government will strengthen the capacity of Sierra Leone Roads Authority (SLRA) at the district level by providing equipment including graders, excavators, loaders</w:t>
      </w:r>
      <w:r>
        <w:rPr>
          <w:color w:val="231F20"/>
          <w:spacing w:val="-15"/>
          <w:sz w:val="23"/>
        </w:rPr>
        <w:t> </w:t>
      </w:r>
      <w:r>
        <w:rPr>
          <w:color w:val="231F20"/>
          <w:sz w:val="23"/>
        </w:rPr>
        <w:t>etc.</w:t>
      </w:r>
      <w:r>
        <w:rPr>
          <w:color w:val="231F20"/>
          <w:spacing w:val="-15"/>
          <w:sz w:val="23"/>
        </w:rPr>
        <w:t> </w:t>
      </w:r>
      <w:r>
        <w:rPr>
          <w:color w:val="231F20"/>
          <w:sz w:val="23"/>
        </w:rPr>
        <w:t>Government</w:t>
      </w:r>
      <w:r>
        <w:rPr>
          <w:color w:val="231F20"/>
          <w:spacing w:val="-15"/>
          <w:sz w:val="23"/>
        </w:rPr>
        <w:t> </w:t>
      </w:r>
      <w:r>
        <w:rPr>
          <w:color w:val="231F20"/>
          <w:sz w:val="23"/>
        </w:rPr>
        <w:t>will</w:t>
      </w:r>
      <w:r>
        <w:rPr>
          <w:color w:val="231F20"/>
          <w:spacing w:val="-15"/>
          <w:sz w:val="23"/>
        </w:rPr>
        <w:t> </w:t>
      </w:r>
      <w:r>
        <w:rPr>
          <w:color w:val="231F20"/>
          <w:sz w:val="23"/>
        </w:rPr>
        <w:t>source</w:t>
      </w:r>
      <w:r>
        <w:rPr>
          <w:color w:val="231F20"/>
          <w:spacing w:val="-15"/>
          <w:sz w:val="23"/>
        </w:rPr>
        <w:t> </w:t>
      </w:r>
      <w:r>
        <w:rPr>
          <w:color w:val="231F20"/>
          <w:sz w:val="23"/>
        </w:rPr>
        <w:t>external</w:t>
      </w:r>
      <w:r>
        <w:rPr>
          <w:color w:val="231F20"/>
          <w:spacing w:val="-15"/>
          <w:sz w:val="23"/>
        </w:rPr>
        <w:t> </w:t>
      </w:r>
      <w:r>
        <w:rPr>
          <w:color w:val="231F20"/>
          <w:sz w:val="23"/>
        </w:rPr>
        <w:t>support</w:t>
      </w:r>
      <w:r>
        <w:rPr>
          <w:color w:val="231F20"/>
          <w:spacing w:val="-15"/>
          <w:sz w:val="23"/>
        </w:rPr>
        <w:t> </w:t>
      </w:r>
      <w:r>
        <w:rPr>
          <w:color w:val="231F20"/>
          <w:sz w:val="23"/>
        </w:rPr>
        <w:t>to</w:t>
      </w:r>
      <w:r>
        <w:rPr>
          <w:color w:val="231F20"/>
          <w:spacing w:val="-15"/>
          <w:sz w:val="23"/>
        </w:rPr>
        <w:t> </w:t>
      </w:r>
      <w:r>
        <w:rPr>
          <w:color w:val="231F20"/>
          <w:sz w:val="23"/>
        </w:rPr>
        <w:t>acquire</w:t>
      </w:r>
      <w:r>
        <w:rPr>
          <w:color w:val="231F20"/>
          <w:spacing w:val="-15"/>
          <w:sz w:val="23"/>
        </w:rPr>
        <w:t> </w:t>
      </w:r>
      <w:r>
        <w:rPr>
          <w:color w:val="231F20"/>
          <w:sz w:val="23"/>
        </w:rPr>
        <w:t>the</w:t>
      </w:r>
      <w:r>
        <w:rPr>
          <w:color w:val="231F20"/>
          <w:spacing w:val="-15"/>
          <w:sz w:val="23"/>
        </w:rPr>
        <w:t> </w:t>
      </w:r>
      <w:r>
        <w:rPr>
          <w:color w:val="231F20"/>
          <w:sz w:val="23"/>
        </w:rPr>
        <w:t>equipment</w:t>
      </w:r>
      <w:r>
        <w:rPr>
          <w:color w:val="231F20"/>
          <w:spacing w:val="-15"/>
          <w:sz w:val="23"/>
        </w:rPr>
        <w:t> </w:t>
      </w:r>
      <w:r>
        <w:rPr>
          <w:color w:val="231F20"/>
          <w:sz w:val="23"/>
        </w:rPr>
        <w:t>for</w:t>
      </w:r>
      <w:r>
        <w:rPr>
          <w:color w:val="231F20"/>
          <w:spacing w:val="-15"/>
          <w:sz w:val="23"/>
        </w:rPr>
        <w:t> </w:t>
      </w:r>
      <w:r>
        <w:rPr>
          <w:color w:val="231F20"/>
          <w:sz w:val="23"/>
        </w:rPr>
        <w:t>all 22</w:t>
      </w:r>
      <w:r>
        <w:rPr>
          <w:color w:val="231F20"/>
          <w:spacing w:val="-24"/>
          <w:sz w:val="23"/>
        </w:rPr>
        <w:t> </w:t>
      </w:r>
      <w:r>
        <w:rPr>
          <w:color w:val="231F20"/>
          <w:sz w:val="23"/>
        </w:rPr>
        <w:t>Local</w:t>
      </w:r>
      <w:r>
        <w:rPr>
          <w:color w:val="231F20"/>
          <w:spacing w:val="-24"/>
          <w:sz w:val="23"/>
        </w:rPr>
        <w:t> </w:t>
      </w:r>
      <w:r>
        <w:rPr>
          <w:color w:val="231F20"/>
          <w:sz w:val="23"/>
        </w:rPr>
        <w:t>Councils.</w:t>
      </w:r>
      <w:r>
        <w:rPr>
          <w:color w:val="231F20"/>
          <w:spacing w:val="-23"/>
          <w:sz w:val="23"/>
        </w:rPr>
        <w:t> </w:t>
      </w:r>
      <w:r>
        <w:rPr>
          <w:color w:val="231F20"/>
          <w:sz w:val="23"/>
        </w:rPr>
        <w:t>Every</w:t>
      </w:r>
      <w:r>
        <w:rPr>
          <w:color w:val="231F20"/>
          <w:spacing w:val="-24"/>
          <w:sz w:val="23"/>
        </w:rPr>
        <w:t> </w:t>
      </w:r>
      <w:r>
        <w:rPr>
          <w:color w:val="231F20"/>
          <w:sz w:val="23"/>
        </w:rPr>
        <w:t>year,</w:t>
      </w:r>
      <w:r>
        <w:rPr>
          <w:color w:val="231F20"/>
          <w:spacing w:val="-24"/>
          <w:sz w:val="23"/>
        </w:rPr>
        <w:t> </w:t>
      </w:r>
      <w:r>
        <w:rPr>
          <w:color w:val="231F20"/>
          <w:sz w:val="23"/>
        </w:rPr>
        <w:t>the</w:t>
      </w:r>
      <w:r>
        <w:rPr>
          <w:color w:val="231F20"/>
          <w:spacing w:val="-24"/>
          <w:sz w:val="23"/>
        </w:rPr>
        <w:t> </w:t>
      </w:r>
      <w:r>
        <w:rPr>
          <w:color w:val="231F20"/>
          <w:sz w:val="23"/>
        </w:rPr>
        <w:t>SLRA</w:t>
      </w:r>
      <w:r>
        <w:rPr>
          <w:color w:val="231F20"/>
          <w:spacing w:val="-24"/>
          <w:sz w:val="23"/>
        </w:rPr>
        <w:t> </w:t>
      </w:r>
      <w:r>
        <w:rPr>
          <w:color w:val="231F20"/>
          <w:sz w:val="23"/>
        </w:rPr>
        <w:t>will</w:t>
      </w:r>
      <w:r>
        <w:rPr>
          <w:color w:val="231F20"/>
          <w:spacing w:val="-23"/>
          <w:sz w:val="23"/>
        </w:rPr>
        <w:t> </w:t>
      </w:r>
      <w:r>
        <w:rPr>
          <w:color w:val="231F20"/>
          <w:sz w:val="23"/>
        </w:rPr>
        <w:t>consult</w:t>
      </w:r>
      <w:r>
        <w:rPr>
          <w:color w:val="231F20"/>
          <w:spacing w:val="-24"/>
          <w:sz w:val="23"/>
        </w:rPr>
        <w:t> </w:t>
      </w:r>
      <w:r>
        <w:rPr>
          <w:color w:val="231F20"/>
          <w:sz w:val="23"/>
        </w:rPr>
        <w:t>with</w:t>
      </w:r>
      <w:r>
        <w:rPr>
          <w:color w:val="231F20"/>
          <w:spacing w:val="-23"/>
          <w:sz w:val="23"/>
        </w:rPr>
        <w:t> </w:t>
      </w:r>
      <w:r>
        <w:rPr>
          <w:color w:val="231F20"/>
          <w:sz w:val="23"/>
        </w:rPr>
        <w:t>each</w:t>
      </w:r>
      <w:r>
        <w:rPr>
          <w:color w:val="231F20"/>
          <w:spacing w:val="-24"/>
          <w:sz w:val="23"/>
        </w:rPr>
        <w:t> </w:t>
      </w:r>
      <w:r>
        <w:rPr>
          <w:color w:val="231F20"/>
          <w:sz w:val="23"/>
        </w:rPr>
        <w:t>Local</w:t>
      </w:r>
      <w:r>
        <w:rPr>
          <w:color w:val="231F20"/>
          <w:spacing w:val="-24"/>
          <w:sz w:val="23"/>
        </w:rPr>
        <w:t> </w:t>
      </w:r>
      <w:r>
        <w:rPr>
          <w:color w:val="231F20"/>
          <w:sz w:val="23"/>
        </w:rPr>
        <w:t>Council</w:t>
      </w:r>
      <w:r>
        <w:rPr>
          <w:color w:val="231F20"/>
          <w:spacing w:val="-23"/>
          <w:sz w:val="23"/>
        </w:rPr>
        <w:t> </w:t>
      </w:r>
      <w:r>
        <w:rPr>
          <w:color w:val="231F20"/>
          <w:sz w:val="23"/>
        </w:rPr>
        <w:t>to</w:t>
      </w:r>
      <w:r>
        <w:rPr>
          <w:color w:val="231F20"/>
          <w:spacing w:val="-24"/>
          <w:sz w:val="23"/>
        </w:rPr>
        <w:t> </w:t>
      </w:r>
      <w:r>
        <w:rPr>
          <w:color w:val="231F20"/>
          <w:sz w:val="23"/>
        </w:rPr>
        <w:t>decide on specific roads to be</w:t>
      </w:r>
      <w:r>
        <w:rPr>
          <w:color w:val="231F20"/>
          <w:spacing w:val="5"/>
          <w:sz w:val="23"/>
        </w:rPr>
        <w:t> </w:t>
      </w:r>
      <w:r>
        <w:rPr>
          <w:color w:val="231F20"/>
          <w:sz w:val="23"/>
        </w:rPr>
        <w:t>rehabilitated.</w:t>
      </w:r>
    </w:p>
    <w:p>
      <w:pPr>
        <w:pStyle w:val="BodyText"/>
        <w:spacing w:before="8"/>
        <w:rPr>
          <w:sz w:val="26"/>
        </w:rPr>
      </w:pPr>
    </w:p>
    <w:p>
      <w:pPr>
        <w:pStyle w:val="ListParagraph"/>
        <w:numPr>
          <w:ilvl w:val="0"/>
          <w:numId w:val="2"/>
        </w:numPr>
        <w:tabs>
          <w:tab w:pos="954" w:val="left" w:leader="none"/>
        </w:tabs>
        <w:spacing w:line="285" w:lineRule="auto" w:before="1" w:after="0"/>
        <w:ind w:left="103" w:right="117" w:firstLine="87"/>
        <w:jc w:val="both"/>
        <w:rPr>
          <w:sz w:val="23"/>
        </w:rPr>
      </w:pPr>
      <w:r>
        <w:rPr>
          <w:color w:val="231F20"/>
          <w:sz w:val="23"/>
        </w:rPr>
        <w:t>Mr.</w:t>
      </w:r>
      <w:r>
        <w:rPr>
          <w:color w:val="231F20"/>
          <w:spacing w:val="-14"/>
          <w:sz w:val="23"/>
        </w:rPr>
        <w:t> </w:t>
      </w:r>
      <w:r>
        <w:rPr>
          <w:color w:val="231F20"/>
          <w:sz w:val="23"/>
        </w:rPr>
        <w:t>Speaker,</w:t>
      </w:r>
      <w:r>
        <w:rPr>
          <w:color w:val="231F20"/>
          <w:spacing w:val="-14"/>
          <w:sz w:val="23"/>
        </w:rPr>
        <w:t> </w:t>
      </w:r>
      <w:r>
        <w:rPr>
          <w:color w:val="231F20"/>
          <w:sz w:val="23"/>
        </w:rPr>
        <w:t>Honourable</w:t>
      </w:r>
      <w:r>
        <w:rPr>
          <w:color w:val="231F20"/>
          <w:spacing w:val="-13"/>
          <w:sz w:val="23"/>
        </w:rPr>
        <w:t> </w:t>
      </w:r>
      <w:r>
        <w:rPr>
          <w:color w:val="231F20"/>
          <w:sz w:val="23"/>
        </w:rPr>
        <w:t>Members,</w:t>
      </w:r>
      <w:r>
        <w:rPr>
          <w:color w:val="231F20"/>
          <w:spacing w:val="-14"/>
          <w:sz w:val="23"/>
        </w:rPr>
        <w:t> </w:t>
      </w:r>
      <w:r>
        <w:rPr>
          <w:color w:val="231F20"/>
          <w:sz w:val="23"/>
        </w:rPr>
        <w:t>in</w:t>
      </w:r>
      <w:r>
        <w:rPr>
          <w:color w:val="231F20"/>
          <w:spacing w:val="-13"/>
          <w:sz w:val="23"/>
        </w:rPr>
        <w:t> </w:t>
      </w:r>
      <w:r>
        <w:rPr>
          <w:color w:val="231F20"/>
          <w:sz w:val="23"/>
        </w:rPr>
        <w:t>2020,</w:t>
      </w:r>
      <w:r>
        <w:rPr>
          <w:color w:val="231F20"/>
          <w:spacing w:val="-14"/>
          <w:sz w:val="23"/>
        </w:rPr>
        <w:t> </w:t>
      </w:r>
      <w:r>
        <w:rPr>
          <w:color w:val="231F20"/>
          <w:sz w:val="23"/>
        </w:rPr>
        <w:t>the</w:t>
      </w:r>
      <w:r>
        <w:rPr>
          <w:color w:val="231F20"/>
          <w:spacing w:val="-14"/>
          <w:sz w:val="23"/>
        </w:rPr>
        <w:t> </w:t>
      </w:r>
      <w:r>
        <w:rPr>
          <w:color w:val="231F20"/>
          <w:sz w:val="23"/>
        </w:rPr>
        <w:t>Government</w:t>
      </w:r>
      <w:r>
        <w:rPr>
          <w:color w:val="231F20"/>
          <w:spacing w:val="-13"/>
          <w:sz w:val="23"/>
        </w:rPr>
        <w:t> </w:t>
      </w:r>
      <w:r>
        <w:rPr>
          <w:color w:val="231F20"/>
          <w:sz w:val="23"/>
        </w:rPr>
        <w:t>has</w:t>
      </w:r>
      <w:r>
        <w:rPr>
          <w:color w:val="231F20"/>
          <w:spacing w:val="-14"/>
          <w:sz w:val="23"/>
        </w:rPr>
        <w:t> </w:t>
      </w:r>
      <w:r>
        <w:rPr>
          <w:color w:val="231F20"/>
          <w:sz w:val="23"/>
        </w:rPr>
        <w:t>earmarked a total of 1,000 km of roads across the country for reconstruction with the</w:t>
      </w:r>
      <w:r>
        <w:rPr>
          <w:color w:val="231F20"/>
          <w:spacing w:val="-28"/>
          <w:sz w:val="23"/>
        </w:rPr>
        <w:t> </w:t>
      </w:r>
      <w:r>
        <w:rPr>
          <w:color w:val="231F20"/>
          <w:sz w:val="23"/>
        </w:rPr>
        <w:t>potential of</w:t>
      </w:r>
      <w:r>
        <w:rPr>
          <w:color w:val="231F20"/>
          <w:spacing w:val="-6"/>
          <w:sz w:val="23"/>
        </w:rPr>
        <w:t> </w:t>
      </w:r>
      <w:r>
        <w:rPr>
          <w:color w:val="231F20"/>
          <w:sz w:val="23"/>
        </w:rPr>
        <w:t>employing</w:t>
      </w:r>
      <w:r>
        <w:rPr>
          <w:color w:val="231F20"/>
          <w:spacing w:val="-6"/>
          <w:sz w:val="23"/>
        </w:rPr>
        <w:t> </w:t>
      </w:r>
      <w:r>
        <w:rPr>
          <w:color w:val="231F20"/>
          <w:sz w:val="23"/>
        </w:rPr>
        <w:t>5000</w:t>
      </w:r>
      <w:r>
        <w:rPr>
          <w:color w:val="231F20"/>
          <w:spacing w:val="-6"/>
          <w:sz w:val="23"/>
        </w:rPr>
        <w:t> </w:t>
      </w:r>
      <w:r>
        <w:rPr>
          <w:color w:val="231F20"/>
          <w:sz w:val="23"/>
        </w:rPr>
        <w:t>youths.</w:t>
      </w:r>
      <w:r>
        <w:rPr>
          <w:color w:val="231F20"/>
          <w:spacing w:val="-6"/>
          <w:sz w:val="23"/>
        </w:rPr>
        <w:t> </w:t>
      </w:r>
      <w:r>
        <w:rPr>
          <w:color w:val="231F20"/>
          <w:sz w:val="23"/>
        </w:rPr>
        <w:t>Therefore,</w:t>
      </w:r>
      <w:r>
        <w:rPr>
          <w:color w:val="231F20"/>
          <w:spacing w:val="-6"/>
          <w:sz w:val="23"/>
        </w:rPr>
        <w:t> </w:t>
      </w:r>
      <w:r>
        <w:rPr>
          <w:color w:val="231F20"/>
          <w:sz w:val="23"/>
        </w:rPr>
        <w:t>Government</w:t>
      </w:r>
      <w:r>
        <w:rPr>
          <w:color w:val="231F20"/>
          <w:spacing w:val="-6"/>
          <w:sz w:val="23"/>
        </w:rPr>
        <w:t> </w:t>
      </w:r>
      <w:r>
        <w:rPr>
          <w:color w:val="231F20"/>
          <w:sz w:val="23"/>
        </w:rPr>
        <w:t>through</w:t>
      </w:r>
      <w:r>
        <w:rPr>
          <w:color w:val="231F20"/>
          <w:spacing w:val="-6"/>
          <w:sz w:val="23"/>
        </w:rPr>
        <w:t> </w:t>
      </w:r>
      <w:r>
        <w:rPr>
          <w:color w:val="231F20"/>
          <w:sz w:val="23"/>
        </w:rPr>
        <w:t>the</w:t>
      </w:r>
      <w:r>
        <w:rPr>
          <w:color w:val="231F20"/>
          <w:spacing w:val="-6"/>
          <w:sz w:val="23"/>
        </w:rPr>
        <w:t> </w:t>
      </w:r>
      <w:r>
        <w:rPr>
          <w:color w:val="231F20"/>
          <w:sz w:val="23"/>
        </w:rPr>
        <w:t>budget</w:t>
      </w:r>
      <w:r>
        <w:rPr>
          <w:color w:val="231F20"/>
          <w:spacing w:val="-6"/>
          <w:sz w:val="23"/>
        </w:rPr>
        <w:t> </w:t>
      </w:r>
      <w:r>
        <w:rPr>
          <w:color w:val="231F20"/>
          <w:sz w:val="23"/>
        </w:rPr>
        <w:t>and</w:t>
      </w:r>
      <w:r>
        <w:rPr>
          <w:color w:val="231F20"/>
          <w:spacing w:val="-6"/>
          <w:sz w:val="23"/>
        </w:rPr>
        <w:t> </w:t>
      </w:r>
      <w:r>
        <w:rPr>
          <w:color w:val="231F20"/>
          <w:sz w:val="23"/>
        </w:rPr>
        <w:t>the</w:t>
      </w:r>
      <w:r>
        <w:rPr>
          <w:color w:val="231F20"/>
          <w:spacing w:val="-6"/>
          <w:sz w:val="23"/>
        </w:rPr>
        <w:t> </w:t>
      </w:r>
      <w:r>
        <w:rPr>
          <w:color w:val="231F20"/>
          <w:sz w:val="23"/>
        </w:rPr>
        <w:t>Road Maintenance</w:t>
      </w:r>
      <w:r>
        <w:rPr>
          <w:color w:val="231F20"/>
          <w:spacing w:val="-26"/>
          <w:sz w:val="23"/>
        </w:rPr>
        <w:t> </w:t>
      </w:r>
      <w:r>
        <w:rPr>
          <w:color w:val="231F20"/>
          <w:sz w:val="23"/>
        </w:rPr>
        <w:t>Fund,</w:t>
      </w:r>
      <w:r>
        <w:rPr>
          <w:color w:val="231F20"/>
          <w:spacing w:val="-26"/>
          <w:sz w:val="23"/>
        </w:rPr>
        <w:t> </w:t>
      </w:r>
      <w:r>
        <w:rPr>
          <w:color w:val="231F20"/>
          <w:sz w:val="23"/>
        </w:rPr>
        <w:t>will</w:t>
      </w:r>
      <w:r>
        <w:rPr>
          <w:color w:val="231F20"/>
          <w:spacing w:val="-26"/>
          <w:sz w:val="23"/>
        </w:rPr>
        <w:t> </w:t>
      </w:r>
      <w:r>
        <w:rPr>
          <w:color w:val="231F20"/>
          <w:sz w:val="23"/>
        </w:rPr>
        <w:t>provide</w:t>
      </w:r>
      <w:r>
        <w:rPr>
          <w:color w:val="231F20"/>
          <w:spacing w:val="-26"/>
          <w:sz w:val="23"/>
        </w:rPr>
        <w:t> </w:t>
      </w:r>
      <w:r>
        <w:rPr>
          <w:color w:val="231F20"/>
          <w:sz w:val="23"/>
        </w:rPr>
        <w:t>the</w:t>
      </w:r>
      <w:r>
        <w:rPr>
          <w:color w:val="231F20"/>
          <w:spacing w:val="-26"/>
          <w:sz w:val="23"/>
        </w:rPr>
        <w:t> </w:t>
      </w:r>
      <w:r>
        <w:rPr>
          <w:color w:val="231F20"/>
          <w:sz w:val="23"/>
        </w:rPr>
        <w:t>required</w:t>
      </w:r>
      <w:r>
        <w:rPr>
          <w:color w:val="231F20"/>
          <w:spacing w:val="-26"/>
          <w:sz w:val="23"/>
        </w:rPr>
        <w:t> </w:t>
      </w:r>
      <w:r>
        <w:rPr>
          <w:color w:val="231F20"/>
          <w:sz w:val="23"/>
        </w:rPr>
        <w:t>funding</w:t>
      </w:r>
      <w:r>
        <w:rPr>
          <w:color w:val="231F20"/>
          <w:spacing w:val="-26"/>
          <w:sz w:val="23"/>
        </w:rPr>
        <w:t> </w:t>
      </w:r>
      <w:r>
        <w:rPr>
          <w:color w:val="231F20"/>
          <w:sz w:val="23"/>
        </w:rPr>
        <w:t>for</w:t>
      </w:r>
      <w:r>
        <w:rPr>
          <w:color w:val="231F20"/>
          <w:spacing w:val="-26"/>
          <w:sz w:val="23"/>
        </w:rPr>
        <w:t> </w:t>
      </w:r>
      <w:r>
        <w:rPr>
          <w:color w:val="231F20"/>
          <w:sz w:val="23"/>
        </w:rPr>
        <w:t>operational</w:t>
      </w:r>
      <w:r>
        <w:rPr>
          <w:color w:val="231F20"/>
          <w:spacing w:val="-26"/>
          <w:sz w:val="23"/>
        </w:rPr>
        <w:t> </w:t>
      </w:r>
      <w:r>
        <w:rPr>
          <w:color w:val="231F20"/>
          <w:sz w:val="23"/>
        </w:rPr>
        <w:t>costs,</w:t>
      </w:r>
      <w:r>
        <w:rPr>
          <w:color w:val="231F20"/>
          <w:spacing w:val="-26"/>
          <w:sz w:val="23"/>
        </w:rPr>
        <w:t> </w:t>
      </w:r>
      <w:r>
        <w:rPr>
          <w:color w:val="231F20"/>
          <w:sz w:val="23"/>
        </w:rPr>
        <w:t>labour</w:t>
      </w:r>
      <w:r>
        <w:rPr>
          <w:color w:val="231F20"/>
          <w:spacing w:val="-26"/>
          <w:sz w:val="23"/>
        </w:rPr>
        <w:t> </w:t>
      </w:r>
      <w:r>
        <w:rPr>
          <w:color w:val="231F20"/>
          <w:sz w:val="23"/>
        </w:rPr>
        <w:t>and maintenance of the equipment. The mode of collaboration between SLRA and Local Councils</w:t>
      </w:r>
      <w:r>
        <w:rPr>
          <w:color w:val="231F20"/>
          <w:spacing w:val="-37"/>
          <w:sz w:val="23"/>
        </w:rPr>
        <w:t> </w:t>
      </w:r>
      <w:r>
        <w:rPr>
          <w:color w:val="231F20"/>
          <w:sz w:val="23"/>
        </w:rPr>
        <w:t>will</w:t>
      </w:r>
      <w:r>
        <w:rPr>
          <w:color w:val="231F20"/>
          <w:spacing w:val="-37"/>
          <w:sz w:val="23"/>
        </w:rPr>
        <w:t> </w:t>
      </w:r>
      <w:r>
        <w:rPr>
          <w:color w:val="231F20"/>
          <w:sz w:val="23"/>
        </w:rPr>
        <w:t>be</w:t>
      </w:r>
      <w:r>
        <w:rPr>
          <w:color w:val="231F20"/>
          <w:spacing w:val="-37"/>
          <w:sz w:val="23"/>
        </w:rPr>
        <w:t> </w:t>
      </w:r>
      <w:r>
        <w:rPr>
          <w:color w:val="231F20"/>
          <w:sz w:val="23"/>
        </w:rPr>
        <w:t>defined</w:t>
      </w:r>
      <w:r>
        <w:rPr>
          <w:color w:val="231F20"/>
          <w:spacing w:val="-37"/>
          <w:sz w:val="23"/>
        </w:rPr>
        <w:t> </w:t>
      </w:r>
      <w:r>
        <w:rPr>
          <w:color w:val="231F20"/>
          <w:sz w:val="23"/>
        </w:rPr>
        <w:t>in</w:t>
      </w:r>
      <w:r>
        <w:rPr>
          <w:color w:val="231F20"/>
          <w:spacing w:val="-37"/>
          <w:sz w:val="23"/>
        </w:rPr>
        <w:t> </w:t>
      </w:r>
      <w:r>
        <w:rPr>
          <w:color w:val="231F20"/>
          <w:sz w:val="23"/>
        </w:rPr>
        <w:t>the</w:t>
      </w:r>
      <w:r>
        <w:rPr>
          <w:color w:val="231F20"/>
          <w:spacing w:val="-37"/>
          <w:sz w:val="23"/>
        </w:rPr>
        <w:t> </w:t>
      </w:r>
      <w:r>
        <w:rPr>
          <w:color w:val="231F20"/>
          <w:sz w:val="23"/>
        </w:rPr>
        <w:t>form</w:t>
      </w:r>
      <w:r>
        <w:rPr>
          <w:color w:val="231F20"/>
          <w:spacing w:val="-37"/>
          <w:sz w:val="23"/>
        </w:rPr>
        <w:t> </w:t>
      </w:r>
      <w:r>
        <w:rPr>
          <w:color w:val="231F20"/>
          <w:sz w:val="23"/>
        </w:rPr>
        <w:t>of</w:t>
      </w:r>
      <w:r>
        <w:rPr>
          <w:color w:val="231F20"/>
          <w:spacing w:val="-37"/>
          <w:sz w:val="23"/>
        </w:rPr>
        <w:t> </w:t>
      </w:r>
      <w:r>
        <w:rPr>
          <w:color w:val="231F20"/>
          <w:sz w:val="23"/>
        </w:rPr>
        <w:t>an</w:t>
      </w:r>
      <w:r>
        <w:rPr>
          <w:color w:val="231F20"/>
          <w:spacing w:val="-37"/>
          <w:sz w:val="23"/>
        </w:rPr>
        <w:t> </w:t>
      </w:r>
      <w:r>
        <w:rPr>
          <w:color w:val="231F20"/>
          <w:sz w:val="23"/>
        </w:rPr>
        <w:t>MoU.</w:t>
      </w:r>
      <w:r>
        <w:rPr>
          <w:color w:val="231F20"/>
          <w:spacing w:val="-37"/>
          <w:sz w:val="23"/>
        </w:rPr>
        <w:t> </w:t>
      </w:r>
      <w:r>
        <w:rPr>
          <w:color w:val="231F20"/>
          <w:sz w:val="23"/>
        </w:rPr>
        <w:t>The</w:t>
      </w:r>
      <w:r>
        <w:rPr>
          <w:color w:val="231F20"/>
          <w:spacing w:val="-37"/>
          <w:sz w:val="23"/>
        </w:rPr>
        <w:t> </w:t>
      </w:r>
      <w:r>
        <w:rPr>
          <w:color w:val="231F20"/>
          <w:sz w:val="23"/>
        </w:rPr>
        <w:t>Ministry</w:t>
      </w:r>
      <w:r>
        <w:rPr>
          <w:color w:val="231F20"/>
          <w:spacing w:val="-37"/>
          <w:sz w:val="23"/>
        </w:rPr>
        <w:t> </w:t>
      </w:r>
      <w:r>
        <w:rPr>
          <w:color w:val="231F20"/>
          <w:sz w:val="23"/>
        </w:rPr>
        <w:t>of</w:t>
      </w:r>
      <w:r>
        <w:rPr>
          <w:color w:val="231F20"/>
          <w:spacing w:val="-37"/>
          <w:sz w:val="23"/>
        </w:rPr>
        <w:t> </w:t>
      </w:r>
      <w:r>
        <w:rPr>
          <w:color w:val="231F20"/>
          <w:sz w:val="23"/>
        </w:rPr>
        <w:t>Works</w:t>
      </w:r>
      <w:r>
        <w:rPr>
          <w:color w:val="231F20"/>
          <w:spacing w:val="-37"/>
          <w:sz w:val="23"/>
        </w:rPr>
        <w:t> </w:t>
      </w:r>
      <w:r>
        <w:rPr>
          <w:color w:val="231F20"/>
          <w:sz w:val="23"/>
        </w:rPr>
        <w:t>and</w:t>
      </w:r>
      <w:r>
        <w:rPr>
          <w:color w:val="231F20"/>
          <w:spacing w:val="-37"/>
          <w:sz w:val="23"/>
        </w:rPr>
        <w:t> </w:t>
      </w:r>
      <w:r>
        <w:rPr>
          <w:color w:val="231F20"/>
          <w:sz w:val="23"/>
        </w:rPr>
        <w:t>Public</w:t>
      </w:r>
      <w:r>
        <w:rPr>
          <w:color w:val="231F20"/>
          <w:spacing w:val="-37"/>
          <w:sz w:val="23"/>
        </w:rPr>
        <w:t> </w:t>
      </w:r>
      <w:r>
        <w:rPr>
          <w:color w:val="231F20"/>
          <w:sz w:val="23"/>
        </w:rPr>
        <w:t>Assets, the Sierra Leone Roads Authority, the Road Maintenance Fund and MoPED will all maintain their oversight and quality assurance roles to ensure value for</w:t>
      </w:r>
      <w:r>
        <w:rPr>
          <w:color w:val="231F20"/>
          <w:spacing w:val="69"/>
          <w:sz w:val="23"/>
        </w:rPr>
        <w:t> </w:t>
      </w:r>
      <w:r>
        <w:rPr>
          <w:color w:val="231F20"/>
          <w:sz w:val="23"/>
        </w:rPr>
        <w:t>money.</w:t>
      </w:r>
    </w:p>
    <w:p>
      <w:pPr>
        <w:pStyle w:val="BodyText"/>
        <w:spacing w:before="4"/>
        <w:rPr>
          <w:sz w:val="26"/>
        </w:rPr>
      </w:pPr>
    </w:p>
    <w:p>
      <w:pPr>
        <w:pStyle w:val="Heading2"/>
        <w:ind w:left="953"/>
      </w:pPr>
      <w:r>
        <w:rPr>
          <w:color w:val="231F20"/>
        </w:rPr>
        <w:t>Establishing Chiefdom Youth and Military Farms</w:t>
      </w:r>
    </w:p>
    <w:p>
      <w:pPr>
        <w:pStyle w:val="ListParagraph"/>
        <w:numPr>
          <w:ilvl w:val="0"/>
          <w:numId w:val="2"/>
        </w:numPr>
        <w:tabs>
          <w:tab w:pos="954" w:val="left" w:leader="none"/>
        </w:tabs>
        <w:spacing w:line="285" w:lineRule="auto" w:before="52" w:after="0"/>
        <w:ind w:left="103" w:right="119" w:firstLine="87"/>
        <w:jc w:val="both"/>
        <w:rPr>
          <w:sz w:val="23"/>
        </w:rPr>
      </w:pPr>
      <w:r>
        <w:rPr>
          <w:color w:val="231F20"/>
          <w:sz w:val="23"/>
        </w:rPr>
        <w:t>Mr. Speaker, Honourable Members, at least two-thirds of our youth are in agriculture, mainly rice farming. Thus, the best option is to support them to engage in agriculture. In line with President Bio’s pledge, Government through the</w:t>
      </w:r>
      <w:r>
        <w:rPr>
          <w:color w:val="231F20"/>
          <w:spacing w:val="-22"/>
          <w:sz w:val="23"/>
        </w:rPr>
        <w:t> </w:t>
      </w:r>
      <w:r>
        <w:rPr>
          <w:color w:val="231F20"/>
          <w:sz w:val="23"/>
        </w:rPr>
        <w:t>Ministry of Youth Affairs, with strong technical support from the Ministry of Agriculture and Forestry,</w:t>
      </w:r>
      <w:r>
        <w:rPr>
          <w:color w:val="231F20"/>
          <w:spacing w:val="-36"/>
          <w:sz w:val="23"/>
        </w:rPr>
        <w:t> </w:t>
      </w:r>
      <w:r>
        <w:rPr>
          <w:color w:val="231F20"/>
          <w:sz w:val="23"/>
        </w:rPr>
        <w:t>will</w:t>
      </w:r>
      <w:r>
        <w:rPr>
          <w:color w:val="231F20"/>
          <w:spacing w:val="-36"/>
          <w:sz w:val="23"/>
        </w:rPr>
        <w:t> </w:t>
      </w:r>
      <w:r>
        <w:rPr>
          <w:color w:val="231F20"/>
          <w:sz w:val="23"/>
        </w:rPr>
        <w:t>provide</w:t>
      </w:r>
      <w:r>
        <w:rPr>
          <w:color w:val="231F20"/>
          <w:spacing w:val="-36"/>
          <w:sz w:val="23"/>
        </w:rPr>
        <w:t> </w:t>
      </w:r>
      <w:r>
        <w:rPr>
          <w:color w:val="231F20"/>
          <w:sz w:val="23"/>
        </w:rPr>
        <w:t>assistance</w:t>
      </w:r>
      <w:r>
        <w:rPr>
          <w:color w:val="231F20"/>
          <w:spacing w:val="-36"/>
          <w:sz w:val="23"/>
        </w:rPr>
        <w:t> </w:t>
      </w:r>
      <w:r>
        <w:rPr>
          <w:color w:val="231F20"/>
          <w:sz w:val="23"/>
        </w:rPr>
        <w:t>in</w:t>
      </w:r>
      <w:r>
        <w:rPr>
          <w:color w:val="231F20"/>
          <w:spacing w:val="-36"/>
          <w:sz w:val="23"/>
        </w:rPr>
        <w:t> </w:t>
      </w:r>
      <w:r>
        <w:rPr>
          <w:color w:val="231F20"/>
          <w:sz w:val="23"/>
        </w:rPr>
        <w:t>the</w:t>
      </w:r>
      <w:r>
        <w:rPr>
          <w:color w:val="231F20"/>
          <w:spacing w:val="-36"/>
          <w:sz w:val="23"/>
        </w:rPr>
        <w:t> </w:t>
      </w:r>
      <w:r>
        <w:rPr>
          <w:color w:val="231F20"/>
          <w:sz w:val="23"/>
        </w:rPr>
        <w:t>form</w:t>
      </w:r>
      <w:r>
        <w:rPr>
          <w:color w:val="231F20"/>
          <w:spacing w:val="-36"/>
          <w:sz w:val="23"/>
        </w:rPr>
        <w:t> </w:t>
      </w:r>
      <w:r>
        <w:rPr>
          <w:color w:val="231F20"/>
          <w:sz w:val="23"/>
        </w:rPr>
        <w:t>of</w:t>
      </w:r>
      <w:r>
        <w:rPr>
          <w:color w:val="231F20"/>
          <w:spacing w:val="-36"/>
          <w:sz w:val="23"/>
        </w:rPr>
        <w:t> </w:t>
      </w:r>
      <w:r>
        <w:rPr>
          <w:color w:val="231F20"/>
          <w:sz w:val="23"/>
        </w:rPr>
        <w:t>tractors,</w:t>
      </w:r>
      <w:r>
        <w:rPr>
          <w:color w:val="231F20"/>
          <w:spacing w:val="-36"/>
          <w:sz w:val="23"/>
        </w:rPr>
        <w:t> </w:t>
      </w:r>
      <w:r>
        <w:rPr>
          <w:color w:val="231F20"/>
          <w:sz w:val="23"/>
        </w:rPr>
        <w:t>improved</w:t>
      </w:r>
      <w:r>
        <w:rPr>
          <w:color w:val="231F20"/>
          <w:spacing w:val="-36"/>
          <w:sz w:val="23"/>
        </w:rPr>
        <w:t> </w:t>
      </w:r>
      <w:r>
        <w:rPr>
          <w:color w:val="231F20"/>
          <w:sz w:val="23"/>
        </w:rPr>
        <w:t>seedlings,</w:t>
      </w:r>
      <w:r>
        <w:rPr>
          <w:color w:val="231F20"/>
          <w:spacing w:val="-36"/>
          <w:sz w:val="23"/>
        </w:rPr>
        <w:t> </w:t>
      </w:r>
      <w:r>
        <w:rPr>
          <w:color w:val="231F20"/>
          <w:sz w:val="23"/>
        </w:rPr>
        <w:t>processing equipment and training in extension services to our youth, in selected chiefdoms in all</w:t>
      </w:r>
      <w:r>
        <w:rPr>
          <w:color w:val="231F20"/>
          <w:spacing w:val="30"/>
          <w:sz w:val="23"/>
        </w:rPr>
        <w:t> </w:t>
      </w:r>
      <w:r>
        <w:rPr>
          <w:color w:val="231F20"/>
          <w:sz w:val="23"/>
        </w:rPr>
        <w:t>districts.</w:t>
      </w:r>
    </w:p>
    <w:p>
      <w:pPr>
        <w:pStyle w:val="BodyText"/>
        <w:spacing w:before="4"/>
        <w:rPr>
          <w:sz w:val="26"/>
        </w:rPr>
      </w:pPr>
    </w:p>
    <w:p>
      <w:pPr>
        <w:pStyle w:val="ListParagraph"/>
        <w:numPr>
          <w:ilvl w:val="0"/>
          <w:numId w:val="2"/>
        </w:numPr>
        <w:tabs>
          <w:tab w:pos="954" w:val="left" w:leader="none"/>
        </w:tabs>
        <w:spacing w:line="285" w:lineRule="auto" w:before="0" w:after="0"/>
        <w:ind w:left="103" w:right="118" w:firstLine="87"/>
        <w:jc w:val="both"/>
        <w:rPr>
          <w:sz w:val="23"/>
        </w:rPr>
      </w:pPr>
      <w:r>
        <w:rPr>
          <w:color w:val="231F20"/>
          <w:sz w:val="23"/>
        </w:rPr>
        <w:t>Mr. Speaker, Honourable Members, Government spends large amounts of money</w:t>
      </w:r>
      <w:r>
        <w:rPr>
          <w:color w:val="231F20"/>
          <w:spacing w:val="-29"/>
          <w:sz w:val="23"/>
        </w:rPr>
        <w:t> </w:t>
      </w:r>
      <w:r>
        <w:rPr>
          <w:color w:val="231F20"/>
          <w:sz w:val="23"/>
        </w:rPr>
        <w:t>on</w:t>
      </w:r>
      <w:r>
        <w:rPr>
          <w:color w:val="231F20"/>
          <w:spacing w:val="-29"/>
          <w:sz w:val="23"/>
        </w:rPr>
        <w:t> </w:t>
      </w:r>
      <w:r>
        <w:rPr>
          <w:color w:val="231F20"/>
          <w:sz w:val="23"/>
        </w:rPr>
        <w:t>the</w:t>
      </w:r>
      <w:r>
        <w:rPr>
          <w:color w:val="231F20"/>
          <w:spacing w:val="-29"/>
          <w:sz w:val="23"/>
        </w:rPr>
        <w:t> </w:t>
      </w:r>
      <w:r>
        <w:rPr>
          <w:color w:val="231F20"/>
          <w:sz w:val="23"/>
        </w:rPr>
        <w:t>purchase</w:t>
      </w:r>
      <w:r>
        <w:rPr>
          <w:color w:val="231F20"/>
          <w:spacing w:val="-29"/>
          <w:sz w:val="23"/>
        </w:rPr>
        <w:t> </w:t>
      </w:r>
      <w:r>
        <w:rPr>
          <w:color w:val="231F20"/>
          <w:sz w:val="23"/>
        </w:rPr>
        <w:t>of</w:t>
      </w:r>
      <w:r>
        <w:rPr>
          <w:color w:val="231F20"/>
          <w:spacing w:val="-29"/>
          <w:sz w:val="23"/>
        </w:rPr>
        <w:t> </w:t>
      </w:r>
      <w:r>
        <w:rPr>
          <w:color w:val="231F20"/>
          <w:sz w:val="23"/>
        </w:rPr>
        <w:t>imported</w:t>
      </w:r>
      <w:r>
        <w:rPr>
          <w:color w:val="231F20"/>
          <w:spacing w:val="-29"/>
          <w:sz w:val="23"/>
        </w:rPr>
        <w:t> </w:t>
      </w:r>
      <w:r>
        <w:rPr>
          <w:color w:val="231F20"/>
          <w:sz w:val="23"/>
        </w:rPr>
        <w:t>rice</w:t>
      </w:r>
      <w:r>
        <w:rPr>
          <w:color w:val="231F20"/>
          <w:spacing w:val="-29"/>
          <w:sz w:val="23"/>
        </w:rPr>
        <w:t> </w:t>
      </w:r>
      <w:r>
        <w:rPr>
          <w:color w:val="231F20"/>
          <w:sz w:val="23"/>
        </w:rPr>
        <w:t>for</w:t>
      </w:r>
      <w:r>
        <w:rPr>
          <w:color w:val="231F20"/>
          <w:spacing w:val="-29"/>
          <w:sz w:val="23"/>
        </w:rPr>
        <w:t> </w:t>
      </w:r>
      <w:r>
        <w:rPr>
          <w:color w:val="231F20"/>
          <w:sz w:val="23"/>
        </w:rPr>
        <w:t>the</w:t>
      </w:r>
      <w:r>
        <w:rPr>
          <w:color w:val="231F20"/>
          <w:spacing w:val="-29"/>
          <w:sz w:val="23"/>
        </w:rPr>
        <w:t> </w:t>
      </w:r>
      <w:r>
        <w:rPr>
          <w:color w:val="231F20"/>
          <w:sz w:val="23"/>
        </w:rPr>
        <w:t>security</w:t>
      </w:r>
      <w:r>
        <w:rPr>
          <w:color w:val="231F20"/>
          <w:spacing w:val="-29"/>
          <w:sz w:val="23"/>
        </w:rPr>
        <w:t> </w:t>
      </w:r>
      <w:r>
        <w:rPr>
          <w:color w:val="231F20"/>
          <w:sz w:val="23"/>
        </w:rPr>
        <w:t>forces.</w:t>
      </w:r>
      <w:r>
        <w:rPr>
          <w:color w:val="231F20"/>
          <w:spacing w:val="17"/>
          <w:sz w:val="23"/>
        </w:rPr>
        <w:t> </w:t>
      </w:r>
      <w:r>
        <w:rPr>
          <w:color w:val="231F20"/>
          <w:sz w:val="23"/>
        </w:rPr>
        <w:t>With</w:t>
      </w:r>
      <w:r>
        <w:rPr>
          <w:color w:val="231F20"/>
          <w:spacing w:val="-29"/>
          <w:sz w:val="23"/>
        </w:rPr>
        <w:t> </w:t>
      </w:r>
      <w:r>
        <w:rPr>
          <w:color w:val="231F20"/>
          <w:sz w:val="23"/>
        </w:rPr>
        <w:t>technical</w:t>
      </w:r>
      <w:r>
        <w:rPr>
          <w:color w:val="231F20"/>
          <w:spacing w:val="-29"/>
          <w:sz w:val="23"/>
        </w:rPr>
        <w:t> </w:t>
      </w:r>
      <w:r>
        <w:rPr>
          <w:color w:val="231F20"/>
          <w:sz w:val="23"/>
        </w:rPr>
        <w:t>support from the Ministry of Agriculture and Forestry (MAF), the Agricultural Unit of the Military will be supported to cultivate 5,000 hectares of land. With expected yield of three</w:t>
      </w:r>
      <w:r>
        <w:rPr>
          <w:color w:val="231F20"/>
          <w:spacing w:val="-30"/>
          <w:sz w:val="23"/>
        </w:rPr>
        <w:t> </w:t>
      </w:r>
      <w:r>
        <w:rPr>
          <w:color w:val="231F20"/>
          <w:sz w:val="23"/>
        </w:rPr>
        <w:t>metric</w:t>
      </w:r>
      <w:r>
        <w:rPr>
          <w:color w:val="231F20"/>
          <w:spacing w:val="-30"/>
          <w:sz w:val="23"/>
        </w:rPr>
        <w:t> </w:t>
      </w:r>
      <w:r>
        <w:rPr>
          <w:color w:val="231F20"/>
          <w:sz w:val="23"/>
        </w:rPr>
        <w:t>tons</w:t>
      </w:r>
      <w:r>
        <w:rPr>
          <w:color w:val="231F20"/>
          <w:spacing w:val="-30"/>
          <w:sz w:val="23"/>
        </w:rPr>
        <w:t> </w:t>
      </w:r>
      <w:r>
        <w:rPr>
          <w:color w:val="231F20"/>
          <w:sz w:val="23"/>
        </w:rPr>
        <w:t>per</w:t>
      </w:r>
      <w:r>
        <w:rPr>
          <w:color w:val="231F20"/>
          <w:spacing w:val="-30"/>
          <w:sz w:val="23"/>
        </w:rPr>
        <w:t> </w:t>
      </w:r>
      <w:r>
        <w:rPr>
          <w:color w:val="231F20"/>
          <w:sz w:val="23"/>
        </w:rPr>
        <w:t>hectare,</w:t>
      </w:r>
      <w:r>
        <w:rPr>
          <w:color w:val="231F20"/>
          <w:spacing w:val="-30"/>
          <w:sz w:val="23"/>
        </w:rPr>
        <w:t> </w:t>
      </w:r>
      <w:r>
        <w:rPr>
          <w:color w:val="231F20"/>
          <w:sz w:val="23"/>
        </w:rPr>
        <w:t>total</w:t>
      </w:r>
      <w:r>
        <w:rPr>
          <w:color w:val="231F20"/>
          <w:spacing w:val="-30"/>
          <w:sz w:val="23"/>
        </w:rPr>
        <w:t> </w:t>
      </w:r>
      <w:r>
        <w:rPr>
          <w:color w:val="231F20"/>
          <w:sz w:val="23"/>
        </w:rPr>
        <w:t>production</w:t>
      </w:r>
      <w:r>
        <w:rPr>
          <w:color w:val="231F20"/>
          <w:spacing w:val="-30"/>
          <w:sz w:val="23"/>
        </w:rPr>
        <w:t> </w:t>
      </w:r>
      <w:r>
        <w:rPr>
          <w:color w:val="231F20"/>
          <w:sz w:val="23"/>
        </w:rPr>
        <w:t>is</w:t>
      </w:r>
      <w:r>
        <w:rPr>
          <w:color w:val="231F20"/>
          <w:spacing w:val="-30"/>
          <w:sz w:val="23"/>
        </w:rPr>
        <w:t> </w:t>
      </w:r>
      <w:r>
        <w:rPr>
          <w:color w:val="231F20"/>
          <w:sz w:val="23"/>
        </w:rPr>
        <w:t>estimated</w:t>
      </w:r>
      <w:r>
        <w:rPr>
          <w:color w:val="231F20"/>
          <w:spacing w:val="-30"/>
          <w:sz w:val="23"/>
        </w:rPr>
        <w:t> </w:t>
      </w:r>
      <w:r>
        <w:rPr>
          <w:color w:val="231F20"/>
          <w:sz w:val="23"/>
        </w:rPr>
        <w:t>at</w:t>
      </w:r>
      <w:r>
        <w:rPr>
          <w:color w:val="231F20"/>
          <w:spacing w:val="-30"/>
          <w:sz w:val="23"/>
        </w:rPr>
        <w:t> </w:t>
      </w:r>
      <w:r>
        <w:rPr>
          <w:color w:val="231F20"/>
          <w:sz w:val="23"/>
        </w:rPr>
        <w:t>15,000</w:t>
      </w:r>
      <w:r>
        <w:rPr>
          <w:color w:val="231F20"/>
          <w:spacing w:val="-30"/>
          <w:sz w:val="23"/>
        </w:rPr>
        <w:t> </w:t>
      </w:r>
      <w:r>
        <w:rPr>
          <w:color w:val="231F20"/>
          <w:sz w:val="23"/>
        </w:rPr>
        <w:t>metric</w:t>
      </w:r>
      <w:r>
        <w:rPr>
          <w:color w:val="231F20"/>
          <w:spacing w:val="-30"/>
          <w:sz w:val="23"/>
        </w:rPr>
        <w:t> </w:t>
      </w:r>
      <w:r>
        <w:rPr>
          <w:color w:val="231F20"/>
          <w:sz w:val="23"/>
        </w:rPr>
        <w:t>tons.</w:t>
      </w:r>
      <w:r>
        <w:rPr>
          <w:color w:val="231F20"/>
          <w:spacing w:val="-30"/>
          <w:sz w:val="23"/>
        </w:rPr>
        <w:t> </w:t>
      </w:r>
      <w:r>
        <w:rPr>
          <w:color w:val="231F20"/>
          <w:sz w:val="23"/>
        </w:rPr>
        <w:t>This will</w:t>
      </w:r>
      <w:r>
        <w:rPr>
          <w:color w:val="231F20"/>
          <w:spacing w:val="-26"/>
          <w:sz w:val="23"/>
        </w:rPr>
        <w:t> </w:t>
      </w:r>
      <w:r>
        <w:rPr>
          <w:color w:val="231F20"/>
          <w:sz w:val="23"/>
        </w:rPr>
        <w:t>partly</w:t>
      </w:r>
      <w:r>
        <w:rPr>
          <w:color w:val="231F20"/>
          <w:spacing w:val="-26"/>
          <w:sz w:val="23"/>
        </w:rPr>
        <w:t> </w:t>
      </w:r>
      <w:r>
        <w:rPr>
          <w:color w:val="231F20"/>
          <w:sz w:val="23"/>
        </w:rPr>
        <w:t>substitute</w:t>
      </w:r>
      <w:r>
        <w:rPr>
          <w:color w:val="231F20"/>
          <w:spacing w:val="-26"/>
          <w:sz w:val="23"/>
        </w:rPr>
        <w:t> </w:t>
      </w:r>
      <w:r>
        <w:rPr>
          <w:color w:val="231F20"/>
          <w:sz w:val="23"/>
        </w:rPr>
        <w:t>imported</w:t>
      </w:r>
      <w:r>
        <w:rPr>
          <w:color w:val="231F20"/>
          <w:spacing w:val="-26"/>
          <w:sz w:val="23"/>
        </w:rPr>
        <w:t> </w:t>
      </w:r>
      <w:r>
        <w:rPr>
          <w:color w:val="231F20"/>
          <w:sz w:val="23"/>
        </w:rPr>
        <w:t>rice</w:t>
      </w:r>
      <w:r>
        <w:rPr>
          <w:color w:val="231F20"/>
          <w:spacing w:val="-26"/>
          <w:sz w:val="23"/>
        </w:rPr>
        <w:t> </w:t>
      </w:r>
      <w:r>
        <w:rPr>
          <w:color w:val="231F20"/>
          <w:sz w:val="23"/>
        </w:rPr>
        <w:t>provided</w:t>
      </w:r>
      <w:r>
        <w:rPr>
          <w:color w:val="231F20"/>
          <w:spacing w:val="-26"/>
          <w:sz w:val="23"/>
        </w:rPr>
        <w:t> </w:t>
      </w:r>
      <w:r>
        <w:rPr>
          <w:color w:val="231F20"/>
          <w:sz w:val="23"/>
        </w:rPr>
        <w:t>to</w:t>
      </w:r>
      <w:r>
        <w:rPr>
          <w:color w:val="231F20"/>
          <w:spacing w:val="-26"/>
          <w:sz w:val="23"/>
        </w:rPr>
        <w:t> </w:t>
      </w:r>
      <w:r>
        <w:rPr>
          <w:color w:val="231F20"/>
          <w:sz w:val="23"/>
        </w:rPr>
        <w:t>the</w:t>
      </w:r>
      <w:r>
        <w:rPr>
          <w:color w:val="231F20"/>
          <w:spacing w:val="-26"/>
          <w:sz w:val="23"/>
        </w:rPr>
        <w:t> </w:t>
      </w:r>
      <w:r>
        <w:rPr>
          <w:color w:val="231F20"/>
          <w:sz w:val="23"/>
        </w:rPr>
        <w:t>Military.</w:t>
      </w:r>
      <w:r>
        <w:rPr>
          <w:color w:val="231F20"/>
          <w:spacing w:val="-26"/>
          <w:sz w:val="23"/>
        </w:rPr>
        <w:t> </w:t>
      </w:r>
      <w:r>
        <w:rPr>
          <w:color w:val="231F20"/>
          <w:sz w:val="23"/>
        </w:rPr>
        <w:t>It</w:t>
      </w:r>
      <w:r>
        <w:rPr>
          <w:color w:val="231F20"/>
          <w:spacing w:val="-26"/>
          <w:sz w:val="23"/>
        </w:rPr>
        <w:t> </w:t>
      </w:r>
      <w:r>
        <w:rPr>
          <w:color w:val="231F20"/>
          <w:sz w:val="23"/>
        </w:rPr>
        <w:t>is</w:t>
      </w:r>
      <w:r>
        <w:rPr>
          <w:color w:val="231F20"/>
          <w:spacing w:val="-26"/>
          <w:sz w:val="23"/>
        </w:rPr>
        <w:t> </w:t>
      </w:r>
      <w:r>
        <w:rPr>
          <w:color w:val="231F20"/>
          <w:sz w:val="23"/>
        </w:rPr>
        <w:t>projected</w:t>
      </w:r>
      <w:r>
        <w:rPr>
          <w:color w:val="231F20"/>
          <w:spacing w:val="-26"/>
          <w:sz w:val="23"/>
        </w:rPr>
        <w:t> </w:t>
      </w:r>
      <w:r>
        <w:rPr>
          <w:color w:val="231F20"/>
          <w:sz w:val="23"/>
        </w:rPr>
        <w:t>that</w:t>
      </w:r>
      <w:r>
        <w:rPr>
          <w:color w:val="231F20"/>
          <w:spacing w:val="-26"/>
          <w:sz w:val="23"/>
        </w:rPr>
        <w:t> </w:t>
      </w:r>
      <w:r>
        <w:rPr>
          <w:color w:val="231F20"/>
          <w:sz w:val="23"/>
        </w:rPr>
        <w:t>in</w:t>
      </w:r>
      <w:r>
        <w:rPr>
          <w:color w:val="231F20"/>
          <w:spacing w:val="-26"/>
          <w:sz w:val="23"/>
        </w:rPr>
        <w:t> </w:t>
      </w:r>
      <w:r>
        <w:rPr>
          <w:color w:val="231F20"/>
          <w:sz w:val="23"/>
        </w:rPr>
        <w:t>three years, all rice consumed by the security forces will be produced locally through this </w:t>
      </w:r>
      <w:r>
        <w:rPr>
          <w:color w:val="231F20"/>
          <w:spacing w:val="4"/>
          <w:sz w:val="23"/>
        </w:rPr>
        <w:t>scheme.</w:t>
      </w:r>
    </w:p>
    <w:p>
      <w:pPr>
        <w:pStyle w:val="BodyText"/>
        <w:spacing w:before="3"/>
        <w:rPr>
          <w:sz w:val="30"/>
        </w:rPr>
      </w:pPr>
    </w:p>
    <w:p>
      <w:pPr>
        <w:pStyle w:val="Heading2"/>
        <w:ind w:left="953"/>
      </w:pPr>
      <w:r>
        <w:rPr>
          <w:color w:val="231F20"/>
        </w:rPr>
        <w:t>Tree Planting and Afforestation</w:t>
      </w:r>
    </w:p>
    <w:p>
      <w:pPr>
        <w:pStyle w:val="ListParagraph"/>
        <w:numPr>
          <w:ilvl w:val="0"/>
          <w:numId w:val="2"/>
        </w:numPr>
        <w:tabs>
          <w:tab w:pos="954" w:val="left" w:leader="none"/>
        </w:tabs>
        <w:spacing w:line="302" w:lineRule="auto" w:before="69" w:after="0"/>
        <w:ind w:left="103" w:right="118" w:firstLine="87"/>
        <w:jc w:val="both"/>
        <w:rPr>
          <w:sz w:val="23"/>
        </w:rPr>
      </w:pPr>
      <w:r>
        <w:rPr>
          <w:color w:val="231F20"/>
          <w:sz w:val="23"/>
        </w:rPr>
        <w:t>Mr.</w:t>
      </w:r>
      <w:r>
        <w:rPr>
          <w:color w:val="231F20"/>
          <w:spacing w:val="-31"/>
          <w:sz w:val="23"/>
        </w:rPr>
        <w:t> </w:t>
      </w:r>
      <w:r>
        <w:rPr>
          <w:color w:val="231F20"/>
          <w:sz w:val="23"/>
        </w:rPr>
        <w:t>Speaker,</w:t>
      </w:r>
      <w:r>
        <w:rPr>
          <w:color w:val="231F20"/>
          <w:spacing w:val="-31"/>
          <w:sz w:val="23"/>
        </w:rPr>
        <w:t> </w:t>
      </w:r>
      <w:r>
        <w:rPr>
          <w:color w:val="231F20"/>
          <w:sz w:val="23"/>
        </w:rPr>
        <w:t>Honourable</w:t>
      </w:r>
      <w:r>
        <w:rPr>
          <w:color w:val="231F20"/>
          <w:spacing w:val="-31"/>
          <w:sz w:val="23"/>
        </w:rPr>
        <w:t> </w:t>
      </w:r>
      <w:r>
        <w:rPr>
          <w:color w:val="231F20"/>
          <w:sz w:val="23"/>
        </w:rPr>
        <w:t>Members,</w:t>
      </w:r>
      <w:r>
        <w:rPr>
          <w:color w:val="231F20"/>
          <w:spacing w:val="-31"/>
          <w:sz w:val="23"/>
        </w:rPr>
        <w:t> </w:t>
      </w:r>
      <w:r>
        <w:rPr>
          <w:color w:val="231F20"/>
          <w:sz w:val="23"/>
        </w:rPr>
        <w:t>there</w:t>
      </w:r>
      <w:r>
        <w:rPr>
          <w:color w:val="231F20"/>
          <w:spacing w:val="-31"/>
          <w:sz w:val="23"/>
        </w:rPr>
        <w:t> </w:t>
      </w:r>
      <w:r>
        <w:rPr>
          <w:color w:val="231F20"/>
          <w:sz w:val="23"/>
        </w:rPr>
        <w:t>is</w:t>
      </w:r>
      <w:r>
        <w:rPr>
          <w:color w:val="231F20"/>
          <w:spacing w:val="-31"/>
          <w:sz w:val="23"/>
        </w:rPr>
        <w:t> </w:t>
      </w:r>
      <w:r>
        <w:rPr>
          <w:color w:val="231F20"/>
          <w:sz w:val="23"/>
        </w:rPr>
        <w:t>worrying</w:t>
      </w:r>
      <w:r>
        <w:rPr>
          <w:color w:val="231F20"/>
          <w:spacing w:val="-31"/>
          <w:sz w:val="23"/>
        </w:rPr>
        <w:t> </w:t>
      </w:r>
      <w:r>
        <w:rPr>
          <w:color w:val="231F20"/>
          <w:sz w:val="23"/>
        </w:rPr>
        <w:t>evidence</w:t>
      </w:r>
      <w:r>
        <w:rPr>
          <w:color w:val="231F20"/>
          <w:spacing w:val="-31"/>
          <w:sz w:val="23"/>
        </w:rPr>
        <w:t> </w:t>
      </w:r>
      <w:r>
        <w:rPr>
          <w:color w:val="231F20"/>
          <w:sz w:val="23"/>
        </w:rPr>
        <w:t>of</w:t>
      </w:r>
      <w:r>
        <w:rPr>
          <w:color w:val="231F20"/>
          <w:spacing w:val="-31"/>
          <w:sz w:val="23"/>
        </w:rPr>
        <w:t> </w:t>
      </w:r>
      <w:r>
        <w:rPr>
          <w:color w:val="231F20"/>
          <w:sz w:val="23"/>
        </w:rPr>
        <w:t>deforestation for</w:t>
      </w:r>
      <w:r>
        <w:rPr>
          <w:color w:val="231F20"/>
          <w:spacing w:val="-46"/>
          <w:sz w:val="23"/>
        </w:rPr>
        <w:t> </w:t>
      </w:r>
      <w:r>
        <w:rPr>
          <w:color w:val="231F20"/>
          <w:sz w:val="23"/>
        </w:rPr>
        <w:t>varying</w:t>
      </w:r>
      <w:r>
        <w:rPr>
          <w:color w:val="231F20"/>
          <w:spacing w:val="-46"/>
          <w:sz w:val="23"/>
        </w:rPr>
        <w:t> </w:t>
      </w:r>
      <w:r>
        <w:rPr>
          <w:color w:val="231F20"/>
          <w:sz w:val="23"/>
        </w:rPr>
        <w:t>purposes.</w:t>
      </w:r>
      <w:r>
        <w:rPr>
          <w:color w:val="231F20"/>
          <w:spacing w:val="-17"/>
          <w:sz w:val="23"/>
        </w:rPr>
        <w:t> </w:t>
      </w:r>
      <w:r>
        <w:rPr>
          <w:color w:val="231F20"/>
          <w:sz w:val="23"/>
        </w:rPr>
        <w:t>In</w:t>
      </w:r>
      <w:r>
        <w:rPr>
          <w:color w:val="231F20"/>
          <w:spacing w:val="-45"/>
          <w:sz w:val="23"/>
        </w:rPr>
        <w:t> </w:t>
      </w:r>
      <w:r>
        <w:rPr>
          <w:color w:val="231F20"/>
          <w:sz w:val="23"/>
        </w:rPr>
        <w:t>light</w:t>
      </w:r>
      <w:r>
        <w:rPr>
          <w:color w:val="231F20"/>
          <w:spacing w:val="-45"/>
          <w:sz w:val="23"/>
        </w:rPr>
        <w:t> </w:t>
      </w:r>
      <w:r>
        <w:rPr>
          <w:color w:val="231F20"/>
          <w:sz w:val="23"/>
        </w:rPr>
        <w:t>of</w:t>
      </w:r>
      <w:r>
        <w:rPr>
          <w:color w:val="231F20"/>
          <w:spacing w:val="-46"/>
          <w:sz w:val="23"/>
        </w:rPr>
        <w:t> </w:t>
      </w:r>
      <w:r>
        <w:rPr>
          <w:color w:val="231F20"/>
          <w:sz w:val="23"/>
        </w:rPr>
        <w:t>this,</w:t>
      </w:r>
      <w:r>
        <w:rPr>
          <w:color w:val="231F20"/>
          <w:spacing w:val="-46"/>
          <w:sz w:val="23"/>
        </w:rPr>
        <w:t> </w:t>
      </w:r>
      <w:r>
        <w:rPr>
          <w:color w:val="231F20"/>
          <w:sz w:val="23"/>
        </w:rPr>
        <w:t>and</w:t>
      </w:r>
      <w:r>
        <w:rPr>
          <w:color w:val="231F20"/>
          <w:spacing w:val="-46"/>
          <w:sz w:val="23"/>
        </w:rPr>
        <w:t> </w:t>
      </w:r>
      <w:r>
        <w:rPr>
          <w:color w:val="231F20"/>
          <w:sz w:val="23"/>
        </w:rPr>
        <w:t>against</w:t>
      </w:r>
      <w:r>
        <w:rPr>
          <w:color w:val="231F20"/>
          <w:spacing w:val="-46"/>
          <w:sz w:val="23"/>
        </w:rPr>
        <w:t> </w:t>
      </w:r>
      <w:r>
        <w:rPr>
          <w:color w:val="231F20"/>
          <w:sz w:val="23"/>
        </w:rPr>
        <w:t>a</w:t>
      </w:r>
      <w:r>
        <w:rPr>
          <w:color w:val="231F20"/>
          <w:spacing w:val="-46"/>
          <w:sz w:val="23"/>
        </w:rPr>
        <w:t> </w:t>
      </w:r>
      <w:r>
        <w:rPr>
          <w:color w:val="231F20"/>
          <w:sz w:val="23"/>
        </w:rPr>
        <w:t>background</w:t>
      </w:r>
      <w:r>
        <w:rPr>
          <w:color w:val="231F20"/>
          <w:spacing w:val="-46"/>
          <w:sz w:val="23"/>
        </w:rPr>
        <w:t> </w:t>
      </w:r>
      <w:r>
        <w:rPr>
          <w:color w:val="231F20"/>
          <w:sz w:val="23"/>
        </w:rPr>
        <w:t>of</w:t>
      </w:r>
      <w:r>
        <w:rPr>
          <w:color w:val="231F20"/>
          <w:spacing w:val="-46"/>
          <w:sz w:val="23"/>
        </w:rPr>
        <w:t> </w:t>
      </w:r>
      <w:r>
        <w:rPr>
          <w:color w:val="231F20"/>
          <w:sz w:val="23"/>
        </w:rPr>
        <w:t>mudslides</w:t>
      </w:r>
      <w:r>
        <w:rPr>
          <w:color w:val="231F20"/>
          <w:spacing w:val="-45"/>
          <w:sz w:val="23"/>
        </w:rPr>
        <w:t> </w:t>
      </w:r>
      <w:r>
        <w:rPr>
          <w:color w:val="231F20"/>
          <w:sz w:val="23"/>
        </w:rPr>
        <w:t>and</w:t>
      </w:r>
      <w:r>
        <w:rPr>
          <w:color w:val="231F20"/>
          <w:spacing w:val="-47"/>
          <w:sz w:val="23"/>
        </w:rPr>
        <w:t> </w:t>
      </w:r>
      <w:r>
        <w:rPr>
          <w:color w:val="231F20"/>
          <w:sz w:val="23"/>
        </w:rPr>
        <w:t>several flash floods, Government will launch a National Afforestation Programme to be implemented</w:t>
      </w:r>
      <w:r>
        <w:rPr>
          <w:color w:val="231F20"/>
          <w:spacing w:val="-20"/>
          <w:sz w:val="23"/>
        </w:rPr>
        <w:t> </w:t>
      </w:r>
      <w:r>
        <w:rPr>
          <w:color w:val="231F20"/>
          <w:sz w:val="23"/>
        </w:rPr>
        <w:t>through</w:t>
      </w:r>
      <w:r>
        <w:rPr>
          <w:color w:val="231F20"/>
          <w:spacing w:val="-20"/>
          <w:sz w:val="23"/>
        </w:rPr>
        <w:t> </w:t>
      </w:r>
      <w:r>
        <w:rPr>
          <w:color w:val="231F20"/>
          <w:sz w:val="23"/>
        </w:rPr>
        <w:t>the</w:t>
      </w:r>
      <w:r>
        <w:rPr>
          <w:color w:val="231F20"/>
          <w:spacing w:val="-20"/>
          <w:sz w:val="23"/>
        </w:rPr>
        <w:t> </w:t>
      </w:r>
      <w:r>
        <w:rPr>
          <w:color w:val="231F20"/>
          <w:sz w:val="23"/>
        </w:rPr>
        <w:t>Ministry</w:t>
      </w:r>
      <w:r>
        <w:rPr>
          <w:color w:val="231F20"/>
          <w:spacing w:val="-20"/>
          <w:sz w:val="23"/>
        </w:rPr>
        <w:t> </w:t>
      </w:r>
      <w:r>
        <w:rPr>
          <w:color w:val="231F20"/>
          <w:sz w:val="23"/>
        </w:rPr>
        <w:t>of</w:t>
      </w:r>
      <w:r>
        <w:rPr>
          <w:color w:val="231F20"/>
          <w:spacing w:val="-20"/>
          <w:sz w:val="23"/>
        </w:rPr>
        <w:t> </w:t>
      </w:r>
      <w:r>
        <w:rPr>
          <w:color w:val="231F20"/>
          <w:sz w:val="23"/>
        </w:rPr>
        <w:t>Agriculture</w:t>
      </w:r>
      <w:r>
        <w:rPr>
          <w:color w:val="231F20"/>
          <w:spacing w:val="-20"/>
          <w:sz w:val="23"/>
        </w:rPr>
        <w:t> </w:t>
      </w:r>
      <w:r>
        <w:rPr>
          <w:color w:val="231F20"/>
          <w:sz w:val="23"/>
        </w:rPr>
        <w:t>and</w:t>
      </w:r>
      <w:r>
        <w:rPr>
          <w:color w:val="231F20"/>
          <w:spacing w:val="-20"/>
          <w:sz w:val="23"/>
        </w:rPr>
        <w:t> </w:t>
      </w:r>
      <w:r>
        <w:rPr>
          <w:color w:val="231F20"/>
          <w:sz w:val="23"/>
        </w:rPr>
        <w:t>Forestry.</w:t>
      </w:r>
      <w:r>
        <w:rPr>
          <w:color w:val="231F20"/>
          <w:spacing w:val="-20"/>
          <w:sz w:val="23"/>
        </w:rPr>
        <w:t> </w:t>
      </w:r>
      <w:r>
        <w:rPr>
          <w:color w:val="231F20"/>
          <w:sz w:val="23"/>
        </w:rPr>
        <w:t>The</w:t>
      </w:r>
      <w:r>
        <w:rPr>
          <w:color w:val="231F20"/>
          <w:spacing w:val="-20"/>
          <w:sz w:val="23"/>
        </w:rPr>
        <w:t> </w:t>
      </w:r>
      <w:r>
        <w:rPr>
          <w:color w:val="231F20"/>
          <w:sz w:val="23"/>
        </w:rPr>
        <w:t>components</w:t>
      </w:r>
      <w:r>
        <w:rPr>
          <w:color w:val="231F20"/>
          <w:spacing w:val="-20"/>
          <w:sz w:val="23"/>
        </w:rPr>
        <w:t> </w:t>
      </w:r>
      <w:r>
        <w:rPr>
          <w:color w:val="231F20"/>
          <w:sz w:val="23"/>
        </w:rPr>
        <w:t>shall include</w:t>
      </w:r>
      <w:r>
        <w:rPr>
          <w:color w:val="231F20"/>
          <w:spacing w:val="-25"/>
          <w:sz w:val="23"/>
        </w:rPr>
        <w:t> </w:t>
      </w:r>
      <w:r>
        <w:rPr>
          <w:color w:val="231F20"/>
          <w:sz w:val="23"/>
        </w:rPr>
        <w:t>the</w:t>
      </w:r>
      <w:r>
        <w:rPr>
          <w:color w:val="231F20"/>
          <w:spacing w:val="-25"/>
          <w:sz w:val="23"/>
        </w:rPr>
        <w:t> </w:t>
      </w:r>
      <w:r>
        <w:rPr>
          <w:color w:val="231F20"/>
          <w:sz w:val="23"/>
        </w:rPr>
        <w:t>provision</w:t>
      </w:r>
      <w:r>
        <w:rPr>
          <w:color w:val="231F20"/>
          <w:spacing w:val="-25"/>
          <w:sz w:val="23"/>
        </w:rPr>
        <w:t> </w:t>
      </w:r>
      <w:r>
        <w:rPr>
          <w:color w:val="231F20"/>
          <w:sz w:val="23"/>
        </w:rPr>
        <w:t>of</w:t>
      </w:r>
      <w:r>
        <w:rPr>
          <w:color w:val="231F20"/>
          <w:spacing w:val="-25"/>
          <w:sz w:val="23"/>
        </w:rPr>
        <w:t> </w:t>
      </w:r>
      <w:r>
        <w:rPr>
          <w:color w:val="231F20"/>
          <w:sz w:val="23"/>
        </w:rPr>
        <w:t>improved</w:t>
      </w:r>
      <w:r>
        <w:rPr>
          <w:color w:val="231F20"/>
          <w:spacing w:val="-25"/>
          <w:sz w:val="23"/>
        </w:rPr>
        <w:t> </w:t>
      </w:r>
      <w:r>
        <w:rPr>
          <w:color w:val="231F20"/>
          <w:sz w:val="23"/>
        </w:rPr>
        <w:t>variety</w:t>
      </w:r>
      <w:r>
        <w:rPr>
          <w:color w:val="231F20"/>
          <w:spacing w:val="-25"/>
          <w:sz w:val="23"/>
        </w:rPr>
        <w:t> </w:t>
      </w:r>
      <w:r>
        <w:rPr>
          <w:color w:val="231F20"/>
          <w:sz w:val="23"/>
        </w:rPr>
        <w:t>tree</w:t>
      </w:r>
      <w:r>
        <w:rPr>
          <w:color w:val="231F20"/>
          <w:spacing w:val="-25"/>
          <w:sz w:val="23"/>
        </w:rPr>
        <w:t> </w:t>
      </w:r>
      <w:r>
        <w:rPr>
          <w:color w:val="231F20"/>
          <w:sz w:val="23"/>
        </w:rPr>
        <w:t>seedlings,</w:t>
      </w:r>
      <w:r>
        <w:rPr>
          <w:color w:val="231F20"/>
          <w:spacing w:val="-25"/>
          <w:sz w:val="23"/>
        </w:rPr>
        <w:t> </w:t>
      </w:r>
      <w:r>
        <w:rPr>
          <w:color w:val="231F20"/>
          <w:sz w:val="23"/>
        </w:rPr>
        <w:t>tools</w:t>
      </w:r>
      <w:r>
        <w:rPr>
          <w:color w:val="231F20"/>
          <w:spacing w:val="-25"/>
          <w:sz w:val="23"/>
        </w:rPr>
        <w:t> </w:t>
      </w:r>
      <w:r>
        <w:rPr>
          <w:color w:val="231F20"/>
          <w:sz w:val="23"/>
        </w:rPr>
        <w:t>and</w:t>
      </w:r>
      <w:r>
        <w:rPr>
          <w:color w:val="231F20"/>
          <w:spacing w:val="-25"/>
          <w:sz w:val="23"/>
        </w:rPr>
        <w:t> </w:t>
      </w:r>
      <w:r>
        <w:rPr>
          <w:color w:val="231F20"/>
          <w:sz w:val="23"/>
        </w:rPr>
        <w:t>equipment,</w:t>
      </w:r>
      <w:r>
        <w:rPr>
          <w:color w:val="231F20"/>
          <w:spacing w:val="-25"/>
          <w:sz w:val="23"/>
        </w:rPr>
        <w:t> </w:t>
      </w:r>
      <w:r>
        <w:rPr>
          <w:color w:val="231F20"/>
          <w:sz w:val="23"/>
        </w:rPr>
        <w:t>training and civic education and social mobilisation for environmental protection.</w:t>
      </w:r>
      <w:r>
        <w:rPr>
          <w:color w:val="231F20"/>
          <w:spacing w:val="47"/>
          <w:sz w:val="23"/>
        </w:rPr>
        <w:t> </w:t>
      </w:r>
      <w:r>
        <w:rPr>
          <w:color w:val="231F20"/>
          <w:sz w:val="23"/>
        </w:rPr>
        <w:t>This programme will initially target 10,000 youths, of which at least 50 per cent will be women.</w:t>
      </w:r>
    </w:p>
    <w:p>
      <w:pPr>
        <w:pStyle w:val="BodyText"/>
        <w:rPr>
          <w:sz w:val="20"/>
        </w:rPr>
      </w:pPr>
    </w:p>
    <w:p>
      <w:pPr>
        <w:pStyle w:val="BodyText"/>
        <w:rPr>
          <w:sz w:val="20"/>
        </w:rPr>
      </w:pPr>
    </w:p>
    <w:p>
      <w:pPr>
        <w:pStyle w:val="BodyText"/>
        <w:rPr>
          <w:sz w:val="20"/>
        </w:rPr>
      </w:pPr>
    </w:p>
    <w:p>
      <w:pPr>
        <w:pStyle w:val="BodyText"/>
        <w:spacing w:before="7"/>
        <w:rPr>
          <w:sz w:val="17"/>
        </w:rPr>
      </w:pPr>
    </w:p>
    <w:p>
      <w:pPr>
        <w:pStyle w:val="Heading1"/>
      </w:pPr>
      <w:r>
        <w:rPr>
          <w:color w:val="231F20"/>
        </w:rPr>
        <w:t>30</w:t>
      </w:r>
    </w:p>
    <w:p>
      <w:pPr>
        <w:spacing w:after="0"/>
        <w:sectPr>
          <w:pgSz w:w="11900" w:h="16840"/>
          <w:pgMar w:top="1160" w:bottom="280" w:left="1140" w:right="1120"/>
        </w:sectPr>
      </w:pPr>
    </w:p>
    <w:p>
      <w:pPr>
        <w:pStyle w:val="Heading2"/>
        <w:spacing w:before="77"/>
        <w:ind w:left="953"/>
      </w:pPr>
      <w:r>
        <w:rPr>
          <w:color w:val="231F20"/>
        </w:rPr>
        <w:t>Expanding Technical and Vocational Education and Training</w:t>
      </w:r>
    </w:p>
    <w:p>
      <w:pPr>
        <w:pStyle w:val="ListParagraph"/>
        <w:numPr>
          <w:ilvl w:val="0"/>
          <w:numId w:val="2"/>
        </w:numPr>
        <w:tabs>
          <w:tab w:pos="954" w:val="left" w:leader="none"/>
        </w:tabs>
        <w:spacing w:line="302" w:lineRule="auto" w:before="71" w:after="0"/>
        <w:ind w:left="103" w:right="120" w:firstLine="87"/>
        <w:jc w:val="both"/>
        <w:rPr>
          <w:sz w:val="23"/>
        </w:rPr>
      </w:pPr>
      <w:r>
        <w:rPr>
          <w:color w:val="231F20"/>
          <w:sz w:val="23"/>
        </w:rPr>
        <w:t>Mr.</w:t>
      </w:r>
      <w:r>
        <w:rPr>
          <w:color w:val="231F20"/>
          <w:spacing w:val="-27"/>
          <w:sz w:val="23"/>
        </w:rPr>
        <w:t> </w:t>
      </w:r>
      <w:r>
        <w:rPr>
          <w:color w:val="231F20"/>
          <w:sz w:val="23"/>
        </w:rPr>
        <w:t>Speaker,</w:t>
      </w:r>
      <w:r>
        <w:rPr>
          <w:color w:val="231F20"/>
          <w:spacing w:val="-27"/>
          <w:sz w:val="23"/>
        </w:rPr>
        <w:t> </w:t>
      </w:r>
      <w:r>
        <w:rPr>
          <w:color w:val="231F20"/>
          <w:sz w:val="23"/>
        </w:rPr>
        <w:t>Honourable</w:t>
      </w:r>
      <w:r>
        <w:rPr>
          <w:color w:val="231F20"/>
          <w:spacing w:val="-27"/>
          <w:sz w:val="23"/>
        </w:rPr>
        <w:t> </w:t>
      </w:r>
      <w:r>
        <w:rPr>
          <w:color w:val="231F20"/>
          <w:sz w:val="23"/>
        </w:rPr>
        <w:t>Members,</w:t>
      </w:r>
      <w:r>
        <w:rPr>
          <w:color w:val="231F20"/>
          <w:spacing w:val="-27"/>
          <w:sz w:val="23"/>
        </w:rPr>
        <w:t> </w:t>
      </w:r>
      <w:r>
        <w:rPr>
          <w:color w:val="231F20"/>
          <w:sz w:val="23"/>
        </w:rPr>
        <w:t>Government’s</w:t>
      </w:r>
      <w:r>
        <w:rPr>
          <w:color w:val="231F20"/>
          <w:spacing w:val="-27"/>
          <w:sz w:val="23"/>
        </w:rPr>
        <w:t> </w:t>
      </w:r>
      <w:r>
        <w:rPr>
          <w:color w:val="231F20"/>
          <w:sz w:val="23"/>
        </w:rPr>
        <w:t>utmost</w:t>
      </w:r>
      <w:r>
        <w:rPr>
          <w:color w:val="231F20"/>
          <w:spacing w:val="-27"/>
          <w:sz w:val="23"/>
        </w:rPr>
        <w:t> </w:t>
      </w:r>
      <w:r>
        <w:rPr>
          <w:color w:val="231F20"/>
          <w:sz w:val="23"/>
        </w:rPr>
        <w:t>priority</w:t>
      </w:r>
      <w:r>
        <w:rPr>
          <w:color w:val="231F20"/>
          <w:spacing w:val="-27"/>
          <w:sz w:val="23"/>
        </w:rPr>
        <w:t> </w:t>
      </w:r>
      <w:r>
        <w:rPr>
          <w:color w:val="231F20"/>
          <w:sz w:val="23"/>
        </w:rPr>
        <w:t>is</w:t>
      </w:r>
      <w:r>
        <w:rPr>
          <w:color w:val="231F20"/>
          <w:spacing w:val="-27"/>
          <w:sz w:val="23"/>
        </w:rPr>
        <w:t> </w:t>
      </w:r>
      <w:r>
        <w:rPr>
          <w:color w:val="231F20"/>
          <w:sz w:val="23"/>
        </w:rPr>
        <w:t>to</w:t>
      </w:r>
      <w:r>
        <w:rPr>
          <w:color w:val="231F20"/>
          <w:spacing w:val="-27"/>
          <w:sz w:val="23"/>
        </w:rPr>
        <w:t> </w:t>
      </w:r>
      <w:r>
        <w:rPr>
          <w:color w:val="231F20"/>
          <w:sz w:val="23"/>
        </w:rPr>
        <w:t>ensure that our youth acquire the requisite skills and training to support meaningful employment.</w:t>
      </w:r>
    </w:p>
    <w:p>
      <w:pPr>
        <w:pStyle w:val="BodyText"/>
        <w:rPr>
          <w:sz w:val="29"/>
        </w:rPr>
      </w:pPr>
    </w:p>
    <w:p>
      <w:pPr>
        <w:pStyle w:val="ListParagraph"/>
        <w:numPr>
          <w:ilvl w:val="0"/>
          <w:numId w:val="2"/>
        </w:numPr>
        <w:tabs>
          <w:tab w:pos="954" w:val="left" w:leader="none"/>
        </w:tabs>
        <w:spacing w:line="302" w:lineRule="auto" w:before="0" w:after="0"/>
        <w:ind w:left="103" w:right="117" w:firstLine="87"/>
        <w:jc w:val="both"/>
        <w:rPr>
          <w:sz w:val="23"/>
        </w:rPr>
      </w:pPr>
      <w:r>
        <w:rPr>
          <w:color w:val="231F20"/>
          <w:sz w:val="23"/>
        </w:rPr>
        <w:t>To</w:t>
      </w:r>
      <w:r>
        <w:rPr>
          <w:color w:val="231F20"/>
          <w:spacing w:val="-25"/>
          <w:sz w:val="23"/>
        </w:rPr>
        <w:t> </w:t>
      </w:r>
      <w:r>
        <w:rPr>
          <w:color w:val="231F20"/>
          <w:sz w:val="23"/>
        </w:rPr>
        <w:t>achieve</w:t>
      </w:r>
      <w:r>
        <w:rPr>
          <w:color w:val="231F20"/>
          <w:spacing w:val="-25"/>
          <w:sz w:val="23"/>
        </w:rPr>
        <w:t> </w:t>
      </w:r>
      <w:r>
        <w:rPr>
          <w:color w:val="231F20"/>
          <w:sz w:val="23"/>
        </w:rPr>
        <w:t>this,</w:t>
      </w:r>
      <w:r>
        <w:rPr>
          <w:color w:val="231F20"/>
          <w:spacing w:val="-25"/>
          <w:sz w:val="23"/>
        </w:rPr>
        <w:t> </w:t>
      </w:r>
      <w:r>
        <w:rPr>
          <w:color w:val="231F20"/>
          <w:sz w:val="23"/>
        </w:rPr>
        <w:t>the</w:t>
      </w:r>
      <w:r>
        <w:rPr>
          <w:color w:val="231F20"/>
          <w:spacing w:val="-25"/>
          <w:sz w:val="23"/>
        </w:rPr>
        <w:t> </w:t>
      </w:r>
      <w:r>
        <w:rPr>
          <w:color w:val="231F20"/>
          <w:sz w:val="23"/>
        </w:rPr>
        <w:t>Ministry</w:t>
      </w:r>
      <w:r>
        <w:rPr>
          <w:color w:val="231F20"/>
          <w:spacing w:val="-25"/>
          <w:sz w:val="23"/>
        </w:rPr>
        <w:t> </w:t>
      </w:r>
      <w:r>
        <w:rPr>
          <w:color w:val="231F20"/>
          <w:sz w:val="23"/>
        </w:rPr>
        <w:t>of</w:t>
      </w:r>
      <w:r>
        <w:rPr>
          <w:color w:val="231F20"/>
          <w:spacing w:val="-25"/>
          <w:sz w:val="23"/>
        </w:rPr>
        <w:t> </w:t>
      </w:r>
      <w:r>
        <w:rPr>
          <w:color w:val="231F20"/>
          <w:sz w:val="23"/>
        </w:rPr>
        <w:t>Technical</w:t>
      </w:r>
      <w:r>
        <w:rPr>
          <w:color w:val="231F20"/>
          <w:spacing w:val="-25"/>
          <w:sz w:val="23"/>
        </w:rPr>
        <w:t> </w:t>
      </w:r>
      <w:r>
        <w:rPr>
          <w:color w:val="231F20"/>
          <w:sz w:val="23"/>
        </w:rPr>
        <w:t>and</w:t>
      </w:r>
      <w:r>
        <w:rPr>
          <w:color w:val="231F20"/>
          <w:spacing w:val="-25"/>
          <w:sz w:val="23"/>
        </w:rPr>
        <w:t> </w:t>
      </w:r>
      <w:r>
        <w:rPr>
          <w:color w:val="231F20"/>
          <w:sz w:val="23"/>
        </w:rPr>
        <w:t>Higher</w:t>
      </w:r>
      <w:r>
        <w:rPr>
          <w:color w:val="231F20"/>
          <w:spacing w:val="-25"/>
          <w:sz w:val="23"/>
        </w:rPr>
        <w:t> </w:t>
      </w:r>
      <w:r>
        <w:rPr>
          <w:color w:val="231F20"/>
          <w:sz w:val="23"/>
        </w:rPr>
        <w:t>Education</w:t>
      </w:r>
      <w:r>
        <w:rPr>
          <w:color w:val="231F20"/>
          <w:spacing w:val="-25"/>
          <w:sz w:val="23"/>
        </w:rPr>
        <w:t> </w:t>
      </w:r>
      <w:r>
        <w:rPr>
          <w:color w:val="231F20"/>
          <w:sz w:val="23"/>
        </w:rPr>
        <w:t>has</w:t>
      </w:r>
      <w:r>
        <w:rPr>
          <w:color w:val="231F20"/>
          <w:spacing w:val="-25"/>
          <w:sz w:val="23"/>
        </w:rPr>
        <w:t> </w:t>
      </w:r>
      <w:r>
        <w:rPr>
          <w:color w:val="231F20"/>
          <w:sz w:val="23"/>
        </w:rPr>
        <w:t>developed the Technical and Vocational Education Training (TVET) Policy and revamped the Technical and Vocational Educational Training (TVET) Department in the Ministry. This</w:t>
      </w:r>
      <w:r>
        <w:rPr>
          <w:color w:val="231F20"/>
          <w:spacing w:val="-43"/>
          <w:sz w:val="23"/>
        </w:rPr>
        <w:t> </w:t>
      </w:r>
      <w:r>
        <w:rPr>
          <w:color w:val="231F20"/>
          <w:sz w:val="23"/>
        </w:rPr>
        <w:t>policy</w:t>
      </w:r>
      <w:r>
        <w:rPr>
          <w:color w:val="231F20"/>
          <w:spacing w:val="-43"/>
          <w:sz w:val="23"/>
        </w:rPr>
        <w:t> </w:t>
      </w:r>
      <w:r>
        <w:rPr>
          <w:color w:val="231F20"/>
          <w:sz w:val="23"/>
        </w:rPr>
        <w:t>will</w:t>
      </w:r>
      <w:r>
        <w:rPr>
          <w:color w:val="231F20"/>
          <w:spacing w:val="-42"/>
          <w:sz w:val="23"/>
        </w:rPr>
        <w:t> </w:t>
      </w:r>
      <w:r>
        <w:rPr>
          <w:color w:val="231F20"/>
          <w:sz w:val="23"/>
        </w:rPr>
        <w:t>guide</w:t>
      </w:r>
      <w:r>
        <w:rPr>
          <w:color w:val="231F20"/>
          <w:spacing w:val="-43"/>
          <w:sz w:val="23"/>
        </w:rPr>
        <w:t> </w:t>
      </w:r>
      <w:r>
        <w:rPr>
          <w:color w:val="231F20"/>
          <w:sz w:val="23"/>
        </w:rPr>
        <w:t>the</w:t>
      </w:r>
      <w:r>
        <w:rPr>
          <w:color w:val="231F20"/>
          <w:spacing w:val="-43"/>
          <w:sz w:val="23"/>
        </w:rPr>
        <w:t> </w:t>
      </w:r>
      <w:r>
        <w:rPr>
          <w:color w:val="231F20"/>
          <w:sz w:val="23"/>
        </w:rPr>
        <w:t>review</w:t>
      </w:r>
      <w:r>
        <w:rPr>
          <w:color w:val="231F20"/>
          <w:spacing w:val="-42"/>
          <w:sz w:val="23"/>
        </w:rPr>
        <w:t> </w:t>
      </w:r>
      <w:r>
        <w:rPr>
          <w:color w:val="231F20"/>
          <w:sz w:val="23"/>
        </w:rPr>
        <w:t>and</w:t>
      </w:r>
      <w:r>
        <w:rPr>
          <w:color w:val="231F20"/>
          <w:spacing w:val="-43"/>
          <w:sz w:val="23"/>
        </w:rPr>
        <w:t> </w:t>
      </w:r>
      <w:r>
        <w:rPr>
          <w:color w:val="231F20"/>
          <w:sz w:val="23"/>
        </w:rPr>
        <w:t>standardisation</w:t>
      </w:r>
      <w:r>
        <w:rPr>
          <w:color w:val="231F20"/>
          <w:spacing w:val="-42"/>
          <w:sz w:val="23"/>
        </w:rPr>
        <w:t> </w:t>
      </w:r>
      <w:r>
        <w:rPr>
          <w:color w:val="231F20"/>
          <w:sz w:val="23"/>
        </w:rPr>
        <w:t>of</w:t>
      </w:r>
      <w:r>
        <w:rPr>
          <w:color w:val="231F20"/>
          <w:spacing w:val="-43"/>
          <w:sz w:val="23"/>
        </w:rPr>
        <w:t> </w:t>
      </w:r>
      <w:r>
        <w:rPr>
          <w:color w:val="231F20"/>
          <w:sz w:val="23"/>
        </w:rPr>
        <w:t>the</w:t>
      </w:r>
      <w:r>
        <w:rPr>
          <w:color w:val="231F20"/>
          <w:spacing w:val="-43"/>
          <w:sz w:val="23"/>
        </w:rPr>
        <w:t> </w:t>
      </w:r>
      <w:r>
        <w:rPr>
          <w:color w:val="231F20"/>
          <w:sz w:val="23"/>
        </w:rPr>
        <w:t>curriculum</w:t>
      </w:r>
      <w:r>
        <w:rPr>
          <w:color w:val="231F20"/>
          <w:spacing w:val="-42"/>
          <w:sz w:val="23"/>
        </w:rPr>
        <w:t> </w:t>
      </w:r>
      <w:r>
        <w:rPr>
          <w:color w:val="231F20"/>
          <w:sz w:val="23"/>
        </w:rPr>
        <w:t>and</w:t>
      </w:r>
      <w:r>
        <w:rPr>
          <w:color w:val="231F20"/>
          <w:spacing w:val="-43"/>
          <w:sz w:val="23"/>
        </w:rPr>
        <w:t> </w:t>
      </w:r>
      <w:r>
        <w:rPr>
          <w:color w:val="231F20"/>
          <w:sz w:val="23"/>
        </w:rPr>
        <w:t>certification for</w:t>
      </w:r>
      <w:r>
        <w:rPr>
          <w:color w:val="231F20"/>
          <w:spacing w:val="-8"/>
          <w:sz w:val="23"/>
        </w:rPr>
        <w:t> </w:t>
      </w:r>
      <w:r>
        <w:rPr>
          <w:color w:val="231F20"/>
          <w:sz w:val="23"/>
        </w:rPr>
        <w:t>TVET</w:t>
      </w:r>
      <w:r>
        <w:rPr>
          <w:color w:val="231F20"/>
          <w:spacing w:val="-8"/>
          <w:sz w:val="23"/>
        </w:rPr>
        <w:t> </w:t>
      </w:r>
      <w:r>
        <w:rPr>
          <w:color w:val="231F20"/>
          <w:sz w:val="23"/>
        </w:rPr>
        <w:t>to</w:t>
      </w:r>
      <w:r>
        <w:rPr>
          <w:color w:val="231F20"/>
          <w:spacing w:val="-8"/>
          <w:sz w:val="23"/>
        </w:rPr>
        <w:t> </w:t>
      </w:r>
      <w:r>
        <w:rPr>
          <w:color w:val="231F20"/>
          <w:sz w:val="23"/>
        </w:rPr>
        <w:t>produce</w:t>
      </w:r>
      <w:r>
        <w:rPr>
          <w:color w:val="231F20"/>
          <w:spacing w:val="-8"/>
          <w:sz w:val="23"/>
        </w:rPr>
        <w:t> </w:t>
      </w:r>
      <w:r>
        <w:rPr>
          <w:color w:val="231F20"/>
          <w:sz w:val="23"/>
        </w:rPr>
        <w:t>candidates</w:t>
      </w:r>
      <w:r>
        <w:rPr>
          <w:color w:val="231F20"/>
          <w:spacing w:val="-8"/>
          <w:sz w:val="23"/>
        </w:rPr>
        <w:t> </w:t>
      </w:r>
      <w:r>
        <w:rPr>
          <w:color w:val="231F20"/>
          <w:sz w:val="23"/>
        </w:rPr>
        <w:t>with</w:t>
      </w:r>
      <w:r>
        <w:rPr>
          <w:color w:val="231F20"/>
          <w:spacing w:val="-8"/>
          <w:sz w:val="23"/>
        </w:rPr>
        <w:t> </w:t>
      </w:r>
      <w:r>
        <w:rPr>
          <w:color w:val="231F20"/>
          <w:sz w:val="23"/>
        </w:rPr>
        <w:t>the</w:t>
      </w:r>
      <w:r>
        <w:rPr>
          <w:color w:val="231F20"/>
          <w:spacing w:val="-8"/>
          <w:sz w:val="23"/>
        </w:rPr>
        <w:t> </w:t>
      </w:r>
      <w:r>
        <w:rPr>
          <w:color w:val="231F20"/>
          <w:sz w:val="23"/>
        </w:rPr>
        <w:t>skills</w:t>
      </w:r>
      <w:r>
        <w:rPr>
          <w:color w:val="231F20"/>
          <w:spacing w:val="-8"/>
          <w:sz w:val="23"/>
        </w:rPr>
        <w:t> </w:t>
      </w:r>
      <w:r>
        <w:rPr>
          <w:color w:val="231F20"/>
          <w:sz w:val="23"/>
        </w:rPr>
        <w:t>needed</w:t>
      </w:r>
      <w:r>
        <w:rPr>
          <w:color w:val="231F20"/>
          <w:spacing w:val="-8"/>
          <w:sz w:val="23"/>
        </w:rPr>
        <w:t> </w:t>
      </w:r>
      <w:r>
        <w:rPr>
          <w:color w:val="231F20"/>
          <w:sz w:val="23"/>
        </w:rPr>
        <w:t>in</w:t>
      </w:r>
      <w:r>
        <w:rPr>
          <w:color w:val="231F20"/>
          <w:spacing w:val="-8"/>
          <w:sz w:val="23"/>
        </w:rPr>
        <w:t> </w:t>
      </w:r>
      <w:r>
        <w:rPr>
          <w:color w:val="231F20"/>
          <w:sz w:val="23"/>
        </w:rPr>
        <w:t>both</w:t>
      </w:r>
      <w:r>
        <w:rPr>
          <w:color w:val="231F20"/>
          <w:spacing w:val="-8"/>
          <w:sz w:val="23"/>
        </w:rPr>
        <w:t> </w:t>
      </w:r>
      <w:r>
        <w:rPr>
          <w:color w:val="231F20"/>
          <w:sz w:val="23"/>
        </w:rPr>
        <w:t>the</w:t>
      </w:r>
      <w:r>
        <w:rPr>
          <w:color w:val="231F20"/>
          <w:spacing w:val="-8"/>
          <w:sz w:val="23"/>
        </w:rPr>
        <w:t> </w:t>
      </w:r>
      <w:r>
        <w:rPr>
          <w:color w:val="231F20"/>
          <w:sz w:val="23"/>
        </w:rPr>
        <w:t>public</w:t>
      </w:r>
      <w:r>
        <w:rPr>
          <w:color w:val="231F20"/>
          <w:spacing w:val="-8"/>
          <w:sz w:val="23"/>
        </w:rPr>
        <w:t> </w:t>
      </w:r>
      <w:r>
        <w:rPr>
          <w:color w:val="231F20"/>
          <w:sz w:val="23"/>
        </w:rPr>
        <w:t>and</w:t>
      </w:r>
      <w:r>
        <w:rPr>
          <w:color w:val="231F20"/>
          <w:spacing w:val="-8"/>
          <w:sz w:val="23"/>
        </w:rPr>
        <w:t> </w:t>
      </w:r>
      <w:r>
        <w:rPr>
          <w:color w:val="231F20"/>
          <w:sz w:val="23"/>
        </w:rPr>
        <w:t>private sectors.</w:t>
      </w:r>
      <w:r>
        <w:rPr>
          <w:color w:val="231F20"/>
          <w:spacing w:val="-11"/>
          <w:sz w:val="23"/>
        </w:rPr>
        <w:t> </w:t>
      </w:r>
      <w:r>
        <w:rPr>
          <w:color w:val="231F20"/>
          <w:sz w:val="23"/>
        </w:rPr>
        <w:t>It</w:t>
      </w:r>
      <w:r>
        <w:rPr>
          <w:color w:val="231F20"/>
          <w:spacing w:val="-10"/>
          <w:sz w:val="23"/>
        </w:rPr>
        <w:t> </w:t>
      </w:r>
      <w:r>
        <w:rPr>
          <w:color w:val="231F20"/>
          <w:sz w:val="23"/>
        </w:rPr>
        <w:t>will</w:t>
      </w:r>
      <w:r>
        <w:rPr>
          <w:color w:val="231F20"/>
          <w:spacing w:val="-10"/>
          <w:sz w:val="23"/>
        </w:rPr>
        <w:t> </w:t>
      </w:r>
      <w:r>
        <w:rPr>
          <w:color w:val="231F20"/>
          <w:sz w:val="23"/>
        </w:rPr>
        <w:t>also</w:t>
      </w:r>
      <w:r>
        <w:rPr>
          <w:color w:val="231F20"/>
          <w:spacing w:val="-11"/>
          <w:sz w:val="23"/>
        </w:rPr>
        <w:t> </w:t>
      </w:r>
      <w:r>
        <w:rPr>
          <w:color w:val="231F20"/>
          <w:sz w:val="23"/>
        </w:rPr>
        <w:t>provide</w:t>
      </w:r>
      <w:r>
        <w:rPr>
          <w:color w:val="231F20"/>
          <w:spacing w:val="-11"/>
          <w:sz w:val="23"/>
        </w:rPr>
        <w:t> </w:t>
      </w:r>
      <w:r>
        <w:rPr>
          <w:color w:val="231F20"/>
          <w:sz w:val="23"/>
        </w:rPr>
        <w:t>the</w:t>
      </w:r>
      <w:r>
        <w:rPr>
          <w:color w:val="231F20"/>
          <w:spacing w:val="-10"/>
          <w:sz w:val="23"/>
        </w:rPr>
        <w:t> </w:t>
      </w:r>
      <w:r>
        <w:rPr>
          <w:color w:val="231F20"/>
          <w:sz w:val="23"/>
        </w:rPr>
        <w:t>framework</w:t>
      </w:r>
      <w:r>
        <w:rPr>
          <w:color w:val="231F20"/>
          <w:spacing w:val="-10"/>
          <w:sz w:val="23"/>
        </w:rPr>
        <w:t> </w:t>
      </w:r>
      <w:r>
        <w:rPr>
          <w:color w:val="231F20"/>
          <w:sz w:val="23"/>
        </w:rPr>
        <w:t>for</w:t>
      </w:r>
      <w:r>
        <w:rPr>
          <w:color w:val="231F20"/>
          <w:spacing w:val="-10"/>
          <w:sz w:val="23"/>
        </w:rPr>
        <w:t> </w:t>
      </w:r>
      <w:r>
        <w:rPr>
          <w:color w:val="231F20"/>
          <w:sz w:val="23"/>
        </w:rPr>
        <w:t>the</w:t>
      </w:r>
      <w:r>
        <w:rPr>
          <w:color w:val="231F20"/>
          <w:spacing w:val="-10"/>
          <w:sz w:val="23"/>
        </w:rPr>
        <w:t> </w:t>
      </w:r>
      <w:r>
        <w:rPr>
          <w:color w:val="231F20"/>
          <w:sz w:val="23"/>
        </w:rPr>
        <w:t>implementation</w:t>
      </w:r>
      <w:r>
        <w:rPr>
          <w:color w:val="231F20"/>
          <w:spacing w:val="-10"/>
          <w:sz w:val="23"/>
        </w:rPr>
        <w:t> </w:t>
      </w:r>
      <w:r>
        <w:rPr>
          <w:color w:val="231F20"/>
          <w:sz w:val="23"/>
        </w:rPr>
        <w:t>of</w:t>
      </w:r>
      <w:r>
        <w:rPr>
          <w:color w:val="231F20"/>
          <w:spacing w:val="-11"/>
          <w:sz w:val="23"/>
        </w:rPr>
        <w:t> </w:t>
      </w:r>
      <w:r>
        <w:rPr>
          <w:color w:val="231F20"/>
          <w:sz w:val="23"/>
        </w:rPr>
        <w:t>measures</w:t>
      </w:r>
      <w:r>
        <w:rPr>
          <w:color w:val="231F20"/>
          <w:spacing w:val="-10"/>
          <w:sz w:val="23"/>
        </w:rPr>
        <w:t> </w:t>
      </w:r>
      <w:r>
        <w:rPr>
          <w:color w:val="231F20"/>
          <w:sz w:val="23"/>
        </w:rPr>
        <w:t>aimed at</w:t>
      </w:r>
      <w:r>
        <w:rPr>
          <w:color w:val="231F20"/>
          <w:spacing w:val="-17"/>
          <w:sz w:val="23"/>
        </w:rPr>
        <w:t> </w:t>
      </w:r>
      <w:r>
        <w:rPr>
          <w:color w:val="231F20"/>
          <w:sz w:val="23"/>
        </w:rPr>
        <w:t>improving</w:t>
      </w:r>
      <w:r>
        <w:rPr>
          <w:color w:val="231F20"/>
          <w:spacing w:val="-17"/>
          <w:sz w:val="23"/>
        </w:rPr>
        <w:t> </w:t>
      </w:r>
      <w:r>
        <w:rPr>
          <w:color w:val="231F20"/>
          <w:sz w:val="23"/>
        </w:rPr>
        <w:t>the</w:t>
      </w:r>
      <w:r>
        <w:rPr>
          <w:color w:val="231F20"/>
          <w:spacing w:val="-17"/>
          <w:sz w:val="23"/>
        </w:rPr>
        <w:t> </w:t>
      </w:r>
      <w:r>
        <w:rPr>
          <w:color w:val="231F20"/>
          <w:sz w:val="23"/>
        </w:rPr>
        <w:t>quality</w:t>
      </w:r>
      <w:r>
        <w:rPr>
          <w:color w:val="231F20"/>
          <w:spacing w:val="-16"/>
          <w:sz w:val="23"/>
        </w:rPr>
        <w:t> </w:t>
      </w:r>
      <w:r>
        <w:rPr>
          <w:color w:val="231F20"/>
          <w:sz w:val="23"/>
        </w:rPr>
        <w:t>of</w:t>
      </w:r>
      <w:r>
        <w:rPr>
          <w:color w:val="231F20"/>
          <w:spacing w:val="-17"/>
          <w:sz w:val="23"/>
        </w:rPr>
        <w:t> </w:t>
      </w:r>
      <w:r>
        <w:rPr>
          <w:color w:val="231F20"/>
          <w:sz w:val="23"/>
        </w:rPr>
        <w:t>TVET</w:t>
      </w:r>
      <w:r>
        <w:rPr>
          <w:color w:val="231F20"/>
          <w:spacing w:val="-17"/>
          <w:sz w:val="23"/>
        </w:rPr>
        <w:t> </w:t>
      </w:r>
      <w:r>
        <w:rPr>
          <w:color w:val="231F20"/>
          <w:sz w:val="23"/>
        </w:rPr>
        <w:t>provision,</w:t>
      </w:r>
      <w:r>
        <w:rPr>
          <w:color w:val="231F20"/>
          <w:spacing w:val="-16"/>
          <w:sz w:val="23"/>
        </w:rPr>
        <w:t> </w:t>
      </w:r>
      <w:r>
        <w:rPr>
          <w:color w:val="231F20"/>
          <w:sz w:val="23"/>
        </w:rPr>
        <w:t>particularly</w:t>
      </w:r>
      <w:r>
        <w:rPr>
          <w:color w:val="231F20"/>
          <w:spacing w:val="-17"/>
          <w:sz w:val="23"/>
        </w:rPr>
        <w:t> </w:t>
      </w:r>
      <w:r>
        <w:rPr>
          <w:color w:val="231F20"/>
          <w:sz w:val="23"/>
        </w:rPr>
        <w:t>in</w:t>
      </w:r>
      <w:r>
        <w:rPr>
          <w:color w:val="231F20"/>
          <w:spacing w:val="-17"/>
          <w:sz w:val="23"/>
        </w:rPr>
        <w:t> </w:t>
      </w:r>
      <w:r>
        <w:rPr>
          <w:color w:val="231F20"/>
          <w:sz w:val="23"/>
        </w:rPr>
        <w:t>areas</w:t>
      </w:r>
      <w:r>
        <w:rPr>
          <w:color w:val="231F20"/>
          <w:spacing w:val="-16"/>
          <w:sz w:val="23"/>
        </w:rPr>
        <w:t> </w:t>
      </w:r>
      <w:r>
        <w:rPr>
          <w:color w:val="231F20"/>
          <w:sz w:val="23"/>
        </w:rPr>
        <w:t>with</w:t>
      </w:r>
      <w:r>
        <w:rPr>
          <w:color w:val="231F20"/>
          <w:spacing w:val="-17"/>
          <w:sz w:val="23"/>
        </w:rPr>
        <w:t> </w:t>
      </w:r>
      <w:r>
        <w:rPr>
          <w:color w:val="231F20"/>
          <w:sz w:val="23"/>
        </w:rPr>
        <w:t>a</w:t>
      </w:r>
      <w:r>
        <w:rPr>
          <w:color w:val="231F20"/>
          <w:spacing w:val="-17"/>
          <w:sz w:val="23"/>
        </w:rPr>
        <w:t> </w:t>
      </w:r>
      <w:r>
        <w:rPr>
          <w:color w:val="231F20"/>
          <w:sz w:val="23"/>
        </w:rPr>
        <w:t>high</w:t>
      </w:r>
      <w:r>
        <w:rPr>
          <w:color w:val="231F20"/>
          <w:spacing w:val="-16"/>
          <w:sz w:val="23"/>
        </w:rPr>
        <w:t> </w:t>
      </w:r>
      <w:r>
        <w:rPr>
          <w:color w:val="231F20"/>
          <w:sz w:val="23"/>
        </w:rPr>
        <w:t>potential for job</w:t>
      </w:r>
      <w:r>
        <w:rPr>
          <w:color w:val="231F20"/>
          <w:spacing w:val="-8"/>
          <w:sz w:val="23"/>
        </w:rPr>
        <w:t> </w:t>
      </w:r>
      <w:r>
        <w:rPr>
          <w:color w:val="231F20"/>
          <w:sz w:val="23"/>
        </w:rPr>
        <w:t>creation.</w:t>
      </w:r>
    </w:p>
    <w:p>
      <w:pPr>
        <w:pStyle w:val="BodyText"/>
        <w:spacing w:before="10"/>
        <w:rPr>
          <w:sz w:val="28"/>
        </w:rPr>
      </w:pPr>
    </w:p>
    <w:p>
      <w:pPr>
        <w:pStyle w:val="ListParagraph"/>
        <w:numPr>
          <w:ilvl w:val="0"/>
          <w:numId w:val="2"/>
        </w:numPr>
        <w:tabs>
          <w:tab w:pos="954" w:val="left" w:leader="none"/>
        </w:tabs>
        <w:spacing w:line="302" w:lineRule="auto" w:before="0" w:after="0"/>
        <w:ind w:left="103" w:right="117" w:firstLine="87"/>
        <w:jc w:val="both"/>
        <w:rPr>
          <w:sz w:val="23"/>
        </w:rPr>
      </w:pPr>
      <w:r>
        <w:rPr>
          <w:color w:val="231F20"/>
          <w:sz w:val="23"/>
        </w:rPr>
        <w:t>In</w:t>
      </w:r>
      <w:r>
        <w:rPr>
          <w:color w:val="231F20"/>
          <w:spacing w:val="-30"/>
          <w:sz w:val="23"/>
        </w:rPr>
        <w:t> </w:t>
      </w:r>
      <w:r>
        <w:rPr>
          <w:color w:val="231F20"/>
          <w:sz w:val="23"/>
        </w:rPr>
        <w:t>addition,</w:t>
      </w:r>
      <w:r>
        <w:rPr>
          <w:color w:val="231F20"/>
          <w:spacing w:val="-30"/>
          <w:sz w:val="23"/>
        </w:rPr>
        <w:t> </w:t>
      </w:r>
      <w:r>
        <w:rPr>
          <w:color w:val="231F20"/>
          <w:sz w:val="23"/>
        </w:rPr>
        <w:t>Government</w:t>
      </w:r>
      <w:r>
        <w:rPr>
          <w:color w:val="231F20"/>
          <w:spacing w:val="-30"/>
          <w:sz w:val="23"/>
        </w:rPr>
        <w:t> </w:t>
      </w:r>
      <w:r>
        <w:rPr>
          <w:color w:val="231F20"/>
          <w:sz w:val="23"/>
        </w:rPr>
        <w:t>with</w:t>
      </w:r>
      <w:r>
        <w:rPr>
          <w:color w:val="231F20"/>
          <w:spacing w:val="-30"/>
          <w:sz w:val="23"/>
        </w:rPr>
        <w:t> </w:t>
      </w:r>
      <w:r>
        <w:rPr>
          <w:color w:val="231F20"/>
          <w:sz w:val="23"/>
        </w:rPr>
        <w:t>the</w:t>
      </w:r>
      <w:r>
        <w:rPr>
          <w:color w:val="231F20"/>
          <w:spacing w:val="-30"/>
          <w:sz w:val="23"/>
        </w:rPr>
        <w:t> </w:t>
      </w:r>
      <w:r>
        <w:rPr>
          <w:color w:val="231F20"/>
          <w:sz w:val="23"/>
        </w:rPr>
        <w:t>support</w:t>
      </w:r>
      <w:r>
        <w:rPr>
          <w:color w:val="231F20"/>
          <w:spacing w:val="-30"/>
          <w:sz w:val="23"/>
        </w:rPr>
        <w:t> </w:t>
      </w:r>
      <w:r>
        <w:rPr>
          <w:color w:val="231F20"/>
          <w:sz w:val="23"/>
        </w:rPr>
        <w:t>of</w:t>
      </w:r>
      <w:r>
        <w:rPr>
          <w:color w:val="231F20"/>
          <w:spacing w:val="-30"/>
          <w:sz w:val="23"/>
        </w:rPr>
        <w:t> </w:t>
      </w:r>
      <w:r>
        <w:rPr>
          <w:color w:val="231F20"/>
          <w:sz w:val="23"/>
        </w:rPr>
        <w:t>partners</w:t>
      </w:r>
      <w:r>
        <w:rPr>
          <w:color w:val="231F20"/>
          <w:spacing w:val="-30"/>
          <w:sz w:val="23"/>
        </w:rPr>
        <w:t> </w:t>
      </w:r>
      <w:r>
        <w:rPr>
          <w:color w:val="231F20"/>
          <w:sz w:val="23"/>
        </w:rPr>
        <w:t>is</w:t>
      </w:r>
      <w:r>
        <w:rPr>
          <w:color w:val="231F20"/>
          <w:spacing w:val="-30"/>
          <w:sz w:val="23"/>
        </w:rPr>
        <w:t> </w:t>
      </w:r>
      <w:r>
        <w:rPr>
          <w:color w:val="231F20"/>
          <w:sz w:val="23"/>
        </w:rPr>
        <w:t>establishing</w:t>
      </w:r>
      <w:r>
        <w:rPr>
          <w:color w:val="231F20"/>
          <w:spacing w:val="-30"/>
          <w:sz w:val="23"/>
        </w:rPr>
        <w:t> </w:t>
      </w:r>
      <w:r>
        <w:rPr>
          <w:color w:val="231F20"/>
          <w:sz w:val="23"/>
        </w:rPr>
        <w:t>Technical Institutes</w:t>
      </w:r>
      <w:r>
        <w:rPr>
          <w:color w:val="231F20"/>
          <w:spacing w:val="-16"/>
          <w:sz w:val="23"/>
        </w:rPr>
        <w:t> </w:t>
      </w:r>
      <w:r>
        <w:rPr>
          <w:color w:val="231F20"/>
          <w:sz w:val="23"/>
        </w:rPr>
        <w:t>in</w:t>
      </w:r>
      <w:r>
        <w:rPr>
          <w:color w:val="231F20"/>
          <w:spacing w:val="-16"/>
          <w:sz w:val="23"/>
        </w:rPr>
        <w:t> </w:t>
      </w:r>
      <w:r>
        <w:rPr>
          <w:color w:val="231F20"/>
          <w:sz w:val="23"/>
        </w:rPr>
        <w:t>all</w:t>
      </w:r>
      <w:r>
        <w:rPr>
          <w:color w:val="231F20"/>
          <w:spacing w:val="-16"/>
          <w:sz w:val="23"/>
        </w:rPr>
        <w:t> </w:t>
      </w:r>
      <w:r>
        <w:rPr>
          <w:color w:val="231F20"/>
          <w:sz w:val="23"/>
        </w:rPr>
        <w:t>sixteen</w:t>
      </w:r>
      <w:r>
        <w:rPr>
          <w:color w:val="231F20"/>
          <w:spacing w:val="-16"/>
          <w:sz w:val="23"/>
        </w:rPr>
        <w:t> </w:t>
      </w:r>
      <w:r>
        <w:rPr>
          <w:color w:val="231F20"/>
          <w:sz w:val="23"/>
        </w:rPr>
        <w:t>districts.</w:t>
      </w:r>
      <w:r>
        <w:rPr>
          <w:color w:val="231F20"/>
          <w:spacing w:val="-16"/>
          <w:sz w:val="23"/>
        </w:rPr>
        <w:t> </w:t>
      </w:r>
      <w:r>
        <w:rPr>
          <w:color w:val="231F20"/>
          <w:sz w:val="23"/>
        </w:rPr>
        <w:t>However,</w:t>
      </w:r>
      <w:r>
        <w:rPr>
          <w:color w:val="231F20"/>
          <w:spacing w:val="-16"/>
          <w:sz w:val="23"/>
        </w:rPr>
        <w:t> </w:t>
      </w:r>
      <w:r>
        <w:rPr>
          <w:color w:val="231F20"/>
          <w:sz w:val="23"/>
        </w:rPr>
        <w:t>some</w:t>
      </w:r>
      <w:r>
        <w:rPr>
          <w:color w:val="231F20"/>
          <w:spacing w:val="-16"/>
          <w:sz w:val="23"/>
        </w:rPr>
        <w:t> </w:t>
      </w:r>
      <w:r>
        <w:rPr>
          <w:color w:val="231F20"/>
          <w:sz w:val="23"/>
        </w:rPr>
        <w:t>of</w:t>
      </w:r>
      <w:r>
        <w:rPr>
          <w:color w:val="231F20"/>
          <w:spacing w:val="-16"/>
          <w:sz w:val="23"/>
        </w:rPr>
        <w:t> </w:t>
      </w:r>
      <w:r>
        <w:rPr>
          <w:color w:val="231F20"/>
          <w:sz w:val="23"/>
        </w:rPr>
        <w:t>the</w:t>
      </w:r>
      <w:r>
        <w:rPr>
          <w:color w:val="231F20"/>
          <w:spacing w:val="-16"/>
          <w:sz w:val="23"/>
        </w:rPr>
        <w:t> </w:t>
      </w:r>
      <w:r>
        <w:rPr>
          <w:color w:val="231F20"/>
          <w:sz w:val="23"/>
        </w:rPr>
        <w:t>facilities</w:t>
      </w:r>
      <w:r>
        <w:rPr>
          <w:color w:val="231F20"/>
          <w:spacing w:val="-16"/>
          <w:sz w:val="23"/>
        </w:rPr>
        <w:t> </w:t>
      </w:r>
      <w:r>
        <w:rPr>
          <w:color w:val="231F20"/>
          <w:sz w:val="23"/>
        </w:rPr>
        <w:t>require</w:t>
      </w:r>
      <w:r>
        <w:rPr>
          <w:color w:val="231F20"/>
          <w:spacing w:val="-16"/>
          <w:sz w:val="23"/>
        </w:rPr>
        <w:t> </w:t>
      </w:r>
      <w:r>
        <w:rPr>
          <w:color w:val="231F20"/>
          <w:sz w:val="23"/>
        </w:rPr>
        <w:t>rehabilitation while most lack the requisite tools and equipment for effective technical education. Therefore, Government will rehabilitate the existing facilities, construct additional facilities</w:t>
      </w:r>
      <w:r>
        <w:rPr>
          <w:color w:val="231F20"/>
          <w:spacing w:val="-19"/>
          <w:sz w:val="23"/>
        </w:rPr>
        <w:t> </w:t>
      </w:r>
      <w:r>
        <w:rPr>
          <w:color w:val="231F20"/>
          <w:sz w:val="23"/>
        </w:rPr>
        <w:t>and</w:t>
      </w:r>
      <w:r>
        <w:rPr>
          <w:color w:val="231F20"/>
          <w:spacing w:val="-20"/>
          <w:sz w:val="23"/>
        </w:rPr>
        <w:t> </w:t>
      </w:r>
      <w:r>
        <w:rPr>
          <w:color w:val="231F20"/>
          <w:sz w:val="23"/>
        </w:rPr>
        <w:t>provide</w:t>
      </w:r>
      <w:r>
        <w:rPr>
          <w:color w:val="231F20"/>
          <w:spacing w:val="-20"/>
          <w:sz w:val="23"/>
        </w:rPr>
        <w:t> </w:t>
      </w:r>
      <w:r>
        <w:rPr>
          <w:color w:val="231F20"/>
          <w:sz w:val="23"/>
        </w:rPr>
        <w:t>them</w:t>
      </w:r>
      <w:r>
        <w:rPr>
          <w:color w:val="231F20"/>
          <w:spacing w:val="-19"/>
          <w:sz w:val="23"/>
        </w:rPr>
        <w:t> </w:t>
      </w:r>
      <w:r>
        <w:rPr>
          <w:color w:val="231F20"/>
          <w:sz w:val="23"/>
        </w:rPr>
        <w:t>with</w:t>
      </w:r>
      <w:r>
        <w:rPr>
          <w:color w:val="231F20"/>
          <w:spacing w:val="-19"/>
          <w:sz w:val="23"/>
        </w:rPr>
        <w:t> </w:t>
      </w:r>
      <w:r>
        <w:rPr>
          <w:color w:val="231F20"/>
          <w:sz w:val="23"/>
        </w:rPr>
        <w:t>the</w:t>
      </w:r>
      <w:r>
        <w:rPr>
          <w:color w:val="231F20"/>
          <w:spacing w:val="-19"/>
          <w:sz w:val="23"/>
        </w:rPr>
        <w:t> </w:t>
      </w:r>
      <w:r>
        <w:rPr>
          <w:color w:val="231F20"/>
          <w:sz w:val="23"/>
        </w:rPr>
        <w:t>required</w:t>
      </w:r>
      <w:r>
        <w:rPr>
          <w:color w:val="231F20"/>
          <w:spacing w:val="-19"/>
          <w:sz w:val="23"/>
        </w:rPr>
        <w:t> </w:t>
      </w:r>
      <w:r>
        <w:rPr>
          <w:color w:val="231F20"/>
          <w:sz w:val="23"/>
        </w:rPr>
        <w:t>furniture,</w:t>
      </w:r>
      <w:r>
        <w:rPr>
          <w:color w:val="231F20"/>
          <w:spacing w:val="-19"/>
          <w:sz w:val="23"/>
        </w:rPr>
        <w:t> </w:t>
      </w:r>
      <w:r>
        <w:rPr>
          <w:color w:val="231F20"/>
          <w:sz w:val="23"/>
        </w:rPr>
        <w:t>tools</w:t>
      </w:r>
      <w:r>
        <w:rPr>
          <w:color w:val="231F20"/>
          <w:spacing w:val="-19"/>
          <w:sz w:val="23"/>
        </w:rPr>
        <w:t> </w:t>
      </w:r>
      <w:r>
        <w:rPr>
          <w:color w:val="231F20"/>
          <w:sz w:val="23"/>
        </w:rPr>
        <w:t>and</w:t>
      </w:r>
      <w:r>
        <w:rPr>
          <w:color w:val="231F20"/>
          <w:spacing w:val="-20"/>
          <w:sz w:val="23"/>
        </w:rPr>
        <w:t> </w:t>
      </w:r>
      <w:r>
        <w:rPr>
          <w:color w:val="231F20"/>
          <w:sz w:val="23"/>
        </w:rPr>
        <w:t>equipment.</w:t>
      </w:r>
      <w:r>
        <w:rPr>
          <w:color w:val="231F20"/>
          <w:spacing w:val="-20"/>
          <w:sz w:val="23"/>
        </w:rPr>
        <w:t> </w:t>
      </w:r>
      <w:r>
        <w:rPr>
          <w:color w:val="231F20"/>
          <w:sz w:val="23"/>
        </w:rPr>
        <w:t>Training will</w:t>
      </w:r>
      <w:r>
        <w:rPr>
          <w:color w:val="231F20"/>
          <w:spacing w:val="-7"/>
          <w:sz w:val="23"/>
        </w:rPr>
        <w:t> </w:t>
      </w:r>
      <w:r>
        <w:rPr>
          <w:color w:val="231F20"/>
          <w:sz w:val="23"/>
        </w:rPr>
        <w:t>take</w:t>
      </w:r>
      <w:r>
        <w:rPr>
          <w:color w:val="231F20"/>
          <w:spacing w:val="-7"/>
          <w:sz w:val="23"/>
        </w:rPr>
        <w:t> </w:t>
      </w:r>
      <w:r>
        <w:rPr>
          <w:color w:val="231F20"/>
          <w:sz w:val="23"/>
        </w:rPr>
        <w:t>place</w:t>
      </w:r>
      <w:r>
        <w:rPr>
          <w:color w:val="231F20"/>
          <w:spacing w:val="-7"/>
          <w:sz w:val="23"/>
        </w:rPr>
        <w:t> </w:t>
      </w:r>
      <w:r>
        <w:rPr>
          <w:color w:val="231F20"/>
          <w:sz w:val="23"/>
        </w:rPr>
        <w:t>in</w:t>
      </w:r>
      <w:r>
        <w:rPr>
          <w:color w:val="231F20"/>
          <w:spacing w:val="-7"/>
          <w:sz w:val="23"/>
        </w:rPr>
        <w:t> </w:t>
      </w:r>
      <w:r>
        <w:rPr>
          <w:color w:val="231F20"/>
          <w:sz w:val="23"/>
        </w:rPr>
        <w:t>rented</w:t>
      </w:r>
      <w:r>
        <w:rPr>
          <w:color w:val="231F20"/>
          <w:spacing w:val="-7"/>
          <w:sz w:val="23"/>
        </w:rPr>
        <w:t> </w:t>
      </w:r>
      <w:r>
        <w:rPr>
          <w:color w:val="231F20"/>
          <w:sz w:val="23"/>
        </w:rPr>
        <w:t>premises</w:t>
      </w:r>
      <w:r>
        <w:rPr>
          <w:color w:val="231F20"/>
          <w:spacing w:val="-7"/>
          <w:sz w:val="23"/>
        </w:rPr>
        <w:t> </w:t>
      </w:r>
      <w:r>
        <w:rPr>
          <w:color w:val="231F20"/>
          <w:sz w:val="23"/>
        </w:rPr>
        <w:t>in</w:t>
      </w:r>
      <w:r>
        <w:rPr>
          <w:color w:val="231F20"/>
          <w:spacing w:val="-7"/>
          <w:sz w:val="23"/>
        </w:rPr>
        <w:t> </w:t>
      </w:r>
      <w:r>
        <w:rPr>
          <w:color w:val="231F20"/>
          <w:sz w:val="23"/>
        </w:rPr>
        <w:t>districts</w:t>
      </w:r>
      <w:r>
        <w:rPr>
          <w:color w:val="231F20"/>
          <w:spacing w:val="-7"/>
          <w:sz w:val="23"/>
        </w:rPr>
        <w:t> </w:t>
      </w:r>
      <w:r>
        <w:rPr>
          <w:color w:val="231F20"/>
          <w:sz w:val="23"/>
        </w:rPr>
        <w:t>where</w:t>
      </w:r>
      <w:r>
        <w:rPr>
          <w:color w:val="231F20"/>
          <w:spacing w:val="-7"/>
          <w:sz w:val="23"/>
        </w:rPr>
        <w:t> </w:t>
      </w:r>
      <w:r>
        <w:rPr>
          <w:color w:val="231F20"/>
          <w:sz w:val="23"/>
        </w:rPr>
        <w:t>there</w:t>
      </w:r>
      <w:r>
        <w:rPr>
          <w:color w:val="231F20"/>
          <w:spacing w:val="-7"/>
          <w:sz w:val="23"/>
        </w:rPr>
        <w:t> </w:t>
      </w:r>
      <w:r>
        <w:rPr>
          <w:color w:val="231F20"/>
          <w:sz w:val="23"/>
        </w:rPr>
        <w:t>is</w:t>
      </w:r>
      <w:r>
        <w:rPr>
          <w:color w:val="231F20"/>
          <w:spacing w:val="-7"/>
          <w:sz w:val="23"/>
        </w:rPr>
        <w:t> </w:t>
      </w:r>
      <w:r>
        <w:rPr>
          <w:color w:val="231F20"/>
          <w:sz w:val="23"/>
        </w:rPr>
        <w:t>no</w:t>
      </w:r>
      <w:r>
        <w:rPr>
          <w:color w:val="231F20"/>
          <w:spacing w:val="-7"/>
          <w:sz w:val="23"/>
        </w:rPr>
        <w:t> </w:t>
      </w:r>
      <w:r>
        <w:rPr>
          <w:color w:val="231F20"/>
          <w:sz w:val="23"/>
        </w:rPr>
        <w:t>permanent</w:t>
      </w:r>
      <w:r>
        <w:rPr>
          <w:color w:val="231F20"/>
          <w:spacing w:val="-7"/>
          <w:sz w:val="23"/>
        </w:rPr>
        <w:t> </w:t>
      </w:r>
      <w:r>
        <w:rPr>
          <w:color w:val="231F20"/>
          <w:sz w:val="23"/>
        </w:rPr>
        <w:t>structure and resources will be mobilised to construct permanent structures in the next</w:t>
      </w:r>
      <w:r>
        <w:rPr>
          <w:color w:val="231F20"/>
          <w:spacing w:val="-48"/>
          <w:sz w:val="23"/>
        </w:rPr>
        <w:t> </w:t>
      </w:r>
      <w:r>
        <w:rPr>
          <w:color w:val="231F20"/>
          <w:sz w:val="23"/>
        </w:rPr>
        <w:t>three </w:t>
      </w:r>
      <w:r>
        <w:rPr>
          <w:color w:val="231F20"/>
          <w:spacing w:val="3"/>
          <w:sz w:val="23"/>
        </w:rPr>
        <w:t>years.</w:t>
      </w:r>
    </w:p>
    <w:p>
      <w:pPr>
        <w:pStyle w:val="BodyText"/>
        <w:spacing w:before="7"/>
        <w:rPr>
          <w:sz w:val="27"/>
        </w:rPr>
      </w:pPr>
    </w:p>
    <w:p>
      <w:pPr>
        <w:pStyle w:val="Heading2"/>
        <w:ind w:left="953"/>
      </w:pPr>
      <w:r>
        <w:rPr>
          <w:color w:val="231F20"/>
        </w:rPr>
        <w:t>Establishing a National Apprenticeship System</w:t>
      </w:r>
    </w:p>
    <w:p>
      <w:pPr>
        <w:pStyle w:val="ListParagraph"/>
        <w:numPr>
          <w:ilvl w:val="0"/>
          <w:numId w:val="2"/>
        </w:numPr>
        <w:tabs>
          <w:tab w:pos="954" w:val="left" w:leader="none"/>
        </w:tabs>
        <w:spacing w:line="283" w:lineRule="auto" w:before="49" w:after="0"/>
        <w:ind w:left="103" w:right="119" w:firstLine="87"/>
        <w:jc w:val="both"/>
        <w:rPr>
          <w:sz w:val="23"/>
        </w:rPr>
      </w:pPr>
      <w:r>
        <w:rPr>
          <w:color w:val="231F20"/>
          <w:sz w:val="23"/>
        </w:rPr>
        <w:t>Mr. Speaker, Honourable Members, while the formal TVET will target early school leavers and those who cannot pursue university education, Government will collaborate</w:t>
      </w:r>
      <w:r>
        <w:rPr>
          <w:color w:val="231F20"/>
          <w:spacing w:val="-17"/>
          <w:sz w:val="23"/>
        </w:rPr>
        <w:t> </w:t>
      </w:r>
      <w:r>
        <w:rPr>
          <w:color w:val="231F20"/>
          <w:sz w:val="23"/>
        </w:rPr>
        <w:t>with</w:t>
      </w:r>
      <w:r>
        <w:rPr>
          <w:color w:val="231F20"/>
          <w:spacing w:val="-17"/>
          <w:sz w:val="23"/>
        </w:rPr>
        <w:t> </w:t>
      </w:r>
      <w:r>
        <w:rPr>
          <w:color w:val="231F20"/>
          <w:sz w:val="23"/>
        </w:rPr>
        <w:t>partners</w:t>
      </w:r>
      <w:r>
        <w:rPr>
          <w:color w:val="231F20"/>
          <w:spacing w:val="-17"/>
          <w:sz w:val="23"/>
        </w:rPr>
        <w:t> </w:t>
      </w:r>
      <w:r>
        <w:rPr>
          <w:color w:val="231F20"/>
          <w:sz w:val="23"/>
        </w:rPr>
        <w:t>to</w:t>
      </w:r>
      <w:r>
        <w:rPr>
          <w:color w:val="231F20"/>
          <w:spacing w:val="-17"/>
          <w:sz w:val="23"/>
        </w:rPr>
        <w:t> </w:t>
      </w:r>
      <w:r>
        <w:rPr>
          <w:color w:val="231F20"/>
          <w:sz w:val="23"/>
        </w:rPr>
        <w:t>establish</w:t>
      </w:r>
      <w:r>
        <w:rPr>
          <w:color w:val="231F20"/>
          <w:spacing w:val="-17"/>
          <w:sz w:val="23"/>
        </w:rPr>
        <w:t> </w:t>
      </w:r>
      <w:r>
        <w:rPr>
          <w:color w:val="231F20"/>
          <w:sz w:val="23"/>
        </w:rPr>
        <w:t>a</w:t>
      </w:r>
      <w:r>
        <w:rPr>
          <w:color w:val="231F20"/>
          <w:spacing w:val="-17"/>
          <w:sz w:val="23"/>
        </w:rPr>
        <w:t> </w:t>
      </w:r>
      <w:r>
        <w:rPr>
          <w:color w:val="231F20"/>
          <w:sz w:val="23"/>
        </w:rPr>
        <w:t>National</w:t>
      </w:r>
      <w:r>
        <w:rPr>
          <w:color w:val="231F20"/>
          <w:spacing w:val="-17"/>
          <w:sz w:val="23"/>
        </w:rPr>
        <w:t> </w:t>
      </w:r>
      <w:r>
        <w:rPr>
          <w:color w:val="231F20"/>
          <w:sz w:val="23"/>
        </w:rPr>
        <w:t>Apprenticeship</w:t>
      </w:r>
      <w:r>
        <w:rPr>
          <w:color w:val="231F20"/>
          <w:spacing w:val="-17"/>
          <w:sz w:val="23"/>
        </w:rPr>
        <w:t> </w:t>
      </w:r>
      <w:r>
        <w:rPr>
          <w:color w:val="231F20"/>
          <w:sz w:val="23"/>
        </w:rPr>
        <w:t>System.</w:t>
      </w:r>
      <w:r>
        <w:rPr>
          <w:color w:val="231F20"/>
          <w:spacing w:val="-17"/>
          <w:sz w:val="23"/>
        </w:rPr>
        <w:t> </w:t>
      </w:r>
      <w:r>
        <w:rPr>
          <w:color w:val="231F20"/>
          <w:sz w:val="23"/>
        </w:rPr>
        <w:t>This</w:t>
      </w:r>
      <w:r>
        <w:rPr>
          <w:color w:val="231F20"/>
          <w:spacing w:val="-17"/>
          <w:sz w:val="23"/>
        </w:rPr>
        <w:t> </w:t>
      </w:r>
      <w:r>
        <w:rPr>
          <w:color w:val="231F20"/>
          <w:sz w:val="23"/>
        </w:rPr>
        <w:t>system will</w:t>
      </w:r>
      <w:r>
        <w:rPr>
          <w:color w:val="231F20"/>
          <w:spacing w:val="-7"/>
          <w:sz w:val="23"/>
        </w:rPr>
        <w:t> </w:t>
      </w:r>
      <w:r>
        <w:rPr>
          <w:color w:val="231F20"/>
          <w:sz w:val="23"/>
        </w:rPr>
        <w:t>target</w:t>
      </w:r>
      <w:r>
        <w:rPr>
          <w:color w:val="231F20"/>
          <w:spacing w:val="-7"/>
          <w:sz w:val="23"/>
        </w:rPr>
        <w:t> </w:t>
      </w:r>
      <w:r>
        <w:rPr>
          <w:color w:val="231F20"/>
          <w:sz w:val="23"/>
        </w:rPr>
        <w:t>youth</w:t>
      </w:r>
      <w:r>
        <w:rPr>
          <w:color w:val="231F20"/>
          <w:spacing w:val="-7"/>
          <w:sz w:val="23"/>
        </w:rPr>
        <w:t> </w:t>
      </w:r>
      <w:r>
        <w:rPr>
          <w:color w:val="231F20"/>
          <w:sz w:val="23"/>
        </w:rPr>
        <w:t>who</w:t>
      </w:r>
      <w:r>
        <w:rPr>
          <w:color w:val="231F20"/>
          <w:spacing w:val="-7"/>
          <w:sz w:val="23"/>
        </w:rPr>
        <w:t> </w:t>
      </w:r>
      <w:r>
        <w:rPr>
          <w:color w:val="231F20"/>
          <w:sz w:val="23"/>
        </w:rPr>
        <w:t>cannot</w:t>
      </w:r>
      <w:r>
        <w:rPr>
          <w:color w:val="231F20"/>
          <w:spacing w:val="-7"/>
          <w:sz w:val="23"/>
        </w:rPr>
        <w:t> </w:t>
      </w:r>
      <w:r>
        <w:rPr>
          <w:color w:val="231F20"/>
          <w:sz w:val="23"/>
        </w:rPr>
        <w:t>read</w:t>
      </w:r>
      <w:r>
        <w:rPr>
          <w:color w:val="231F20"/>
          <w:spacing w:val="-7"/>
          <w:sz w:val="23"/>
        </w:rPr>
        <w:t> </w:t>
      </w:r>
      <w:r>
        <w:rPr>
          <w:color w:val="231F20"/>
          <w:sz w:val="23"/>
        </w:rPr>
        <w:t>or</w:t>
      </w:r>
      <w:r>
        <w:rPr>
          <w:color w:val="231F20"/>
          <w:spacing w:val="-7"/>
          <w:sz w:val="23"/>
        </w:rPr>
        <w:t> </w:t>
      </w:r>
      <w:r>
        <w:rPr>
          <w:color w:val="231F20"/>
          <w:sz w:val="23"/>
        </w:rPr>
        <w:t>write</w:t>
      </w:r>
      <w:r>
        <w:rPr>
          <w:color w:val="231F20"/>
          <w:spacing w:val="-7"/>
          <w:sz w:val="23"/>
        </w:rPr>
        <w:t> </w:t>
      </w:r>
      <w:r>
        <w:rPr>
          <w:color w:val="231F20"/>
          <w:sz w:val="23"/>
        </w:rPr>
        <w:t>or</w:t>
      </w:r>
      <w:r>
        <w:rPr>
          <w:color w:val="231F20"/>
          <w:spacing w:val="-7"/>
          <w:sz w:val="23"/>
        </w:rPr>
        <w:t> </w:t>
      </w:r>
      <w:r>
        <w:rPr>
          <w:color w:val="231F20"/>
          <w:sz w:val="23"/>
        </w:rPr>
        <w:t>have</w:t>
      </w:r>
      <w:r>
        <w:rPr>
          <w:color w:val="231F20"/>
          <w:spacing w:val="-7"/>
          <w:sz w:val="23"/>
        </w:rPr>
        <w:t> </w:t>
      </w:r>
      <w:r>
        <w:rPr>
          <w:color w:val="231F20"/>
          <w:sz w:val="23"/>
        </w:rPr>
        <w:t>very</w:t>
      </w:r>
      <w:r>
        <w:rPr>
          <w:color w:val="231F20"/>
          <w:spacing w:val="-7"/>
          <w:sz w:val="23"/>
        </w:rPr>
        <w:t> </w:t>
      </w:r>
      <w:r>
        <w:rPr>
          <w:color w:val="231F20"/>
          <w:sz w:val="23"/>
        </w:rPr>
        <w:t>low</w:t>
      </w:r>
      <w:r>
        <w:rPr>
          <w:color w:val="231F20"/>
          <w:spacing w:val="-7"/>
          <w:sz w:val="23"/>
        </w:rPr>
        <w:t> </w:t>
      </w:r>
      <w:r>
        <w:rPr>
          <w:color w:val="231F20"/>
          <w:sz w:val="23"/>
        </w:rPr>
        <w:t>level</w:t>
      </w:r>
      <w:r>
        <w:rPr>
          <w:color w:val="231F20"/>
          <w:spacing w:val="-7"/>
          <w:sz w:val="23"/>
        </w:rPr>
        <w:t> </w:t>
      </w:r>
      <w:r>
        <w:rPr>
          <w:color w:val="231F20"/>
          <w:sz w:val="23"/>
        </w:rPr>
        <w:t>of</w:t>
      </w:r>
      <w:r>
        <w:rPr>
          <w:color w:val="231F20"/>
          <w:spacing w:val="-7"/>
          <w:sz w:val="23"/>
        </w:rPr>
        <w:t> </w:t>
      </w:r>
      <w:r>
        <w:rPr>
          <w:color w:val="231F20"/>
          <w:sz w:val="23"/>
        </w:rPr>
        <w:t>formal</w:t>
      </w:r>
      <w:r>
        <w:rPr>
          <w:color w:val="231F20"/>
          <w:spacing w:val="-7"/>
          <w:sz w:val="23"/>
        </w:rPr>
        <w:t> </w:t>
      </w:r>
      <w:r>
        <w:rPr>
          <w:color w:val="231F20"/>
          <w:sz w:val="23"/>
        </w:rPr>
        <w:t>education. Such a system will serve as a pathway for getting young people into skilled</w:t>
      </w:r>
      <w:r>
        <w:rPr>
          <w:color w:val="231F20"/>
          <w:spacing w:val="28"/>
          <w:sz w:val="23"/>
        </w:rPr>
        <w:t> </w:t>
      </w:r>
      <w:r>
        <w:rPr>
          <w:color w:val="231F20"/>
          <w:sz w:val="23"/>
        </w:rPr>
        <w:t>trades.</w:t>
      </w:r>
    </w:p>
    <w:p>
      <w:pPr>
        <w:pStyle w:val="BodyText"/>
        <w:spacing w:before="10"/>
        <w:rPr>
          <w:sz w:val="27"/>
        </w:rPr>
      </w:pPr>
    </w:p>
    <w:p>
      <w:pPr>
        <w:pStyle w:val="ListParagraph"/>
        <w:numPr>
          <w:ilvl w:val="0"/>
          <w:numId w:val="2"/>
        </w:numPr>
        <w:tabs>
          <w:tab w:pos="954" w:val="left" w:leader="none"/>
        </w:tabs>
        <w:spacing w:line="285" w:lineRule="auto" w:before="1" w:after="0"/>
        <w:ind w:left="103" w:right="118" w:firstLine="87"/>
        <w:jc w:val="both"/>
        <w:rPr>
          <w:sz w:val="23"/>
        </w:rPr>
      </w:pPr>
      <w:r>
        <w:rPr>
          <w:color w:val="231F20"/>
          <w:sz w:val="23"/>
        </w:rPr>
        <w:t>Mr. Speaker, Honourable Members, Apprenticeship schemes have been successful</w:t>
      </w:r>
      <w:r>
        <w:rPr>
          <w:color w:val="231F20"/>
          <w:spacing w:val="-10"/>
          <w:sz w:val="23"/>
        </w:rPr>
        <w:t> </w:t>
      </w:r>
      <w:r>
        <w:rPr>
          <w:color w:val="231F20"/>
          <w:sz w:val="23"/>
        </w:rPr>
        <w:t>all</w:t>
      </w:r>
      <w:r>
        <w:rPr>
          <w:color w:val="231F20"/>
          <w:spacing w:val="-10"/>
          <w:sz w:val="23"/>
        </w:rPr>
        <w:t> </w:t>
      </w:r>
      <w:r>
        <w:rPr>
          <w:color w:val="231F20"/>
          <w:sz w:val="23"/>
        </w:rPr>
        <w:t>over</w:t>
      </w:r>
      <w:r>
        <w:rPr>
          <w:color w:val="231F20"/>
          <w:spacing w:val="-10"/>
          <w:sz w:val="23"/>
        </w:rPr>
        <w:t> </w:t>
      </w:r>
      <w:r>
        <w:rPr>
          <w:color w:val="231F20"/>
          <w:sz w:val="23"/>
        </w:rPr>
        <w:t>the</w:t>
      </w:r>
      <w:r>
        <w:rPr>
          <w:color w:val="231F20"/>
          <w:spacing w:val="-10"/>
          <w:sz w:val="23"/>
        </w:rPr>
        <w:t> </w:t>
      </w:r>
      <w:r>
        <w:rPr>
          <w:color w:val="231F20"/>
          <w:sz w:val="23"/>
        </w:rPr>
        <w:t>world.</w:t>
      </w:r>
      <w:r>
        <w:rPr>
          <w:color w:val="231F20"/>
          <w:spacing w:val="-10"/>
          <w:sz w:val="23"/>
        </w:rPr>
        <w:t> </w:t>
      </w:r>
      <w:r>
        <w:rPr>
          <w:color w:val="231F20"/>
          <w:sz w:val="23"/>
        </w:rPr>
        <w:t>The</w:t>
      </w:r>
      <w:r>
        <w:rPr>
          <w:color w:val="231F20"/>
          <w:spacing w:val="-10"/>
          <w:sz w:val="23"/>
        </w:rPr>
        <w:t> </w:t>
      </w:r>
      <w:r>
        <w:rPr>
          <w:color w:val="231F20"/>
          <w:sz w:val="23"/>
        </w:rPr>
        <w:t>Minister</w:t>
      </w:r>
      <w:r>
        <w:rPr>
          <w:color w:val="231F20"/>
          <w:spacing w:val="-10"/>
          <w:sz w:val="23"/>
        </w:rPr>
        <w:t> </w:t>
      </w:r>
      <w:r>
        <w:rPr>
          <w:color w:val="231F20"/>
          <w:sz w:val="23"/>
        </w:rPr>
        <w:t>of</w:t>
      </w:r>
      <w:r>
        <w:rPr>
          <w:color w:val="231F20"/>
          <w:spacing w:val="-10"/>
          <w:sz w:val="23"/>
        </w:rPr>
        <w:t> </w:t>
      </w:r>
      <w:r>
        <w:rPr>
          <w:color w:val="231F20"/>
          <w:sz w:val="23"/>
        </w:rPr>
        <w:t>Human</w:t>
      </w:r>
      <w:r>
        <w:rPr>
          <w:color w:val="231F20"/>
          <w:spacing w:val="-10"/>
          <w:sz w:val="23"/>
        </w:rPr>
        <w:t> </w:t>
      </w:r>
      <w:r>
        <w:rPr>
          <w:color w:val="231F20"/>
          <w:sz w:val="23"/>
        </w:rPr>
        <w:t>Resource</w:t>
      </w:r>
      <w:r>
        <w:rPr>
          <w:color w:val="231F20"/>
          <w:spacing w:val="-10"/>
          <w:sz w:val="23"/>
        </w:rPr>
        <w:t> </w:t>
      </w:r>
      <w:r>
        <w:rPr>
          <w:color w:val="231F20"/>
          <w:sz w:val="23"/>
        </w:rPr>
        <w:t>Development</w:t>
      </w:r>
      <w:r>
        <w:rPr>
          <w:color w:val="231F20"/>
          <w:spacing w:val="-10"/>
          <w:sz w:val="23"/>
        </w:rPr>
        <w:t> </w:t>
      </w:r>
      <w:r>
        <w:rPr>
          <w:color w:val="231F20"/>
          <w:sz w:val="23"/>
        </w:rPr>
        <w:t>in</w:t>
      </w:r>
      <w:r>
        <w:rPr>
          <w:color w:val="231F20"/>
          <w:spacing w:val="-10"/>
          <w:sz w:val="23"/>
        </w:rPr>
        <w:t> </w:t>
      </w:r>
      <w:r>
        <w:rPr>
          <w:color w:val="231F20"/>
          <w:sz w:val="23"/>
        </w:rPr>
        <w:t>India once said, “The apprenticeship training is one of the sources to develop skilled manpower for industry, by using training facilities available in the establishments without</w:t>
      </w:r>
      <w:r>
        <w:rPr>
          <w:color w:val="231F20"/>
          <w:spacing w:val="-20"/>
          <w:sz w:val="23"/>
        </w:rPr>
        <w:t> </w:t>
      </w:r>
      <w:r>
        <w:rPr>
          <w:color w:val="231F20"/>
          <w:sz w:val="23"/>
        </w:rPr>
        <w:t>putting</w:t>
      </w:r>
      <w:r>
        <w:rPr>
          <w:color w:val="231F20"/>
          <w:spacing w:val="-20"/>
          <w:sz w:val="23"/>
        </w:rPr>
        <w:t> </w:t>
      </w:r>
      <w:r>
        <w:rPr>
          <w:color w:val="231F20"/>
          <w:sz w:val="23"/>
        </w:rPr>
        <w:t>an</w:t>
      </w:r>
      <w:r>
        <w:rPr>
          <w:color w:val="231F20"/>
          <w:spacing w:val="-20"/>
          <w:sz w:val="23"/>
        </w:rPr>
        <w:t> </w:t>
      </w:r>
      <w:r>
        <w:rPr>
          <w:color w:val="231F20"/>
          <w:sz w:val="23"/>
        </w:rPr>
        <w:t>extra</w:t>
      </w:r>
      <w:r>
        <w:rPr>
          <w:color w:val="231F20"/>
          <w:spacing w:val="-20"/>
          <w:sz w:val="23"/>
        </w:rPr>
        <w:t> </w:t>
      </w:r>
      <w:r>
        <w:rPr>
          <w:color w:val="231F20"/>
          <w:sz w:val="23"/>
        </w:rPr>
        <w:t>burden</w:t>
      </w:r>
      <w:r>
        <w:rPr>
          <w:color w:val="231F20"/>
          <w:spacing w:val="-20"/>
          <w:sz w:val="23"/>
        </w:rPr>
        <w:t> </w:t>
      </w:r>
      <w:r>
        <w:rPr>
          <w:color w:val="231F20"/>
          <w:sz w:val="23"/>
        </w:rPr>
        <w:t>on</w:t>
      </w:r>
      <w:r>
        <w:rPr>
          <w:color w:val="231F20"/>
          <w:spacing w:val="-20"/>
          <w:sz w:val="23"/>
        </w:rPr>
        <w:t> </w:t>
      </w:r>
      <w:r>
        <w:rPr>
          <w:color w:val="231F20"/>
          <w:sz w:val="23"/>
        </w:rPr>
        <w:t>the</w:t>
      </w:r>
      <w:r>
        <w:rPr>
          <w:color w:val="231F20"/>
          <w:spacing w:val="-20"/>
          <w:sz w:val="23"/>
        </w:rPr>
        <w:t> </w:t>
      </w:r>
      <w:r>
        <w:rPr>
          <w:color w:val="231F20"/>
          <w:sz w:val="23"/>
        </w:rPr>
        <w:t>Exchequer</w:t>
      </w:r>
      <w:r>
        <w:rPr>
          <w:color w:val="231F20"/>
          <w:spacing w:val="-20"/>
          <w:sz w:val="23"/>
        </w:rPr>
        <w:t> </w:t>
      </w:r>
      <w:r>
        <w:rPr>
          <w:color w:val="231F20"/>
          <w:sz w:val="23"/>
        </w:rPr>
        <w:t>to</w:t>
      </w:r>
      <w:r>
        <w:rPr>
          <w:color w:val="231F20"/>
          <w:spacing w:val="-20"/>
          <w:sz w:val="23"/>
        </w:rPr>
        <w:t> </w:t>
      </w:r>
      <w:r>
        <w:rPr>
          <w:color w:val="231F20"/>
          <w:sz w:val="23"/>
        </w:rPr>
        <w:t>setup</w:t>
      </w:r>
      <w:r>
        <w:rPr>
          <w:color w:val="231F20"/>
          <w:spacing w:val="-20"/>
          <w:sz w:val="23"/>
        </w:rPr>
        <w:t> </w:t>
      </w:r>
      <w:r>
        <w:rPr>
          <w:color w:val="231F20"/>
          <w:sz w:val="23"/>
        </w:rPr>
        <w:t>training</w:t>
      </w:r>
      <w:r>
        <w:rPr>
          <w:color w:val="231F20"/>
          <w:spacing w:val="-20"/>
          <w:sz w:val="23"/>
        </w:rPr>
        <w:t> </w:t>
      </w:r>
      <w:r>
        <w:rPr>
          <w:color w:val="231F20"/>
          <w:sz w:val="23"/>
        </w:rPr>
        <w:t>infrastructure”. I implore Private Sector Partners, Non Governmental Organisations and</w:t>
      </w:r>
      <w:r>
        <w:rPr>
          <w:color w:val="231F20"/>
          <w:spacing w:val="-36"/>
          <w:sz w:val="23"/>
        </w:rPr>
        <w:t> </w:t>
      </w:r>
      <w:r>
        <w:rPr>
          <w:color w:val="231F20"/>
          <w:sz w:val="23"/>
        </w:rPr>
        <w:t>Development Partners, to support us in this</w:t>
      </w:r>
      <w:r>
        <w:rPr>
          <w:color w:val="231F20"/>
          <w:spacing w:val="-18"/>
          <w:sz w:val="23"/>
        </w:rPr>
        <w:t> </w:t>
      </w:r>
      <w:r>
        <w:rPr>
          <w:color w:val="231F20"/>
          <w:sz w:val="23"/>
        </w:rPr>
        <w:t>venture.</w:t>
      </w:r>
    </w:p>
    <w:p>
      <w:pPr>
        <w:pStyle w:val="BodyText"/>
        <w:spacing w:before="6"/>
        <w:rPr>
          <w:sz w:val="26"/>
        </w:rPr>
      </w:pPr>
    </w:p>
    <w:p>
      <w:pPr>
        <w:pStyle w:val="Heading2"/>
        <w:ind w:left="953"/>
      </w:pPr>
      <w:r>
        <w:rPr>
          <w:color w:val="231F20"/>
        </w:rPr>
        <w:t>Empowering Persons Living with Disability</w:t>
      </w:r>
    </w:p>
    <w:p>
      <w:pPr>
        <w:pStyle w:val="ListParagraph"/>
        <w:numPr>
          <w:ilvl w:val="0"/>
          <w:numId w:val="2"/>
        </w:numPr>
        <w:tabs>
          <w:tab w:pos="954" w:val="left" w:leader="none"/>
        </w:tabs>
        <w:spacing w:line="285" w:lineRule="auto" w:before="50" w:after="0"/>
        <w:ind w:left="103" w:right="119" w:firstLine="87"/>
        <w:jc w:val="both"/>
        <w:rPr>
          <w:sz w:val="23"/>
        </w:rPr>
      </w:pPr>
      <w:r>
        <w:rPr>
          <w:color w:val="231F20"/>
          <w:spacing w:val="-3"/>
          <w:sz w:val="23"/>
        </w:rPr>
        <w:t>Mr.</w:t>
      </w:r>
      <w:r>
        <w:rPr>
          <w:color w:val="231F20"/>
          <w:spacing w:val="-44"/>
          <w:sz w:val="23"/>
        </w:rPr>
        <w:t> </w:t>
      </w:r>
      <w:r>
        <w:rPr>
          <w:color w:val="231F20"/>
          <w:spacing w:val="-4"/>
          <w:sz w:val="23"/>
        </w:rPr>
        <w:t>Speaker,</w:t>
      </w:r>
      <w:r>
        <w:rPr>
          <w:color w:val="231F20"/>
          <w:spacing w:val="-44"/>
          <w:sz w:val="23"/>
        </w:rPr>
        <w:t> </w:t>
      </w:r>
      <w:r>
        <w:rPr>
          <w:color w:val="231F20"/>
          <w:spacing w:val="-4"/>
          <w:sz w:val="23"/>
        </w:rPr>
        <w:t>Honourable</w:t>
      </w:r>
      <w:r>
        <w:rPr>
          <w:color w:val="231F20"/>
          <w:spacing w:val="-44"/>
          <w:sz w:val="23"/>
        </w:rPr>
        <w:t> </w:t>
      </w:r>
      <w:r>
        <w:rPr>
          <w:color w:val="231F20"/>
          <w:spacing w:val="-4"/>
          <w:sz w:val="23"/>
        </w:rPr>
        <w:t>Members,</w:t>
      </w:r>
      <w:r>
        <w:rPr>
          <w:color w:val="231F20"/>
          <w:spacing w:val="-43"/>
          <w:sz w:val="23"/>
        </w:rPr>
        <w:t> </w:t>
      </w:r>
      <w:r>
        <w:rPr>
          <w:color w:val="231F20"/>
          <w:spacing w:val="-3"/>
          <w:sz w:val="23"/>
        </w:rPr>
        <w:t>this</w:t>
      </w:r>
      <w:r>
        <w:rPr>
          <w:color w:val="231F20"/>
          <w:spacing w:val="-44"/>
          <w:sz w:val="23"/>
        </w:rPr>
        <w:t> </w:t>
      </w:r>
      <w:r>
        <w:rPr>
          <w:color w:val="231F20"/>
          <w:spacing w:val="-4"/>
          <w:sz w:val="23"/>
        </w:rPr>
        <w:t>Government</w:t>
      </w:r>
      <w:r>
        <w:rPr>
          <w:color w:val="231F20"/>
          <w:spacing w:val="-44"/>
          <w:sz w:val="23"/>
        </w:rPr>
        <w:t> </w:t>
      </w:r>
      <w:r>
        <w:rPr>
          <w:color w:val="231F20"/>
          <w:sz w:val="23"/>
        </w:rPr>
        <w:t>is</w:t>
      </w:r>
      <w:r>
        <w:rPr>
          <w:color w:val="231F20"/>
          <w:spacing w:val="-43"/>
          <w:sz w:val="23"/>
        </w:rPr>
        <w:t> </w:t>
      </w:r>
      <w:r>
        <w:rPr>
          <w:color w:val="231F20"/>
          <w:sz w:val="23"/>
        </w:rPr>
        <w:t>an</w:t>
      </w:r>
      <w:r>
        <w:rPr>
          <w:color w:val="231F20"/>
          <w:spacing w:val="-44"/>
          <w:sz w:val="23"/>
        </w:rPr>
        <w:t> </w:t>
      </w:r>
      <w:r>
        <w:rPr>
          <w:color w:val="231F20"/>
          <w:spacing w:val="-4"/>
          <w:sz w:val="23"/>
        </w:rPr>
        <w:t>inclusive</w:t>
      </w:r>
      <w:r>
        <w:rPr>
          <w:color w:val="231F20"/>
          <w:spacing w:val="-44"/>
          <w:sz w:val="23"/>
        </w:rPr>
        <w:t> </w:t>
      </w:r>
      <w:r>
        <w:rPr>
          <w:color w:val="231F20"/>
          <w:spacing w:val="-4"/>
          <w:sz w:val="23"/>
        </w:rPr>
        <w:t>Government. </w:t>
      </w:r>
      <w:r>
        <w:rPr>
          <w:color w:val="231F20"/>
          <w:sz w:val="23"/>
        </w:rPr>
        <w:t>We will leave no one behind. Our brothers and sisters who live with disabilities rely on handouts for their livelihood. It is embarrassing to see them chasing vehicles for handouts</w:t>
      </w:r>
      <w:r>
        <w:rPr>
          <w:color w:val="231F20"/>
          <w:spacing w:val="-8"/>
          <w:sz w:val="23"/>
        </w:rPr>
        <w:t> </w:t>
      </w:r>
      <w:r>
        <w:rPr>
          <w:color w:val="231F20"/>
          <w:sz w:val="23"/>
        </w:rPr>
        <w:t>and</w:t>
      </w:r>
      <w:r>
        <w:rPr>
          <w:color w:val="231F20"/>
          <w:spacing w:val="-8"/>
          <w:sz w:val="23"/>
        </w:rPr>
        <w:t> </w:t>
      </w:r>
      <w:r>
        <w:rPr>
          <w:color w:val="231F20"/>
          <w:sz w:val="23"/>
        </w:rPr>
        <w:t>sleeping</w:t>
      </w:r>
      <w:r>
        <w:rPr>
          <w:color w:val="231F20"/>
          <w:spacing w:val="-8"/>
          <w:sz w:val="23"/>
        </w:rPr>
        <w:t> </w:t>
      </w:r>
      <w:r>
        <w:rPr>
          <w:color w:val="231F20"/>
          <w:sz w:val="23"/>
        </w:rPr>
        <w:t>in</w:t>
      </w:r>
      <w:r>
        <w:rPr>
          <w:color w:val="231F20"/>
          <w:spacing w:val="-8"/>
          <w:sz w:val="23"/>
        </w:rPr>
        <w:t> </w:t>
      </w:r>
      <w:r>
        <w:rPr>
          <w:color w:val="231F20"/>
          <w:sz w:val="23"/>
        </w:rPr>
        <w:t>shanty</w:t>
      </w:r>
      <w:r>
        <w:rPr>
          <w:color w:val="231F20"/>
          <w:spacing w:val="-8"/>
          <w:sz w:val="23"/>
        </w:rPr>
        <w:t> </w:t>
      </w:r>
      <w:r>
        <w:rPr>
          <w:color w:val="231F20"/>
          <w:sz w:val="23"/>
        </w:rPr>
        <w:t>homes</w:t>
      </w:r>
      <w:r>
        <w:rPr>
          <w:color w:val="231F20"/>
          <w:spacing w:val="-8"/>
          <w:sz w:val="23"/>
        </w:rPr>
        <w:t> </w:t>
      </w:r>
      <w:r>
        <w:rPr>
          <w:color w:val="231F20"/>
          <w:sz w:val="23"/>
        </w:rPr>
        <w:t>and</w:t>
      </w:r>
      <w:r>
        <w:rPr>
          <w:color w:val="231F20"/>
          <w:spacing w:val="-8"/>
          <w:sz w:val="23"/>
        </w:rPr>
        <w:t> </w:t>
      </w:r>
      <w:r>
        <w:rPr>
          <w:color w:val="231F20"/>
          <w:sz w:val="23"/>
        </w:rPr>
        <w:t>shops.</w:t>
      </w:r>
      <w:r>
        <w:rPr>
          <w:color w:val="231F20"/>
          <w:spacing w:val="-8"/>
          <w:sz w:val="23"/>
        </w:rPr>
        <w:t> </w:t>
      </w:r>
      <w:r>
        <w:rPr>
          <w:color w:val="231F20"/>
          <w:sz w:val="23"/>
        </w:rPr>
        <w:t>As</w:t>
      </w:r>
      <w:r>
        <w:rPr>
          <w:color w:val="231F20"/>
          <w:spacing w:val="-8"/>
          <w:sz w:val="23"/>
        </w:rPr>
        <w:t> </w:t>
      </w:r>
      <w:r>
        <w:rPr>
          <w:color w:val="231F20"/>
          <w:sz w:val="23"/>
        </w:rPr>
        <w:t>a</w:t>
      </w:r>
      <w:r>
        <w:rPr>
          <w:color w:val="231F20"/>
          <w:spacing w:val="-8"/>
          <w:sz w:val="23"/>
        </w:rPr>
        <w:t> </w:t>
      </w:r>
      <w:r>
        <w:rPr>
          <w:color w:val="231F20"/>
          <w:sz w:val="23"/>
        </w:rPr>
        <w:t>caring</w:t>
      </w:r>
      <w:r>
        <w:rPr>
          <w:color w:val="231F20"/>
          <w:spacing w:val="-8"/>
          <w:sz w:val="23"/>
        </w:rPr>
        <w:t> </w:t>
      </w:r>
      <w:r>
        <w:rPr>
          <w:color w:val="231F20"/>
          <w:sz w:val="23"/>
        </w:rPr>
        <w:t>Government,</w:t>
      </w:r>
      <w:r>
        <w:rPr>
          <w:color w:val="231F20"/>
          <w:spacing w:val="-8"/>
          <w:sz w:val="23"/>
        </w:rPr>
        <w:t> </w:t>
      </w:r>
      <w:r>
        <w:rPr>
          <w:color w:val="231F20"/>
          <w:sz w:val="23"/>
        </w:rPr>
        <w:t>we</w:t>
      </w:r>
      <w:r>
        <w:rPr>
          <w:color w:val="231F20"/>
          <w:spacing w:val="-8"/>
          <w:sz w:val="23"/>
        </w:rPr>
        <w:t> </w:t>
      </w:r>
      <w:r>
        <w:rPr>
          <w:color w:val="231F20"/>
          <w:sz w:val="23"/>
        </w:rPr>
        <w:t>will</w:t>
      </w:r>
    </w:p>
    <w:p>
      <w:pPr>
        <w:pStyle w:val="BodyText"/>
        <w:spacing w:before="10"/>
        <w:rPr>
          <w:sz w:val="29"/>
        </w:rPr>
      </w:pPr>
    </w:p>
    <w:p>
      <w:pPr>
        <w:pStyle w:val="Heading1"/>
      </w:pPr>
      <w:r>
        <w:rPr>
          <w:color w:val="231F20"/>
        </w:rPr>
        <w:t>31</w:t>
      </w:r>
    </w:p>
    <w:p>
      <w:pPr>
        <w:spacing w:after="0"/>
        <w:sectPr>
          <w:pgSz w:w="11900" w:h="16840"/>
          <w:pgMar w:top="1180" w:bottom="280" w:left="1140" w:right="1120"/>
        </w:sectPr>
      </w:pPr>
    </w:p>
    <w:p>
      <w:pPr>
        <w:pStyle w:val="BodyText"/>
        <w:spacing w:line="285" w:lineRule="auto" w:before="83"/>
        <w:ind w:left="103" w:right="119"/>
        <w:jc w:val="both"/>
      </w:pPr>
      <w:r>
        <w:rPr>
          <w:color w:val="231F20"/>
        </w:rPr>
        <w:t>commence</w:t>
      </w:r>
      <w:r>
        <w:rPr>
          <w:color w:val="231F20"/>
          <w:spacing w:val="-26"/>
        </w:rPr>
        <w:t> </w:t>
      </w:r>
      <w:r>
        <w:rPr>
          <w:color w:val="231F20"/>
        </w:rPr>
        <w:t>a</w:t>
      </w:r>
      <w:r>
        <w:rPr>
          <w:color w:val="231F20"/>
          <w:spacing w:val="-26"/>
        </w:rPr>
        <w:t> </w:t>
      </w:r>
      <w:r>
        <w:rPr>
          <w:color w:val="231F20"/>
        </w:rPr>
        <w:t>project</w:t>
      </w:r>
      <w:r>
        <w:rPr>
          <w:color w:val="231F20"/>
          <w:spacing w:val="-26"/>
        </w:rPr>
        <w:t> </w:t>
      </w:r>
      <w:r>
        <w:rPr>
          <w:color w:val="231F20"/>
        </w:rPr>
        <w:t>that</w:t>
      </w:r>
      <w:r>
        <w:rPr>
          <w:color w:val="231F20"/>
          <w:spacing w:val="-26"/>
        </w:rPr>
        <w:t> </w:t>
      </w:r>
      <w:r>
        <w:rPr>
          <w:color w:val="231F20"/>
        </w:rPr>
        <w:t>will</w:t>
      </w:r>
      <w:r>
        <w:rPr>
          <w:color w:val="231F20"/>
          <w:spacing w:val="-26"/>
        </w:rPr>
        <w:t> </w:t>
      </w:r>
      <w:r>
        <w:rPr>
          <w:color w:val="231F20"/>
        </w:rPr>
        <w:t>provide</w:t>
      </w:r>
      <w:r>
        <w:rPr>
          <w:color w:val="231F20"/>
          <w:spacing w:val="-26"/>
        </w:rPr>
        <w:t> </w:t>
      </w:r>
      <w:r>
        <w:rPr>
          <w:color w:val="231F20"/>
        </w:rPr>
        <w:t>skills</w:t>
      </w:r>
      <w:r>
        <w:rPr>
          <w:color w:val="231F20"/>
          <w:spacing w:val="-26"/>
        </w:rPr>
        <w:t> </w:t>
      </w:r>
      <w:r>
        <w:rPr>
          <w:color w:val="231F20"/>
        </w:rPr>
        <w:t>training</w:t>
      </w:r>
      <w:r>
        <w:rPr>
          <w:color w:val="231F20"/>
          <w:spacing w:val="-26"/>
        </w:rPr>
        <w:t> </w:t>
      </w:r>
      <w:r>
        <w:rPr>
          <w:color w:val="231F20"/>
        </w:rPr>
        <w:t>and</w:t>
      </w:r>
      <w:r>
        <w:rPr>
          <w:color w:val="231F20"/>
          <w:spacing w:val="22"/>
        </w:rPr>
        <w:t> </w:t>
      </w:r>
      <w:r>
        <w:rPr>
          <w:color w:val="231F20"/>
        </w:rPr>
        <w:t>micro</w:t>
      </w:r>
      <w:r>
        <w:rPr>
          <w:color w:val="231F20"/>
          <w:spacing w:val="-26"/>
        </w:rPr>
        <w:t> </w:t>
      </w:r>
      <w:r>
        <w:rPr>
          <w:color w:val="231F20"/>
        </w:rPr>
        <w:t>credit</w:t>
      </w:r>
      <w:r>
        <w:rPr>
          <w:color w:val="231F20"/>
          <w:spacing w:val="-26"/>
        </w:rPr>
        <w:t> </w:t>
      </w:r>
      <w:r>
        <w:rPr>
          <w:color w:val="231F20"/>
        </w:rPr>
        <w:t>for</w:t>
      </w:r>
      <w:r>
        <w:rPr>
          <w:color w:val="231F20"/>
          <w:spacing w:val="-26"/>
        </w:rPr>
        <w:t> </w:t>
      </w:r>
      <w:r>
        <w:rPr>
          <w:color w:val="231F20"/>
        </w:rPr>
        <w:t>persons</w:t>
      </w:r>
      <w:r>
        <w:rPr>
          <w:color w:val="231F20"/>
          <w:spacing w:val="-26"/>
        </w:rPr>
        <w:t> </w:t>
      </w:r>
      <w:r>
        <w:rPr>
          <w:color w:val="231F20"/>
        </w:rPr>
        <w:t>living with</w:t>
      </w:r>
      <w:r>
        <w:rPr>
          <w:color w:val="231F20"/>
          <w:spacing w:val="-32"/>
        </w:rPr>
        <w:t> </w:t>
      </w:r>
      <w:r>
        <w:rPr>
          <w:color w:val="231F20"/>
        </w:rPr>
        <w:t>disabilties.</w:t>
      </w:r>
      <w:r>
        <w:rPr>
          <w:color w:val="231F20"/>
          <w:spacing w:val="10"/>
        </w:rPr>
        <w:t> </w:t>
      </w:r>
      <w:r>
        <w:rPr>
          <w:color w:val="231F20"/>
        </w:rPr>
        <w:t>It</w:t>
      </w:r>
      <w:r>
        <w:rPr>
          <w:color w:val="231F20"/>
          <w:spacing w:val="-32"/>
        </w:rPr>
        <w:t> </w:t>
      </w:r>
      <w:r>
        <w:rPr>
          <w:color w:val="231F20"/>
        </w:rPr>
        <w:t>is</w:t>
      </w:r>
      <w:r>
        <w:rPr>
          <w:color w:val="231F20"/>
          <w:spacing w:val="-32"/>
        </w:rPr>
        <w:t> </w:t>
      </w:r>
      <w:r>
        <w:rPr>
          <w:color w:val="231F20"/>
        </w:rPr>
        <w:t>estimated</w:t>
      </w:r>
      <w:r>
        <w:rPr>
          <w:color w:val="231F20"/>
          <w:spacing w:val="-32"/>
        </w:rPr>
        <w:t> </w:t>
      </w:r>
      <w:r>
        <w:rPr>
          <w:color w:val="231F20"/>
        </w:rPr>
        <w:t>that</w:t>
      </w:r>
      <w:r>
        <w:rPr>
          <w:color w:val="231F20"/>
          <w:spacing w:val="-32"/>
        </w:rPr>
        <w:t> </w:t>
      </w:r>
      <w:r>
        <w:rPr>
          <w:color w:val="231F20"/>
        </w:rPr>
        <w:t>2,000</w:t>
      </w:r>
      <w:r>
        <w:rPr>
          <w:color w:val="231F20"/>
          <w:spacing w:val="-32"/>
        </w:rPr>
        <w:t> </w:t>
      </w:r>
      <w:r>
        <w:rPr>
          <w:color w:val="231F20"/>
        </w:rPr>
        <w:t>persons</w:t>
      </w:r>
      <w:r>
        <w:rPr>
          <w:color w:val="231F20"/>
          <w:spacing w:val="-32"/>
        </w:rPr>
        <w:t> </w:t>
      </w:r>
      <w:r>
        <w:rPr>
          <w:color w:val="231F20"/>
        </w:rPr>
        <w:t>living</w:t>
      </w:r>
      <w:r>
        <w:rPr>
          <w:color w:val="231F20"/>
          <w:spacing w:val="-32"/>
        </w:rPr>
        <w:t> </w:t>
      </w:r>
      <w:r>
        <w:rPr>
          <w:color w:val="231F20"/>
        </w:rPr>
        <w:t>with</w:t>
      </w:r>
      <w:r>
        <w:rPr>
          <w:color w:val="231F20"/>
          <w:spacing w:val="-32"/>
        </w:rPr>
        <w:t> </w:t>
      </w:r>
      <w:r>
        <w:rPr>
          <w:color w:val="231F20"/>
        </w:rPr>
        <w:t>disability</w:t>
      </w:r>
      <w:r>
        <w:rPr>
          <w:color w:val="231F20"/>
          <w:spacing w:val="-32"/>
        </w:rPr>
        <w:t> </w:t>
      </w:r>
      <w:r>
        <w:rPr>
          <w:color w:val="231F20"/>
        </w:rPr>
        <w:t>will</w:t>
      </w:r>
      <w:r>
        <w:rPr>
          <w:color w:val="231F20"/>
          <w:spacing w:val="-32"/>
        </w:rPr>
        <w:t> </w:t>
      </w:r>
      <w:r>
        <w:rPr>
          <w:color w:val="231F20"/>
        </w:rPr>
        <w:t>be</w:t>
      </w:r>
      <w:r>
        <w:rPr>
          <w:color w:val="231F20"/>
          <w:spacing w:val="-32"/>
        </w:rPr>
        <w:t> </w:t>
      </w:r>
      <w:r>
        <w:rPr>
          <w:color w:val="231F20"/>
        </w:rPr>
        <w:t>targeted in the next three years for economic</w:t>
      </w:r>
      <w:r>
        <w:rPr>
          <w:color w:val="231F20"/>
          <w:spacing w:val="10"/>
        </w:rPr>
        <w:t> </w:t>
      </w:r>
      <w:r>
        <w:rPr>
          <w:color w:val="231F20"/>
        </w:rPr>
        <w:t>empowerment.</w:t>
      </w:r>
    </w:p>
    <w:p>
      <w:pPr>
        <w:pStyle w:val="BodyText"/>
        <w:spacing w:before="1"/>
        <w:rPr>
          <w:sz w:val="27"/>
        </w:rPr>
      </w:pPr>
    </w:p>
    <w:p>
      <w:pPr>
        <w:pStyle w:val="Heading2"/>
        <w:ind w:left="953"/>
      </w:pPr>
      <w:r>
        <w:rPr>
          <w:color w:val="231F20"/>
        </w:rPr>
        <w:t>Beach Sanitation, Security and Safety</w:t>
      </w:r>
    </w:p>
    <w:p>
      <w:pPr>
        <w:pStyle w:val="ListParagraph"/>
        <w:numPr>
          <w:ilvl w:val="0"/>
          <w:numId w:val="2"/>
        </w:numPr>
        <w:tabs>
          <w:tab w:pos="954" w:val="left" w:leader="none"/>
        </w:tabs>
        <w:spacing w:line="285" w:lineRule="auto" w:before="49" w:after="0"/>
        <w:ind w:left="103" w:right="119" w:firstLine="86"/>
        <w:jc w:val="both"/>
        <w:rPr>
          <w:sz w:val="23"/>
        </w:rPr>
      </w:pPr>
      <w:r>
        <w:rPr>
          <w:color w:val="231F20"/>
          <w:sz w:val="23"/>
        </w:rPr>
        <w:t>Mr, Speaker, Honourable Members, Sierra Leone is endowed with</w:t>
      </w:r>
      <w:r>
        <w:rPr>
          <w:color w:val="231F20"/>
          <w:spacing w:val="55"/>
          <w:sz w:val="23"/>
        </w:rPr>
        <w:t> </w:t>
      </w:r>
      <w:r>
        <w:rPr>
          <w:color w:val="231F20"/>
          <w:sz w:val="23"/>
        </w:rPr>
        <w:t>vast stretches of beaches, most of which are pristine. In recent years, seaweed and challenges</w:t>
      </w:r>
      <w:r>
        <w:rPr>
          <w:color w:val="231F20"/>
          <w:spacing w:val="-26"/>
          <w:sz w:val="23"/>
        </w:rPr>
        <w:t> </w:t>
      </w:r>
      <w:r>
        <w:rPr>
          <w:color w:val="231F20"/>
          <w:sz w:val="23"/>
        </w:rPr>
        <w:t>with</w:t>
      </w:r>
      <w:r>
        <w:rPr>
          <w:color w:val="231F20"/>
          <w:spacing w:val="-26"/>
          <w:sz w:val="23"/>
        </w:rPr>
        <w:t> </w:t>
      </w:r>
      <w:r>
        <w:rPr>
          <w:color w:val="231F20"/>
          <w:sz w:val="23"/>
        </w:rPr>
        <w:t>proper</w:t>
      </w:r>
      <w:r>
        <w:rPr>
          <w:color w:val="231F20"/>
          <w:spacing w:val="-26"/>
          <w:sz w:val="23"/>
        </w:rPr>
        <w:t> </w:t>
      </w:r>
      <w:r>
        <w:rPr>
          <w:color w:val="231F20"/>
          <w:sz w:val="23"/>
        </w:rPr>
        <w:t>solid</w:t>
      </w:r>
      <w:r>
        <w:rPr>
          <w:color w:val="231F20"/>
          <w:spacing w:val="-26"/>
          <w:sz w:val="23"/>
        </w:rPr>
        <w:t> </w:t>
      </w:r>
      <w:r>
        <w:rPr>
          <w:color w:val="231F20"/>
          <w:sz w:val="23"/>
        </w:rPr>
        <w:t>waste</w:t>
      </w:r>
      <w:r>
        <w:rPr>
          <w:color w:val="231F20"/>
          <w:spacing w:val="-26"/>
          <w:sz w:val="23"/>
        </w:rPr>
        <w:t> </w:t>
      </w:r>
      <w:r>
        <w:rPr>
          <w:color w:val="231F20"/>
          <w:sz w:val="23"/>
        </w:rPr>
        <w:t>disposal</w:t>
      </w:r>
      <w:r>
        <w:rPr>
          <w:color w:val="231F20"/>
          <w:spacing w:val="-26"/>
          <w:sz w:val="23"/>
        </w:rPr>
        <w:t> </w:t>
      </w:r>
      <w:r>
        <w:rPr>
          <w:color w:val="231F20"/>
          <w:sz w:val="23"/>
        </w:rPr>
        <w:t>during</w:t>
      </w:r>
      <w:r>
        <w:rPr>
          <w:color w:val="231F20"/>
          <w:spacing w:val="-26"/>
          <w:sz w:val="23"/>
        </w:rPr>
        <w:t> </w:t>
      </w:r>
      <w:r>
        <w:rPr>
          <w:color w:val="231F20"/>
          <w:sz w:val="23"/>
        </w:rPr>
        <w:t>the</w:t>
      </w:r>
      <w:r>
        <w:rPr>
          <w:color w:val="231F20"/>
          <w:spacing w:val="-26"/>
          <w:sz w:val="23"/>
        </w:rPr>
        <w:t> </w:t>
      </w:r>
      <w:r>
        <w:rPr>
          <w:color w:val="231F20"/>
          <w:sz w:val="23"/>
        </w:rPr>
        <w:t>rainy</w:t>
      </w:r>
      <w:r>
        <w:rPr>
          <w:color w:val="231F20"/>
          <w:spacing w:val="-26"/>
          <w:sz w:val="23"/>
        </w:rPr>
        <w:t> </w:t>
      </w:r>
      <w:r>
        <w:rPr>
          <w:color w:val="231F20"/>
          <w:sz w:val="23"/>
        </w:rPr>
        <w:t>season</w:t>
      </w:r>
      <w:r>
        <w:rPr>
          <w:color w:val="231F20"/>
          <w:spacing w:val="-26"/>
          <w:sz w:val="23"/>
        </w:rPr>
        <w:t> </w:t>
      </w:r>
      <w:r>
        <w:rPr>
          <w:color w:val="231F20"/>
          <w:sz w:val="23"/>
        </w:rPr>
        <w:t>make</w:t>
      </w:r>
      <w:r>
        <w:rPr>
          <w:color w:val="231F20"/>
          <w:spacing w:val="-26"/>
          <w:sz w:val="23"/>
        </w:rPr>
        <w:t> </w:t>
      </w:r>
      <w:r>
        <w:rPr>
          <w:color w:val="231F20"/>
          <w:sz w:val="23"/>
        </w:rPr>
        <w:t>the</w:t>
      </w:r>
      <w:r>
        <w:rPr>
          <w:color w:val="231F20"/>
          <w:spacing w:val="-26"/>
          <w:sz w:val="23"/>
        </w:rPr>
        <w:t> </w:t>
      </w:r>
      <w:r>
        <w:rPr>
          <w:color w:val="231F20"/>
          <w:sz w:val="23"/>
        </w:rPr>
        <w:t>beaches filthy and unfit for use. While we are electrifying the beaches and providing water facilities,</w:t>
      </w:r>
      <w:r>
        <w:rPr>
          <w:color w:val="231F20"/>
          <w:spacing w:val="-27"/>
          <w:sz w:val="23"/>
        </w:rPr>
        <w:t> </w:t>
      </w:r>
      <w:r>
        <w:rPr>
          <w:color w:val="231F20"/>
          <w:sz w:val="23"/>
        </w:rPr>
        <w:t>we</w:t>
      </w:r>
      <w:r>
        <w:rPr>
          <w:color w:val="231F20"/>
          <w:spacing w:val="-27"/>
          <w:sz w:val="23"/>
        </w:rPr>
        <w:t> </w:t>
      </w:r>
      <w:r>
        <w:rPr>
          <w:color w:val="231F20"/>
          <w:sz w:val="23"/>
        </w:rPr>
        <w:t>must</w:t>
      </w:r>
      <w:r>
        <w:rPr>
          <w:color w:val="231F20"/>
          <w:spacing w:val="-27"/>
          <w:sz w:val="23"/>
        </w:rPr>
        <w:t> </w:t>
      </w:r>
      <w:r>
        <w:rPr>
          <w:color w:val="231F20"/>
          <w:sz w:val="23"/>
        </w:rPr>
        <w:t>also</w:t>
      </w:r>
      <w:r>
        <w:rPr>
          <w:color w:val="231F20"/>
          <w:spacing w:val="-27"/>
          <w:sz w:val="23"/>
        </w:rPr>
        <w:t> </w:t>
      </w:r>
      <w:r>
        <w:rPr>
          <w:color w:val="231F20"/>
          <w:sz w:val="23"/>
        </w:rPr>
        <w:t>improve</w:t>
      </w:r>
      <w:r>
        <w:rPr>
          <w:color w:val="231F20"/>
          <w:spacing w:val="-27"/>
          <w:sz w:val="23"/>
        </w:rPr>
        <w:t> </w:t>
      </w:r>
      <w:r>
        <w:rPr>
          <w:color w:val="231F20"/>
          <w:sz w:val="23"/>
        </w:rPr>
        <w:t>sanitation,</w:t>
      </w:r>
      <w:r>
        <w:rPr>
          <w:color w:val="231F20"/>
          <w:spacing w:val="-27"/>
          <w:sz w:val="23"/>
        </w:rPr>
        <w:t> </w:t>
      </w:r>
      <w:r>
        <w:rPr>
          <w:color w:val="231F20"/>
          <w:sz w:val="23"/>
        </w:rPr>
        <w:t>security</w:t>
      </w:r>
      <w:r>
        <w:rPr>
          <w:color w:val="231F20"/>
          <w:spacing w:val="-27"/>
          <w:sz w:val="23"/>
        </w:rPr>
        <w:t> </w:t>
      </w:r>
      <w:r>
        <w:rPr>
          <w:color w:val="231F20"/>
          <w:sz w:val="23"/>
        </w:rPr>
        <w:t>and</w:t>
      </w:r>
      <w:r>
        <w:rPr>
          <w:color w:val="231F20"/>
          <w:spacing w:val="-27"/>
          <w:sz w:val="23"/>
        </w:rPr>
        <w:t> </w:t>
      </w:r>
      <w:r>
        <w:rPr>
          <w:color w:val="231F20"/>
          <w:sz w:val="23"/>
        </w:rPr>
        <w:t>safety</w:t>
      </w:r>
      <w:r>
        <w:rPr>
          <w:color w:val="231F20"/>
          <w:spacing w:val="-27"/>
          <w:sz w:val="23"/>
        </w:rPr>
        <w:t> </w:t>
      </w:r>
      <w:r>
        <w:rPr>
          <w:color w:val="231F20"/>
          <w:sz w:val="23"/>
        </w:rPr>
        <w:t>along</w:t>
      </w:r>
      <w:r>
        <w:rPr>
          <w:color w:val="231F20"/>
          <w:spacing w:val="-27"/>
          <w:sz w:val="23"/>
        </w:rPr>
        <w:t> </w:t>
      </w:r>
      <w:r>
        <w:rPr>
          <w:color w:val="231F20"/>
          <w:sz w:val="23"/>
        </w:rPr>
        <w:t>the</w:t>
      </w:r>
      <w:r>
        <w:rPr>
          <w:color w:val="231F20"/>
          <w:spacing w:val="-27"/>
          <w:sz w:val="23"/>
        </w:rPr>
        <w:t> </w:t>
      </w:r>
      <w:r>
        <w:rPr>
          <w:color w:val="231F20"/>
          <w:sz w:val="23"/>
        </w:rPr>
        <w:t>beaches.</w:t>
      </w:r>
      <w:r>
        <w:rPr>
          <w:color w:val="231F20"/>
          <w:spacing w:val="-27"/>
          <w:sz w:val="23"/>
        </w:rPr>
        <w:t> </w:t>
      </w:r>
      <w:r>
        <w:rPr>
          <w:color w:val="231F20"/>
          <w:sz w:val="23"/>
        </w:rPr>
        <w:t>This will promote both international and domestic</w:t>
      </w:r>
      <w:r>
        <w:rPr>
          <w:color w:val="231F20"/>
          <w:spacing w:val="-16"/>
          <w:sz w:val="23"/>
        </w:rPr>
        <w:t> </w:t>
      </w:r>
      <w:r>
        <w:rPr>
          <w:color w:val="231F20"/>
          <w:sz w:val="23"/>
        </w:rPr>
        <w:t>tourism.</w:t>
      </w:r>
    </w:p>
    <w:p>
      <w:pPr>
        <w:pStyle w:val="BodyText"/>
        <w:spacing w:before="6"/>
        <w:rPr>
          <w:sz w:val="26"/>
        </w:rPr>
      </w:pPr>
    </w:p>
    <w:p>
      <w:pPr>
        <w:pStyle w:val="ListParagraph"/>
        <w:numPr>
          <w:ilvl w:val="0"/>
          <w:numId w:val="2"/>
        </w:numPr>
        <w:tabs>
          <w:tab w:pos="954" w:val="left" w:leader="none"/>
        </w:tabs>
        <w:spacing w:line="285" w:lineRule="auto" w:before="0" w:after="0"/>
        <w:ind w:left="103" w:right="118" w:firstLine="87"/>
        <w:jc w:val="both"/>
        <w:rPr>
          <w:sz w:val="23"/>
        </w:rPr>
      </w:pPr>
      <w:r>
        <w:rPr>
          <w:color w:val="231F20"/>
          <w:sz w:val="23"/>
        </w:rPr>
        <w:t>Government will hire youth to serve as beachcombers (cleaners), beach marshals (security) and lifeguards throughout the year. In 2020, Government plans to employ at least 3,000 youths for the cleaning, security and safety of our</w:t>
      </w:r>
      <w:r>
        <w:rPr>
          <w:color w:val="231F20"/>
          <w:spacing w:val="-40"/>
          <w:sz w:val="23"/>
        </w:rPr>
        <w:t> </w:t>
      </w:r>
      <w:r>
        <w:rPr>
          <w:color w:val="231F20"/>
          <w:sz w:val="23"/>
        </w:rPr>
        <w:t>beaches, mostly in the Western</w:t>
      </w:r>
      <w:r>
        <w:rPr>
          <w:color w:val="231F20"/>
          <w:spacing w:val="52"/>
          <w:sz w:val="23"/>
        </w:rPr>
        <w:t> </w:t>
      </w:r>
      <w:r>
        <w:rPr>
          <w:color w:val="231F20"/>
          <w:sz w:val="23"/>
        </w:rPr>
        <w:t>Area.</w:t>
      </w:r>
    </w:p>
    <w:p>
      <w:pPr>
        <w:pStyle w:val="BodyText"/>
        <w:spacing w:before="11"/>
        <w:rPr>
          <w:sz w:val="26"/>
        </w:rPr>
      </w:pPr>
    </w:p>
    <w:p>
      <w:pPr>
        <w:pStyle w:val="Heading2"/>
        <w:ind w:left="953"/>
      </w:pPr>
      <w:r>
        <w:rPr>
          <w:color w:val="231F20"/>
        </w:rPr>
        <w:t>Sports</w:t>
      </w:r>
    </w:p>
    <w:p>
      <w:pPr>
        <w:pStyle w:val="ListParagraph"/>
        <w:numPr>
          <w:ilvl w:val="0"/>
          <w:numId w:val="2"/>
        </w:numPr>
        <w:tabs>
          <w:tab w:pos="954" w:val="left" w:leader="none"/>
        </w:tabs>
        <w:spacing w:line="288" w:lineRule="auto" w:before="49" w:after="0"/>
        <w:ind w:left="103" w:right="120" w:firstLine="87"/>
        <w:jc w:val="both"/>
        <w:rPr>
          <w:sz w:val="23"/>
        </w:rPr>
      </w:pPr>
      <w:r>
        <w:rPr>
          <w:color w:val="231F20"/>
          <w:sz w:val="23"/>
        </w:rPr>
        <w:t>Mr.</w:t>
      </w:r>
      <w:r>
        <w:rPr>
          <w:color w:val="231F20"/>
          <w:spacing w:val="-43"/>
          <w:sz w:val="23"/>
        </w:rPr>
        <w:t> </w:t>
      </w:r>
      <w:r>
        <w:rPr>
          <w:color w:val="231F20"/>
          <w:sz w:val="23"/>
        </w:rPr>
        <w:t>Speaker,</w:t>
      </w:r>
      <w:r>
        <w:rPr>
          <w:color w:val="231F20"/>
          <w:spacing w:val="-43"/>
          <w:sz w:val="23"/>
        </w:rPr>
        <w:t> </w:t>
      </w:r>
      <w:r>
        <w:rPr>
          <w:color w:val="231F20"/>
          <w:sz w:val="23"/>
        </w:rPr>
        <w:t>Honourable</w:t>
      </w:r>
      <w:r>
        <w:rPr>
          <w:color w:val="231F20"/>
          <w:spacing w:val="-43"/>
          <w:sz w:val="23"/>
        </w:rPr>
        <w:t> </w:t>
      </w:r>
      <w:r>
        <w:rPr>
          <w:color w:val="231F20"/>
          <w:sz w:val="23"/>
        </w:rPr>
        <w:t>Members,</w:t>
      </w:r>
      <w:r>
        <w:rPr>
          <w:color w:val="231F20"/>
          <w:spacing w:val="-43"/>
          <w:sz w:val="23"/>
        </w:rPr>
        <w:t> </w:t>
      </w:r>
      <w:r>
        <w:rPr>
          <w:color w:val="231F20"/>
          <w:sz w:val="23"/>
        </w:rPr>
        <w:t>the</w:t>
      </w:r>
      <w:r>
        <w:rPr>
          <w:color w:val="231F20"/>
          <w:spacing w:val="-43"/>
          <w:sz w:val="23"/>
        </w:rPr>
        <w:t> </w:t>
      </w:r>
      <w:r>
        <w:rPr>
          <w:color w:val="231F20"/>
          <w:sz w:val="23"/>
        </w:rPr>
        <w:t>conduct</w:t>
      </w:r>
      <w:r>
        <w:rPr>
          <w:color w:val="231F20"/>
          <w:spacing w:val="-43"/>
          <w:sz w:val="23"/>
        </w:rPr>
        <w:t> </w:t>
      </w:r>
      <w:r>
        <w:rPr>
          <w:color w:val="231F20"/>
          <w:sz w:val="23"/>
        </w:rPr>
        <w:t>of</w:t>
      </w:r>
      <w:r>
        <w:rPr>
          <w:color w:val="231F20"/>
          <w:spacing w:val="-43"/>
          <w:sz w:val="23"/>
        </w:rPr>
        <w:t> </w:t>
      </w:r>
      <w:r>
        <w:rPr>
          <w:color w:val="231F20"/>
          <w:sz w:val="23"/>
        </w:rPr>
        <w:t>a</w:t>
      </w:r>
      <w:r>
        <w:rPr>
          <w:color w:val="231F20"/>
          <w:spacing w:val="-43"/>
          <w:sz w:val="23"/>
        </w:rPr>
        <w:t> </w:t>
      </w:r>
      <w:r>
        <w:rPr>
          <w:color w:val="231F20"/>
          <w:sz w:val="23"/>
        </w:rPr>
        <w:t>successful</w:t>
      </w:r>
      <w:r>
        <w:rPr>
          <w:color w:val="231F20"/>
          <w:spacing w:val="-43"/>
          <w:sz w:val="23"/>
        </w:rPr>
        <w:t> </w:t>
      </w:r>
      <w:r>
        <w:rPr>
          <w:color w:val="231F20"/>
          <w:sz w:val="23"/>
        </w:rPr>
        <w:t>Premier</w:t>
      </w:r>
      <w:r>
        <w:rPr>
          <w:color w:val="231F20"/>
          <w:spacing w:val="-43"/>
          <w:sz w:val="23"/>
        </w:rPr>
        <w:t> </w:t>
      </w:r>
      <w:r>
        <w:rPr>
          <w:color w:val="231F20"/>
          <w:sz w:val="23"/>
        </w:rPr>
        <w:t>League in the 2018 to 2019 football calendar provides abundant evidence that sports, is a significant source of direct and indirect jobs for our youths. Additionally, football stimulates</w:t>
      </w:r>
      <w:r>
        <w:rPr>
          <w:color w:val="231F20"/>
          <w:spacing w:val="-19"/>
          <w:sz w:val="23"/>
        </w:rPr>
        <w:t> </w:t>
      </w:r>
      <w:r>
        <w:rPr>
          <w:color w:val="231F20"/>
          <w:sz w:val="23"/>
        </w:rPr>
        <w:t>economic</w:t>
      </w:r>
      <w:r>
        <w:rPr>
          <w:color w:val="231F20"/>
          <w:spacing w:val="-19"/>
          <w:sz w:val="23"/>
        </w:rPr>
        <w:t> </w:t>
      </w:r>
      <w:r>
        <w:rPr>
          <w:color w:val="231F20"/>
          <w:sz w:val="23"/>
        </w:rPr>
        <w:t>activities.</w:t>
      </w:r>
      <w:r>
        <w:rPr>
          <w:color w:val="231F20"/>
          <w:spacing w:val="-19"/>
          <w:sz w:val="23"/>
        </w:rPr>
        <w:t> </w:t>
      </w:r>
      <w:r>
        <w:rPr>
          <w:color w:val="231F20"/>
          <w:sz w:val="23"/>
        </w:rPr>
        <w:t>Therefore,</w:t>
      </w:r>
      <w:r>
        <w:rPr>
          <w:color w:val="231F20"/>
          <w:spacing w:val="-19"/>
          <w:sz w:val="23"/>
        </w:rPr>
        <w:t> </w:t>
      </w:r>
      <w:r>
        <w:rPr>
          <w:color w:val="231F20"/>
          <w:sz w:val="23"/>
        </w:rPr>
        <w:t>Government</w:t>
      </w:r>
      <w:r>
        <w:rPr>
          <w:color w:val="231F20"/>
          <w:spacing w:val="-19"/>
          <w:sz w:val="23"/>
        </w:rPr>
        <w:t> </w:t>
      </w:r>
      <w:r>
        <w:rPr>
          <w:color w:val="231F20"/>
          <w:sz w:val="23"/>
        </w:rPr>
        <w:t>will</w:t>
      </w:r>
      <w:r>
        <w:rPr>
          <w:color w:val="231F20"/>
          <w:spacing w:val="-19"/>
          <w:sz w:val="23"/>
        </w:rPr>
        <w:t> </w:t>
      </w:r>
      <w:r>
        <w:rPr>
          <w:color w:val="231F20"/>
          <w:sz w:val="23"/>
        </w:rPr>
        <w:t>increase</w:t>
      </w:r>
      <w:r>
        <w:rPr>
          <w:color w:val="231F20"/>
          <w:spacing w:val="-19"/>
          <w:sz w:val="23"/>
        </w:rPr>
        <w:t> </w:t>
      </w:r>
      <w:r>
        <w:rPr>
          <w:color w:val="231F20"/>
          <w:sz w:val="23"/>
        </w:rPr>
        <w:t>its</w:t>
      </w:r>
      <w:r>
        <w:rPr>
          <w:color w:val="231F20"/>
          <w:spacing w:val="-19"/>
          <w:sz w:val="23"/>
        </w:rPr>
        <w:t> </w:t>
      </w:r>
      <w:r>
        <w:rPr>
          <w:color w:val="231F20"/>
          <w:sz w:val="23"/>
        </w:rPr>
        <w:t>support</w:t>
      </w:r>
      <w:r>
        <w:rPr>
          <w:color w:val="231F20"/>
          <w:spacing w:val="-19"/>
          <w:sz w:val="23"/>
        </w:rPr>
        <w:t> </w:t>
      </w:r>
      <w:r>
        <w:rPr>
          <w:color w:val="231F20"/>
          <w:sz w:val="23"/>
        </w:rPr>
        <w:t>to</w:t>
      </w:r>
      <w:r>
        <w:rPr>
          <w:color w:val="231F20"/>
          <w:spacing w:val="-19"/>
          <w:sz w:val="23"/>
        </w:rPr>
        <w:t> </w:t>
      </w:r>
      <w:r>
        <w:rPr>
          <w:color w:val="231F20"/>
          <w:sz w:val="23"/>
        </w:rPr>
        <w:t>the conduct of the national football league.</w:t>
      </w:r>
    </w:p>
    <w:p>
      <w:pPr>
        <w:pStyle w:val="BodyText"/>
        <w:rPr>
          <w:sz w:val="29"/>
        </w:rPr>
      </w:pPr>
    </w:p>
    <w:p>
      <w:pPr>
        <w:pStyle w:val="Heading2"/>
        <w:spacing w:before="1"/>
        <w:ind w:left="953"/>
      </w:pPr>
      <w:r>
        <w:rPr>
          <w:color w:val="231F20"/>
        </w:rPr>
        <w:t>Entertainment</w:t>
      </w:r>
    </w:p>
    <w:p>
      <w:pPr>
        <w:pStyle w:val="ListParagraph"/>
        <w:numPr>
          <w:ilvl w:val="0"/>
          <w:numId w:val="2"/>
        </w:numPr>
        <w:tabs>
          <w:tab w:pos="954" w:val="left" w:leader="none"/>
        </w:tabs>
        <w:spacing w:line="285" w:lineRule="auto" w:before="49" w:after="0"/>
        <w:ind w:left="103" w:right="117" w:firstLine="87"/>
        <w:jc w:val="both"/>
        <w:rPr>
          <w:sz w:val="23"/>
        </w:rPr>
      </w:pPr>
      <w:r>
        <w:rPr>
          <w:color w:val="231F20"/>
          <w:sz w:val="23"/>
        </w:rPr>
        <w:t>Mr. Speaker, Honourable Members, a unique component of our tourism promotion strategy is the development of our local entertainment industry.</w:t>
      </w:r>
      <w:r>
        <w:rPr>
          <w:color w:val="231F20"/>
          <w:spacing w:val="-36"/>
          <w:sz w:val="23"/>
        </w:rPr>
        <w:t> </w:t>
      </w:r>
      <w:r>
        <w:rPr>
          <w:color w:val="231F20"/>
          <w:sz w:val="23"/>
        </w:rPr>
        <w:t>Through this industry, we can further engage the wider world on our folklore, culture and traditions through music, drama, film and other creative</w:t>
      </w:r>
      <w:r>
        <w:rPr>
          <w:color w:val="231F20"/>
          <w:spacing w:val="32"/>
          <w:sz w:val="23"/>
        </w:rPr>
        <w:t> </w:t>
      </w:r>
      <w:r>
        <w:rPr>
          <w:color w:val="231F20"/>
          <w:sz w:val="23"/>
        </w:rPr>
        <w:t>arts.</w:t>
      </w:r>
    </w:p>
    <w:p>
      <w:pPr>
        <w:pStyle w:val="BodyText"/>
        <w:spacing w:before="10"/>
        <w:rPr>
          <w:sz w:val="26"/>
        </w:rPr>
      </w:pPr>
    </w:p>
    <w:p>
      <w:pPr>
        <w:pStyle w:val="ListParagraph"/>
        <w:numPr>
          <w:ilvl w:val="0"/>
          <w:numId w:val="2"/>
        </w:numPr>
        <w:tabs>
          <w:tab w:pos="954" w:val="left" w:leader="none"/>
        </w:tabs>
        <w:spacing w:line="283" w:lineRule="auto" w:before="0" w:after="0"/>
        <w:ind w:left="103" w:right="118" w:firstLine="87"/>
        <w:jc w:val="both"/>
        <w:rPr>
          <w:sz w:val="23"/>
        </w:rPr>
      </w:pPr>
      <w:r>
        <w:rPr>
          <w:color w:val="231F20"/>
          <w:sz w:val="23"/>
        </w:rPr>
        <w:t>Therefore, as the final component of our sectoral strategy for job creation Government</w:t>
      </w:r>
      <w:r>
        <w:rPr>
          <w:color w:val="231F20"/>
          <w:spacing w:val="-29"/>
          <w:sz w:val="23"/>
        </w:rPr>
        <w:t> </w:t>
      </w:r>
      <w:r>
        <w:rPr>
          <w:color w:val="231F20"/>
          <w:sz w:val="23"/>
        </w:rPr>
        <w:t>will,</w:t>
      </w:r>
      <w:r>
        <w:rPr>
          <w:color w:val="231F20"/>
          <w:spacing w:val="-29"/>
          <w:sz w:val="23"/>
        </w:rPr>
        <w:t> </w:t>
      </w:r>
      <w:r>
        <w:rPr>
          <w:color w:val="231F20"/>
          <w:sz w:val="23"/>
        </w:rPr>
        <w:t>therefore,</w:t>
      </w:r>
      <w:r>
        <w:rPr>
          <w:color w:val="231F20"/>
          <w:spacing w:val="-29"/>
          <w:sz w:val="23"/>
        </w:rPr>
        <w:t> </w:t>
      </w:r>
      <w:r>
        <w:rPr>
          <w:color w:val="231F20"/>
          <w:sz w:val="23"/>
        </w:rPr>
        <w:t>provide</w:t>
      </w:r>
      <w:r>
        <w:rPr>
          <w:color w:val="231F20"/>
          <w:spacing w:val="-29"/>
          <w:sz w:val="23"/>
        </w:rPr>
        <w:t> </w:t>
      </w:r>
      <w:r>
        <w:rPr>
          <w:color w:val="231F20"/>
          <w:sz w:val="23"/>
        </w:rPr>
        <w:t>resources</w:t>
      </w:r>
      <w:r>
        <w:rPr>
          <w:color w:val="231F20"/>
          <w:spacing w:val="-29"/>
          <w:sz w:val="23"/>
        </w:rPr>
        <w:t> </w:t>
      </w:r>
      <w:r>
        <w:rPr>
          <w:color w:val="231F20"/>
          <w:sz w:val="23"/>
        </w:rPr>
        <w:t>to</w:t>
      </w:r>
      <w:r>
        <w:rPr>
          <w:color w:val="231F20"/>
          <w:spacing w:val="-29"/>
          <w:sz w:val="23"/>
        </w:rPr>
        <w:t> </w:t>
      </w:r>
      <w:r>
        <w:rPr>
          <w:color w:val="231F20"/>
          <w:sz w:val="23"/>
        </w:rPr>
        <w:t>strengthen</w:t>
      </w:r>
      <w:r>
        <w:rPr>
          <w:color w:val="231F20"/>
          <w:spacing w:val="-29"/>
          <w:sz w:val="23"/>
        </w:rPr>
        <w:t> </w:t>
      </w:r>
      <w:r>
        <w:rPr>
          <w:color w:val="231F20"/>
          <w:sz w:val="23"/>
        </w:rPr>
        <w:t>the</w:t>
      </w:r>
      <w:r>
        <w:rPr>
          <w:color w:val="231F20"/>
          <w:spacing w:val="-29"/>
          <w:sz w:val="23"/>
        </w:rPr>
        <w:t> </w:t>
      </w:r>
      <w:r>
        <w:rPr>
          <w:color w:val="231F20"/>
          <w:sz w:val="23"/>
        </w:rPr>
        <w:t>collaboration</w:t>
      </w:r>
      <w:r>
        <w:rPr>
          <w:color w:val="231F20"/>
          <w:spacing w:val="-29"/>
          <w:sz w:val="23"/>
        </w:rPr>
        <w:t> </w:t>
      </w:r>
      <w:r>
        <w:rPr>
          <w:color w:val="231F20"/>
          <w:sz w:val="23"/>
        </w:rPr>
        <w:t>between the private sector and relevant state institutions to drive the development of Sierra Leone’s</w:t>
      </w:r>
      <w:r>
        <w:rPr>
          <w:color w:val="231F20"/>
          <w:spacing w:val="-30"/>
          <w:sz w:val="23"/>
        </w:rPr>
        <w:t> </w:t>
      </w:r>
      <w:r>
        <w:rPr>
          <w:color w:val="231F20"/>
          <w:sz w:val="23"/>
        </w:rPr>
        <w:t>entertainment</w:t>
      </w:r>
      <w:r>
        <w:rPr>
          <w:color w:val="231F20"/>
          <w:spacing w:val="-30"/>
          <w:sz w:val="23"/>
        </w:rPr>
        <w:t> </w:t>
      </w:r>
      <w:r>
        <w:rPr>
          <w:color w:val="231F20"/>
          <w:sz w:val="23"/>
        </w:rPr>
        <w:t>industry</w:t>
      </w:r>
      <w:r>
        <w:rPr>
          <w:color w:val="231F20"/>
          <w:spacing w:val="-30"/>
          <w:sz w:val="23"/>
        </w:rPr>
        <w:t> </w:t>
      </w:r>
      <w:r>
        <w:rPr>
          <w:color w:val="231F20"/>
          <w:sz w:val="23"/>
        </w:rPr>
        <w:t>with</w:t>
      </w:r>
      <w:r>
        <w:rPr>
          <w:color w:val="231F20"/>
          <w:spacing w:val="-30"/>
          <w:sz w:val="23"/>
        </w:rPr>
        <w:t> </w:t>
      </w:r>
      <w:r>
        <w:rPr>
          <w:color w:val="231F20"/>
          <w:sz w:val="23"/>
        </w:rPr>
        <w:t>a</w:t>
      </w:r>
      <w:r>
        <w:rPr>
          <w:color w:val="231F20"/>
          <w:spacing w:val="-30"/>
          <w:sz w:val="23"/>
        </w:rPr>
        <w:t> </w:t>
      </w:r>
      <w:r>
        <w:rPr>
          <w:color w:val="231F20"/>
          <w:sz w:val="23"/>
        </w:rPr>
        <w:t>focus</w:t>
      </w:r>
      <w:r>
        <w:rPr>
          <w:color w:val="231F20"/>
          <w:spacing w:val="-30"/>
          <w:sz w:val="23"/>
        </w:rPr>
        <w:t> </w:t>
      </w:r>
      <w:r>
        <w:rPr>
          <w:color w:val="231F20"/>
          <w:sz w:val="23"/>
        </w:rPr>
        <w:t>on</w:t>
      </w:r>
      <w:r>
        <w:rPr>
          <w:color w:val="231F20"/>
          <w:spacing w:val="-30"/>
          <w:sz w:val="23"/>
        </w:rPr>
        <w:t> </w:t>
      </w:r>
      <w:r>
        <w:rPr>
          <w:color w:val="231F20"/>
          <w:sz w:val="23"/>
        </w:rPr>
        <w:t>job</w:t>
      </w:r>
      <w:r>
        <w:rPr>
          <w:color w:val="231F20"/>
          <w:spacing w:val="-30"/>
          <w:sz w:val="23"/>
        </w:rPr>
        <w:t> </w:t>
      </w:r>
      <w:r>
        <w:rPr>
          <w:color w:val="231F20"/>
          <w:sz w:val="23"/>
        </w:rPr>
        <w:t>creation</w:t>
      </w:r>
      <w:r>
        <w:rPr>
          <w:color w:val="231F20"/>
          <w:spacing w:val="-30"/>
          <w:sz w:val="23"/>
        </w:rPr>
        <w:t> </w:t>
      </w:r>
      <w:r>
        <w:rPr>
          <w:color w:val="231F20"/>
          <w:sz w:val="23"/>
        </w:rPr>
        <w:t>and</w:t>
      </w:r>
      <w:r>
        <w:rPr>
          <w:color w:val="231F20"/>
          <w:spacing w:val="-30"/>
          <w:sz w:val="23"/>
        </w:rPr>
        <w:t> </w:t>
      </w:r>
      <w:r>
        <w:rPr>
          <w:color w:val="231F20"/>
          <w:sz w:val="23"/>
        </w:rPr>
        <w:t>creating</w:t>
      </w:r>
      <w:r>
        <w:rPr>
          <w:color w:val="231F20"/>
          <w:spacing w:val="-30"/>
          <w:sz w:val="23"/>
        </w:rPr>
        <w:t> </w:t>
      </w:r>
      <w:r>
        <w:rPr>
          <w:color w:val="231F20"/>
          <w:sz w:val="23"/>
        </w:rPr>
        <w:t>linkages</w:t>
      </w:r>
      <w:r>
        <w:rPr>
          <w:color w:val="231F20"/>
          <w:spacing w:val="-30"/>
          <w:sz w:val="23"/>
        </w:rPr>
        <w:t> </w:t>
      </w:r>
      <w:r>
        <w:rPr>
          <w:color w:val="231F20"/>
          <w:sz w:val="23"/>
        </w:rPr>
        <w:t>with international</w:t>
      </w:r>
      <w:r>
        <w:rPr>
          <w:color w:val="231F20"/>
          <w:spacing w:val="43"/>
          <w:sz w:val="23"/>
        </w:rPr>
        <w:t> </w:t>
      </w:r>
      <w:r>
        <w:rPr>
          <w:color w:val="231F20"/>
          <w:sz w:val="23"/>
        </w:rPr>
        <w:t>markets.</w:t>
      </w:r>
    </w:p>
    <w:p>
      <w:pPr>
        <w:pStyle w:val="BodyText"/>
        <w:spacing w:before="10"/>
        <w:rPr>
          <w:sz w:val="27"/>
        </w:rPr>
      </w:pPr>
    </w:p>
    <w:p>
      <w:pPr>
        <w:pStyle w:val="Heading2"/>
        <w:tabs>
          <w:tab w:pos="953" w:val="left" w:leader="none"/>
        </w:tabs>
        <w:spacing w:before="1"/>
        <w:ind w:left="415"/>
      </w:pPr>
      <w:r>
        <w:rPr>
          <w:color w:val="231F20"/>
        </w:rPr>
        <w:t>VI</w:t>
        <w:tab/>
        <w:t>The 2020</w:t>
      </w:r>
      <w:r>
        <w:rPr>
          <w:color w:val="231F20"/>
          <w:spacing w:val="-29"/>
        </w:rPr>
        <w:t> </w:t>
      </w:r>
      <w:r>
        <w:rPr>
          <w:color w:val="231F20"/>
        </w:rPr>
        <w:t>Budget</w:t>
      </w:r>
    </w:p>
    <w:p>
      <w:pPr>
        <w:spacing w:before="49"/>
        <w:ind w:left="953" w:right="0" w:firstLine="0"/>
        <w:jc w:val="left"/>
        <w:rPr>
          <w:b/>
          <w:sz w:val="23"/>
        </w:rPr>
      </w:pPr>
      <w:r>
        <w:rPr>
          <w:b/>
          <w:color w:val="231F20"/>
          <w:sz w:val="23"/>
        </w:rPr>
        <w:t>Total Resource Envelope for FY 2020</w:t>
      </w:r>
    </w:p>
    <w:p>
      <w:pPr>
        <w:pStyle w:val="ListParagraph"/>
        <w:numPr>
          <w:ilvl w:val="0"/>
          <w:numId w:val="2"/>
        </w:numPr>
        <w:tabs>
          <w:tab w:pos="954" w:val="left" w:leader="none"/>
        </w:tabs>
        <w:spacing w:line="285" w:lineRule="auto" w:before="51" w:after="0"/>
        <w:ind w:left="103" w:right="121" w:firstLine="87"/>
        <w:jc w:val="both"/>
        <w:rPr>
          <w:sz w:val="23"/>
        </w:rPr>
      </w:pPr>
      <w:r>
        <w:rPr>
          <w:color w:val="231F20"/>
          <w:sz w:val="23"/>
        </w:rPr>
        <w:t>Mr.</w:t>
      </w:r>
      <w:r>
        <w:rPr>
          <w:color w:val="231F20"/>
          <w:spacing w:val="-35"/>
          <w:sz w:val="23"/>
        </w:rPr>
        <w:t> </w:t>
      </w:r>
      <w:r>
        <w:rPr>
          <w:color w:val="231F20"/>
          <w:sz w:val="23"/>
        </w:rPr>
        <w:t>Speaker,</w:t>
      </w:r>
      <w:r>
        <w:rPr>
          <w:color w:val="231F20"/>
          <w:spacing w:val="-36"/>
          <w:sz w:val="23"/>
        </w:rPr>
        <w:t> </w:t>
      </w:r>
      <w:r>
        <w:rPr>
          <w:color w:val="231F20"/>
          <w:sz w:val="23"/>
        </w:rPr>
        <w:t>Honourable</w:t>
      </w:r>
      <w:r>
        <w:rPr>
          <w:color w:val="231F20"/>
          <w:spacing w:val="-35"/>
          <w:sz w:val="23"/>
        </w:rPr>
        <w:t> </w:t>
      </w:r>
      <w:r>
        <w:rPr>
          <w:color w:val="231F20"/>
          <w:sz w:val="23"/>
        </w:rPr>
        <w:t>Members,</w:t>
      </w:r>
      <w:r>
        <w:rPr>
          <w:color w:val="231F20"/>
          <w:spacing w:val="-35"/>
          <w:sz w:val="23"/>
        </w:rPr>
        <w:t> </w:t>
      </w:r>
      <w:r>
        <w:rPr>
          <w:color w:val="231F20"/>
          <w:sz w:val="23"/>
        </w:rPr>
        <w:t>the</w:t>
      </w:r>
      <w:r>
        <w:rPr>
          <w:color w:val="231F20"/>
          <w:spacing w:val="-35"/>
          <w:sz w:val="23"/>
        </w:rPr>
        <w:t> </w:t>
      </w:r>
      <w:r>
        <w:rPr>
          <w:color w:val="231F20"/>
          <w:sz w:val="23"/>
        </w:rPr>
        <w:t>projected</w:t>
      </w:r>
      <w:r>
        <w:rPr>
          <w:color w:val="231F20"/>
          <w:spacing w:val="-35"/>
          <w:sz w:val="23"/>
        </w:rPr>
        <w:t> </w:t>
      </w:r>
      <w:r>
        <w:rPr>
          <w:color w:val="231F20"/>
          <w:sz w:val="23"/>
        </w:rPr>
        <w:t>total</w:t>
      </w:r>
      <w:r>
        <w:rPr>
          <w:color w:val="231F20"/>
          <w:spacing w:val="-35"/>
          <w:sz w:val="23"/>
        </w:rPr>
        <w:t> </w:t>
      </w:r>
      <w:r>
        <w:rPr>
          <w:color w:val="231F20"/>
          <w:sz w:val="23"/>
        </w:rPr>
        <w:t>budgetary</w:t>
      </w:r>
      <w:r>
        <w:rPr>
          <w:color w:val="231F20"/>
          <w:spacing w:val="-35"/>
          <w:sz w:val="23"/>
        </w:rPr>
        <w:t> </w:t>
      </w:r>
      <w:r>
        <w:rPr>
          <w:color w:val="231F20"/>
          <w:sz w:val="23"/>
        </w:rPr>
        <w:t>resources</w:t>
      </w:r>
      <w:r>
        <w:rPr>
          <w:color w:val="231F20"/>
          <w:spacing w:val="-35"/>
          <w:sz w:val="23"/>
        </w:rPr>
        <w:t> </w:t>
      </w:r>
      <w:r>
        <w:rPr>
          <w:color w:val="231F20"/>
          <w:sz w:val="23"/>
        </w:rPr>
        <w:t>for the 2020 Financial Year processed through the Consolidated Revenue Fund will amount</w:t>
      </w:r>
      <w:r>
        <w:rPr>
          <w:color w:val="231F20"/>
          <w:spacing w:val="-53"/>
          <w:sz w:val="23"/>
        </w:rPr>
        <w:t> </w:t>
      </w:r>
      <w:r>
        <w:rPr>
          <w:color w:val="231F20"/>
          <w:sz w:val="23"/>
        </w:rPr>
        <w:t>to</w:t>
      </w:r>
      <w:r>
        <w:rPr>
          <w:color w:val="231F20"/>
          <w:spacing w:val="-52"/>
          <w:sz w:val="23"/>
        </w:rPr>
        <w:t> </w:t>
      </w:r>
      <w:r>
        <w:rPr>
          <w:color w:val="231F20"/>
          <w:sz w:val="23"/>
        </w:rPr>
        <w:t>Le8.24</w:t>
      </w:r>
      <w:r>
        <w:rPr>
          <w:color w:val="231F20"/>
          <w:spacing w:val="-52"/>
          <w:sz w:val="23"/>
        </w:rPr>
        <w:t> </w:t>
      </w:r>
      <w:r>
        <w:rPr>
          <w:color w:val="231F20"/>
          <w:sz w:val="23"/>
        </w:rPr>
        <w:t>trillion</w:t>
      </w:r>
      <w:r>
        <w:rPr>
          <w:color w:val="231F20"/>
          <w:spacing w:val="-52"/>
          <w:sz w:val="23"/>
        </w:rPr>
        <w:t> </w:t>
      </w:r>
      <w:r>
        <w:rPr>
          <w:color w:val="231F20"/>
          <w:sz w:val="23"/>
        </w:rPr>
        <w:t>comprising</w:t>
      </w:r>
      <w:r>
        <w:rPr>
          <w:color w:val="231F20"/>
          <w:spacing w:val="-52"/>
          <w:sz w:val="23"/>
        </w:rPr>
        <w:t> </w:t>
      </w:r>
      <w:r>
        <w:rPr>
          <w:color w:val="231F20"/>
          <w:sz w:val="23"/>
        </w:rPr>
        <w:t>domestic</w:t>
      </w:r>
      <w:r>
        <w:rPr>
          <w:color w:val="231F20"/>
          <w:spacing w:val="-52"/>
          <w:sz w:val="23"/>
        </w:rPr>
        <w:t> </w:t>
      </w:r>
      <w:r>
        <w:rPr>
          <w:color w:val="231F20"/>
          <w:sz w:val="23"/>
        </w:rPr>
        <w:t>revenue</w:t>
      </w:r>
      <w:r>
        <w:rPr>
          <w:color w:val="231F20"/>
          <w:spacing w:val="-52"/>
          <w:sz w:val="23"/>
        </w:rPr>
        <w:t> </w:t>
      </w:r>
      <w:r>
        <w:rPr>
          <w:color w:val="231F20"/>
          <w:sz w:val="23"/>
        </w:rPr>
        <w:t>of</w:t>
      </w:r>
      <w:r>
        <w:rPr>
          <w:color w:val="231F20"/>
          <w:spacing w:val="-52"/>
          <w:sz w:val="23"/>
        </w:rPr>
        <w:t> </w:t>
      </w:r>
      <w:r>
        <w:rPr>
          <w:color w:val="231F20"/>
          <w:sz w:val="23"/>
        </w:rPr>
        <w:t>Le6.47</w:t>
      </w:r>
      <w:r>
        <w:rPr>
          <w:color w:val="231F20"/>
          <w:spacing w:val="-52"/>
          <w:sz w:val="23"/>
        </w:rPr>
        <w:t> </w:t>
      </w:r>
      <w:r>
        <w:rPr>
          <w:color w:val="231F20"/>
          <w:sz w:val="23"/>
        </w:rPr>
        <w:t>trillion,</w:t>
      </w:r>
      <w:r>
        <w:rPr>
          <w:color w:val="231F20"/>
          <w:spacing w:val="-52"/>
          <w:sz w:val="23"/>
        </w:rPr>
        <w:t> </w:t>
      </w:r>
      <w:r>
        <w:rPr>
          <w:color w:val="231F20"/>
          <w:sz w:val="23"/>
        </w:rPr>
        <w:t>budget</w:t>
      </w:r>
      <w:r>
        <w:rPr>
          <w:color w:val="231F20"/>
          <w:spacing w:val="-52"/>
          <w:sz w:val="23"/>
        </w:rPr>
        <w:t> </w:t>
      </w:r>
      <w:r>
        <w:rPr>
          <w:color w:val="231F20"/>
          <w:sz w:val="23"/>
        </w:rPr>
        <w:t>support of Le 1.0 trillion, and domestic financing of Le873.9</w:t>
      </w:r>
      <w:r>
        <w:rPr>
          <w:color w:val="231F20"/>
          <w:spacing w:val="-18"/>
          <w:sz w:val="23"/>
        </w:rPr>
        <w:t> </w:t>
      </w:r>
      <w:r>
        <w:rPr>
          <w:color w:val="231F20"/>
          <w:sz w:val="23"/>
        </w:rPr>
        <w:t>billion.</w:t>
      </w: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52"/>
      </w:pPr>
      <w:r>
        <w:rPr>
          <w:color w:val="231F20"/>
        </w:rPr>
        <w:t>32</w:t>
      </w:r>
    </w:p>
    <w:p>
      <w:pPr>
        <w:spacing w:after="0"/>
        <w:sectPr>
          <w:pgSz w:w="11900" w:h="16840"/>
          <w:pgMar w:top="1160" w:bottom="280" w:left="1140" w:right="1120"/>
        </w:sectPr>
      </w:pPr>
    </w:p>
    <w:p>
      <w:pPr>
        <w:pStyle w:val="ListParagraph"/>
        <w:numPr>
          <w:ilvl w:val="0"/>
          <w:numId w:val="2"/>
        </w:numPr>
        <w:tabs>
          <w:tab w:pos="954" w:val="left" w:leader="none"/>
        </w:tabs>
        <w:spacing w:line="285" w:lineRule="auto" w:before="83" w:after="0"/>
        <w:ind w:left="103" w:right="121" w:firstLine="87"/>
        <w:jc w:val="both"/>
        <w:rPr>
          <w:sz w:val="23"/>
        </w:rPr>
      </w:pPr>
      <w:r>
        <w:rPr>
          <w:color w:val="231F20"/>
          <w:sz w:val="23"/>
        </w:rPr>
        <w:t>The</w:t>
      </w:r>
      <w:r>
        <w:rPr>
          <w:color w:val="231F20"/>
          <w:spacing w:val="-21"/>
          <w:sz w:val="23"/>
        </w:rPr>
        <w:t> </w:t>
      </w:r>
      <w:r>
        <w:rPr>
          <w:color w:val="231F20"/>
          <w:sz w:val="23"/>
        </w:rPr>
        <w:t>other</w:t>
      </w:r>
      <w:r>
        <w:rPr>
          <w:color w:val="231F20"/>
          <w:spacing w:val="-21"/>
          <w:sz w:val="23"/>
        </w:rPr>
        <w:t> </w:t>
      </w:r>
      <w:r>
        <w:rPr>
          <w:color w:val="231F20"/>
          <w:sz w:val="23"/>
        </w:rPr>
        <w:t>category</w:t>
      </w:r>
      <w:r>
        <w:rPr>
          <w:color w:val="231F20"/>
          <w:spacing w:val="-21"/>
          <w:sz w:val="23"/>
        </w:rPr>
        <w:t> </w:t>
      </w:r>
      <w:r>
        <w:rPr>
          <w:color w:val="231F20"/>
          <w:sz w:val="23"/>
        </w:rPr>
        <w:t>of</w:t>
      </w:r>
      <w:r>
        <w:rPr>
          <w:color w:val="231F20"/>
          <w:spacing w:val="-21"/>
          <w:sz w:val="23"/>
        </w:rPr>
        <w:t> </w:t>
      </w:r>
      <w:r>
        <w:rPr>
          <w:color w:val="231F20"/>
          <w:sz w:val="23"/>
        </w:rPr>
        <w:t>resources</w:t>
      </w:r>
      <w:r>
        <w:rPr>
          <w:color w:val="231F20"/>
          <w:spacing w:val="-21"/>
          <w:sz w:val="23"/>
        </w:rPr>
        <w:t> </w:t>
      </w:r>
      <w:r>
        <w:rPr>
          <w:color w:val="231F20"/>
          <w:sz w:val="23"/>
        </w:rPr>
        <w:t>comprising</w:t>
      </w:r>
      <w:r>
        <w:rPr>
          <w:color w:val="231F20"/>
          <w:spacing w:val="-21"/>
          <w:sz w:val="23"/>
        </w:rPr>
        <w:t> </w:t>
      </w:r>
      <w:r>
        <w:rPr>
          <w:color w:val="231F20"/>
          <w:sz w:val="23"/>
        </w:rPr>
        <w:t>project</w:t>
      </w:r>
      <w:r>
        <w:rPr>
          <w:color w:val="231F20"/>
          <w:spacing w:val="-21"/>
          <w:sz w:val="23"/>
        </w:rPr>
        <w:t> </w:t>
      </w:r>
      <w:r>
        <w:rPr>
          <w:color w:val="231F20"/>
          <w:sz w:val="23"/>
        </w:rPr>
        <w:t>loans</w:t>
      </w:r>
      <w:r>
        <w:rPr>
          <w:color w:val="231F20"/>
          <w:spacing w:val="-21"/>
          <w:sz w:val="23"/>
        </w:rPr>
        <w:t> </w:t>
      </w:r>
      <w:r>
        <w:rPr>
          <w:color w:val="231F20"/>
          <w:sz w:val="23"/>
        </w:rPr>
        <w:t>and</w:t>
      </w:r>
      <w:r>
        <w:rPr>
          <w:color w:val="231F20"/>
          <w:spacing w:val="-21"/>
          <w:sz w:val="23"/>
        </w:rPr>
        <w:t> </w:t>
      </w:r>
      <w:r>
        <w:rPr>
          <w:color w:val="231F20"/>
          <w:sz w:val="23"/>
        </w:rPr>
        <w:t>project</w:t>
      </w:r>
      <w:r>
        <w:rPr>
          <w:color w:val="231F20"/>
          <w:spacing w:val="-21"/>
          <w:sz w:val="23"/>
        </w:rPr>
        <w:t> </w:t>
      </w:r>
      <w:r>
        <w:rPr>
          <w:color w:val="231F20"/>
          <w:sz w:val="23"/>
        </w:rPr>
        <w:t>grants</w:t>
      </w:r>
      <w:r>
        <w:rPr>
          <w:color w:val="231F20"/>
          <w:spacing w:val="-21"/>
          <w:sz w:val="23"/>
        </w:rPr>
        <w:t> </w:t>
      </w:r>
      <w:r>
        <w:rPr>
          <w:color w:val="231F20"/>
          <w:sz w:val="23"/>
        </w:rPr>
        <w:t>to be</w:t>
      </w:r>
      <w:r>
        <w:rPr>
          <w:color w:val="231F20"/>
          <w:spacing w:val="35"/>
          <w:sz w:val="23"/>
        </w:rPr>
        <w:t> </w:t>
      </w:r>
      <w:r>
        <w:rPr>
          <w:color w:val="231F20"/>
          <w:sz w:val="23"/>
        </w:rPr>
        <w:t>disbursed</w:t>
      </w:r>
      <w:r>
        <w:rPr>
          <w:color w:val="231F20"/>
          <w:spacing w:val="-19"/>
          <w:sz w:val="23"/>
        </w:rPr>
        <w:t> </w:t>
      </w:r>
      <w:r>
        <w:rPr>
          <w:color w:val="231F20"/>
          <w:sz w:val="23"/>
        </w:rPr>
        <w:t>by</w:t>
      </w:r>
      <w:r>
        <w:rPr>
          <w:color w:val="231F20"/>
          <w:spacing w:val="-19"/>
          <w:sz w:val="23"/>
        </w:rPr>
        <w:t> </w:t>
      </w:r>
      <w:r>
        <w:rPr>
          <w:color w:val="231F20"/>
          <w:sz w:val="23"/>
        </w:rPr>
        <w:t>development</w:t>
      </w:r>
      <w:r>
        <w:rPr>
          <w:color w:val="231F20"/>
          <w:spacing w:val="-19"/>
          <w:sz w:val="23"/>
        </w:rPr>
        <w:t> </w:t>
      </w:r>
      <w:r>
        <w:rPr>
          <w:color w:val="231F20"/>
          <w:sz w:val="23"/>
        </w:rPr>
        <w:t>partners</w:t>
      </w:r>
      <w:r>
        <w:rPr>
          <w:color w:val="231F20"/>
          <w:spacing w:val="-19"/>
          <w:sz w:val="23"/>
        </w:rPr>
        <w:t> </w:t>
      </w:r>
      <w:r>
        <w:rPr>
          <w:color w:val="231F20"/>
          <w:sz w:val="23"/>
        </w:rPr>
        <w:t>through</w:t>
      </w:r>
      <w:r>
        <w:rPr>
          <w:color w:val="231F20"/>
          <w:spacing w:val="-19"/>
          <w:sz w:val="23"/>
        </w:rPr>
        <w:t> </w:t>
      </w:r>
      <w:r>
        <w:rPr>
          <w:color w:val="231F20"/>
          <w:sz w:val="23"/>
        </w:rPr>
        <w:t>commercial</w:t>
      </w:r>
      <w:r>
        <w:rPr>
          <w:color w:val="231F20"/>
          <w:spacing w:val="-19"/>
          <w:sz w:val="23"/>
        </w:rPr>
        <w:t> </w:t>
      </w:r>
      <w:r>
        <w:rPr>
          <w:color w:val="231F20"/>
          <w:sz w:val="23"/>
        </w:rPr>
        <w:t>banks</w:t>
      </w:r>
      <w:r>
        <w:rPr>
          <w:color w:val="231F20"/>
          <w:spacing w:val="-19"/>
          <w:sz w:val="23"/>
        </w:rPr>
        <w:t> </w:t>
      </w:r>
      <w:r>
        <w:rPr>
          <w:color w:val="231F20"/>
          <w:sz w:val="23"/>
        </w:rPr>
        <w:t>and</w:t>
      </w:r>
      <w:r>
        <w:rPr>
          <w:color w:val="231F20"/>
          <w:spacing w:val="-19"/>
          <w:sz w:val="23"/>
        </w:rPr>
        <w:t> </w:t>
      </w:r>
      <w:r>
        <w:rPr>
          <w:color w:val="231F20"/>
          <w:sz w:val="23"/>
        </w:rPr>
        <w:t>in</w:t>
      </w:r>
      <w:r>
        <w:rPr>
          <w:color w:val="231F20"/>
          <w:spacing w:val="-19"/>
          <w:sz w:val="23"/>
        </w:rPr>
        <w:t> </w:t>
      </w:r>
      <w:r>
        <w:rPr>
          <w:color w:val="231F20"/>
          <w:sz w:val="23"/>
        </w:rPr>
        <w:t>some</w:t>
      </w:r>
      <w:r>
        <w:rPr>
          <w:color w:val="231F20"/>
          <w:spacing w:val="-19"/>
          <w:sz w:val="23"/>
        </w:rPr>
        <w:t> </w:t>
      </w:r>
      <w:r>
        <w:rPr>
          <w:color w:val="231F20"/>
          <w:sz w:val="23"/>
        </w:rPr>
        <w:t>cases the</w:t>
      </w:r>
      <w:r>
        <w:rPr>
          <w:color w:val="231F20"/>
          <w:spacing w:val="-11"/>
          <w:sz w:val="23"/>
        </w:rPr>
        <w:t> </w:t>
      </w:r>
      <w:r>
        <w:rPr>
          <w:color w:val="231F20"/>
          <w:sz w:val="23"/>
        </w:rPr>
        <w:t>Bank</w:t>
      </w:r>
      <w:r>
        <w:rPr>
          <w:color w:val="231F20"/>
          <w:spacing w:val="-11"/>
          <w:sz w:val="23"/>
        </w:rPr>
        <w:t> </w:t>
      </w:r>
      <w:r>
        <w:rPr>
          <w:color w:val="231F20"/>
          <w:sz w:val="23"/>
        </w:rPr>
        <w:t>of</w:t>
      </w:r>
      <w:r>
        <w:rPr>
          <w:color w:val="231F20"/>
          <w:spacing w:val="-11"/>
          <w:sz w:val="23"/>
        </w:rPr>
        <w:t> </w:t>
      </w:r>
      <w:r>
        <w:rPr>
          <w:color w:val="231F20"/>
          <w:sz w:val="23"/>
        </w:rPr>
        <w:t>Sierra</w:t>
      </w:r>
      <w:r>
        <w:rPr>
          <w:color w:val="231F20"/>
          <w:spacing w:val="-11"/>
          <w:sz w:val="23"/>
        </w:rPr>
        <w:t> </w:t>
      </w:r>
      <w:r>
        <w:rPr>
          <w:color w:val="231F20"/>
          <w:sz w:val="23"/>
        </w:rPr>
        <w:t>Leone</w:t>
      </w:r>
      <w:r>
        <w:rPr>
          <w:color w:val="231F20"/>
          <w:spacing w:val="-11"/>
          <w:sz w:val="23"/>
        </w:rPr>
        <w:t> </w:t>
      </w:r>
      <w:r>
        <w:rPr>
          <w:color w:val="231F20"/>
          <w:sz w:val="23"/>
        </w:rPr>
        <w:t>for</w:t>
      </w:r>
      <w:r>
        <w:rPr>
          <w:color w:val="231F20"/>
          <w:spacing w:val="-11"/>
          <w:sz w:val="23"/>
        </w:rPr>
        <w:t> </w:t>
      </w:r>
      <w:r>
        <w:rPr>
          <w:color w:val="231F20"/>
          <w:sz w:val="23"/>
        </w:rPr>
        <w:t>the</w:t>
      </w:r>
      <w:r>
        <w:rPr>
          <w:color w:val="231F20"/>
          <w:spacing w:val="-11"/>
          <w:sz w:val="23"/>
        </w:rPr>
        <w:t> </w:t>
      </w:r>
      <w:r>
        <w:rPr>
          <w:color w:val="231F20"/>
          <w:sz w:val="23"/>
        </w:rPr>
        <w:t>financing</w:t>
      </w:r>
      <w:r>
        <w:rPr>
          <w:color w:val="231F20"/>
          <w:spacing w:val="-11"/>
          <w:sz w:val="23"/>
        </w:rPr>
        <w:t> </w:t>
      </w:r>
      <w:r>
        <w:rPr>
          <w:color w:val="231F20"/>
          <w:sz w:val="23"/>
        </w:rPr>
        <w:t>of</w:t>
      </w:r>
      <w:r>
        <w:rPr>
          <w:color w:val="231F20"/>
          <w:spacing w:val="-11"/>
          <w:sz w:val="23"/>
        </w:rPr>
        <w:t> </w:t>
      </w:r>
      <w:r>
        <w:rPr>
          <w:color w:val="231F20"/>
          <w:sz w:val="23"/>
        </w:rPr>
        <w:t>projects</w:t>
      </w:r>
      <w:r>
        <w:rPr>
          <w:color w:val="231F20"/>
          <w:spacing w:val="-11"/>
          <w:sz w:val="23"/>
        </w:rPr>
        <w:t> </w:t>
      </w:r>
      <w:r>
        <w:rPr>
          <w:color w:val="231F20"/>
          <w:sz w:val="23"/>
        </w:rPr>
        <w:t>in</w:t>
      </w:r>
      <w:r>
        <w:rPr>
          <w:color w:val="231F20"/>
          <w:spacing w:val="-11"/>
          <w:sz w:val="23"/>
        </w:rPr>
        <w:t> </w:t>
      </w:r>
      <w:r>
        <w:rPr>
          <w:color w:val="231F20"/>
          <w:sz w:val="23"/>
        </w:rPr>
        <w:t>various</w:t>
      </w:r>
      <w:r>
        <w:rPr>
          <w:color w:val="231F20"/>
          <w:spacing w:val="-11"/>
          <w:sz w:val="23"/>
        </w:rPr>
        <w:t> </w:t>
      </w:r>
      <w:r>
        <w:rPr>
          <w:color w:val="231F20"/>
          <w:sz w:val="23"/>
        </w:rPr>
        <w:t>sectors</w:t>
      </w:r>
      <w:r>
        <w:rPr>
          <w:color w:val="231F20"/>
          <w:spacing w:val="-11"/>
          <w:sz w:val="23"/>
        </w:rPr>
        <w:t> </w:t>
      </w:r>
      <w:r>
        <w:rPr>
          <w:color w:val="231F20"/>
          <w:sz w:val="23"/>
        </w:rPr>
        <w:t>are</w:t>
      </w:r>
      <w:r>
        <w:rPr>
          <w:color w:val="231F20"/>
          <w:spacing w:val="-11"/>
          <w:sz w:val="23"/>
        </w:rPr>
        <w:t> </w:t>
      </w:r>
      <w:r>
        <w:rPr>
          <w:color w:val="231F20"/>
          <w:sz w:val="23"/>
        </w:rPr>
        <w:t>projected at Le1.08</w:t>
      </w:r>
      <w:r>
        <w:rPr>
          <w:color w:val="231F20"/>
          <w:spacing w:val="16"/>
          <w:sz w:val="23"/>
        </w:rPr>
        <w:t> </w:t>
      </w:r>
      <w:r>
        <w:rPr>
          <w:color w:val="231F20"/>
          <w:sz w:val="23"/>
        </w:rPr>
        <w:t>trillion.</w:t>
      </w:r>
    </w:p>
    <w:p>
      <w:pPr>
        <w:pStyle w:val="BodyText"/>
        <w:spacing w:before="10"/>
        <w:rPr>
          <w:sz w:val="26"/>
        </w:rPr>
      </w:pPr>
    </w:p>
    <w:p>
      <w:pPr>
        <w:pStyle w:val="ListParagraph"/>
        <w:numPr>
          <w:ilvl w:val="0"/>
          <w:numId w:val="2"/>
        </w:numPr>
        <w:tabs>
          <w:tab w:pos="954" w:val="left" w:leader="none"/>
        </w:tabs>
        <w:spacing w:line="283" w:lineRule="auto" w:before="1" w:after="0"/>
        <w:ind w:left="103" w:right="118" w:firstLine="87"/>
        <w:jc w:val="both"/>
        <w:rPr>
          <w:sz w:val="23"/>
        </w:rPr>
      </w:pPr>
      <w:r>
        <w:rPr>
          <w:color w:val="231F20"/>
          <w:sz w:val="23"/>
        </w:rPr>
        <w:t>Mr. Speaker, Honourable Members, on the basis of the expected increase in economic</w:t>
      </w:r>
      <w:r>
        <w:rPr>
          <w:color w:val="231F20"/>
          <w:spacing w:val="-20"/>
          <w:sz w:val="23"/>
        </w:rPr>
        <w:t> </w:t>
      </w:r>
      <w:r>
        <w:rPr>
          <w:color w:val="231F20"/>
          <w:sz w:val="23"/>
        </w:rPr>
        <w:t>activities</w:t>
      </w:r>
      <w:r>
        <w:rPr>
          <w:color w:val="231F20"/>
          <w:spacing w:val="33"/>
          <w:sz w:val="23"/>
        </w:rPr>
        <w:t> </w:t>
      </w:r>
      <w:r>
        <w:rPr>
          <w:color w:val="231F20"/>
          <w:sz w:val="23"/>
        </w:rPr>
        <w:t>and</w:t>
      </w:r>
      <w:r>
        <w:rPr>
          <w:color w:val="231F20"/>
          <w:spacing w:val="-20"/>
          <w:sz w:val="23"/>
        </w:rPr>
        <w:t> </w:t>
      </w:r>
      <w:r>
        <w:rPr>
          <w:color w:val="231F20"/>
          <w:sz w:val="23"/>
        </w:rPr>
        <w:t>the</w:t>
      </w:r>
      <w:r>
        <w:rPr>
          <w:color w:val="231F20"/>
          <w:spacing w:val="-20"/>
          <w:sz w:val="23"/>
        </w:rPr>
        <w:t> </w:t>
      </w:r>
      <w:r>
        <w:rPr>
          <w:color w:val="231F20"/>
          <w:sz w:val="23"/>
        </w:rPr>
        <w:t>revenue</w:t>
      </w:r>
      <w:r>
        <w:rPr>
          <w:color w:val="231F20"/>
          <w:spacing w:val="-20"/>
          <w:sz w:val="23"/>
        </w:rPr>
        <w:t> </w:t>
      </w:r>
      <w:r>
        <w:rPr>
          <w:color w:val="231F20"/>
          <w:sz w:val="23"/>
        </w:rPr>
        <w:t>mobilisation</w:t>
      </w:r>
      <w:r>
        <w:rPr>
          <w:color w:val="231F20"/>
          <w:spacing w:val="-20"/>
          <w:sz w:val="23"/>
        </w:rPr>
        <w:t> </w:t>
      </w:r>
      <w:r>
        <w:rPr>
          <w:color w:val="231F20"/>
          <w:sz w:val="23"/>
        </w:rPr>
        <w:t>measures</w:t>
      </w:r>
      <w:r>
        <w:rPr>
          <w:color w:val="231F20"/>
          <w:spacing w:val="-20"/>
          <w:sz w:val="23"/>
        </w:rPr>
        <w:t> </w:t>
      </w:r>
      <w:r>
        <w:rPr>
          <w:color w:val="231F20"/>
          <w:sz w:val="23"/>
        </w:rPr>
        <w:t>highlighted</w:t>
      </w:r>
      <w:r>
        <w:rPr>
          <w:color w:val="231F20"/>
          <w:spacing w:val="-20"/>
          <w:sz w:val="23"/>
        </w:rPr>
        <w:t> </w:t>
      </w:r>
      <w:r>
        <w:rPr>
          <w:color w:val="231F20"/>
          <w:sz w:val="23"/>
        </w:rPr>
        <w:t>earlier</w:t>
      </w:r>
      <w:r>
        <w:rPr>
          <w:color w:val="231F20"/>
          <w:spacing w:val="-20"/>
          <w:sz w:val="23"/>
        </w:rPr>
        <w:t> </w:t>
      </w:r>
      <w:r>
        <w:rPr>
          <w:color w:val="231F20"/>
          <w:sz w:val="23"/>
        </w:rPr>
        <w:t>in</w:t>
      </w:r>
      <w:r>
        <w:rPr>
          <w:color w:val="231F20"/>
          <w:spacing w:val="-20"/>
          <w:sz w:val="23"/>
        </w:rPr>
        <w:t> </w:t>
      </w:r>
      <w:r>
        <w:rPr>
          <w:color w:val="231F20"/>
          <w:sz w:val="23"/>
        </w:rPr>
        <w:t>this Statement, domestic revenue is projected to increase to Le6.47 trillion (14.9</w:t>
      </w:r>
      <w:r>
        <w:rPr>
          <w:color w:val="231F20"/>
          <w:spacing w:val="-33"/>
          <w:sz w:val="23"/>
        </w:rPr>
        <w:t> </w:t>
      </w:r>
      <w:r>
        <w:rPr>
          <w:color w:val="231F20"/>
          <w:sz w:val="23"/>
        </w:rPr>
        <w:t>percent of</w:t>
      </w:r>
      <w:r>
        <w:rPr>
          <w:color w:val="231F20"/>
          <w:spacing w:val="-17"/>
          <w:sz w:val="23"/>
        </w:rPr>
        <w:t> </w:t>
      </w:r>
      <w:r>
        <w:rPr>
          <w:color w:val="231F20"/>
          <w:sz w:val="23"/>
        </w:rPr>
        <w:t>GDP)</w:t>
      </w:r>
      <w:r>
        <w:rPr>
          <w:color w:val="231F20"/>
          <w:spacing w:val="-17"/>
          <w:sz w:val="23"/>
        </w:rPr>
        <w:t> </w:t>
      </w:r>
      <w:r>
        <w:rPr>
          <w:color w:val="231F20"/>
          <w:sz w:val="23"/>
        </w:rPr>
        <w:t>in</w:t>
      </w:r>
      <w:r>
        <w:rPr>
          <w:color w:val="231F20"/>
          <w:spacing w:val="-17"/>
          <w:sz w:val="23"/>
        </w:rPr>
        <w:t> </w:t>
      </w:r>
      <w:r>
        <w:rPr>
          <w:color w:val="231F20"/>
          <w:sz w:val="23"/>
        </w:rPr>
        <w:t>2020</w:t>
      </w:r>
      <w:r>
        <w:rPr>
          <w:color w:val="231F20"/>
          <w:spacing w:val="-17"/>
          <w:sz w:val="23"/>
        </w:rPr>
        <w:t> </w:t>
      </w:r>
      <w:r>
        <w:rPr>
          <w:color w:val="231F20"/>
          <w:sz w:val="23"/>
        </w:rPr>
        <w:t>from</w:t>
      </w:r>
      <w:r>
        <w:rPr>
          <w:color w:val="231F20"/>
          <w:spacing w:val="-17"/>
          <w:sz w:val="23"/>
        </w:rPr>
        <w:t> </w:t>
      </w:r>
      <w:r>
        <w:rPr>
          <w:color w:val="231F20"/>
          <w:sz w:val="23"/>
        </w:rPr>
        <w:t>the</w:t>
      </w:r>
      <w:r>
        <w:rPr>
          <w:color w:val="231F20"/>
          <w:spacing w:val="-17"/>
          <w:sz w:val="23"/>
        </w:rPr>
        <w:t> </w:t>
      </w:r>
      <w:r>
        <w:rPr>
          <w:color w:val="231F20"/>
          <w:sz w:val="23"/>
        </w:rPr>
        <w:t>estimated</w:t>
      </w:r>
      <w:r>
        <w:rPr>
          <w:color w:val="231F20"/>
          <w:spacing w:val="-17"/>
          <w:sz w:val="23"/>
        </w:rPr>
        <w:t> </w:t>
      </w:r>
      <w:r>
        <w:rPr>
          <w:color w:val="231F20"/>
          <w:sz w:val="23"/>
        </w:rPr>
        <w:t>amount</w:t>
      </w:r>
      <w:r>
        <w:rPr>
          <w:color w:val="231F20"/>
          <w:spacing w:val="-17"/>
          <w:sz w:val="23"/>
        </w:rPr>
        <w:t> </w:t>
      </w:r>
      <w:r>
        <w:rPr>
          <w:color w:val="231F20"/>
          <w:sz w:val="23"/>
        </w:rPr>
        <w:t>of</w:t>
      </w:r>
      <w:r>
        <w:rPr>
          <w:color w:val="231F20"/>
          <w:spacing w:val="-17"/>
          <w:sz w:val="23"/>
        </w:rPr>
        <w:t> </w:t>
      </w:r>
      <w:r>
        <w:rPr>
          <w:color w:val="231F20"/>
          <w:sz w:val="23"/>
        </w:rPr>
        <w:t>Le5.30</w:t>
      </w:r>
      <w:r>
        <w:rPr>
          <w:color w:val="231F20"/>
          <w:spacing w:val="-17"/>
          <w:sz w:val="23"/>
        </w:rPr>
        <w:t> </w:t>
      </w:r>
      <w:r>
        <w:rPr>
          <w:color w:val="231F20"/>
          <w:sz w:val="23"/>
        </w:rPr>
        <w:t>trillion</w:t>
      </w:r>
      <w:r>
        <w:rPr>
          <w:color w:val="231F20"/>
          <w:spacing w:val="-17"/>
          <w:sz w:val="23"/>
        </w:rPr>
        <w:t> </w:t>
      </w:r>
      <w:r>
        <w:rPr>
          <w:color w:val="231F20"/>
          <w:sz w:val="23"/>
        </w:rPr>
        <w:t>(14.3</w:t>
      </w:r>
      <w:r>
        <w:rPr>
          <w:color w:val="231F20"/>
          <w:spacing w:val="-17"/>
          <w:sz w:val="23"/>
        </w:rPr>
        <w:t> </w:t>
      </w:r>
      <w:r>
        <w:rPr>
          <w:color w:val="231F20"/>
          <w:sz w:val="23"/>
        </w:rPr>
        <w:t>percent</w:t>
      </w:r>
      <w:r>
        <w:rPr>
          <w:color w:val="231F20"/>
          <w:spacing w:val="-17"/>
          <w:sz w:val="23"/>
        </w:rPr>
        <w:t> </w:t>
      </w:r>
      <w:r>
        <w:rPr>
          <w:color w:val="231F20"/>
          <w:sz w:val="23"/>
        </w:rPr>
        <w:t>of</w:t>
      </w:r>
      <w:r>
        <w:rPr>
          <w:color w:val="231F20"/>
          <w:spacing w:val="-17"/>
          <w:sz w:val="23"/>
        </w:rPr>
        <w:t> </w:t>
      </w:r>
      <w:r>
        <w:rPr>
          <w:color w:val="231F20"/>
          <w:sz w:val="23"/>
        </w:rPr>
        <w:t>GDP)</w:t>
      </w:r>
      <w:r>
        <w:rPr>
          <w:color w:val="231F20"/>
          <w:spacing w:val="-17"/>
          <w:sz w:val="23"/>
        </w:rPr>
        <w:t> </w:t>
      </w:r>
      <w:r>
        <w:rPr>
          <w:color w:val="231F20"/>
          <w:sz w:val="23"/>
        </w:rPr>
        <w:t>in 2019. Income Taxes will contribute Le2.27 trillion; Goods and Services Tax (GST), Le1.24 trillion; Customs and Excise Duties, Le1.46 trillion, Royalty and Licenses</w:t>
      </w:r>
      <w:r>
        <w:rPr>
          <w:color w:val="231F20"/>
          <w:spacing w:val="-22"/>
          <w:sz w:val="23"/>
        </w:rPr>
        <w:t> </w:t>
      </w:r>
      <w:r>
        <w:rPr>
          <w:color w:val="231F20"/>
          <w:sz w:val="23"/>
        </w:rPr>
        <w:t>on minerals</w:t>
      </w:r>
      <w:r>
        <w:rPr>
          <w:color w:val="231F20"/>
          <w:spacing w:val="-24"/>
          <w:sz w:val="23"/>
        </w:rPr>
        <w:t> </w:t>
      </w:r>
      <w:r>
        <w:rPr>
          <w:color w:val="231F20"/>
          <w:sz w:val="23"/>
        </w:rPr>
        <w:t>and</w:t>
      </w:r>
      <w:r>
        <w:rPr>
          <w:color w:val="231F20"/>
          <w:spacing w:val="-24"/>
          <w:sz w:val="23"/>
        </w:rPr>
        <w:t> </w:t>
      </w:r>
      <w:r>
        <w:rPr>
          <w:color w:val="231F20"/>
          <w:sz w:val="23"/>
        </w:rPr>
        <w:t>petroleum,</w:t>
      </w:r>
      <w:r>
        <w:rPr>
          <w:color w:val="231F20"/>
          <w:spacing w:val="-24"/>
          <w:sz w:val="23"/>
        </w:rPr>
        <w:t> </w:t>
      </w:r>
      <w:r>
        <w:rPr>
          <w:color w:val="231F20"/>
          <w:sz w:val="23"/>
        </w:rPr>
        <w:t>Le322.1</w:t>
      </w:r>
      <w:r>
        <w:rPr>
          <w:color w:val="231F20"/>
          <w:spacing w:val="-24"/>
          <w:sz w:val="23"/>
        </w:rPr>
        <w:t> </w:t>
      </w:r>
      <w:r>
        <w:rPr>
          <w:color w:val="231F20"/>
          <w:sz w:val="23"/>
        </w:rPr>
        <w:t>billion;</w:t>
      </w:r>
      <w:r>
        <w:rPr>
          <w:color w:val="231F20"/>
          <w:spacing w:val="-24"/>
          <w:sz w:val="23"/>
        </w:rPr>
        <w:t> </w:t>
      </w:r>
      <w:r>
        <w:rPr>
          <w:color w:val="231F20"/>
          <w:sz w:val="23"/>
        </w:rPr>
        <w:t>Royalties</w:t>
      </w:r>
      <w:r>
        <w:rPr>
          <w:color w:val="231F20"/>
          <w:spacing w:val="-24"/>
          <w:sz w:val="23"/>
        </w:rPr>
        <w:t> </w:t>
      </w:r>
      <w:r>
        <w:rPr>
          <w:color w:val="231F20"/>
          <w:sz w:val="23"/>
        </w:rPr>
        <w:t>and</w:t>
      </w:r>
      <w:r>
        <w:rPr>
          <w:color w:val="231F20"/>
          <w:spacing w:val="-24"/>
          <w:sz w:val="23"/>
        </w:rPr>
        <w:t> </w:t>
      </w:r>
      <w:r>
        <w:rPr>
          <w:color w:val="231F20"/>
          <w:sz w:val="23"/>
        </w:rPr>
        <w:t>Licenses</w:t>
      </w:r>
      <w:r>
        <w:rPr>
          <w:color w:val="231F20"/>
          <w:spacing w:val="-24"/>
          <w:sz w:val="23"/>
        </w:rPr>
        <w:t> </w:t>
      </w:r>
      <w:r>
        <w:rPr>
          <w:color w:val="231F20"/>
          <w:sz w:val="23"/>
        </w:rPr>
        <w:t>on</w:t>
      </w:r>
      <w:r>
        <w:rPr>
          <w:color w:val="231F20"/>
          <w:spacing w:val="-24"/>
          <w:sz w:val="23"/>
        </w:rPr>
        <w:t> </w:t>
      </w:r>
      <w:r>
        <w:rPr>
          <w:color w:val="231F20"/>
          <w:sz w:val="23"/>
        </w:rPr>
        <w:t>fisheries,</w:t>
      </w:r>
      <w:r>
        <w:rPr>
          <w:color w:val="231F20"/>
          <w:spacing w:val="-24"/>
          <w:sz w:val="23"/>
        </w:rPr>
        <w:t> </w:t>
      </w:r>
      <w:r>
        <w:rPr>
          <w:color w:val="231F20"/>
          <w:sz w:val="23"/>
        </w:rPr>
        <w:t>Le122.7 billion; Parastatals dividends, Le60.0 billion; revenues from other Government departments including TSA agencies and royalty on timber exports will amount to Le789.7</w:t>
      </w:r>
      <w:r>
        <w:rPr>
          <w:color w:val="231F20"/>
          <w:spacing w:val="-30"/>
          <w:sz w:val="23"/>
        </w:rPr>
        <w:t> </w:t>
      </w:r>
      <w:r>
        <w:rPr>
          <w:color w:val="231F20"/>
          <w:sz w:val="23"/>
        </w:rPr>
        <w:t>billion.</w:t>
      </w:r>
      <w:r>
        <w:rPr>
          <w:color w:val="231F20"/>
          <w:spacing w:val="-30"/>
          <w:sz w:val="23"/>
        </w:rPr>
        <w:t> </w:t>
      </w:r>
      <w:r>
        <w:rPr>
          <w:color w:val="231F20"/>
          <w:sz w:val="23"/>
        </w:rPr>
        <w:t>Road</w:t>
      </w:r>
      <w:r>
        <w:rPr>
          <w:color w:val="231F20"/>
          <w:spacing w:val="-30"/>
          <w:sz w:val="23"/>
        </w:rPr>
        <w:t> </w:t>
      </w:r>
      <w:r>
        <w:rPr>
          <w:color w:val="231F20"/>
          <w:sz w:val="23"/>
        </w:rPr>
        <w:t>User</w:t>
      </w:r>
      <w:r>
        <w:rPr>
          <w:color w:val="231F20"/>
          <w:spacing w:val="-30"/>
          <w:sz w:val="23"/>
        </w:rPr>
        <w:t> </w:t>
      </w:r>
      <w:r>
        <w:rPr>
          <w:color w:val="231F20"/>
          <w:sz w:val="23"/>
        </w:rPr>
        <w:t>Charges</w:t>
      </w:r>
      <w:r>
        <w:rPr>
          <w:color w:val="231F20"/>
          <w:spacing w:val="-30"/>
          <w:sz w:val="23"/>
        </w:rPr>
        <w:t> </w:t>
      </w:r>
      <w:r>
        <w:rPr>
          <w:color w:val="231F20"/>
          <w:sz w:val="23"/>
        </w:rPr>
        <w:t>and</w:t>
      </w:r>
      <w:r>
        <w:rPr>
          <w:color w:val="231F20"/>
          <w:spacing w:val="-30"/>
          <w:sz w:val="23"/>
        </w:rPr>
        <w:t> </w:t>
      </w:r>
      <w:r>
        <w:rPr>
          <w:color w:val="231F20"/>
          <w:sz w:val="23"/>
        </w:rPr>
        <w:t>vehicle</w:t>
      </w:r>
      <w:r>
        <w:rPr>
          <w:color w:val="231F20"/>
          <w:spacing w:val="-30"/>
          <w:sz w:val="23"/>
        </w:rPr>
        <w:t> </w:t>
      </w:r>
      <w:r>
        <w:rPr>
          <w:color w:val="231F20"/>
          <w:sz w:val="23"/>
        </w:rPr>
        <w:t>licenses</w:t>
      </w:r>
      <w:r>
        <w:rPr>
          <w:color w:val="231F20"/>
          <w:spacing w:val="-30"/>
          <w:sz w:val="23"/>
        </w:rPr>
        <w:t> </w:t>
      </w:r>
      <w:r>
        <w:rPr>
          <w:color w:val="231F20"/>
          <w:sz w:val="23"/>
        </w:rPr>
        <w:t>will</w:t>
      </w:r>
      <w:r>
        <w:rPr>
          <w:color w:val="231F20"/>
          <w:spacing w:val="-30"/>
          <w:sz w:val="23"/>
        </w:rPr>
        <w:t> </w:t>
      </w:r>
      <w:r>
        <w:rPr>
          <w:color w:val="231F20"/>
          <w:sz w:val="23"/>
        </w:rPr>
        <w:t>contribute</w:t>
      </w:r>
      <w:r>
        <w:rPr>
          <w:color w:val="231F20"/>
          <w:spacing w:val="-30"/>
          <w:sz w:val="23"/>
        </w:rPr>
        <w:t> </w:t>
      </w:r>
      <w:r>
        <w:rPr>
          <w:color w:val="231F20"/>
          <w:sz w:val="23"/>
        </w:rPr>
        <w:t>Le124.8</w:t>
      </w:r>
      <w:r>
        <w:rPr>
          <w:color w:val="231F20"/>
          <w:spacing w:val="-30"/>
          <w:sz w:val="23"/>
        </w:rPr>
        <w:t> </w:t>
      </w:r>
      <w:r>
        <w:rPr>
          <w:color w:val="231F20"/>
          <w:sz w:val="23"/>
        </w:rPr>
        <w:t>billion to domestic revenue in</w:t>
      </w:r>
      <w:r>
        <w:rPr>
          <w:color w:val="231F20"/>
          <w:spacing w:val="-3"/>
          <w:sz w:val="23"/>
        </w:rPr>
        <w:t> </w:t>
      </w:r>
      <w:r>
        <w:rPr>
          <w:color w:val="231F20"/>
          <w:sz w:val="23"/>
        </w:rPr>
        <w:t>2020.</w:t>
      </w:r>
    </w:p>
    <w:p>
      <w:pPr>
        <w:pStyle w:val="BodyText"/>
        <w:spacing w:before="6"/>
        <w:rPr>
          <w:sz w:val="28"/>
        </w:rPr>
      </w:pPr>
    </w:p>
    <w:p>
      <w:pPr>
        <w:pStyle w:val="Heading2"/>
        <w:spacing w:before="1"/>
        <w:ind w:left="953"/>
      </w:pPr>
      <w:r>
        <w:rPr>
          <w:color w:val="231F20"/>
        </w:rPr>
        <w:t>Expenditure Priorities and Allocations</w:t>
      </w:r>
    </w:p>
    <w:p>
      <w:pPr>
        <w:pStyle w:val="ListParagraph"/>
        <w:numPr>
          <w:ilvl w:val="0"/>
          <w:numId w:val="2"/>
        </w:numPr>
        <w:tabs>
          <w:tab w:pos="954" w:val="left" w:leader="none"/>
        </w:tabs>
        <w:spacing w:line="285" w:lineRule="auto" w:before="49" w:after="0"/>
        <w:ind w:left="103" w:right="119" w:firstLine="87"/>
        <w:jc w:val="both"/>
        <w:rPr>
          <w:sz w:val="23"/>
        </w:rPr>
      </w:pPr>
      <w:r>
        <w:rPr>
          <w:color w:val="231F20"/>
          <w:sz w:val="23"/>
        </w:rPr>
        <w:t>Mr.</w:t>
      </w:r>
      <w:r>
        <w:rPr>
          <w:color w:val="231F20"/>
          <w:spacing w:val="-31"/>
          <w:sz w:val="23"/>
        </w:rPr>
        <w:t> </w:t>
      </w:r>
      <w:r>
        <w:rPr>
          <w:color w:val="231F20"/>
          <w:sz w:val="23"/>
        </w:rPr>
        <w:t>Speaker,</w:t>
      </w:r>
      <w:r>
        <w:rPr>
          <w:color w:val="231F20"/>
          <w:spacing w:val="-31"/>
          <w:sz w:val="23"/>
        </w:rPr>
        <w:t> </w:t>
      </w:r>
      <w:r>
        <w:rPr>
          <w:color w:val="231F20"/>
          <w:sz w:val="23"/>
        </w:rPr>
        <w:t>Honourable</w:t>
      </w:r>
      <w:r>
        <w:rPr>
          <w:color w:val="231F20"/>
          <w:spacing w:val="-31"/>
          <w:sz w:val="23"/>
        </w:rPr>
        <w:t> </w:t>
      </w:r>
      <w:r>
        <w:rPr>
          <w:color w:val="231F20"/>
          <w:sz w:val="23"/>
        </w:rPr>
        <w:t>Members,</w:t>
      </w:r>
      <w:r>
        <w:rPr>
          <w:color w:val="231F20"/>
          <w:spacing w:val="-31"/>
          <w:sz w:val="23"/>
        </w:rPr>
        <w:t> </w:t>
      </w:r>
      <w:r>
        <w:rPr>
          <w:color w:val="231F20"/>
          <w:sz w:val="23"/>
        </w:rPr>
        <w:t>total</w:t>
      </w:r>
      <w:r>
        <w:rPr>
          <w:color w:val="231F20"/>
          <w:spacing w:val="-31"/>
          <w:sz w:val="23"/>
        </w:rPr>
        <w:t> </w:t>
      </w:r>
      <w:r>
        <w:rPr>
          <w:color w:val="231F20"/>
          <w:sz w:val="23"/>
        </w:rPr>
        <w:t>expenditure</w:t>
      </w:r>
      <w:r>
        <w:rPr>
          <w:color w:val="231F20"/>
          <w:spacing w:val="-31"/>
          <w:sz w:val="23"/>
        </w:rPr>
        <w:t> </w:t>
      </w:r>
      <w:r>
        <w:rPr>
          <w:color w:val="231F20"/>
          <w:sz w:val="23"/>
        </w:rPr>
        <w:t>and</w:t>
      </w:r>
      <w:r>
        <w:rPr>
          <w:color w:val="231F20"/>
          <w:spacing w:val="-31"/>
          <w:sz w:val="23"/>
        </w:rPr>
        <w:t> </w:t>
      </w:r>
      <w:r>
        <w:rPr>
          <w:color w:val="231F20"/>
          <w:sz w:val="23"/>
        </w:rPr>
        <w:t>net</w:t>
      </w:r>
      <w:r>
        <w:rPr>
          <w:color w:val="231F20"/>
          <w:spacing w:val="-31"/>
          <w:sz w:val="23"/>
        </w:rPr>
        <w:t> </w:t>
      </w:r>
      <w:r>
        <w:rPr>
          <w:color w:val="231F20"/>
          <w:sz w:val="23"/>
        </w:rPr>
        <w:t>lending</w:t>
      </w:r>
      <w:r>
        <w:rPr>
          <w:color w:val="231F20"/>
          <w:spacing w:val="-31"/>
          <w:sz w:val="23"/>
        </w:rPr>
        <w:t> </w:t>
      </w:r>
      <w:r>
        <w:rPr>
          <w:color w:val="231F20"/>
          <w:sz w:val="23"/>
        </w:rPr>
        <w:t>for</w:t>
      </w:r>
      <w:r>
        <w:rPr>
          <w:color w:val="231F20"/>
          <w:spacing w:val="-31"/>
          <w:sz w:val="23"/>
        </w:rPr>
        <w:t> </w:t>
      </w:r>
      <w:r>
        <w:rPr>
          <w:color w:val="231F20"/>
          <w:sz w:val="23"/>
        </w:rPr>
        <w:t>2020 will</w:t>
      </w:r>
      <w:r>
        <w:rPr>
          <w:color w:val="231F20"/>
          <w:spacing w:val="-20"/>
          <w:sz w:val="23"/>
        </w:rPr>
        <w:t> </w:t>
      </w:r>
      <w:r>
        <w:rPr>
          <w:color w:val="231F20"/>
          <w:sz w:val="23"/>
        </w:rPr>
        <w:t>amount</w:t>
      </w:r>
      <w:r>
        <w:rPr>
          <w:color w:val="231F20"/>
          <w:spacing w:val="-21"/>
          <w:sz w:val="23"/>
        </w:rPr>
        <w:t> </w:t>
      </w:r>
      <w:r>
        <w:rPr>
          <w:color w:val="231F20"/>
          <w:sz w:val="23"/>
        </w:rPr>
        <w:t>to</w:t>
      </w:r>
      <w:r>
        <w:rPr>
          <w:color w:val="231F20"/>
          <w:spacing w:val="-20"/>
          <w:sz w:val="23"/>
        </w:rPr>
        <w:t> </w:t>
      </w:r>
      <w:r>
        <w:rPr>
          <w:color w:val="231F20"/>
          <w:sz w:val="23"/>
        </w:rPr>
        <w:t>Le9.35</w:t>
      </w:r>
      <w:r>
        <w:rPr>
          <w:color w:val="231F20"/>
          <w:spacing w:val="-21"/>
          <w:sz w:val="23"/>
        </w:rPr>
        <w:t> </w:t>
      </w:r>
      <w:r>
        <w:rPr>
          <w:color w:val="231F20"/>
          <w:sz w:val="23"/>
        </w:rPr>
        <w:t>trillion</w:t>
      </w:r>
      <w:r>
        <w:rPr>
          <w:color w:val="231F20"/>
          <w:spacing w:val="-20"/>
          <w:sz w:val="23"/>
        </w:rPr>
        <w:t> </w:t>
      </w:r>
      <w:r>
        <w:rPr>
          <w:color w:val="231F20"/>
          <w:sz w:val="23"/>
        </w:rPr>
        <w:t>(21.5</w:t>
      </w:r>
      <w:r>
        <w:rPr>
          <w:color w:val="231F20"/>
          <w:spacing w:val="-20"/>
          <w:sz w:val="23"/>
        </w:rPr>
        <w:t> </w:t>
      </w:r>
      <w:r>
        <w:rPr>
          <w:color w:val="231F20"/>
          <w:sz w:val="23"/>
        </w:rPr>
        <w:t>percent</w:t>
      </w:r>
      <w:r>
        <w:rPr>
          <w:color w:val="231F20"/>
          <w:spacing w:val="-21"/>
          <w:sz w:val="23"/>
        </w:rPr>
        <w:t> </w:t>
      </w:r>
      <w:r>
        <w:rPr>
          <w:color w:val="231F20"/>
          <w:sz w:val="23"/>
        </w:rPr>
        <w:t>of</w:t>
      </w:r>
      <w:r>
        <w:rPr>
          <w:color w:val="231F20"/>
          <w:spacing w:val="-21"/>
          <w:sz w:val="23"/>
        </w:rPr>
        <w:t> </w:t>
      </w:r>
      <w:r>
        <w:rPr>
          <w:color w:val="231F20"/>
          <w:sz w:val="23"/>
        </w:rPr>
        <w:t>GDP)</w:t>
      </w:r>
      <w:r>
        <w:rPr>
          <w:color w:val="231F20"/>
          <w:spacing w:val="-20"/>
          <w:sz w:val="23"/>
        </w:rPr>
        <w:t> </w:t>
      </w:r>
      <w:r>
        <w:rPr>
          <w:color w:val="231F20"/>
          <w:sz w:val="23"/>
        </w:rPr>
        <w:t>compared</w:t>
      </w:r>
      <w:r>
        <w:rPr>
          <w:color w:val="231F20"/>
          <w:spacing w:val="-21"/>
          <w:sz w:val="23"/>
        </w:rPr>
        <w:t> </w:t>
      </w:r>
      <w:r>
        <w:rPr>
          <w:color w:val="231F20"/>
          <w:sz w:val="23"/>
        </w:rPr>
        <w:t>to</w:t>
      </w:r>
      <w:r>
        <w:rPr>
          <w:color w:val="231F20"/>
          <w:spacing w:val="-20"/>
          <w:sz w:val="23"/>
        </w:rPr>
        <w:t> </w:t>
      </w:r>
      <w:r>
        <w:rPr>
          <w:color w:val="231F20"/>
          <w:sz w:val="23"/>
        </w:rPr>
        <w:t>the</w:t>
      </w:r>
      <w:r>
        <w:rPr>
          <w:color w:val="231F20"/>
          <w:spacing w:val="-20"/>
          <w:sz w:val="23"/>
        </w:rPr>
        <w:t> </w:t>
      </w:r>
      <w:r>
        <w:rPr>
          <w:color w:val="231F20"/>
          <w:sz w:val="23"/>
        </w:rPr>
        <w:t>estimated</w:t>
      </w:r>
      <w:r>
        <w:rPr>
          <w:color w:val="231F20"/>
          <w:spacing w:val="-21"/>
          <w:sz w:val="23"/>
        </w:rPr>
        <w:t> </w:t>
      </w:r>
      <w:r>
        <w:rPr>
          <w:color w:val="231F20"/>
          <w:sz w:val="23"/>
        </w:rPr>
        <w:t>Le7.69 trillion</w:t>
      </w:r>
      <w:r>
        <w:rPr>
          <w:color w:val="231F20"/>
          <w:spacing w:val="-11"/>
          <w:sz w:val="23"/>
        </w:rPr>
        <w:t> </w:t>
      </w:r>
      <w:r>
        <w:rPr>
          <w:color w:val="231F20"/>
          <w:sz w:val="23"/>
        </w:rPr>
        <w:t>(20.5</w:t>
      </w:r>
      <w:r>
        <w:rPr>
          <w:color w:val="231F20"/>
          <w:spacing w:val="-11"/>
          <w:sz w:val="23"/>
        </w:rPr>
        <w:t> </w:t>
      </w:r>
      <w:r>
        <w:rPr>
          <w:color w:val="231F20"/>
          <w:sz w:val="23"/>
        </w:rPr>
        <w:t>percent</w:t>
      </w:r>
      <w:r>
        <w:rPr>
          <w:color w:val="231F20"/>
          <w:spacing w:val="-11"/>
          <w:sz w:val="23"/>
        </w:rPr>
        <w:t> </w:t>
      </w:r>
      <w:r>
        <w:rPr>
          <w:color w:val="231F20"/>
          <w:sz w:val="23"/>
        </w:rPr>
        <w:t>of</w:t>
      </w:r>
      <w:r>
        <w:rPr>
          <w:color w:val="231F20"/>
          <w:spacing w:val="-11"/>
          <w:sz w:val="23"/>
        </w:rPr>
        <w:t> </w:t>
      </w:r>
      <w:r>
        <w:rPr>
          <w:color w:val="231F20"/>
          <w:sz w:val="23"/>
        </w:rPr>
        <w:t>GDP)</w:t>
      </w:r>
      <w:r>
        <w:rPr>
          <w:color w:val="231F20"/>
          <w:spacing w:val="-11"/>
          <w:sz w:val="23"/>
        </w:rPr>
        <w:t> </w:t>
      </w:r>
      <w:r>
        <w:rPr>
          <w:color w:val="231F20"/>
          <w:sz w:val="23"/>
        </w:rPr>
        <w:t>for</w:t>
      </w:r>
      <w:r>
        <w:rPr>
          <w:color w:val="231F20"/>
          <w:spacing w:val="-11"/>
          <w:sz w:val="23"/>
        </w:rPr>
        <w:t> </w:t>
      </w:r>
      <w:r>
        <w:rPr>
          <w:color w:val="231F20"/>
          <w:sz w:val="23"/>
        </w:rPr>
        <w:t>2019.</w:t>
      </w:r>
      <w:r>
        <w:rPr>
          <w:color w:val="231F20"/>
          <w:spacing w:val="52"/>
          <w:sz w:val="23"/>
        </w:rPr>
        <w:t> </w:t>
      </w:r>
      <w:r>
        <w:rPr>
          <w:color w:val="231F20"/>
          <w:sz w:val="23"/>
        </w:rPr>
        <w:t>Of</w:t>
      </w:r>
      <w:r>
        <w:rPr>
          <w:color w:val="231F20"/>
          <w:spacing w:val="-11"/>
          <w:sz w:val="23"/>
        </w:rPr>
        <w:t> </w:t>
      </w:r>
      <w:r>
        <w:rPr>
          <w:color w:val="231F20"/>
          <w:sz w:val="23"/>
        </w:rPr>
        <w:t>this,</w:t>
      </w:r>
      <w:r>
        <w:rPr>
          <w:color w:val="231F20"/>
          <w:spacing w:val="-11"/>
          <w:sz w:val="23"/>
        </w:rPr>
        <w:t> </w:t>
      </w:r>
      <w:r>
        <w:rPr>
          <w:color w:val="231F20"/>
          <w:sz w:val="23"/>
        </w:rPr>
        <w:t>recurrent</w:t>
      </w:r>
      <w:r>
        <w:rPr>
          <w:color w:val="231F20"/>
          <w:spacing w:val="-11"/>
          <w:sz w:val="23"/>
        </w:rPr>
        <w:t> </w:t>
      </w:r>
      <w:r>
        <w:rPr>
          <w:color w:val="231F20"/>
          <w:sz w:val="23"/>
        </w:rPr>
        <w:t>expenditure</w:t>
      </w:r>
      <w:r>
        <w:rPr>
          <w:color w:val="231F20"/>
          <w:spacing w:val="-11"/>
          <w:sz w:val="23"/>
        </w:rPr>
        <w:t> </w:t>
      </w:r>
      <w:r>
        <w:rPr>
          <w:color w:val="231F20"/>
          <w:sz w:val="23"/>
        </w:rPr>
        <w:t>will</w:t>
      </w:r>
      <w:r>
        <w:rPr>
          <w:color w:val="231F20"/>
          <w:spacing w:val="-11"/>
          <w:sz w:val="23"/>
        </w:rPr>
        <w:t> </w:t>
      </w:r>
      <w:r>
        <w:rPr>
          <w:color w:val="231F20"/>
          <w:sz w:val="23"/>
        </w:rPr>
        <w:t>amount</w:t>
      </w:r>
      <w:r>
        <w:rPr>
          <w:color w:val="231F20"/>
          <w:spacing w:val="-11"/>
          <w:sz w:val="23"/>
        </w:rPr>
        <w:t> </w:t>
      </w:r>
      <w:r>
        <w:rPr>
          <w:color w:val="231F20"/>
          <w:sz w:val="23"/>
        </w:rPr>
        <w:t>to Le6.48</w:t>
      </w:r>
      <w:r>
        <w:rPr>
          <w:color w:val="231F20"/>
          <w:spacing w:val="-18"/>
          <w:sz w:val="23"/>
        </w:rPr>
        <w:t> </w:t>
      </w:r>
      <w:r>
        <w:rPr>
          <w:color w:val="231F20"/>
          <w:sz w:val="23"/>
        </w:rPr>
        <w:t>trillion</w:t>
      </w:r>
      <w:r>
        <w:rPr>
          <w:color w:val="231F20"/>
          <w:spacing w:val="-17"/>
          <w:sz w:val="23"/>
        </w:rPr>
        <w:t> </w:t>
      </w:r>
      <w:r>
        <w:rPr>
          <w:color w:val="231F20"/>
          <w:sz w:val="23"/>
        </w:rPr>
        <w:t>(14.9</w:t>
      </w:r>
      <w:r>
        <w:rPr>
          <w:color w:val="231F20"/>
          <w:spacing w:val="-17"/>
          <w:sz w:val="23"/>
        </w:rPr>
        <w:t> </w:t>
      </w:r>
      <w:r>
        <w:rPr>
          <w:color w:val="231F20"/>
          <w:sz w:val="23"/>
        </w:rPr>
        <w:t>percent</w:t>
      </w:r>
      <w:r>
        <w:rPr>
          <w:color w:val="231F20"/>
          <w:spacing w:val="-18"/>
          <w:sz w:val="23"/>
        </w:rPr>
        <w:t> </w:t>
      </w:r>
      <w:r>
        <w:rPr>
          <w:color w:val="231F20"/>
          <w:sz w:val="23"/>
        </w:rPr>
        <w:t>of</w:t>
      </w:r>
      <w:r>
        <w:rPr>
          <w:color w:val="231F20"/>
          <w:spacing w:val="-17"/>
          <w:sz w:val="23"/>
        </w:rPr>
        <w:t> </w:t>
      </w:r>
      <w:r>
        <w:rPr>
          <w:color w:val="231F20"/>
          <w:sz w:val="23"/>
        </w:rPr>
        <w:t>GDP)</w:t>
      </w:r>
      <w:r>
        <w:rPr>
          <w:color w:val="231F20"/>
          <w:spacing w:val="-17"/>
          <w:sz w:val="23"/>
        </w:rPr>
        <w:t> </w:t>
      </w:r>
      <w:r>
        <w:rPr>
          <w:color w:val="231F20"/>
          <w:sz w:val="23"/>
        </w:rPr>
        <w:t>and</w:t>
      </w:r>
      <w:r>
        <w:rPr>
          <w:color w:val="231F20"/>
          <w:spacing w:val="-18"/>
          <w:sz w:val="23"/>
        </w:rPr>
        <w:t> </w:t>
      </w:r>
      <w:r>
        <w:rPr>
          <w:color w:val="231F20"/>
          <w:sz w:val="23"/>
        </w:rPr>
        <w:t>capital</w:t>
      </w:r>
      <w:r>
        <w:rPr>
          <w:color w:val="231F20"/>
          <w:spacing w:val="-17"/>
          <w:sz w:val="23"/>
        </w:rPr>
        <w:t> </w:t>
      </w:r>
      <w:r>
        <w:rPr>
          <w:color w:val="231F20"/>
          <w:sz w:val="23"/>
        </w:rPr>
        <w:t>expenditure</w:t>
      </w:r>
      <w:r>
        <w:rPr>
          <w:color w:val="231F20"/>
          <w:spacing w:val="-17"/>
          <w:sz w:val="23"/>
        </w:rPr>
        <w:t> </w:t>
      </w:r>
      <w:r>
        <w:rPr>
          <w:color w:val="231F20"/>
          <w:sz w:val="23"/>
        </w:rPr>
        <w:t>and</w:t>
      </w:r>
      <w:r>
        <w:rPr>
          <w:color w:val="231F20"/>
          <w:spacing w:val="-18"/>
          <w:sz w:val="23"/>
        </w:rPr>
        <w:t> </w:t>
      </w:r>
      <w:r>
        <w:rPr>
          <w:color w:val="231F20"/>
          <w:sz w:val="23"/>
        </w:rPr>
        <w:t>net</w:t>
      </w:r>
      <w:r>
        <w:rPr>
          <w:color w:val="231F20"/>
          <w:spacing w:val="-18"/>
          <w:sz w:val="23"/>
        </w:rPr>
        <w:t> </w:t>
      </w:r>
      <w:r>
        <w:rPr>
          <w:color w:val="231F20"/>
          <w:sz w:val="23"/>
        </w:rPr>
        <w:t>lending</w:t>
      </w:r>
      <w:r>
        <w:rPr>
          <w:color w:val="231F20"/>
          <w:spacing w:val="-17"/>
          <w:sz w:val="23"/>
        </w:rPr>
        <w:t> </w:t>
      </w:r>
      <w:r>
        <w:rPr>
          <w:color w:val="231F20"/>
          <w:sz w:val="23"/>
        </w:rPr>
        <w:t>to</w:t>
      </w:r>
      <w:r>
        <w:rPr>
          <w:color w:val="231F20"/>
          <w:spacing w:val="-17"/>
          <w:sz w:val="23"/>
        </w:rPr>
        <w:t> </w:t>
      </w:r>
      <w:r>
        <w:rPr>
          <w:color w:val="231F20"/>
          <w:sz w:val="23"/>
        </w:rPr>
        <w:t>Le2.7 trillion (6.6 percent of GDP). Foreign-financed capital expenditures are projected at Le1.81</w:t>
      </w:r>
      <w:r>
        <w:rPr>
          <w:color w:val="231F20"/>
          <w:spacing w:val="-26"/>
          <w:sz w:val="23"/>
        </w:rPr>
        <w:t> </w:t>
      </w:r>
      <w:r>
        <w:rPr>
          <w:color w:val="231F20"/>
          <w:sz w:val="23"/>
        </w:rPr>
        <w:t>trillion</w:t>
      </w:r>
      <w:r>
        <w:rPr>
          <w:color w:val="231F20"/>
          <w:spacing w:val="-26"/>
          <w:sz w:val="23"/>
        </w:rPr>
        <w:t> </w:t>
      </w:r>
      <w:r>
        <w:rPr>
          <w:color w:val="231F20"/>
          <w:sz w:val="23"/>
        </w:rPr>
        <w:t>(4.2</w:t>
      </w:r>
      <w:r>
        <w:rPr>
          <w:color w:val="231F20"/>
          <w:spacing w:val="-26"/>
          <w:sz w:val="23"/>
        </w:rPr>
        <w:t> </w:t>
      </w:r>
      <w:r>
        <w:rPr>
          <w:color w:val="231F20"/>
          <w:sz w:val="23"/>
        </w:rPr>
        <w:t>percent</w:t>
      </w:r>
      <w:r>
        <w:rPr>
          <w:color w:val="231F20"/>
          <w:spacing w:val="-26"/>
          <w:sz w:val="23"/>
        </w:rPr>
        <w:t> </w:t>
      </w:r>
      <w:r>
        <w:rPr>
          <w:color w:val="231F20"/>
          <w:sz w:val="23"/>
        </w:rPr>
        <w:t>of</w:t>
      </w:r>
      <w:r>
        <w:rPr>
          <w:color w:val="231F20"/>
          <w:spacing w:val="-26"/>
          <w:sz w:val="23"/>
        </w:rPr>
        <w:t> </w:t>
      </w:r>
      <w:r>
        <w:rPr>
          <w:color w:val="231F20"/>
          <w:sz w:val="23"/>
        </w:rPr>
        <w:t>GDP)</w:t>
      </w:r>
      <w:r>
        <w:rPr>
          <w:color w:val="231F20"/>
          <w:spacing w:val="-26"/>
          <w:sz w:val="23"/>
        </w:rPr>
        <w:t> </w:t>
      </w:r>
      <w:r>
        <w:rPr>
          <w:color w:val="231F20"/>
          <w:sz w:val="23"/>
        </w:rPr>
        <w:t>and</w:t>
      </w:r>
      <w:r>
        <w:rPr>
          <w:color w:val="231F20"/>
          <w:spacing w:val="-26"/>
          <w:sz w:val="23"/>
        </w:rPr>
        <w:t> </w:t>
      </w:r>
      <w:r>
        <w:rPr>
          <w:color w:val="231F20"/>
          <w:sz w:val="23"/>
        </w:rPr>
        <w:t>domestic</w:t>
      </w:r>
      <w:r>
        <w:rPr>
          <w:color w:val="231F20"/>
          <w:spacing w:val="-26"/>
          <w:sz w:val="23"/>
        </w:rPr>
        <w:t> </w:t>
      </w:r>
      <w:r>
        <w:rPr>
          <w:color w:val="231F20"/>
          <w:sz w:val="23"/>
        </w:rPr>
        <w:t>funded</w:t>
      </w:r>
      <w:r>
        <w:rPr>
          <w:color w:val="231F20"/>
          <w:spacing w:val="-26"/>
          <w:sz w:val="23"/>
        </w:rPr>
        <w:t> </w:t>
      </w:r>
      <w:r>
        <w:rPr>
          <w:color w:val="231F20"/>
          <w:sz w:val="23"/>
        </w:rPr>
        <w:t>capital</w:t>
      </w:r>
      <w:r>
        <w:rPr>
          <w:color w:val="231F20"/>
          <w:spacing w:val="-26"/>
          <w:sz w:val="23"/>
        </w:rPr>
        <w:t> </w:t>
      </w:r>
      <w:r>
        <w:rPr>
          <w:color w:val="231F20"/>
          <w:sz w:val="23"/>
        </w:rPr>
        <w:t>expenditures</w:t>
      </w:r>
      <w:r>
        <w:rPr>
          <w:color w:val="231F20"/>
          <w:spacing w:val="-26"/>
          <w:sz w:val="23"/>
        </w:rPr>
        <w:t> </w:t>
      </w:r>
      <w:r>
        <w:rPr>
          <w:color w:val="231F20"/>
          <w:sz w:val="23"/>
        </w:rPr>
        <w:t>at</w:t>
      </w:r>
      <w:r>
        <w:rPr>
          <w:color w:val="231F20"/>
          <w:spacing w:val="-26"/>
          <w:sz w:val="23"/>
        </w:rPr>
        <w:t> </w:t>
      </w:r>
      <w:r>
        <w:rPr>
          <w:color w:val="231F20"/>
          <w:sz w:val="23"/>
        </w:rPr>
        <w:t>Le1.1 trillion (2.6 percent of</w:t>
      </w:r>
      <w:r>
        <w:rPr>
          <w:color w:val="231F20"/>
          <w:spacing w:val="10"/>
          <w:sz w:val="23"/>
        </w:rPr>
        <w:t> </w:t>
      </w:r>
      <w:r>
        <w:rPr>
          <w:color w:val="231F20"/>
          <w:sz w:val="23"/>
        </w:rPr>
        <w:t>GDP).</w:t>
      </w:r>
    </w:p>
    <w:p>
      <w:pPr>
        <w:pStyle w:val="Heading2"/>
        <w:spacing w:before="91"/>
        <w:jc w:val="both"/>
      </w:pPr>
      <w:r>
        <w:rPr>
          <w:color w:val="231F20"/>
        </w:rPr>
        <w:t>Wages and Salaries</w:t>
      </w:r>
    </w:p>
    <w:p>
      <w:pPr>
        <w:pStyle w:val="ListParagraph"/>
        <w:numPr>
          <w:ilvl w:val="0"/>
          <w:numId w:val="2"/>
        </w:numPr>
        <w:tabs>
          <w:tab w:pos="954" w:val="left" w:leader="none"/>
        </w:tabs>
        <w:spacing w:line="285" w:lineRule="auto" w:before="51" w:after="0"/>
        <w:ind w:left="103" w:right="119" w:firstLine="87"/>
        <w:jc w:val="both"/>
        <w:rPr>
          <w:sz w:val="23"/>
        </w:rPr>
      </w:pPr>
      <w:r>
        <w:rPr>
          <w:color w:val="231F20"/>
          <w:sz w:val="23"/>
        </w:rPr>
        <w:t>The</w:t>
      </w:r>
      <w:r>
        <w:rPr>
          <w:color w:val="231F20"/>
          <w:spacing w:val="-42"/>
          <w:sz w:val="23"/>
        </w:rPr>
        <w:t> </w:t>
      </w:r>
      <w:r>
        <w:rPr>
          <w:color w:val="231F20"/>
          <w:sz w:val="23"/>
        </w:rPr>
        <w:t>Government</w:t>
      </w:r>
      <w:r>
        <w:rPr>
          <w:color w:val="231F20"/>
          <w:spacing w:val="-42"/>
          <w:sz w:val="23"/>
        </w:rPr>
        <w:t> </w:t>
      </w:r>
      <w:r>
        <w:rPr>
          <w:color w:val="231F20"/>
          <w:sz w:val="23"/>
        </w:rPr>
        <w:t>wage</w:t>
      </w:r>
      <w:r>
        <w:rPr>
          <w:color w:val="231F20"/>
          <w:spacing w:val="-42"/>
          <w:sz w:val="23"/>
        </w:rPr>
        <w:t> </w:t>
      </w:r>
      <w:r>
        <w:rPr>
          <w:color w:val="231F20"/>
          <w:sz w:val="23"/>
        </w:rPr>
        <w:t>bill</w:t>
      </w:r>
      <w:r>
        <w:rPr>
          <w:color w:val="231F20"/>
          <w:spacing w:val="-41"/>
          <w:sz w:val="23"/>
        </w:rPr>
        <w:t> </w:t>
      </w:r>
      <w:r>
        <w:rPr>
          <w:color w:val="231F20"/>
          <w:sz w:val="23"/>
        </w:rPr>
        <w:t>is</w:t>
      </w:r>
      <w:r>
        <w:rPr>
          <w:color w:val="231F20"/>
          <w:spacing w:val="-42"/>
          <w:sz w:val="23"/>
        </w:rPr>
        <w:t> </w:t>
      </w:r>
      <w:r>
        <w:rPr>
          <w:color w:val="231F20"/>
          <w:sz w:val="23"/>
        </w:rPr>
        <w:t>projected</w:t>
      </w:r>
      <w:r>
        <w:rPr>
          <w:color w:val="231F20"/>
          <w:spacing w:val="-42"/>
          <w:sz w:val="23"/>
        </w:rPr>
        <w:t> </w:t>
      </w:r>
      <w:r>
        <w:rPr>
          <w:color w:val="231F20"/>
          <w:sz w:val="23"/>
        </w:rPr>
        <w:t>to</w:t>
      </w:r>
      <w:r>
        <w:rPr>
          <w:color w:val="231F20"/>
          <w:spacing w:val="-42"/>
          <w:sz w:val="23"/>
        </w:rPr>
        <w:t> </w:t>
      </w:r>
      <w:r>
        <w:rPr>
          <w:color w:val="231F20"/>
          <w:sz w:val="23"/>
        </w:rPr>
        <w:t>increase</w:t>
      </w:r>
      <w:r>
        <w:rPr>
          <w:color w:val="231F20"/>
          <w:spacing w:val="-41"/>
          <w:sz w:val="23"/>
        </w:rPr>
        <w:t> </w:t>
      </w:r>
      <w:r>
        <w:rPr>
          <w:color w:val="231F20"/>
          <w:sz w:val="23"/>
        </w:rPr>
        <w:t>to</w:t>
      </w:r>
      <w:r>
        <w:rPr>
          <w:color w:val="231F20"/>
          <w:spacing w:val="-42"/>
          <w:sz w:val="23"/>
        </w:rPr>
        <w:t> </w:t>
      </w:r>
      <w:r>
        <w:rPr>
          <w:color w:val="231F20"/>
          <w:sz w:val="23"/>
        </w:rPr>
        <w:t>Le3.17</w:t>
      </w:r>
      <w:r>
        <w:rPr>
          <w:color w:val="231F20"/>
          <w:spacing w:val="-42"/>
          <w:sz w:val="23"/>
        </w:rPr>
        <w:t> </w:t>
      </w:r>
      <w:r>
        <w:rPr>
          <w:color w:val="231F20"/>
          <w:sz w:val="23"/>
        </w:rPr>
        <w:t>trillion</w:t>
      </w:r>
      <w:r>
        <w:rPr>
          <w:color w:val="231F20"/>
          <w:spacing w:val="-42"/>
          <w:sz w:val="23"/>
        </w:rPr>
        <w:t> </w:t>
      </w:r>
      <w:r>
        <w:rPr>
          <w:color w:val="231F20"/>
          <w:sz w:val="23"/>
        </w:rPr>
        <w:t>in</w:t>
      </w:r>
      <w:r>
        <w:rPr>
          <w:color w:val="231F20"/>
          <w:spacing w:val="-41"/>
          <w:sz w:val="23"/>
        </w:rPr>
        <w:t> </w:t>
      </w:r>
      <w:r>
        <w:rPr>
          <w:color w:val="231F20"/>
          <w:sz w:val="23"/>
        </w:rPr>
        <w:t>2020</w:t>
      </w:r>
      <w:r>
        <w:rPr>
          <w:color w:val="231F20"/>
          <w:spacing w:val="-42"/>
          <w:sz w:val="23"/>
        </w:rPr>
        <w:t> </w:t>
      </w:r>
      <w:r>
        <w:rPr>
          <w:color w:val="231F20"/>
          <w:sz w:val="23"/>
        </w:rPr>
        <w:t>from Le</w:t>
      </w:r>
      <w:r>
        <w:rPr>
          <w:color w:val="231F20"/>
          <w:spacing w:val="-7"/>
          <w:sz w:val="23"/>
        </w:rPr>
        <w:t> </w:t>
      </w:r>
      <w:r>
        <w:rPr>
          <w:color w:val="231F20"/>
          <w:sz w:val="23"/>
        </w:rPr>
        <w:t>2.59</w:t>
      </w:r>
      <w:r>
        <w:rPr>
          <w:color w:val="231F20"/>
          <w:spacing w:val="-7"/>
          <w:sz w:val="23"/>
        </w:rPr>
        <w:t> </w:t>
      </w:r>
      <w:r>
        <w:rPr>
          <w:color w:val="231F20"/>
          <w:sz w:val="23"/>
        </w:rPr>
        <w:t>trillion</w:t>
      </w:r>
      <w:r>
        <w:rPr>
          <w:color w:val="231F20"/>
          <w:spacing w:val="-6"/>
          <w:sz w:val="23"/>
        </w:rPr>
        <w:t> </w:t>
      </w:r>
      <w:r>
        <w:rPr>
          <w:color w:val="231F20"/>
          <w:sz w:val="23"/>
        </w:rPr>
        <w:t>in</w:t>
      </w:r>
      <w:r>
        <w:rPr>
          <w:color w:val="231F20"/>
          <w:spacing w:val="-6"/>
          <w:sz w:val="23"/>
        </w:rPr>
        <w:t> </w:t>
      </w:r>
      <w:r>
        <w:rPr>
          <w:color w:val="231F20"/>
          <w:sz w:val="23"/>
        </w:rPr>
        <w:t>2019.</w:t>
      </w:r>
      <w:r>
        <w:rPr>
          <w:color w:val="231F20"/>
          <w:spacing w:val="-7"/>
          <w:sz w:val="23"/>
        </w:rPr>
        <w:t> </w:t>
      </w:r>
      <w:r>
        <w:rPr>
          <w:color w:val="231F20"/>
          <w:sz w:val="23"/>
        </w:rPr>
        <w:t>The</w:t>
      </w:r>
      <w:r>
        <w:rPr>
          <w:color w:val="231F20"/>
          <w:spacing w:val="-7"/>
          <w:sz w:val="23"/>
        </w:rPr>
        <w:t> </w:t>
      </w:r>
      <w:r>
        <w:rPr>
          <w:color w:val="231F20"/>
          <w:sz w:val="23"/>
        </w:rPr>
        <w:t>increase</w:t>
      </w:r>
      <w:r>
        <w:rPr>
          <w:color w:val="231F20"/>
          <w:spacing w:val="-6"/>
          <w:sz w:val="23"/>
        </w:rPr>
        <w:t> </w:t>
      </w:r>
      <w:r>
        <w:rPr>
          <w:color w:val="231F20"/>
          <w:sz w:val="23"/>
        </w:rPr>
        <w:t>of</w:t>
      </w:r>
      <w:r>
        <w:rPr>
          <w:color w:val="231F20"/>
          <w:spacing w:val="-7"/>
          <w:sz w:val="23"/>
        </w:rPr>
        <w:t> </w:t>
      </w:r>
      <w:r>
        <w:rPr>
          <w:color w:val="231F20"/>
          <w:sz w:val="23"/>
        </w:rPr>
        <w:t>Le586.6</w:t>
      </w:r>
      <w:r>
        <w:rPr>
          <w:color w:val="231F20"/>
          <w:spacing w:val="-7"/>
          <w:sz w:val="23"/>
        </w:rPr>
        <w:t> </w:t>
      </w:r>
      <w:r>
        <w:rPr>
          <w:color w:val="231F20"/>
          <w:sz w:val="23"/>
        </w:rPr>
        <w:t>billion</w:t>
      </w:r>
      <w:r>
        <w:rPr>
          <w:color w:val="231F20"/>
          <w:spacing w:val="-7"/>
          <w:sz w:val="23"/>
        </w:rPr>
        <w:t> </w:t>
      </w:r>
      <w:r>
        <w:rPr>
          <w:color w:val="231F20"/>
          <w:sz w:val="23"/>
        </w:rPr>
        <w:t>will</w:t>
      </w:r>
      <w:r>
        <w:rPr>
          <w:color w:val="231F20"/>
          <w:spacing w:val="-6"/>
          <w:sz w:val="23"/>
        </w:rPr>
        <w:t> </w:t>
      </w:r>
      <w:r>
        <w:rPr>
          <w:color w:val="231F20"/>
          <w:sz w:val="23"/>
        </w:rPr>
        <w:t>cover</w:t>
      </w:r>
      <w:r>
        <w:rPr>
          <w:color w:val="231F20"/>
          <w:spacing w:val="-6"/>
          <w:sz w:val="23"/>
        </w:rPr>
        <w:t> </w:t>
      </w:r>
      <w:r>
        <w:rPr>
          <w:color w:val="231F20"/>
          <w:sz w:val="23"/>
        </w:rPr>
        <w:t>the</w:t>
      </w:r>
      <w:r>
        <w:rPr>
          <w:color w:val="231F20"/>
          <w:spacing w:val="-6"/>
          <w:sz w:val="23"/>
        </w:rPr>
        <w:t> </w:t>
      </w:r>
      <w:r>
        <w:rPr>
          <w:color w:val="231F20"/>
          <w:sz w:val="23"/>
        </w:rPr>
        <w:t>wage</w:t>
      </w:r>
      <w:r>
        <w:rPr>
          <w:color w:val="231F20"/>
          <w:spacing w:val="-6"/>
          <w:sz w:val="23"/>
        </w:rPr>
        <w:t> </w:t>
      </w:r>
      <w:r>
        <w:rPr>
          <w:color w:val="231F20"/>
          <w:sz w:val="23"/>
        </w:rPr>
        <w:t>bill</w:t>
      </w:r>
      <w:r>
        <w:rPr>
          <w:color w:val="231F20"/>
          <w:spacing w:val="-7"/>
          <w:sz w:val="23"/>
        </w:rPr>
        <w:t> </w:t>
      </w:r>
      <w:r>
        <w:rPr>
          <w:color w:val="231F20"/>
          <w:sz w:val="23"/>
        </w:rPr>
        <w:t>of</w:t>
      </w:r>
      <w:r>
        <w:rPr>
          <w:color w:val="231F20"/>
          <w:spacing w:val="-7"/>
          <w:sz w:val="23"/>
        </w:rPr>
        <w:t> </w:t>
      </w:r>
      <w:r>
        <w:rPr>
          <w:color w:val="231F20"/>
          <w:sz w:val="23"/>
        </w:rPr>
        <w:t>the Universities</w:t>
      </w:r>
      <w:r>
        <w:rPr>
          <w:color w:val="231F20"/>
          <w:spacing w:val="-19"/>
          <w:sz w:val="23"/>
        </w:rPr>
        <w:t> </w:t>
      </w:r>
      <w:r>
        <w:rPr>
          <w:color w:val="231F20"/>
          <w:sz w:val="23"/>
        </w:rPr>
        <w:t>and</w:t>
      </w:r>
      <w:r>
        <w:rPr>
          <w:color w:val="231F20"/>
          <w:spacing w:val="-19"/>
          <w:sz w:val="23"/>
        </w:rPr>
        <w:t> </w:t>
      </w:r>
      <w:r>
        <w:rPr>
          <w:color w:val="231F20"/>
          <w:sz w:val="23"/>
        </w:rPr>
        <w:t>Colleges,</w:t>
      </w:r>
      <w:r>
        <w:rPr>
          <w:color w:val="231F20"/>
          <w:spacing w:val="-19"/>
          <w:sz w:val="23"/>
        </w:rPr>
        <w:t> </w:t>
      </w:r>
      <w:r>
        <w:rPr>
          <w:color w:val="231F20"/>
          <w:sz w:val="23"/>
        </w:rPr>
        <w:t>bringing</w:t>
      </w:r>
      <w:r>
        <w:rPr>
          <w:color w:val="231F20"/>
          <w:spacing w:val="-19"/>
          <w:sz w:val="23"/>
        </w:rPr>
        <w:t> </w:t>
      </w:r>
      <w:r>
        <w:rPr>
          <w:color w:val="231F20"/>
          <w:sz w:val="23"/>
        </w:rPr>
        <w:t>into</w:t>
      </w:r>
      <w:r>
        <w:rPr>
          <w:color w:val="231F20"/>
          <w:spacing w:val="-19"/>
          <w:sz w:val="23"/>
        </w:rPr>
        <w:t> </w:t>
      </w:r>
      <w:r>
        <w:rPr>
          <w:color w:val="231F20"/>
          <w:sz w:val="23"/>
        </w:rPr>
        <w:t>the</w:t>
      </w:r>
      <w:r>
        <w:rPr>
          <w:color w:val="231F20"/>
          <w:spacing w:val="-19"/>
          <w:sz w:val="23"/>
        </w:rPr>
        <w:t> </w:t>
      </w:r>
      <w:r>
        <w:rPr>
          <w:color w:val="231F20"/>
          <w:sz w:val="23"/>
        </w:rPr>
        <w:t>payroll</w:t>
      </w:r>
      <w:r>
        <w:rPr>
          <w:color w:val="231F20"/>
          <w:spacing w:val="-19"/>
          <w:sz w:val="23"/>
        </w:rPr>
        <w:t> </w:t>
      </w:r>
      <w:r>
        <w:rPr>
          <w:color w:val="231F20"/>
          <w:sz w:val="23"/>
        </w:rPr>
        <w:t>5000</w:t>
      </w:r>
      <w:r>
        <w:rPr>
          <w:color w:val="231F20"/>
          <w:spacing w:val="-19"/>
          <w:sz w:val="23"/>
        </w:rPr>
        <w:t> </w:t>
      </w:r>
      <w:r>
        <w:rPr>
          <w:color w:val="231F20"/>
          <w:sz w:val="23"/>
        </w:rPr>
        <w:t>teachers,</w:t>
      </w:r>
      <w:r>
        <w:rPr>
          <w:color w:val="231F20"/>
          <w:spacing w:val="-19"/>
          <w:sz w:val="23"/>
        </w:rPr>
        <w:t> </w:t>
      </w:r>
      <w:r>
        <w:rPr>
          <w:color w:val="231F20"/>
          <w:sz w:val="23"/>
        </w:rPr>
        <w:t>3000</w:t>
      </w:r>
      <w:r>
        <w:rPr>
          <w:color w:val="231F20"/>
          <w:spacing w:val="-19"/>
          <w:sz w:val="23"/>
        </w:rPr>
        <w:t> </w:t>
      </w:r>
      <w:r>
        <w:rPr>
          <w:color w:val="231F20"/>
          <w:sz w:val="23"/>
        </w:rPr>
        <w:t>health</w:t>
      </w:r>
      <w:r>
        <w:rPr>
          <w:color w:val="231F20"/>
          <w:spacing w:val="-19"/>
          <w:sz w:val="23"/>
        </w:rPr>
        <w:t> </w:t>
      </w:r>
      <w:r>
        <w:rPr>
          <w:color w:val="231F20"/>
          <w:sz w:val="23"/>
        </w:rPr>
        <w:t>sector workers and 1000 police office in</w:t>
      </w:r>
      <w:r>
        <w:rPr>
          <w:color w:val="231F20"/>
          <w:spacing w:val="-42"/>
          <w:sz w:val="23"/>
        </w:rPr>
        <w:t> </w:t>
      </w:r>
      <w:r>
        <w:rPr>
          <w:color w:val="231F20"/>
          <w:sz w:val="23"/>
        </w:rPr>
        <w:t>2020.</w:t>
      </w:r>
    </w:p>
    <w:p>
      <w:pPr>
        <w:pStyle w:val="ListParagraph"/>
        <w:numPr>
          <w:ilvl w:val="0"/>
          <w:numId w:val="2"/>
        </w:numPr>
        <w:tabs>
          <w:tab w:pos="954" w:val="left" w:leader="none"/>
        </w:tabs>
        <w:spacing w:line="285" w:lineRule="auto" w:before="95" w:after="0"/>
        <w:ind w:left="103" w:right="119" w:firstLine="87"/>
        <w:jc w:val="both"/>
        <w:rPr>
          <w:sz w:val="23"/>
        </w:rPr>
      </w:pPr>
      <w:r>
        <w:rPr>
          <w:color w:val="231F20"/>
          <w:sz w:val="23"/>
        </w:rPr>
        <w:t>Following the improvment in the conditions of service of health workers salaries</w:t>
      </w:r>
      <w:r>
        <w:rPr>
          <w:color w:val="231F20"/>
          <w:spacing w:val="-44"/>
          <w:sz w:val="23"/>
        </w:rPr>
        <w:t> </w:t>
      </w:r>
      <w:r>
        <w:rPr>
          <w:color w:val="231F20"/>
          <w:sz w:val="23"/>
        </w:rPr>
        <w:t>of</w:t>
      </w:r>
      <w:r>
        <w:rPr>
          <w:color w:val="231F20"/>
          <w:spacing w:val="-43"/>
          <w:sz w:val="23"/>
        </w:rPr>
        <w:t> </w:t>
      </w:r>
      <w:r>
        <w:rPr>
          <w:color w:val="231F20"/>
          <w:sz w:val="23"/>
        </w:rPr>
        <w:t>teachers</w:t>
      </w:r>
      <w:r>
        <w:rPr>
          <w:color w:val="231F20"/>
          <w:spacing w:val="-44"/>
          <w:sz w:val="23"/>
        </w:rPr>
        <w:t> </w:t>
      </w:r>
      <w:r>
        <w:rPr>
          <w:color w:val="231F20"/>
          <w:sz w:val="23"/>
        </w:rPr>
        <w:t>are</w:t>
      </w:r>
      <w:r>
        <w:rPr>
          <w:color w:val="231F20"/>
          <w:spacing w:val="-12"/>
          <w:sz w:val="23"/>
        </w:rPr>
        <w:t> </w:t>
      </w:r>
      <w:r>
        <w:rPr>
          <w:color w:val="231F20"/>
          <w:sz w:val="23"/>
        </w:rPr>
        <w:t>increased</w:t>
      </w:r>
      <w:r>
        <w:rPr>
          <w:color w:val="231F20"/>
          <w:spacing w:val="-43"/>
          <w:sz w:val="23"/>
        </w:rPr>
        <w:t> </w:t>
      </w:r>
      <w:r>
        <w:rPr>
          <w:color w:val="231F20"/>
          <w:sz w:val="23"/>
        </w:rPr>
        <w:t>by</w:t>
      </w:r>
      <w:r>
        <w:rPr>
          <w:color w:val="231F20"/>
          <w:spacing w:val="-43"/>
          <w:sz w:val="23"/>
        </w:rPr>
        <w:t> </w:t>
      </w:r>
      <w:r>
        <w:rPr>
          <w:color w:val="231F20"/>
          <w:sz w:val="23"/>
        </w:rPr>
        <w:t>30</w:t>
      </w:r>
      <w:r>
        <w:rPr>
          <w:color w:val="231F20"/>
          <w:spacing w:val="-44"/>
          <w:sz w:val="23"/>
        </w:rPr>
        <w:t> </w:t>
      </w:r>
      <w:r>
        <w:rPr>
          <w:color w:val="231F20"/>
          <w:sz w:val="23"/>
        </w:rPr>
        <w:t>percent,</w:t>
      </w:r>
      <w:r>
        <w:rPr>
          <w:color w:val="231F20"/>
          <w:spacing w:val="-43"/>
          <w:sz w:val="23"/>
        </w:rPr>
        <w:t> </w:t>
      </w:r>
      <w:r>
        <w:rPr>
          <w:color w:val="231F20"/>
          <w:sz w:val="23"/>
        </w:rPr>
        <w:t>to</w:t>
      </w:r>
      <w:r>
        <w:rPr>
          <w:color w:val="231F20"/>
          <w:spacing w:val="-44"/>
          <w:sz w:val="23"/>
        </w:rPr>
        <w:t> </w:t>
      </w:r>
      <w:r>
        <w:rPr>
          <w:color w:val="231F20"/>
          <w:sz w:val="23"/>
        </w:rPr>
        <w:t>support</w:t>
      </w:r>
      <w:r>
        <w:rPr>
          <w:color w:val="231F20"/>
          <w:spacing w:val="-43"/>
          <w:sz w:val="23"/>
        </w:rPr>
        <w:t> </w:t>
      </w:r>
      <w:r>
        <w:rPr>
          <w:color w:val="231F20"/>
          <w:sz w:val="23"/>
        </w:rPr>
        <w:t>human</w:t>
      </w:r>
      <w:r>
        <w:rPr>
          <w:color w:val="231F20"/>
          <w:spacing w:val="-43"/>
          <w:sz w:val="23"/>
        </w:rPr>
        <w:t> </w:t>
      </w:r>
      <w:r>
        <w:rPr>
          <w:color w:val="231F20"/>
          <w:sz w:val="23"/>
        </w:rPr>
        <w:t>capital</w:t>
      </w:r>
      <w:r>
        <w:rPr>
          <w:color w:val="231F20"/>
          <w:spacing w:val="-44"/>
          <w:sz w:val="23"/>
        </w:rPr>
        <w:t> </w:t>
      </w:r>
      <w:r>
        <w:rPr>
          <w:color w:val="231F20"/>
          <w:sz w:val="23"/>
        </w:rPr>
        <w:t>development effective April 2020. To improve the living conditions of low-income earners, Government</w:t>
      </w:r>
      <w:r>
        <w:rPr>
          <w:color w:val="231F20"/>
          <w:spacing w:val="-43"/>
          <w:sz w:val="23"/>
        </w:rPr>
        <w:t> </w:t>
      </w:r>
      <w:r>
        <w:rPr>
          <w:color w:val="231F20"/>
          <w:sz w:val="23"/>
        </w:rPr>
        <w:t>is</w:t>
      </w:r>
      <w:r>
        <w:rPr>
          <w:color w:val="231F20"/>
          <w:spacing w:val="-43"/>
          <w:sz w:val="23"/>
        </w:rPr>
        <w:t> </w:t>
      </w:r>
      <w:r>
        <w:rPr>
          <w:color w:val="231F20"/>
          <w:sz w:val="23"/>
        </w:rPr>
        <w:t>increasing</w:t>
      </w:r>
      <w:r>
        <w:rPr>
          <w:color w:val="231F20"/>
          <w:spacing w:val="-42"/>
          <w:sz w:val="23"/>
        </w:rPr>
        <w:t> </w:t>
      </w:r>
      <w:r>
        <w:rPr>
          <w:color w:val="231F20"/>
          <w:sz w:val="23"/>
        </w:rPr>
        <w:t>the</w:t>
      </w:r>
      <w:r>
        <w:rPr>
          <w:color w:val="231F20"/>
          <w:spacing w:val="-43"/>
          <w:sz w:val="23"/>
        </w:rPr>
        <w:t> </w:t>
      </w:r>
      <w:r>
        <w:rPr>
          <w:color w:val="231F20"/>
          <w:sz w:val="23"/>
        </w:rPr>
        <w:t>minimum</w:t>
      </w:r>
      <w:r>
        <w:rPr>
          <w:color w:val="231F20"/>
          <w:spacing w:val="-42"/>
          <w:sz w:val="23"/>
        </w:rPr>
        <w:t> </w:t>
      </w:r>
      <w:r>
        <w:rPr>
          <w:color w:val="231F20"/>
          <w:sz w:val="23"/>
        </w:rPr>
        <w:t>wage</w:t>
      </w:r>
      <w:r>
        <w:rPr>
          <w:color w:val="231F20"/>
          <w:spacing w:val="-43"/>
          <w:sz w:val="23"/>
        </w:rPr>
        <w:t> </w:t>
      </w:r>
      <w:r>
        <w:rPr>
          <w:color w:val="231F20"/>
          <w:sz w:val="23"/>
        </w:rPr>
        <w:t>from</w:t>
      </w:r>
      <w:r>
        <w:rPr>
          <w:color w:val="231F20"/>
          <w:spacing w:val="-42"/>
          <w:sz w:val="23"/>
        </w:rPr>
        <w:t> </w:t>
      </w:r>
      <w:r>
        <w:rPr>
          <w:color w:val="231F20"/>
          <w:sz w:val="23"/>
        </w:rPr>
        <w:t>Le500,000</w:t>
      </w:r>
      <w:r>
        <w:rPr>
          <w:color w:val="231F20"/>
          <w:spacing w:val="-43"/>
          <w:sz w:val="23"/>
        </w:rPr>
        <w:t> </w:t>
      </w:r>
      <w:r>
        <w:rPr>
          <w:color w:val="231F20"/>
          <w:sz w:val="23"/>
        </w:rPr>
        <w:t>to</w:t>
      </w:r>
      <w:r>
        <w:rPr>
          <w:color w:val="231F20"/>
          <w:spacing w:val="-42"/>
          <w:sz w:val="23"/>
        </w:rPr>
        <w:t> </w:t>
      </w:r>
      <w:r>
        <w:rPr>
          <w:color w:val="231F20"/>
          <w:sz w:val="23"/>
        </w:rPr>
        <w:t>Le600,000</w:t>
      </w:r>
      <w:r>
        <w:rPr>
          <w:color w:val="231F20"/>
          <w:spacing w:val="-43"/>
          <w:sz w:val="23"/>
        </w:rPr>
        <w:t> </w:t>
      </w:r>
      <w:r>
        <w:rPr>
          <w:color w:val="231F20"/>
          <w:sz w:val="23"/>
        </w:rPr>
        <w:t>per</w:t>
      </w:r>
      <w:r>
        <w:rPr>
          <w:color w:val="231F20"/>
          <w:spacing w:val="-42"/>
          <w:sz w:val="23"/>
        </w:rPr>
        <w:t> </w:t>
      </w:r>
      <w:r>
        <w:rPr>
          <w:color w:val="231F20"/>
          <w:sz w:val="23"/>
        </w:rPr>
        <w:t>month.</w:t>
      </w:r>
    </w:p>
    <w:p>
      <w:pPr>
        <w:pStyle w:val="BodyText"/>
        <w:spacing w:before="8"/>
        <w:rPr>
          <w:sz w:val="26"/>
        </w:rPr>
      </w:pPr>
    </w:p>
    <w:p>
      <w:pPr>
        <w:pStyle w:val="ListParagraph"/>
        <w:numPr>
          <w:ilvl w:val="0"/>
          <w:numId w:val="2"/>
        </w:numPr>
        <w:tabs>
          <w:tab w:pos="954" w:val="left" w:leader="none"/>
        </w:tabs>
        <w:spacing w:line="285" w:lineRule="auto" w:before="0" w:after="0"/>
        <w:ind w:left="103" w:right="118" w:firstLine="87"/>
        <w:jc w:val="both"/>
        <w:rPr>
          <w:sz w:val="23"/>
        </w:rPr>
      </w:pPr>
      <w:r>
        <w:rPr>
          <w:color w:val="231F20"/>
          <w:sz w:val="23"/>
        </w:rPr>
        <w:t>Mr. Speaker, Honourable Members, the role of the political leadership in councils</w:t>
      </w:r>
      <w:r>
        <w:rPr>
          <w:color w:val="231F20"/>
          <w:spacing w:val="-36"/>
          <w:sz w:val="23"/>
        </w:rPr>
        <w:t> </w:t>
      </w:r>
      <w:r>
        <w:rPr>
          <w:color w:val="231F20"/>
          <w:sz w:val="23"/>
        </w:rPr>
        <w:t>is</w:t>
      </w:r>
      <w:r>
        <w:rPr>
          <w:color w:val="231F20"/>
          <w:spacing w:val="-36"/>
          <w:sz w:val="23"/>
        </w:rPr>
        <w:t> </w:t>
      </w:r>
      <w:r>
        <w:rPr>
          <w:color w:val="231F20"/>
          <w:sz w:val="23"/>
        </w:rPr>
        <w:t>critical</w:t>
      </w:r>
      <w:r>
        <w:rPr>
          <w:color w:val="231F20"/>
          <w:spacing w:val="-36"/>
          <w:sz w:val="23"/>
        </w:rPr>
        <w:t> </w:t>
      </w:r>
      <w:r>
        <w:rPr>
          <w:color w:val="231F20"/>
          <w:sz w:val="23"/>
        </w:rPr>
        <w:t>in</w:t>
      </w:r>
      <w:r>
        <w:rPr>
          <w:color w:val="231F20"/>
          <w:spacing w:val="-36"/>
          <w:sz w:val="23"/>
        </w:rPr>
        <w:t> </w:t>
      </w:r>
      <w:r>
        <w:rPr>
          <w:color w:val="231F20"/>
          <w:sz w:val="23"/>
        </w:rPr>
        <w:t>the</w:t>
      </w:r>
      <w:r>
        <w:rPr>
          <w:color w:val="231F20"/>
          <w:spacing w:val="-36"/>
          <w:sz w:val="23"/>
        </w:rPr>
        <w:t> </w:t>
      </w:r>
      <w:r>
        <w:rPr>
          <w:color w:val="231F20"/>
          <w:sz w:val="23"/>
        </w:rPr>
        <w:t>delivery</w:t>
      </w:r>
      <w:r>
        <w:rPr>
          <w:color w:val="231F20"/>
          <w:spacing w:val="-36"/>
          <w:sz w:val="23"/>
        </w:rPr>
        <w:t> </w:t>
      </w:r>
      <w:r>
        <w:rPr>
          <w:color w:val="231F20"/>
          <w:sz w:val="23"/>
        </w:rPr>
        <w:t>of</w:t>
      </w:r>
      <w:r>
        <w:rPr>
          <w:color w:val="231F20"/>
          <w:spacing w:val="-36"/>
          <w:sz w:val="23"/>
        </w:rPr>
        <w:t> </w:t>
      </w:r>
      <w:r>
        <w:rPr>
          <w:color w:val="231F20"/>
          <w:sz w:val="23"/>
        </w:rPr>
        <w:t>services</w:t>
      </w:r>
      <w:r>
        <w:rPr>
          <w:color w:val="231F20"/>
          <w:spacing w:val="-36"/>
          <w:sz w:val="23"/>
        </w:rPr>
        <w:t> </w:t>
      </w:r>
      <w:r>
        <w:rPr>
          <w:color w:val="231F20"/>
          <w:sz w:val="23"/>
        </w:rPr>
        <w:t>that</w:t>
      </w:r>
      <w:r>
        <w:rPr>
          <w:color w:val="231F20"/>
          <w:spacing w:val="-36"/>
          <w:sz w:val="23"/>
        </w:rPr>
        <w:t> </w:t>
      </w:r>
      <w:r>
        <w:rPr>
          <w:color w:val="231F20"/>
          <w:sz w:val="23"/>
        </w:rPr>
        <w:t>supports</w:t>
      </w:r>
      <w:r>
        <w:rPr>
          <w:color w:val="231F20"/>
          <w:spacing w:val="-36"/>
          <w:sz w:val="23"/>
        </w:rPr>
        <w:t> </w:t>
      </w:r>
      <w:r>
        <w:rPr>
          <w:color w:val="231F20"/>
          <w:sz w:val="23"/>
        </w:rPr>
        <w:t>local</w:t>
      </w:r>
      <w:r>
        <w:rPr>
          <w:color w:val="231F20"/>
          <w:spacing w:val="-36"/>
          <w:sz w:val="23"/>
        </w:rPr>
        <w:t> </w:t>
      </w:r>
      <w:r>
        <w:rPr>
          <w:color w:val="231F20"/>
          <w:sz w:val="23"/>
        </w:rPr>
        <w:t>economic</w:t>
      </w:r>
      <w:r>
        <w:rPr>
          <w:color w:val="231F20"/>
          <w:spacing w:val="-36"/>
          <w:sz w:val="23"/>
        </w:rPr>
        <w:t> </w:t>
      </w:r>
      <w:r>
        <w:rPr>
          <w:color w:val="231F20"/>
          <w:sz w:val="23"/>
        </w:rPr>
        <w:t>development. However, this has not reflected in the remuneration of Mayors or Chairpersons and their Deputies. This has negatively affected the morale and effectiveness of council political leadership. Whilst we expect the review of the Decentralisation Policy and Local Government Act to substantively address these issues amongst others, a first step is taken to introduce payment of salaries to Mayors/Chairpersons and their Deputies</w:t>
      </w:r>
      <w:r>
        <w:rPr>
          <w:color w:val="231F20"/>
          <w:spacing w:val="-10"/>
          <w:sz w:val="23"/>
        </w:rPr>
        <w:t> </w:t>
      </w:r>
      <w:r>
        <w:rPr>
          <w:color w:val="231F20"/>
          <w:sz w:val="23"/>
        </w:rPr>
        <w:t>effective</w:t>
      </w:r>
      <w:r>
        <w:rPr>
          <w:color w:val="231F20"/>
          <w:spacing w:val="-10"/>
          <w:sz w:val="23"/>
        </w:rPr>
        <w:t> </w:t>
      </w:r>
      <w:r>
        <w:rPr>
          <w:color w:val="231F20"/>
          <w:sz w:val="23"/>
        </w:rPr>
        <w:t>April</w:t>
      </w:r>
      <w:r>
        <w:rPr>
          <w:color w:val="231F20"/>
          <w:spacing w:val="-10"/>
          <w:sz w:val="23"/>
        </w:rPr>
        <w:t> </w:t>
      </w:r>
      <w:r>
        <w:rPr>
          <w:color w:val="231F20"/>
          <w:sz w:val="23"/>
        </w:rPr>
        <w:t>2020.</w:t>
      </w:r>
      <w:r>
        <w:rPr>
          <w:color w:val="231F20"/>
          <w:spacing w:val="-10"/>
          <w:sz w:val="23"/>
        </w:rPr>
        <w:t> </w:t>
      </w:r>
      <w:r>
        <w:rPr>
          <w:color w:val="231F20"/>
          <w:sz w:val="23"/>
        </w:rPr>
        <w:t>In</w:t>
      </w:r>
      <w:r>
        <w:rPr>
          <w:color w:val="231F20"/>
          <w:spacing w:val="-10"/>
          <w:sz w:val="23"/>
        </w:rPr>
        <w:t> </w:t>
      </w:r>
      <w:r>
        <w:rPr>
          <w:color w:val="231F20"/>
          <w:sz w:val="23"/>
        </w:rPr>
        <w:t>the</w:t>
      </w:r>
      <w:r>
        <w:rPr>
          <w:color w:val="231F20"/>
          <w:spacing w:val="-10"/>
          <w:sz w:val="23"/>
        </w:rPr>
        <w:t> </w:t>
      </w:r>
      <w:r>
        <w:rPr>
          <w:color w:val="231F20"/>
          <w:sz w:val="23"/>
        </w:rPr>
        <w:t>same</w:t>
      </w:r>
      <w:r>
        <w:rPr>
          <w:color w:val="231F20"/>
          <w:spacing w:val="-10"/>
          <w:sz w:val="23"/>
        </w:rPr>
        <w:t> </w:t>
      </w:r>
      <w:r>
        <w:rPr>
          <w:color w:val="231F20"/>
          <w:sz w:val="23"/>
        </w:rPr>
        <w:t>vein,</w:t>
      </w:r>
      <w:r>
        <w:rPr>
          <w:color w:val="231F20"/>
          <w:spacing w:val="-10"/>
          <w:sz w:val="23"/>
        </w:rPr>
        <w:t> </w:t>
      </w:r>
      <w:r>
        <w:rPr>
          <w:color w:val="231F20"/>
          <w:sz w:val="23"/>
        </w:rPr>
        <w:t>sitting</w:t>
      </w:r>
      <w:r>
        <w:rPr>
          <w:color w:val="231F20"/>
          <w:spacing w:val="-10"/>
          <w:sz w:val="23"/>
        </w:rPr>
        <w:t> </w:t>
      </w:r>
      <w:r>
        <w:rPr>
          <w:color w:val="231F20"/>
          <w:sz w:val="23"/>
        </w:rPr>
        <w:t>fees</w:t>
      </w:r>
      <w:r>
        <w:rPr>
          <w:color w:val="231F20"/>
          <w:spacing w:val="-10"/>
          <w:sz w:val="23"/>
        </w:rPr>
        <w:t> </w:t>
      </w:r>
      <w:r>
        <w:rPr>
          <w:color w:val="231F20"/>
          <w:sz w:val="23"/>
        </w:rPr>
        <w:t>and</w:t>
      </w:r>
      <w:r>
        <w:rPr>
          <w:color w:val="231F20"/>
          <w:spacing w:val="-10"/>
          <w:sz w:val="23"/>
        </w:rPr>
        <w:t> </w:t>
      </w:r>
      <w:r>
        <w:rPr>
          <w:color w:val="231F20"/>
          <w:sz w:val="23"/>
        </w:rPr>
        <w:t>transport</w:t>
      </w:r>
      <w:r>
        <w:rPr>
          <w:color w:val="231F20"/>
          <w:spacing w:val="-10"/>
          <w:sz w:val="23"/>
        </w:rPr>
        <w:t> </w:t>
      </w:r>
      <w:r>
        <w:rPr>
          <w:color w:val="231F20"/>
          <w:sz w:val="23"/>
        </w:rPr>
        <w:t>allowances for Councillors will also be</w:t>
      </w:r>
      <w:r>
        <w:rPr>
          <w:color w:val="231F20"/>
          <w:spacing w:val="35"/>
          <w:sz w:val="23"/>
        </w:rPr>
        <w:t> </w:t>
      </w:r>
      <w:r>
        <w:rPr>
          <w:color w:val="231F20"/>
          <w:sz w:val="23"/>
        </w:rPr>
        <w:t>increased.</w:t>
      </w:r>
    </w:p>
    <w:p>
      <w:pPr>
        <w:pStyle w:val="BodyText"/>
        <w:spacing w:before="4"/>
        <w:rPr>
          <w:sz w:val="24"/>
        </w:rPr>
      </w:pPr>
    </w:p>
    <w:p>
      <w:pPr>
        <w:pStyle w:val="Heading1"/>
      </w:pPr>
      <w:r>
        <w:rPr>
          <w:color w:val="231F20"/>
        </w:rPr>
        <w:t>33</w:t>
      </w:r>
    </w:p>
    <w:p>
      <w:pPr>
        <w:spacing w:after="0"/>
        <w:sectPr>
          <w:pgSz w:w="11900" w:h="16840"/>
          <w:pgMar w:top="1160" w:bottom="280" w:left="1140" w:right="1120"/>
        </w:sectPr>
      </w:pPr>
    </w:p>
    <w:p>
      <w:pPr>
        <w:pStyle w:val="ListParagraph"/>
        <w:numPr>
          <w:ilvl w:val="0"/>
          <w:numId w:val="2"/>
        </w:numPr>
        <w:tabs>
          <w:tab w:pos="954" w:val="left" w:leader="none"/>
        </w:tabs>
        <w:spacing w:line="302" w:lineRule="auto" w:before="77" w:after="0"/>
        <w:ind w:left="103" w:right="119" w:firstLine="87"/>
        <w:jc w:val="both"/>
        <w:rPr>
          <w:sz w:val="23"/>
        </w:rPr>
      </w:pPr>
      <w:r>
        <w:rPr>
          <w:color w:val="231F20"/>
          <w:sz w:val="23"/>
        </w:rPr>
        <w:t>Mr. Speaker, Honourable Members, in addition to the political leadership in councils, the core staff of councils are working in a very difficult condition with low salaries and morale. This situation has posed a challenge to attract and retain competent</w:t>
      </w:r>
      <w:r>
        <w:rPr>
          <w:color w:val="231F20"/>
          <w:spacing w:val="-5"/>
          <w:sz w:val="23"/>
        </w:rPr>
        <w:t> </w:t>
      </w:r>
      <w:r>
        <w:rPr>
          <w:color w:val="231F20"/>
          <w:sz w:val="23"/>
        </w:rPr>
        <w:t>and</w:t>
      </w:r>
      <w:r>
        <w:rPr>
          <w:color w:val="231F20"/>
          <w:spacing w:val="-5"/>
          <w:sz w:val="23"/>
        </w:rPr>
        <w:t> </w:t>
      </w:r>
      <w:r>
        <w:rPr>
          <w:color w:val="231F20"/>
          <w:sz w:val="23"/>
        </w:rPr>
        <w:t>qualified</w:t>
      </w:r>
      <w:r>
        <w:rPr>
          <w:color w:val="231F20"/>
          <w:spacing w:val="-5"/>
          <w:sz w:val="23"/>
        </w:rPr>
        <w:t> </w:t>
      </w:r>
      <w:r>
        <w:rPr>
          <w:color w:val="231F20"/>
          <w:sz w:val="23"/>
        </w:rPr>
        <w:t>staff</w:t>
      </w:r>
      <w:r>
        <w:rPr>
          <w:color w:val="231F20"/>
          <w:spacing w:val="-5"/>
          <w:sz w:val="23"/>
        </w:rPr>
        <w:t> </w:t>
      </w:r>
      <w:r>
        <w:rPr>
          <w:color w:val="231F20"/>
          <w:sz w:val="23"/>
        </w:rPr>
        <w:t>to</w:t>
      </w:r>
      <w:r>
        <w:rPr>
          <w:color w:val="231F20"/>
          <w:spacing w:val="-5"/>
          <w:sz w:val="23"/>
        </w:rPr>
        <w:t> </w:t>
      </w:r>
      <w:r>
        <w:rPr>
          <w:color w:val="231F20"/>
          <w:sz w:val="23"/>
        </w:rPr>
        <w:t>work</w:t>
      </w:r>
      <w:r>
        <w:rPr>
          <w:color w:val="231F20"/>
          <w:spacing w:val="-5"/>
          <w:sz w:val="23"/>
        </w:rPr>
        <w:t> </w:t>
      </w:r>
      <w:r>
        <w:rPr>
          <w:color w:val="231F20"/>
          <w:sz w:val="23"/>
        </w:rPr>
        <w:t>in</w:t>
      </w:r>
      <w:r>
        <w:rPr>
          <w:color w:val="231F20"/>
          <w:spacing w:val="-5"/>
          <w:sz w:val="23"/>
        </w:rPr>
        <w:t> </w:t>
      </w:r>
      <w:r>
        <w:rPr>
          <w:color w:val="231F20"/>
          <w:sz w:val="23"/>
        </w:rPr>
        <w:t>local</w:t>
      </w:r>
      <w:r>
        <w:rPr>
          <w:color w:val="231F20"/>
          <w:spacing w:val="-5"/>
          <w:sz w:val="23"/>
        </w:rPr>
        <w:t> </w:t>
      </w:r>
      <w:r>
        <w:rPr>
          <w:color w:val="231F20"/>
          <w:sz w:val="23"/>
        </w:rPr>
        <w:t>councils.</w:t>
      </w:r>
      <w:r>
        <w:rPr>
          <w:color w:val="231F20"/>
          <w:spacing w:val="-5"/>
          <w:sz w:val="23"/>
        </w:rPr>
        <w:t> </w:t>
      </w:r>
      <w:r>
        <w:rPr>
          <w:color w:val="231F20"/>
          <w:sz w:val="23"/>
        </w:rPr>
        <w:t>This</w:t>
      </w:r>
      <w:r>
        <w:rPr>
          <w:color w:val="231F20"/>
          <w:spacing w:val="-5"/>
          <w:sz w:val="23"/>
        </w:rPr>
        <w:t> </w:t>
      </w:r>
      <w:r>
        <w:rPr>
          <w:color w:val="231F20"/>
          <w:sz w:val="23"/>
        </w:rPr>
        <w:t>must</w:t>
      </w:r>
      <w:r>
        <w:rPr>
          <w:color w:val="231F20"/>
          <w:spacing w:val="-5"/>
          <w:sz w:val="23"/>
        </w:rPr>
        <w:t> </w:t>
      </w:r>
      <w:r>
        <w:rPr>
          <w:color w:val="231F20"/>
          <w:sz w:val="23"/>
        </w:rPr>
        <w:t>change</w:t>
      </w:r>
      <w:r>
        <w:rPr>
          <w:color w:val="231F20"/>
          <w:spacing w:val="-5"/>
          <w:sz w:val="23"/>
        </w:rPr>
        <w:t> </w:t>
      </w:r>
      <w:r>
        <w:rPr>
          <w:color w:val="231F20"/>
          <w:sz w:val="23"/>
        </w:rPr>
        <w:t>if</w:t>
      </w:r>
      <w:r>
        <w:rPr>
          <w:color w:val="231F20"/>
          <w:spacing w:val="-5"/>
          <w:sz w:val="23"/>
        </w:rPr>
        <w:t> </w:t>
      </w:r>
      <w:r>
        <w:rPr>
          <w:color w:val="231F20"/>
          <w:sz w:val="23"/>
        </w:rPr>
        <w:t>councils are</w:t>
      </w:r>
      <w:r>
        <w:rPr>
          <w:color w:val="231F20"/>
          <w:spacing w:val="-17"/>
          <w:sz w:val="23"/>
        </w:rPr>
        <w:t> </w:t>
      </w:r>
      <w:r>
        <w:rPr>
          <w:color w:val="231F20"/>
          <w:sz w:val="23"/>
        </w:rPr>
        <w:t>to</w:t>
      </w:r>
      <w:r>
        <w:rPr>
          <w:color w:val="231F20"/>
          <w:spacing w:val="-17"/>
          <w:sz w:val="23"/>
        </w:rPr>
        <w:t> </w:t>
      </w:r>
      <w:r>
        <w:rPr>
          <w:color w:val="231F20"/>
          <w:sz w:val="23"/>
        </w:rPr>
        <w:t>truly</w:t>
      </w:r>
      <w:r>
        <w:rPr>
          <w:color w:val="231F20"/>
          <w:spacing w:val="-17"/>
          <w:sz w:val="23"/>
        </w:rPr>
        <w:t> </w:t>
      </w:r>
      <w:r>
        <w:rPr>
          <w:color w:val="231F20"/>
          <w:sz w:val="23"/>
        </w:rPr>
        <w:t>deliver</w:t>
      </w:r>
      <w:r>
        <w:rPr>
          <w:color w:val="231F20"/>
          <w:spacing w:val="-17"/>
          <w:sz w:val="23"/>
        </w:rPr>
        <w:t> </w:t>
      </w:r>
      <w:r>
        <w:rPr>
          <w:color w:val="231F20"/>
          <w:sz w:val="23"/>
        </w:rPr>
        <w:t>improved</w:t>
      </w:r>
      <w:r>
        <w:rPr>
          <w:color w:val="231F20"/>
          <w:spacing w:val="-17"/>
          <w:sz w:val="23"/>
        </w:rPr>
        <w:t> </w:t>
      </w:r>
      <w:r>
        <w:rPr>
          <w:color w:val="231F20"/>
          <w:sz w:val="23"/>
        </w:rPr>
        <w:t>services</w:t>
      </w:r>
      <w:r>
        <w:rPr>
          <w:color w:val="231F20"/>
          <w:spacing w:val="-17"/>
          <w:sz w:val="23"/>
        </w:rPr>
        <w:t> </w:t>
      </w:r>
      <w:r>
        <w:rPr>
          <w:color w:val="231F20"/>
          <w:sz w:val="23"/>
        </w:rPr>
        <w:t>at</w:t>
      </w:r>
      <w:r>
        <w:rPr>
          <w:color w:val="231F20"/>
          <w:spacing w:val="-17"/>
          <w:sz w:val="23"/>
        </w:rPr>
        <w:t> </w:t>
      </w:r>
      <w:r>
        <w:rPr>
          <w:color w:val="231F20"/>
          <w:sz w:val="23"/>
        </w:rPr>
        <w:t>the</w:t>
      </w:r>
      <w:r>
        <w:rPr>
          <w:color w:val="231F20"/>
          <w:spacing w:val="-17"/>
          <w:sz w:val="23"/>
        </w:rPr>
        <w:t> </w:t>
      </w:r>
      <w:r>
        <w:rPr>
          <w:color w:val="231F20"/>
          <w:sz w:val="23"/>
        </w:rPr>
        <w:t>local</w:t>
      </w:r>
      <w:r>
        <w:rPr>
          <w:color w:val="231F20"/>
          <w:spacing w:val="-17"/>
          <w:sz w:val="23"/>
        </w:rPr>
        <w:t> </w:t>
      </w:r>
      <w:r>
        <w:rPr>
          <w:color w:val="231F20"/>
          <w:sz w:val="23"/>
        </w:rPr>
        <w:t>level.</w:t>
      </w:r>
      <w:r>
        <w:rPr>
          <w:color w:val="231F20"/>
          <w:spacing w:val="-17"/>
          <w:sz w:val="23"/>
        </w:rPr>
        <w:t> </w:t>
      </w:r>
      <w:r>
        <w:rPr>
          <w:color w:val="231F20"/>
          <w:sz w:val="23"/>
        </w:rPr>
        <w:t>As</w:t>
      </w:r>
      <w:r>
        <w:rPr>
          <w:color w:val="231F20"/>
          <w:spacing w:val="-17"/>
          <w:sz w:val="23"/>
        </w:rPr>
        <w:t> </w:t>
      </w:r>
      <w:r>
        <w:rPr>
          <w:color w:val="231F20"/>
          <w:sz w:val="23"/>
        </w:rPr>
        <w:t>a</w:t>
      </w:r>
      <w:r>
        <w:rPr>
          <w:color w:val="231F20"/>
          <w:spacing w:val="-17"/>
          <w:sz w:val="23"/>
        </w:rPr>
        <w:t> </w:t>
      </w:r>
      <w:r>
        <w:rPr>
          <w:color w:val="231F20"/>
          <w:sz w:val="23"/>
        </w:rPr>
        <w:t>first</w:t>
      </w:r>
      <w:r>
        <w:rPr>
          <w:color w:val="231F20"/>
          <w:spacing w:val="-17"/>
          <w:sz w:val="23"/>
        </w:rPr>
        <w:t> </w:t>
      </w:r>
      <w:r>
        <w:rPr>
          <w:color w:val="231F20"/>
          <w:sz w:val="23"/>
        </w:rPr>
        <w:t>step</w:t>
      </w:r>
      <w:r>
        <w:rPr>
          <w:color w:val="231F20"/>
          <w:spacing w:val="-17"/>
          <w:sz w:val="23"/>
        </w:rPr>
        <w:t> </w:t>
      </w:r>
      <w:r>
        <w:rPr>
          <w:color w:val="231F20"/>
          <w:sz w:val="23"/>
        </w:rPr>
        <w:t>in</w:t>
      </w:r>
      <w:r>
        <w:rPr>
          <w:color w:val="231F20"/>
          <w:spacing w:val="-17"/>
          <w:sz w:val="23"/>
        </w:rPr>
        <w:t> </w:t>
      </w:r>
      <w:r>
        <w:rPr>
          <w:color w:val="231F20"/>
          <w:sz w:val="23"/>
        </w:rPr>
        <w:t>this</w:t>
      </w:r>
      <w:r>
        <w:rPr>
          <w:color w:val="231F20"/>
          <w:spacing w:val="-17"/>
          <w:sz w:val="23"/>
        </w:rPr>
        <w:t> </w:t>
      </w:r>
      <w:r>
        <w:rPr>
          <w:color w:val="231F20"/>
          <w:sz w:val="23"/>
        </w:rPr>
        <w:t>direction, the</w:t>
      </w:r>
      <w:r>
        <w:rPr>
          <w:color w:val="231F20"/>
          <w:spacing w:val="8"/>
          <w:sz w:val="23"/>
        </w:rPr>
        <w:t> </w:t>
      </w:r>
      <w:r>
        <w:rPr>
          <w:color w:val="231F20"/>
          <w:sz w:val="23"/>
        </w:rPr>
        <w:t>salaries</w:t>
      </w:r>
      <w:r>
        <w:rPr>
          <w:color w:val="231F20"/>
          <w:spacing w:val="8"/>
          <w:sz w:val="23"/>
        </w:rPr>
        <w:t> </w:t>
      </w:r>
      <w:r>
        <w:rPr>
          <w:color w:val="231F20"/>
          <w:sz w:val="23"/>
        </w:rPr>
        <w:t>of</w:t>
      </w:r>
      <w:r>
        <w:rPr>
          <w:color w:val="231F20"/>
          <w:spacing w:val="8"/>
          <w:sz w:val="23"/>
        </w:rPr>
        <w:t> </w:t>
      </w:r>
      <w:r>
        <w:rPr>
          <w:color w:val="231F20"/>
          <w:sz w:val="23"/>
        </w:rPr>
        <w:t>core</w:t>
      </w:r>
      <w:r>
        <w:rPr>
          <w:color w:val="231F20"/>
          <w:spacing w:val="8"/>
          <w:sz w:val="23"/>
        </w:rPr>
        <w:t> </w:t>
      </w:r>
      <w:r>
        <w:rPr>
          <w:color w:val="231F20"/>
          <w:sz w:val="23"/>
        </w:rPr>
        <w:t>staff</w:t>
      </w:r>
      <w:r>
        <w:rPr>
          <w:color w:val="231F20"/>
          <w:spacing w:val="8"/>
          <w:sz w:val="23"/>
        </w:rPr>
        <w:t> </w:t>
      </w:r>
      <w:r>
        <w:rPr>
          <w:color w:val="231F20"/>
          <w:sz w:val="23"/>
        </w:rPr>
        <w:t>of</w:t>
      </w:r>
      <w:r>
        <w:rPr>
          <w:color w:val="231F20"/>
          <w:spacing w:val="8"/>
          <w:sz w:val="23"/>
        </w:rPr>
        <w:t> </w:t>
      </w:r>
      <w:r>
        <w:rPr>
          <w:color w:val="231F20"/>
          <w:sz w:val="23"/>
        </w:rPr>
        <w:t>councils</w:t>
      </w:r>
      <w:r>
        <w:rPr>
          <w:color w:val="231F20"/>
          <w:spacing w:val="8"/>
          <w:sz w:val="23"/>
        </w:rPr>
        <w:t> </w:t>
      </w:r>
      <w:r>
        <w:rPr>
          <w:color w:val="231F20"/>
          <w:sz w:val="23"/>
        </w:rPr>
        <w:t>will</w:t>
      </w:r>
      <w:r>
        <w:rPr>
          <w:color w:val="231F20"/>
          <w:spacing w:val="8"/>
          <w:sz w:val="23"/>
        </w:rPr>
        <w:t> </w:t>
      </w:r>
      <w:r>
        <w:rPr>
          <w:color w:val="231F20"/>
          <w:sz w:val="23"/>
        </w:rPr>
        <w:t>be</w:t>
      </w:r>
      <w:r>
        <w:rPr>
          <w:color w:val="231F20"/>
          <w:spacing w:val="8"/>
          <w:sz w:val="23"/>
        </w:rPr>
        <w:t> </w:t>
      </w:r>
      <w:r>
        <w:rPr>
          <w:color w:val="231F20"/>
          <w:sz w:val="23"/>
        </w:rPr>
        <w:t>increased</w:t>
      </w:r>
      <w:r>
        <w:rPr>
          <w:color w:val="231F20"/>
          <w:spacing w:val="16"/>
          <w:sz w:val="23"/>
        </w:rPr>
        <w:t> </w:t>
      </w:r>
      <w:r>
        <w:rPr>
          <w:color w:val="231F20"/>
          <w:sz w:val="23"/>
        </w:rPr>
        <w:t>effective</w:t>
      </w:r>
      <w:r>
        <w:rPr>
          <w:color w:val="231F20"/>
          <w:spacing w:val="8"/>
          <w:sz w:val="23"/>
        </w:rPr>
        <w:t> </w:t>
      </w:r>
      <w:r>
        <w:rPr>
          <w:color w:val="231F20"/>
          <w:sz w:val="23"/>
        </w:rPr>
        <w:t>April</w:t>
      </w:r>
      <w:r>
        <w:rPr>
          <w:color w:val="231F20"/>
          <w:spacing w:val="8"/>
          <w:sz w:val="23"/>
        </w:rPr>
        <w:t> </w:t>
      </w:r>
      <w:r>
        <w:rPr>
          <w:color w:val="231F20"/>
          <w:sz w:val="23"/>
        </w:rPr>
        <w:t>2020.</w:t>
      </w:r>
    </w:p>
    <w:p>
      <w:pPr>
        <w:pStyle w:val="BodyText"/>
        <w:rPr>
          <w:sz w:val="29"/>
        </w:rPr>
      </w:pPr>
    </w:p>
    <w:p>
      <w:pPr>
        <w:pStyle w:val="ListParagraph"/>
        <w:numPr>
          <w:ilvl w:val="0"/>
          <w:numId w:val="2"/>
        </w:numPr>
        <w:tabs>
          <w:tab w:pos="954" w:val="left" w:leader="none"/>
        </w:tabs>
        <w:spacing w:line="302" w:lineRule="auto" w:before="0" w:after="0"/>
        <w:ind w:left="103" w:right="118" w:firstLine="87"/>
        <w:jc w:val="both"/>
        <w:rPr>
          <w:sz w:val="23"/>
        </w:rPr>
      </w:pPr>
      <w:r>
        <w:rPr>
          <w:color w:val="231F20"/>
          <w:sz w:val="23"/>
        </w:rPr>
        <w:t>Mr. Speaker, Honourable Members, Government is aware of the critical role of Paramount Chiefs in supporting service delivery at the local level. To this end, Government</w:t>
      </w:r>
      <w:r>
        <w:rPr>
          <w:color w:val="231F20"/>
          <w:spacing w:val="-44"/>
          <w:sz w:val="23"/>
        </w:rPr>
        <w:t> </w:t>
      </w:r>
      <w:r>
        <w:rPr>
          <w:color w:val="231F20"/>
          <w:sz w:val="23"/>
        </w:rPr>
        <w:t>is</w:t>
      </w:r>
      <w:r>
        <w:rPr>
          <w:color w:val="231F20"/>
          <w:spacing w:val="-44"/>
          <w:sz w:val="23"/>
        </w:rPr>
        <w:t> </w:t>
      </w:r>
      <w:r>
        <w:rPr>
          <w:color w:val="231F20"/>
          <w:sz w:val="23"/>
        </w:rPr>
        <w:t>committed</w:t>
      </w:r>
      <w:r>
        <w:rPr>
          <w:color w:val="231F20"/>
          <w:spacing w:val="-44"/>
          <w:sz w:val="23"/>
        </w:rPr>
        <w:t> </w:t>
      </w:r>
      <w:r>
        <w:rPr>
          <w:color w:val="231F20"/>
          <w:sz w:val="23"/>
        </w:rPr>
        <w:t>to</w:t>
      </w:r>
      <w:r>
        <w:rPr>
          <w:color w:val="231F20"/>
          <w:spacing w:val="-44"/>
          <w:sz w:val="23"/>
        </w:rPr>
        <w:t> </w:t>
      </w:r>
      <w:r>
        <w:rPr>
          <w:color w:val="231F20"/>
          <w:sz w:val="23"/>
        </w:rPr>
        <w:t>restoring</w:t>
      </w:r>
      <w:r>
        <w:rPr>
          <w:color w:val="231F20"/>
          <w:spacing w:val="-44"/>
          <w:sz w:val="23"/>
        </w:rPr>
        <w:t> </w:t>
      </w:r>
      <w:r>
        <w:rPr>
          <w:color w:val="231F20"/>
          <w:sz w:val="23"/>
        </w:rPr>
        <w:t>the</w:t>
      </w:r>
      <w:r>
        <w:rPr>
          <w:color w:val="231F20"/>
          <w:spacing w:val="-43"/>
          <w:sz w:val="23"/>
        </w:rPr>
        <w:t> </w:t>
      </w:r>
      <w:r>
        <w:rPr>
          <w:color w:val="231F20"/>
          <w:sz w:val="23"/>
        </w:rPr>
        <w:t>dignity</w:t>
      </w:r>
      <w:r>
        <w:rPr>
          <w:color w:val="231F20"/>
          <w:spacing w:val="-44"/>
          <w:sz w:val="23"/>
        </w:rPr>
        <w:t> </w:t>
      </w:r>
      <w:r>
        <w:rPr>
          <w:color w:val="231F20"/>
          <w:sz w:val="23"/>
        </w:rPr>
        <w:t>of</w:t>
      </w:r>
      <w:r>
        <w:rPr>
          <w:color w:val="231F20"/>
          <w:spacing w:val="-44"/>
          <w:sz w:val="23"/>
        </w:rPr>
        <w:t> </w:t>
      </w:r>
      <w:r>
        <w:rPr>
          <w:color w:val="231F20"/>
          <w:sz w:val="23"/>
        </w:rPr>
        <w:t>Paramount</w:t>
      </w:r>
      <w:r>
        <w:rPr>
          <w:color w:val="231F20"/>
          <w:spacing w:val="-44"/>
          <w:sz w:val="23"/>
        </w:rPr>
        <w:t> </w:t>
      </w:r>
      <w:r>
        <w:rPr>
          <w:color w:val="231F20"/>
          <w:sz w:val="23"/>
        </w:rPr>
        <w:t>Chiefs</w:t>
      </w:r>
      <w:r>
        <w:rPr>
          <w:color w:val="231F20"/>
          <w:spacing w:val="-44"/>
          <w:sz w:val="23"/>
        </w:rPr>
        <w:t> </w:t>
      </w:r>
      <w:r>
        <w:rPr>
          <w:color w:val="231F20"/>
          <w:sz w:val="23"/>
        </w:rPr>
        <w:t>and</w:t>
      </w:r>
      <w:r>
        <w:rPr>
          <w:color w:val="231F20"/>
          <w:spacing w:val="-44"/>
          <w:sz w:val="23"/>
        </w:rPr>
        <w:t> </w:t>
      </w:r>
      <w:r>
        <w:rPr>
          <w:color w:val="231F20"/>
          <w:sz w:val="23"/>
        </w:rPr>
        <w:t>Tribal</w:t>
      </w:r>
      <w:r>
        <w:rPr>
          <w:color w:val="231F20"/>
          <w:spacing w:val="-43"/>
          <w:sz w:val="23"/>
        </w:rPr>
        <w:t> </w:t>
      </w:r>
      <w:r>
        <w:rPr>
          <w:color w:val="231F20"/>
          <w:sz w:val="23"/>
        </w:rPr>
        <w:t>Heads in the Western Area. As a first step in this direction, Government will increase remuneration to Paramount Chiefs and 12 other chiefdom</w:t>
      </w:r>
      <w:r>
        <w:rPr>
          <w:color w:val="231F20"/>
          <w:spacing w:val="24"/>
          <w:sz w:val="23"/>
        </w:rPr>
        <w:t> </w:t>
      </w:r>
      <w:r>
        <w:rPr>
          <w:color w:val="231F20"/>
          <w:sz w:val="23"/>
        </w:rPr>
        <w:t>functionaries.</w:t>
      </w:r>
    </w:p>
    <w:p>
      <w:pPr>
        <w:pStyle w:val="BodyText"/>
        <w:spacing w:before="10"/>
        <w:rPr>
          <w:sz w:val="28"/>
        </w:rPr>
      </w:pPr>
    </w:p>
    <w:p>
      <w:pPr>
        <w:pStyle w:val="ListParagraph"/>
        <w:numPr>
          <w:ilvl w:val="0"/>
          <w:numId w:val="2"/>
        </w:numPr>
        <w:tabs>
          <w:tab w:pos="954" w:val="left" w:leader="none"/>
        </w:tabs>
        <w:spacing w:line="302" w:lineRule="auto" w:before="0" w:after="0"/>
        <w:ind w:left="103" w:right="121" w:firstLine="87"/>
        <w:jc w:val="both"/>
        <w:rPr>
          <w:sz w:val="23"/>
        </w:rPr>
      </w:pPr>
      <w:r>
        <w:rPr>
          <w:color w:val="231F20"/>
          <w:sz w:val="23"/>
        </w:rPr>
        <w:t>However,</w:t>
      </w:r>
      <w:r>
        <w:rPr>
          <w:color w:val="231F20"/>
          <w:spacing w:val="-22"/>
          <w:sz w:val="23"/>
        </w:rPr>
        <w:t> </w:t>
      </w:r>
      <w:r>
        <w:rPr>
          <w:color w:val="231F20"/>
          <w:sz w:val="23"/>
        </w:rPr>
        <w:t>a</w:t>
      </w:r>
      <w:r>
        <w:rPr>
          <w:color w:val="231F20"/>
          <w:spacing w:val="-22"/>
          <w:sz w:val="23"/>
        </w:rPr>
        <w:t> </w:t>
      </w:r>
      <w:r>
        <w:rPr>
          <w:color w:val="231F20"/>
          <w:sz w:val="23"/>
        </w:rPr>
        <w:t>Local</w:t>
      </w:r>
      <w:r>
        <w:rPr>
          <w:color w:val="231F20"/>
          <w:spacing w:val="-22"/>
          <w:sz w:val="23"/>
        </w:rPr>
        <w:t> </w:t>
      </w:r>
      <w:r>
        <w:rPr>
          <w:color w:val="231F20"/>
          <w:sz w:val="23"/>
        </w:rPr>
        <w:t>and</w:t>
      </w:r>
      <w:r>
        <w:rPr>
          <w:color w:val="231F20"/>
          <w:spacing w:val="-22"/>
          <w:sz w:val="23"/>
        </w:rPr>
        <w:t> </w:t>
      </w:r>
      <w:r>
        <w:rPr>
          <w:color w:val="231F20"/>
          <w:sz w:val="23"/>
        </w:rPr>
        <w:t>Chiefdom</w:t>
      </w:r>
      <w:r>
        <w:rPr>
          <w:color w:val="231F20"/>
          <w:spacing w:val="-22"/>
          <w:sz w:val="23"/>
        </w:rPr>
        <w:t> </w:t>
      </w:r>
      <w:r>
        <w:rPr>
          <w:color w:val="231F20"/>
          <w:sz w:val="23"/>
        </w:rPr>
        <w:t>Councils</w:t>
      </w:r>
      <w:r>
        <w:rPr>
          <w:color w:val="231F20"/>
          <w:spacing w:val="-22"/>
          <w:sz w:val="23"/>
        </w:rPr>
        <w:t> </w:t>
      </w:r>
      <w:r>
        <w:rPr>
          <w:color w:val="231F20"/>
          <w:sz w:val="23"/>
        </w:rPr>
        <w:t>staff</w:t>
      </w:r>
      <w:r>
        <w:rPr>
          <w:color w:val="231F20"/>
          <w:spacing w:val="-22"/>
          <w:sz w:val="23"/>
        </w:rPr>
        <w:t> </w:t>
      </w:r>
      <w:r>
        <w:rPr>
          <w:color w:val="231F20"/>
          <w:sz w:val="23"/>
        </w:rPr>
        <w:t>audit</w:t>
      </w:r>
      <w:r>
        <w:rPr>
          <w:color w:val="231F20"/>
          <w:spacing w:val="-22"/>
          <w:sz w:val="23"/>
        </w:rPr>
        <w:t> </w:t>
      </w:r>
      <w:r>
        <w:rPr>
          <w:color w:val="231F20"/>
          <w:sz w:val="23"/>
        </w:rPr>
        <w:t>and</w:t>
      </w:r>
      <w:r>
        <w:rPr>
          <w:color w:val="231F20"/>
          <w:spacing w:val="-22"/>
          <w:sz w:val="23"/>
        </w:rPr>
        <w:t> </w:t>
      </w:r>
      <w:r>
        <w:rPr>
          <w:color w:val="231F20"/>
          <w:sz w:val="23"/>
        </w:rPr>
        <w:t>biometric</w:t>
      </w:r>
      <w:r>
        <w:rPr>
          <w:color w:val="231F20"/>
          <w:spacing w:val="-22"/>
          <w:sz w:val="23"/>
        </w:rPr>
        <w:t> </w:t>
      </w:r>
      <w:r>
        <w:rPr>
          <w:color w:val="231F20"/>
          <w:sz w:val="23"/>
        </w:rPr>
        <w:t>verification will</w:t>
      </w:r>
      <w:r>
        <w:rPr>
          <w:color w:val="231F20"/>
          <w:spacing w:val="16"/>
          <w:sz w:val="23"/>
        </w:rPr>
        <w:t> </w:t>
      </w:r>
      <w:r>
        <w:rPr>
          <w:color w:val="231F20"/>
          <w:sz w:val="23"/>
        </w:rPr>
        <w:t>be</w:t>
      </w:r>
      <w:r>
        <w:rPr>
          <w:color w:val="231F20"/>
          <w:spacing w:val="16"/>
          <w:sz w:val="23"/>
        </w:rPr>
        <w:t> </w:t>
      </w:r>
      <w:r>
        <w:rPr>
          <w:color w:val="231F20"/>
          <w:sz w:val="23"/>
        </w:rPr>
        <w:t>conducted</w:t>
      </w:r>
      <w:r>
        <w:rPr>
          <w:color w:val="231F20"/>
          <w:spacing w:val="16"/>
          <w:sz w:val="23"/>
        </w:rPr>
        <w:t> </w:t>
      </w:r>
      <w:r>
        <w:rPr>
          <w:color w:val="231F20"/>
          <w:sz w:val="23"/>
        </w:rPr>
        <w:t>before</w:t>
      </w:r>
      <w:r>
        <w:rPr>
          <w:color w:val="231F20"/>
          <w:spacing w:val="16"/>
          <w:sz w:val="23"/>
        </w:rPr>
        <w:t> </w:t>
      </w:r>
      <w:r>
        <w:rPr>
          <w:color w:val="231F20"/>
          <w:sz w:val="23"/>
        </w:rPr>
        <w:t>the</w:t>
      </w:r>
      <w:r>
        <w:rPr>
          <w:color w:val="231F20"/>
          <w:spacing w:val="16"/>
          <w:sz w:val="23"/>
        </w:rPr>
        <w:t> </w:t>
      </w:r>
      <w:r>
        <w:rPr>
          <w:color w:val="231F20"/>
          <w:sz w:val="23"/>
        </w:rPr>
        <w:t>increase</w:t>
      </w:r>
      <w:r>
        <w:rPr>
          <w:color w:val="231F20"/>
          <w:spacing w:val="16"/>
          <w:sz w:val="23"/>
        </w:rPr>
        <w:t> </w:t>
      </w:r>
      <w:r>
        <w:rPr>
          <w:color w:val="231F20"/>
          <w:sz w:val="23"/>
        </w:rPr>
        <w:t>is</w:t>
      </w:r>
      <w:r>
        <w:rPr>
          <w:color w:val="231F20"/>
          <w:spacing w:val="16"/>
          <w:sz w:val="23"/>
        </w:rPr>
        <w:t> </w:t>
      </w:r>
      <w:r>
        <w:rPr>
          <w:color w:val="231F20"/>
          <w:sz w:val="23"/>
        </w:rPr>
        <w:t>effected.</w:t>
      </w:r>
    </w:p>
    <w:p>
      <w:pPr>
        <w:pStyle w:val="BodyText"/>
        <w:spacing w:before="11"/>
        <w:rPr>
          <w:sz w:val="28"/>
        </w:rPr>
      </w:pPr>
    </w:p>
    <w:p>
      <w:pPr>
        <w:pStyle w:val="Heading2"/>
        <w:ind w:left="953"/>
      </w:pPr>
      <w:r>
        <w:rPr>
          <w:color w:val="231F20"/>
        </w:rPr>
        <w:t>Debt Service</w:t>
      </w:r>
      <w:r>
        <w:rPr>
          <w:color w:val="231F20"/>
          <w:spacing w:val="-51"/>
        </w:rPr>
        <w:t> </w:t>
      </w:r>
      <w:r>
        <w:rPr>
          <w:color w:val="231F20"/>
        </w:rPr>
        <w:t>Payments</w:t>
      </w:r>
    </w:p>
    <w:p>
      <w:pPr>
        <w:pStyle w:val="ListParagraph"/>
        <w:numPr>
          <w:ilvl w:val="0"/>
          <w:numId w:val="2"/>
        </w:numPr>
        <w:tabs>
          <w:tab w:pos="954" w:val="left" w:leader="none"/>
        </w:tabs>
        <w:spacing w:line="302" w:lineRule="auto" w:before="71" w:after="0"/>
        <w:ind w:left="103" w:right="121" w:firstLine="87"/>
        <w:jc w:val="both"/>
        <w:rPr>
          <w:sz w:val="23"/>
        </w:rPr>
      </w:pPr>
      <w:r>
        <w:rPr>
          <w:color w:val="231F20"/>
          <w:sz w:val="23"/>
        </w:rPr>
        <w:t>Total</w:t>
      </w:r>
      <w:r>
        <w:rPr>
          <w:color w:val="231F20"/>
          <w:spacing w:val="-25"/>
          <w:sz w:val="23"/>
        </w:rPr>
        <w:t> </w:t>
      </w:r>
      <w:r>
        <w:rPr>
          <w:color w:val="231F20"/>
          <w:sz w:val="23"/>
        </w:rPr>
        <w:t>interest</w:t>
      </w:r>
      <w:r>
        <w:rPr>
          <w:color w:val="231F20"/>
          <w:spacing w:val="-25"/>
          <w:sz w:val="23"/>
        </w:rPr>
        <w:t> </w:t>
      </w:r>
      <w:r>
        <w:rPr>
          <w:color w:val="231F20"/>
          <w:sz w:val="23"/>
        </w:rPr>
        <w:t>payments</w:t>
      </w:r>
      <w:r>
        <w:rPr>
          <w:color w:val="231F20"/>
          <w:spacing w:val="-25"/>
          <w:sz w:val="23"/>
        </w:rPr>
        <w:t> </w:t>
      </w:r>
      <w:r>
        <w:rPr>
          <w:color w:val="231F20"/>
          <w:sz w:val="23"/>
        </w:rPr>
        <w:t>will</w:t>
      </w:r>
      <w:r>
        <w:rPr>
          <w:color w:val="231F20"/>
          <w:spacing w:val="-25"/>
          <w:sz w:val="23"/>
        </w:rPr>
        <w:t> </w:t>
      </w:r>
      <w:r>
        <w:rPr>
          <w:color w:val="231F20"/>
          <w:sz w:val="23"/>
        </w:rPr>
        <w:t>amount</w:t>
      </w:r>
      <w:r>
        <w:rPr>
          <w:color w:val="231F20"/>
          <w:spacing w:val="-25"/>
          <w:sz w:val="23"/>
        </w:rPr>
        <w:t> </w:t>
      </w:r>
      <w:r>
        <w:rPr>
          <w:color w:val="231F20"/>
          <w:sz w:val="23"/>
        </w:rPr>
        <w:t>to</w:t>
      </w:r>
      <w:r>
        <w:rPr>
          <w:color w:val="231F20"/>
          <w:spacing w:val="-25"/>
          <w:sz w:val="23"/>
        </w:rPr>
        <w:t> </w:t>
      </w:r>
      <w:r>
        <w:rPr>
          <w:color w:val="231F20"/>
          <w:sz w:val="23"/>
        </w:rPr>
        <w:t>Le1.23</w:t>
      </w:r>
      <w:r>
        <w:rPr>
          <w:color w:val="231F20"/>
          <w:spacing w:val="-25"/>
          <w:sz w:val="23"/>
        </w:rPr>
        <w:t> </w:t>
      </w:r>
      <w:r>
        <w:rPr>
          <w:color w:val="231F20"/>
          <w:sz w:val="23"/>
        </w:rPr>
        <w:t>trillion</w:t>
      </w:r>
      <w:r>
        <w:rPr>
          <w:color w:val="231F20"/>
          <w:spacing w:val="-25"/>
          <w:sz w:val="23"/>
        </w:rPr>
        <w:t> </w:t>
      </w:r>
      <w:r>
        <w:rPr>
          <w:color w:val="231F20"/>
          <w:sz w:val="23"/>
        </w:rPr>
        <w:t>in</w:t>
      </w:r>
      <w:r>
        <w:rPr>
          <w:color w:val="231F20"/>
          <w:spacing w:val="-25"/>
          <w:sz w:val="23"/>
        </w:rPr>
        <w:t> </w:t>
      </w:r>
      <w:r>
        <w:rPr>
          <w:color w:val="231F20"/>
          <w:sz w:val="23"/>
        </w:rPr>
        <w:t>2020.</w:t>
      </w:r>
      <w:r>
        <w:rPr>
          <w:color w:val="231F20"/>
          <w:spacing w:val="-25"/>
          <w:sz w:val="23"/>
        </w:rPr>
        <w:t> </w:t>
      </w:r>
      <w:r>
        <w:rPr>
          <w:color w:val="231F20"/>
          <w:sz w:val="23"/>
        </w:rPr>
        <w:t>Of</w:t>
      </w:r>
      <w:r>
        <w:rPr>
          <w:color w:val="231F20"/>
          <w:spacing w:val="-25"/>
          <w:sz w:val="23"/>
        </w:rPr>
        <w:t> </w:t>
      </w:r>
      <w:r>
        <w:rPr>
          <w:color w:val="231F20"/>
          <w:sz w:val="23"/>
        </w:rPr>
        <w:t>this,</w:t>
      </w:r>
      <w:r>
        <w:rPr>
          <w:color w:val="231F20"/>
          <w:spacing w:val="-25"/>
          <w:sz w:val="23"/>
        </w:rPr>
        <w:t> </w:t>
      </w:r>
      <w:r>
        <w:rPr>
          <w:color w:val="231F20"/>
          <w:sz w:val="23"/>
        </w:rPr>
        <w:t>interest payments</w:t>
      </w:r>
      <w:r>
        <w:rPr>
          <w:color w:val="231F20"/>
          <w:spacing w:val="-14"/>
          <w:sz w:val="23"/>
        </w:rPr>
        <w:t> </w:t>
      </w:r>
      <w:r>
        <w:rPr>
          <w:color w:val="231F20"/>
          <w:sz w:val="23"/>
        </w:rPr>
        <w:t>on</w:t>
      </w:r>
      <w:r>
        <w:rPr>
          <w:color w:val="231F20"/>
          <w:spacing w:val="-14"/>
          <w:sz w:val="23"/>
        </w:rPr>
        <w:t> </w:t>
      </w:r>
      <w:r>
        <w:rPr>
          <w:color w:val="231F20"/>
          <w:sz w:val="23"/>
        </w:rPr>
        <w:t>domestic</w:t>
      </w:r>
      <w:r>
        <w:rPr>
          <w:color w:val="231F20"/>
          <w:spacing w:val="-14"/>
          <w:sz w:val="23"/>
        </w:rPr>
        <w:t> </w:t>
      </w:r>
      <w:r>
        <w:rPr>
          <w:color w:val="231F20"/>
          <w:sz w:val="23"/>
        </w:rPr>
        <w:t>debt</w:t>
      </w:r>
      <w:r>
        <w:rPr>
          <w:color w:val="231F20"/>
          <w:spacing w:val="-14"/>
          <w:sz w:val="23"/>
        </w:rPr>
        <w:t> </w:t>
      </w:r>
      <w:r>
        <w:rPr>
          <w:color w:val="231F20"/>
          <w:sz w:val="23"/>
        </w:rPr>
        <w:t>will</w:t>
      </w:r>
      <w:r>
        <w:rPr>
          <w:color w:val="231F20"/>
          <w:spacing w:val="-13"/>
          <w:sz w:val="23"/>
        </w:rPr>
        <w:t> </w:t>
      </w:r>
      <w:r>
        <w:rPr>
          <w:color w:val="231F20"/>
          <w:sz w:val="23"/>
        </w:rPr>
        <w:t>amount</w:t>
      </w:r>
      <w:r>
        <w:rPr>
          <w:color w:val="231F20"/>
          <w:spacing w:val="-14"/>
          <w:sz w:val="23"/>
        </w:rPr>
        <w:t> </w:t>
      </w:r>
      <w:r>
        <w:rPr>
          <w:color w:val="231F20"/>
          <w:sz w:val="23"/>
        </w:rPr>
        <w:t>to</w:t>
      </w:r>
      <w:r>
        <w:rPr>
          <w:color w:val="231F20"/>
          <w:spacing w:val="-13"/>
          <w:sz w:val="23"/>
        </w:rPr>
        <w:t> </w:t>
      </w:r>
      <w:r>
        <w:rPr>
          <w:color w:val="231F20"/>
          <w:sz w:val="23"/>
        </w:rPr>
        <w:t>Le1.10</w:t>
      </w:r>
      <w:r>
        <w:rPr>
          <w:color w:val="231F20"/>
          <w:spacing w:val="-14"/>
          <w:sz w:val="23"/>
        </w:rPr>
        <w:t> </w:t>
      </w:r>
      <w:r>
        <w:rPr>
          <w:color w:val="231F20"/>
          <w:sz w:val="23"/>
        </w:rPr>
        <w:t>trillion</w:t>
      </w:r>
      <w:r>
        <w:rPr>
          <w:color w:val="231F20"/>
          <w:spacing w:val="-13"/>
          <w:sz w:val="23"/>
        </w:rPr>
        <w:t> </w:t>
      </w:r>
      <w:r>
        <w:rPr>
          <w:color w:val="231F20"/>
          <w:sz w:val="23"/>
        </w:rPr>
        <w:t>while</w:t>
      </w:r>
      <w:r>
        <w:rPr>
          <w:color w:val="231F20"/>
          <w:spacing w:val="-13"/>
          <w:sz w:val="23"/>
        </w:rPr>
        <w:t> </w:t>
      </w:r>
      <w:r>
        <w:rPr>
          <w:color w:val="231F20"/>
          <w:sz w:val="23"/>
        </w:rPr>
        <w:t>Interest</w:t>
      </w:r>
      <w:r>
        <w:rPr>
          <w:color w:val="231F20"/>
          <w:spacing w:val="-13"/>
          <w:sz w:val="23"/>
        </w:rPr>
        <w:t> </w:t>
      </w:r>
      <w:r>
        <w:rPr>
          <w:color w:val="231F20"/>
          <w:sz w:val="23"/>
        </w:rPr>
        <w:t>payments</w:t>
      </w:r>
      <w:r>
        <w:rPr>
          <w:color w:val="231F20"/>
          <w:spacing w:val="-14"/>
          <w:sz w:val="23"/>
        </w:rPr>
        <w:t> </w:t>
      </w:r>
      <w:r>
        <w:rPr>
          <w:color w:val="231F20"/>
          <w:sz w:val="23"/>
        </w:rPr>
        <w:t>on external</w:t>
      </w:r>
      <w:r>
        <w:rPr>
          <w:color w:val="231F20"/>
          <w:spacing w:val="-29"/>
          <w:sz w:val="23"/>
        </w:rPr>
        <w:t> </w:t>
      </w:r>
      <w:r>
        <w:rPr>
          <w:color w:val="231F20"/>
          <w:sz w:val="23"/>
        </w:rPr>
        <w:t>debt,</w:t>
      </w:r>
      <w:r>
        <w:rPr>
          <w:color w:val="231F20"/>
          <w:spacing w:val="-29"/>
          <w:sz w:val="23"/>
        </w:rPr>
        <w:t> </w:t>
      </w:r>
      <w:r>
        <w:rPr>
          <w:color w:val="231F20"/>
          <w:sz w:val="23"/>
        </w:rPr>
        <w:t>Le120.5</w:t>
      </w:r>
      <w:r>
        <w:rPr>
          <w:color w:val="231F20"/>
          <w:spacing w:val="-29"/>
          <w:sz w:val="23"/>
        </w:rPr>
        <w:t> </w:t>
      </w:r>
      <w:r>
        <w:rPr>
          <w:color w:val="231F20"/>
          <w:sz w:val="23"/>
        </w:rPr>
        <w:t>billion.</w:t>
      </w:r>
      <w:r>
        <w:rPr>
          <w:color w:val="231F20"/>
          <w:spacing w:val="-29"/>
          <w:sz w:val="23"/>
        </w:rPr>
        <w:t> </w:t>
      </w:r>
      <w:r>
        <w:rPr>
          <w:color w:val="231F20"/>
          <w:sz w:val="23"/>
        </w:rPr>
        <w:t>The</w:t>
      </w:r>
      <w:r>
        <w:rPr>
          <w:color w:val="231F20"/>
          <w:spacing w:val="-29"/>
          <w:sz w:val="23"/>
        </w:rPr>
        <w:t> </w:t>
      </w:r>
      <w:r>
        <w:rPr>
          <w:color w:val="231F20"/>
          <w:sz w:val="23"/>
        </w:rPr>
        <w:t>repayment</w:t>
      </w:r>
      <w:r>
        <w:rPr>
          <w:color w:val="231F20"/>
          <w:spacing w:val="-29"/>
          <w:sz w:val="23"/>
        </w:rPr>
        <w:t> </w:t>
      </w:r>
      <w:r>
        <w:rPr>
          <w:color w:val="231F20"/>
          <w:sz w:val="23"/>
        </w:rPr>
        <w:t>of</w:t>
      </w:r>
      <w:r>
        <w:rPr>
          <w:color w:val="231F20"/>
          <w:spacing w:val="-29"/>
          <w:sz w:val="23"/>
        </w:rPr>
        <w:t> </w:t>
      </w:r>
      <w:r>
        <w:rPr>
          <w:color w:val="231F20"/>
          <w:sz w:val="23"/>
        </w:rPr>
        <w:t>principal</w:t>
      </w:r>
      <w:r>
        <w:rPr>
          <w:color w:val="231F20"/>
          <w:spacing w:val="-29"/>
          <w:sz w:val="23"/>
        </w:rPr>
        <w:t> </w:t>
      </w:r>
      <w:r>
        <w:rPr>
          <w:color w:val="231F20"/>
          <w:sz w:val="23"/>
        </w:rPr>
        <w:t>on</w:t>
      </w:r>
      <w:r>
        <w:rPr>
          <w:color w:val="231F20"/>
          <w:spacing w:val="-29"/>
          <w:sz w:val="23"/>
        </w:rPr>
        <w:t> </w:t>
      </w:r>
      <w:r>
        <w:rPr>
          <w:color w:val="231F20"/>
          <w:sz w:val="23"/>
        </w:rPr>
        <w:t>external</w:t>
      </w:r>
      <w:r>
        <w:rPr>
          <w:color w:val="231F20"/>
          <w:spacing w:val="-29"/>
          <w:sz w:val="23"/>
        </w:rPr>
        <w:t> </w:t>
      </w:r>
      <w:r>
        <w:rPr>
          <w:color w:val="231F20"/>
          <w:sz w:val="23"/>
        </w:rPr>
        <w:t>debt</w:t>
      </w:r>
      <w:r>
        <w:rPr>
          <w:color w:val="231F20"/>
          <w:spacing w:val="-29"/>
          <w:sz w:val="23"/>
        </w:rPr>
        <w:t> </w:t>
      </w:r>
      <w:r>
        <w:rPr>
          <w:color w:val="231F20"/>
          <w:sz w:val="23"/>
        </w:rPr>
        <w:t>is</w:t>
      </w:r>
      <w:r>
        <w:rPr>
          <w:color w:val="231F20"/>
          <w:spacing w:val="-29"/>
          <w:sz w:val="23"/>
        </w:rPr>
        <w:t> </w:t>
      </w:r>
      <w:r>
        <w:rPr>
          <w:color w:val="231F20"/>
          <w:sz w:val="23"/>
        </w:rPr>
        <w:t>projected to</w:t>
      </w:r>
      <w:r>
        <w:rPr>
          <w:color w:val="231F20"/>
          <w:spacing w:val="-13"/>
          <w:sz w:val="23"/>
        </w:rPr>
        <w:t> </w:t>
      </w:r>
      <w:r>
        <w:rPr>
          <w:color w:val="231F20"/>
          <w:sz w:val="23"/>
        </w:rPr>
        <w:t>amount</w:t>
      </w:r>
      <w:r>
        <w:rPr>
          <w:color w:val="231F20"/>
          <w:spacing w:val="-13"/>
          <w:sz w:val="23"/>
        </w:rPr>
        <w:t> </w:t>
      </w:r>
      <w:r>
        <w:rPr>
          <w:color w:val="231F20"/>
          <w:sz w:val="23"/>
        </w:rPr>
        <w:t>to</w:t>
      </w:r>
      <w:r>
        <w:rPr>
          <w:color w:val="231F20"/>
          <w:spacing w:val="-13"/>
          <w:sz w:val="23"/>
        </w:rPr>
        <w:t> </w:t>
      </w:r>
      <w:r>
        <w:rPr>
          <w:color w:val="231F20"/>
          <w:sz w:val="23"/>
        </w:rPr>
        <w:t>Le579.1</w:t>
      </w:r>
      <w:r>
        <w:rPr>
          <w:color w:val="231F20"/>
          <w:spacing w:val="-13"/>
          <w:sz w:val="23"/>
        </w:rPr>
        <w:t> </w:t>
      </w:r>
      <w:r>
        <w:rPr>
          <w:color w:val="231F20"/>
          <w:sz w:val="23"/>
        </w:rPr>
        <w:t>billion</w:t>
      </w:r>
      <w:r>
        <w:rPr>
          <w:color w:val="231F20"/>
          <w:spacing w:val="-13"/>
          <w:sz w:val="23"/>
        </w:rPr>
        <w:t> </w:t>
      </w:r>
      <w:r>
        <w:rPr>
          <w:color w:val="231F20"/>
          <w:sz w:val="23"/>
        </w:rPr>
        <w:t>in</w:t>
      </w:r>
      <w:r>
        <w:rPr>
          <w:color w:val="231F20"/>
          <w:spacing w:val="-13"/>
          <w:sz w:val="23"/>
        </w:rPr>
        <w:t> </w:t>
      </w:r>
      <w:r>
        <w:rPr>
          <w:color w:val="231F20"/>
          <w:sz w:val="23"/>
        </w:rPr>
        <w:t>2020.</w:t>
      </w:r>
    </w:p>
    <w:p>
      <w:pPr>
        <w:pStyle w:val="BodyText"/>
        <w:spacing w:before="7"/>
        <w:rPr>
          <w:sz w:val="27"/>
        </w:rPr>
      </w:pPr>
    </w:p>
    <w:p>
      <w:pPr>
        <w:pStyle w:val="Heading2"/>
        <w:ind w:left="953"/>
      </w:pPr>
      <w:r>
        <w:rPr>
          <w:color w:val="231F20"/>
        </w:rPr>
        <w:t>Other</w:t>
      </w:r>
      <w:r>
        <w:rPr>
          <w:color w:val="231F20"/>
          <w:spacing w:val="-34"/>
        </w:rPr>
        <w:t> </w:t>
      </w:r>
      <w:r>
        <w:rPr>
          <w:color w:val="231F20"/>
        </w:rPr>
        <w:t>Recurrent,</w:t>
      </w:r>
      <w:r>
        <w:rPr>
          <w:color w:val="231F20"/>
          <w:spacing w:val="-33"/>
        </w:rPr>
        <w:t> </w:t>
      </w:r>
      <w:r>
        <w:rPr>
          <w:color w:val="231F20"/>
        </w:rPr>
        <w:t>Domestic</w:t>
      </w:r>
      <w:r>
        <w:rPr>
          <w:color w:val="231F20"/>
          <w:spacing w:val="-34"/>
        </w:rPr>
        <w:t> </w:t>
      </w:r>
      <w:r>
        <w:rPr>
          <w:color w:val="231F20"/>
        </w:rPr>
        <w:t>and</w:t>
      </w:r>
      <w:r>
        <w:rPr>
          <w:color w:val="231F20"/>
          <w:spacing w:val="-34"/>
        </w:rPr>
        <w:t> </w:t>
      </w:r>
      <w:r>
        <w:rPr>
          <w:color w:val="231F20"/>
        </w:rPr>
        <w:t>Foreign</w:t>
      </w:r>
      <w:r>
        <w:rPr>
          <w:color w:val="231F20"/>
          <w:spacing w:val="-34"/>
        </w:rPr>
        <w:t> </w:t>
      </w:r>
      <w:r>
        <w:rPr>
          <w:color w:val="231F20"/>
        </w:rPr>
        <w:t>Capital</w:t>
      </w:r>
      <w:r>
        <w:rPr>
          <w:color w:val="231F20"/>
          <w:spacing w:val="-33"/>
        </w:rPr>
        <w:t> </w:t>
      </w:r>
      <w:r>
        <w:rPr>
          <w:color w:val="231F20"/>
        </w:rPr>
        <w:t>Expenditures</w:t>
      </w:r>
    </w:p>
    <w:p>
      <w:pPr>
        <w:pStyle w:val="ListParagraph"/>
        <w:numPr>
          <w:ilvl w:val="0"/>
          <w:numId w:val="2"/>
        </w:numPr>
        <w:tabs>
          <w:tab w:pos="954" w:val="left" w:leader="none"/>
        </w:tabs>
        <w:spacing w:line="285" w:lineRule="auto" w:before="49" w:after="0"/>
        <w:ind w:left="103" w:right="116" w:firstLine="87"/>
        <w:jc w:val="both"/>
        <w:rPr>
          <w:sz w:val="23"/>
        </w:rPr>
      </w:pPr>
      <w:r>
        <w:rPr>
          <w:color w:val="231F20"/>
          <w:sz w:val="23"/>
        </w:rPr>
        <w:t>Mr. Speaker, Honourable Members, the budgetary allocations for 2020 is consistent with the priorities of Government, as articulated in the Medium Term National Development Plan (2019-2023). Human Capital Development remain the topmost</w:t>
      </w:r>
      <w:r>
        <w:rPr>
          <w:color w:val="231F20"/>
          <w:spacing w:val="-53"/>
          <w:sz w:val="23"/>
        </w:rPr>
        <w:t> </w:t>
      </w:r>
      <w:r>
        <w:rPr>
          <w:color w:val="231F20"/>
          <w:sz w:val="23"/>
        </w:rPr>
        <w:t>priority</w:t>
      </w:r>
      <w:r>
        <w:rPr>
          <w:color w:val="231F20"/>
          <w:spacing w:val="-53"/>
          <w:sz w:val="23"/>
        </w:rPr>
        <w:t> </w:t>
      </w:r>
      <w:r>
        <w:rPr>
          <w:color w:val="231F20"/>
          <w:sz w:val="23"/>
        </w:rPr>
        <w:t>of</w:t>
      </w:r>
      <w:r>
        <w:rPr>
          <w:color w:val="231F20"/>
          <w:spacing w:val="-53"/>
          <w:sz w:val="23"/>
        </w:rPr>
        <w:t> </w:t>
      </w:r>
      <w:r>
        <w:rPr>
          <w:color w:val="231F20"/>
          <w:sz w:val="23"/>
        </w:rPr>
        <w:t>Government,</w:t>
      </w:r>
      <w:r>
        <w:rPr>
          <w:color w:val="231F20"/>
          <w:spacing w:val="-53"/>
          <w:sz w:val="23"/>
        </w:rPr>
        <w:t> </w:t>
      </w:r>
      <w:r>
        <w:rPr>
          <w:color w:val="231F20"/>
          <w:sz w:val="23"/>
        </w:rPr>
        <w:t>followed</w:t>
      </w:r>
      <w:r>
        <w:rPr>
          <w:color w:val="231F20"/>
          <w:spacing w:val="-53"/>
          <w:sz w:val="23"/>
        </w:rPr>
        <w:t> </w:t>
      </w:r>
      <w:r>
        <w:rPr>
          <w:color w:val="231F20"/>
          <w:sz w:val="23"/>
        </w:rPr>
        <w:t>by</w:t>
      </w:r>
      <w:r>
        <w:rPr>
          <w:color w:val="231F20"/>
          <w:spacing w:val="-53"/>
          <w:sz w:val="23"/>
        </w:rPr>
        <w:t> </w:t>
      </w:r>
      <w:r>
        <w:rPr>
          <w:color w:val="231F20"/>
          <w:sz w:val="23"/>
        </w:rPr>
        <w:t>economic</w:t>
      </w:r>
      <w:r>
        <w:rPr>
          <w:color w:val="231F20"/>
          <w:spacing w:val="-53"/>
          <w:sz w:val="23"/>
        </w:rPr>
        <w:t> </w:t>
      </w:r>
      <w:r>
        <w:rPr>
          <w:color w:val="231F20"/>
          <w:sz w:val="23"/>
        </w:rPr>
        <w:t>diversification</w:t>
      </w:r>
      <w:r>
        <w:rPr>
          <w:color w:val="231F20"/>
          <w:spacing w:val="-53"/>
          <w:sz w:val="23"/>
        </w:rPr>
        <w:t> </w:t>
      </w:r>
      <w:r>
        <w:rPr>
          <w:color w:val="231F20"/>
          <w:sz w:val="23"/>
        </w:rPr>
        <w:t>and</w:t>
      </w:r>
      <w:r>
        <w:rPr>
          <w:color w:val="231F20"/>
          <w:spacing w:val="-52"/>
          <w:sz w:val="23"/>
        </w:rPr>
        <w:t> </w:t>
      </w:r>
      <w:r>
        <w:rPr>
          <w:color w:val="231F20"/>
          <w:sz w:val="23"/>
        </w:rPr>
        <w:t>infrastructure development</w:t>
      </w:r>
      <w:r>
        <w:rPr>
          <w:color w:val="231F20"/>
          <w:spacing w:val="-7"/>
          <w:sz w:val="23"/>
        </w:rPr>
        <w:t> </w:t>
      </w:r>
      <w:r>
        <w:rPr>
          <w:color w:val="231F20"/>
          <w:sz w:val="23"/>
        </w:rPr>
        <w:t>to</w:t>
      </w:r>
      <w:r>
        <w:rPr>
          <w:color w:val="231F20"/>
          <w:spacing w:val="-7"/>
          <w:sz w:val="23"/>
        </w:rPr>
        <w:t> </w:t>
      </w:r>
      <w:r>
        <w:rPr>
          <w:color w:val="231F20"/>
          <w:sz w:val="23"/>
        </w:rPr>
        <w:t>promote</w:t>
      </w:r>
      <w:r>
        <w:rPr>
          <w:color w:val="231F20"/>
          <w:spacing w:val="-7"/>
          <w:sz w:val="23"/>
        </w:rPr>
        <w:t> </w:t>
      </w:r>
      <w:r>
        <w:rPr>
          <w:color w:val="231F20"/>
          <w:sz w:val="23"/>
        </w:rPr>
        <w:t>sustainable</w:t>
      </w:r>
      <w:r>
        <w:rPr>
          <w:color w:val="231F20"/>
          <w:spacing w:val="-7"/>
          <w:sz w:val="23"/>
        </w:rPr>
        <w:t> </w:t>
      </w:r>
      <w:r>
        <w:rPr>
          <w:color w:val="231F20"/>
          <w:sz w:val="23"/>
        </w:rPr>
        <w:t>economic</w:t>
      </w:r>
      <w:r>
        <w:rPr>
          <w:color w:val="231F20"/>
          <w:spacing w:val="-7"/>
          <w:sz w:val="23"/>
        </w:rPr>
        <w:t> </w:t>
      </w:r>
      <w:r>
        <w:rPr>
          <w:color w:val="231F20"/>
          <w:sz w:val="23"/>
        </w:rPr>
        <w:t>growth</w:t>
      </w:r>
      <w:r>
        <w:rPr>
          <w:color w:val="231F20"/>
          <w:spacing w:val="-7"/>
          <w:sz w:val="23"/>
        </w:rPr>
        <w:t> </w:t>
      </w:r>
      <w:r>
        <w:rPr>
          <w:color w:val="231F20"/>
          <w:sz w:val="23"/>
        </w:rPr>
        <w:t>and</w:t>
      </w:r>
      <w:r>
        <w:rPr>
          <w:color w:val="231F20"/>
          <w:spacing w:val="-7"/>
          <w:sz w:val="23"/>
        </w:rPr>
        <w:t> </w:t>
      </w:r>
      <w:r>
        <w:rPr>
          <w:color w:val="231F20"/>
          <w:sz w:val="23"/>
        </w:rPr>
        <w:t>job</w:t>
      </w:r>
      <w:r>
        <w:rPr>
          <w:color w:val="231F20"/>
          <w:spacing w:val="-7"/>
          <w:sz w:val="23"/>
        </w:rPr>
        <w:t> </w:t>
      </w:r>
      <w:r>
        <w:rPr>
          <w:color w:val="231F20"/>
          <w:sz w:val="23"/>
        </w:rPr>
        <w:t>creation.</w:t>
      </w:r>
    </w:p>
    <w:p>
      <w:pPr>
        <w:pStyle w:val="BodyText"/>
        <w:spacing w:before="9"/>
        <w:rPr>
          <w:sz w:val="26"/>
        </w:rPr>
      </w:pPr>
    </w:p>
    <w:p>
      <w:pPr>
        <w:pStyle w:val="Heading2"/>
        <w:ind w:left="953"/>
      </w:pPr>
      <w:r>
        <w:rPr>
          <w:color w:val="231F20"/>
        </w:rPr>
        <w:t>Cluster One: Human Capital Development Education</w:t>
      </w:r>
    </w:p>
    <w:p>
      <w:pPr>
        <w:pStyle w:val="ListParagraph"/>
        <w:numPr>
          <w:ilvl w:val="0"/>
          <w:numId w:val="2"/>
        </w:numPr>
        <w:tabs>
          <w:tab w:pos="954" w:val="left" w:leader="none"/>
        </w:tabs>
        <w:spacing w:line="285" w:lineRule="auto" w:before="51" w:after="0"/>
        <w:ind w:left="103" w:right="119" w:firstLine="87"/>
        <w:jc w:val="both"/>
        <w:rPr>
          <w:sz w:val="23"/>
        </w:rPr>
      </w:pPr>
      <w:r>
        <w:rPr>
          <w:color w:val="231F20"/>
          <w:sz w:val="23"/>
        </w:rPr>
        <w:t>Mr.</w:t>
      </w:r>
      <w:r>
        <w:rPr>
          <w:color w:val="231F20"/>
          <w:spacing w:val="-35"/>
          <w:sz w:val="23"/>
        </w:rPr>
        <w:t> </w:t>
      </w:r>
      <w:r>
        <w:rPr>
          <w:color w:val="231F20"/>
          <w:sz w:val="23"/>
        </w:rPr>
        <w:t>Speaker,</w:t>
      </w:r>
      <w:r>
        <w:rPr>
          <w:color w:val="231F20"/>
          <w:spacing w:val="-35"/>
          <w:sz w:val="23"/>
        </w:rPr>
        <w:t> </w:t>
      </w:r>
      <w:r>
        <w:rPr>
          <w:color w:val="231F20"/>
          <w:sz w:val="23"/>
        </w:rPr>
        <w:t>Honourable</w:t>
      </w:r>
      <w:r>
        <w:rPr>
          <w:color w:val="231F20"/>
          <w:spacing w:val="-35"/>
          <w:sz w:val="23"/>
        </w:rPr>
        <w:t> </w:t>
      </w:r>
      <w:r>
        <w:rPr>
          <w:color w:val="231F20"/>
          <w:sz w:val="23"/>
        </w:rPr>
        <w:t>Members,</w:t>
      </w:r>
      <w:r>
        <w:rPr>
          <w:color w:val="231F20"/>
          <w:spacing w:val="-35"/>
          <w:sz w:val="23"/>
        </w:rPr>
        <w:t> </w:t>
      </w:r>
      <w:r>
        <w:rPr>
          <w:color w:val="231F20"/>
          <w:sz w:val="23"/>
        </w:rPr>
        <w:t>total</w:t>
      </w:r>
      <w:r>
        <w:rPr>
          <w:color w:val="231F20"/>
          <w:spacing w:val="-35"/>
          <w:sz w:val="23"/>
        </w:rPr>
        <w:t> </w:t>
      </w:r>
      <w:r>
        <w:rPr>
          <w:color w:val="231F20"/>
          <w:sz w:val="23"/>
        </w:rPr>
        <w:t>budgetary</w:t>
      </w:r>
      <w:r>
        <w:rPr>
          <w:color w:val="231F20"/>
          <w:spacing w:val="-35"/>
          <w:sz w:val="23"/>
        </w:rPr>
        <w:t> </w:t>
      </w:r>
      <w:r>
        <w:rPr>
          <w:color w:val="231F20"/>
          <w:sz w:val="23"/>
        </w:rPr>
        <w:t>allocation</w:t>
      </w:r>
      <w:r>
        <w:rPr>
          <w:color w:val="231F20"/>
          <w:spacing w:val="-35"/>
          <w:sz w:val="23"/>
        </w:rPr>
        <w:t> </w:t>
      </w:r>
      <w:r>
        <w:rPr>
          <w:color w:val="231F20"/>
          <w:sz w:val="23"/>
        </w:rPr>
        <w:t>to</w:t>
      </w:r>
      <w:r>
        <w:rPr>
          <w:color w:val="231F20"/>
          <w:spacing w:val="-35"/>
          <w:sz w:val="23"/>
        </w:rPr>
        <w:t> </w:t>
      </w:r>
      <w:r>
        <w:rPr>
          <w:color w:val="231F20"/>
          <w:sz w:val="23"/>
        </w:rPr>
        <w:t>the</w:t>
      </w:r>
      <w:r>
        <w:rPr>
          <w:color w:val="231F20"/>
          <w:spacing w:val="-35"/>
          <w:sz w:val="23"/>
        </w:rPr>
        <w:t> </w:t>
      </w:r>
      <w:r>
        <w:rPr>
          <w:color w:val="231F20"/>
          <w:sz w:val="23"/>
        </w:rPr>
        <w:t>education sector</w:t>
      </w:r>
      <w:r>
        <w:rPr>
          <w:color w:val="231F20"/>
          <w:spacing w:val="-33"/>
          <w:sz w:val="23"/>
        </w:rPr>
        <w:t> </w:t>
      </w:r>
      <w:r>
        <w:rPr>
          <w:color w:val="231F20"/>
          <w:sz w:val="23"/>
        </w:rPr>
        <w:t>is</w:t>
      </w:r>
      <w:r>
        <w:rPr>
          <w:color w:val="231F20"/>
          <w:spacing w:val="-32"/>
          <w:sz w:val="23"/>
        </w:rPr>
        <w:t> </w:t>
      </w:r>
      <w:r>
        <w:rPr>
          <w:color w:val="231F20"/>
          <w:sz w:val="23"/>
        </w:rPr>
        <w:t>Le1.4</w:t>
      </w:r>
      <w:r>
        <w:rPr>
          <w:color w:val="231F20"/>
          <w:spacing w:val="-33"/>
          <w:sz w:val="23"/>
        </w:rPr>
        <w:t> </w:t>
      </w:r>
      <w:r>
        <w:rPr>
          <w:color w:val="231F20"/>
          <w:sz w:val="23"/>
        </w:rPr>
        <w:t>trillion,</w:t>
      </w:r>
      <w:r>
        <w:rPr>
          <w:color w:val="231F20"/>
          <w:spacing w:val="-32"/>
          <w:sz w:val="23"/>
        </w:rPr>
        <w:t> </w:t>
      </w:r>
      <w:r>
        <w:rPr>
          <w:color w:val="231F20"/>
          <w:sz w:val="23"/>
        </w:rPr>
        <w:t>representing</w:t>
      </w:r>
      <w:r>
        <w:rPr>
          <w:color w:val="231F20"/>
          <w:spacing w:val="9"/>
          <w:sz w:val="23"/>
        </w:rPr>
        <w:t> </w:t>
      </w:r>
      <w:r>
        <w:rPr>
          <w:color w:val="231F20"/>
          <w:sz w:val="23"/>
        </w:rPr>
        <w:t>22</w:t>
      </w:r>
      <w:r>
        <w:rPr>
          <w:color w:val="231F20"/>
          <w:spacing w:val="-33"/>
          <w:sz w:val="23"/>
        </w:rPr>
        <w:t> </w:t>
      </w:r>
      <w:r>
        <w:rPr>
          <w:color w:val="231F20"/>
          <w:sz w:val="23"/>
        </w:rPr>
        <w:t>percent</w:t>
      </w:r>
      <w:r>
        <w:rPr>
          <w:color w:val="231F20"/>
          <w:spacing w:val="-33"/>
          <w:sz w:val="23"/>
        </w:rPr>
        <w:t> </w:t>
      </w:r>
      <w:r>
        <w:rPr>
          <w:color w:val="231F20"/>
          <w:sz w:val="23"/>
        </w:rPr>
        <w:t>of</w:t>
      </w:r>
      <w:r>
        <w:rPr>
          <w:color w:val="231F20"/>
          <w:spacing w:val="-33"/>
          <w:sz w:val="23"/>
        </w:rPr>
        <w:t> </w:t>
      </w:r>
      <w:r>
        <w:rPr>
          <w:color w:val="231F20"/>
          <w:sz w:val="23"/>
        </w:rPr>
        <w:t>total</w:t>
      </w:r>
      <w:r>
        <w:rPr>
          <w:color w:val="231F20"/>
          <w:spacing w:val="-32"/>
          <w:sz w:val="23"/>
        </w:rPr>
        <w:t> </w:t>
      </w:r>
      <w:r>
        <w:rPr>
          <w:color w:val="231F20"/>
          <w:sz w:val="23"/>
        </w:rPr>
        <w:t>primary</w:t>
      </w:r>
      <w:r>
        <w:rPr>
          <w:color w:val="231F20"/>
          <w:spacing w:val="-33"/>
          <w:sz w:val="23"/>
        </w:rPr>
        <w:t> </w:t>
      </w:r>
      <w:r>
        <w:rPr>
          <w:color w:val="231F20"/>
          <w:sz w:val="23"/>
        </w:rPr>
        <w:t>expenditures.</w:t>
      </w:r>
      <w:r>
        <w:rPr>
          <w:color w:val="231F20"/>
          <w:spacing w:val="-33"/>
          <w:sz w:val="23"/>
        </w:rPr>
        <w:t> </w:t>
      </w:r>
      <w:r>
        <w:rPr>
          <w:color w:val="231F20"/>
          <w:sz w:val="23"/>
        </w:rPr>
        <w:t>The</w:t>
      </w:r>
      <w:r>
        <w:rPr>
          <w:color w:val="231F20"/>
          <w:spacing w:val="-33"/>
          <w:sz w:val="23"/>
        </w:rPr>
        <w:t> </w:t>
      </w:r>
      <w:r>
        <w:rPr>
          <w:color w:val="231F20"/>
          <w:sz w:val="23"/>
        </w:rPr>
        <w:t>Free Quality School Education Programme remains Government’s flagship. To deepen</w:t>
      </w:r>
      <w:r>
        <w:rPr>
          <w:color w:val="231F20"/>
          <w:spacing w:val="-33"/>
          <w:sz w:val="23"/>
        </w:rPr>
        <w:t> </w:t>
      </w:r>
      <w:r>
        <w:rPr>
          <w:color w:val="231F20"/>
          <w:sz w:val="23"/>
        </w:rPr>
        <w:t>its implementation, Government is allocating Le317.2 billion in the domestic capital budget</w:t>
      </w:r>
      <w:r>
        <w:rPr>
          <w:color w:val="231F20"/>
          <w:spacing w:val="-43"/>
          <w:sz w:val="23"/>
        </w:rPr>
        <w:t> </w:t>
      </w:r>
      <w:r>
        <w:rPr>
          <w:color w:val="231F20"/>
          <w:sz w:val="23"/>
        </w:rPr>
        <w:t>to</w:t>
      </w:r>
      <w:r>
        <w:rPr>
          <w:color w:val="231F20"/>
          <w:spacing w:val="-43"/>
          <w:sz w:val="23"/>
        </w:rPr>
        <w:t> </w:t>
      </w:r>
      <w:r>
        <w:rPr>
          <w:color w:val="231F20"/>
          <w:sz w:val="23"/>
        </w:rPr>
        <w:t>cover</w:t>
      </w:r>
      <w:r>
        <w:rPr>
          <w:color w:val="231F20"/>
          <w:spacing w:val="-42"/>
          <w:sz w:val="23"/>
        </w:rPr>
        <w:t> </w:t>
      </w:r>
      <w:r>
        <w:rPr>
          <w:color w:val="231F20"/>
          <w:sz w:val="23"/>
        </w:rPr>
        <w:t>the</w:t>
      </w:r>
      <w:r>
        <w:rPr>
          <w:color w:val="231F20"/>
          <w:spacing w:val="-43"/>
          <w:sz w:val="23"/>
        </w:rPr>
        <w:t> </w:t>
      </w:r>
      <w:r>
        <w:rPr>
          <w:color w:val="231F20"/>
          <w:sz w:val="23"/>
        </w:rPr>
        <w:t>procurement</w:t>
      </w:r>
      <w:r>
        <w:rPr>
          <w:color w:val="231F20"/>
          <w:spacing w:val="-42"/>
          <w:sz w:val="23"/>
        </w:rPr>
        <w:t> </w:t>
      </w:r>
      <w:r>
        <w:rPr>
          <w:color w:val="231F20"/>
          <w:sz w:val="23"/>
        </w:rPr>
        <w:t>of</w:t>
      </w:r>
      <w:r>
        <w:rPr>
          <w:color w:val="231F20"/>
          <w:spacing w:val="-43"/>
          <w:sz w:val="23"/>
        </w:rPr>
        <w:t> </w:t>
      </w:r>
      <w:r>
        <w:rPr>
          <w:color w:val="231F20"/>
          <w:sz w:val="23"/>
        </w:rPr>
        <w:t>teaching</w:t>
      </w:r>
      <w:r>
        <w:rPr>
          <w:color w:val="231F20"/>
          <w:spacing w:val="-42"/>
          <w:sz w:val="23"/>
        </w:rPr>
        <w:t> </w:t>
      </w:r>
      <w:r>
        <w:rPr>
          <w:color w:val="231F20"/>
          <w:sz w:val="23"/>
        </w:rPr>
        <w:t>and</w:t>
      </w:r>
      <w:r>
        <w:rPr>
          <w:color w:val="231F20"/>
          <w:spacing w:val="-43"/>
          <w:sz w:val="23"/>
        </w:rPr>
        <w:t> </w:t>
      </w:r>
      <w:r>
        <w:rPr>
          <w:color w:val="231F20"/>
          <w:sz w:val="23"/>
        </w:rPr>
        <w:t>learning</w:t>
      </w:r>
      <w:r>
        <w:rPr>
          <w:color w:val="231F20"/>
          <w:spacing w:val="-42"/>
          <w:sz w:val="23"/>
        </w:rPr>
        <w:t> </w:t>
      </w:r>
      <w:r>
        <w:rPr>
          <w:color w:val="231F20"/>
          <w:sz w:val="23"/>
        </w:rPr>
        <w:t>materials,</w:t>
      </w:r>
      <w:r>
        <w:rPr>
          <w:color w:val="231F20"/>
          <w:spacing w:val="-43"/>
          <w:sz w:val="23"/>
        </w:rPr>
        <w:t> </w:t>
      </w:r>
      <w:r>
        <w:rPr>
          <w:color w:val="231F20"/>
          <w:sz w:val="23"/>
        </w:rPr>
        <w:t>school</w:t>
      </w:r>
      <w:r>
        <w:rPr>
          <w:color w:val="231F20"/>
          <w:spacing w:val="-43"/>
          <w:sz w:val="23"/>
        </w:rPr>
        <w:t> </w:t>
      </w:r>
      <w:r>
        <w:rPr>
          <w:color w:val="231F20"/>
          <w:sz w:val="23"/>
        </w:rPr>
        <w:t>fee</w:t>
      </w:r>
      <w:r>
        <w:rPr>
          <w:color w:val="231F20"/>
          <w:spacing w:val="-42"/>
          <w:sz w:val="23"/>
        </w:rPr>
        <w:t> </w:t>
      </w:r>
      <w:r>
        <w:rPr>
          <w:color w:val="231F20"/>
          <w:sz w:val="23"/>
        </w:rPr>
        <w:t>subsidy, school feeding programme, and payment of examination fees for NPSE, BECE, and WASSCE.</w:t>
      </w:r>
      <w:r>
        <w:rPr>
          <w:color w:val="231F20"/>
          <w:spacing w:val="-18"/>
          <w:sz w:val="23"/>
        </w:rPr>
        <w:t> </w:t>
      </w:r>
      <w:r>
        <w:rPr>
          <w:color w:val="231F20"/>
          <w:sz w:val="23"/>
        </w:rPr>
        <w:t>The</w:t>
      </w:r>
      <w:r>
        <w:rPr>
          <w:color w:val="231F20"/>
          <w:spacing w:val="-18"/>
          <w:sz w:val="23"/>
        </w:rPr>
        <w:t> </w:t>
      </w:r>
      <w:r>
        <w:rPr>
          <w:color w:val="231F20"/>
          <w:sz w:val="23"/>
        </w:rPr>
        <w:t>sum</w:t>
      </w:r>
      <w:r>
        <w:rPr>
          <w:color w:val="231F20"/>
          <w:spacing w:val="-18"/>
          <w:sz w:val="23"/>
        </w:rPr>
        <w:t> </w:t>
      </w:r>
      <w:r>
        <w:rPr>
          <w:color w:val="231F20"/>
          <w:sz w:val="23"/>
        </w:rPr>
        <w:t>of</w:t>
      </w:r>
      <w:r>
        <w:rPr>
          <w:color w:val="231F20"/>
          <w:spacing w:val="-18"/>
          <w:sz w:val="23"/>
        </w:rPr>
        <w:t> </w:t>
      </w:r>
      <w:r>
        <w:rPr>
          <w:color w:val="231F20"/>
          <w:sz w:val="23"/>
        </w:rPr>
        <w:t>Le3.0</w:t>
      </w:r>
      <w:r>
        <w:rPr>
          <w:color w:val="231F20"/>
          <w:spacing w:val="-18"/>
          <w:sz w:val="23"/>
        </w:rPr>
        <w:t> </w:t>
      </w:r>
      <w:r>
        <w:rPr>
          <w:color w:val="231F20"/>
          <w:sz w:val="23"/>
        </w:rPr>
        <w:t>billion</w:t>
      </w:r>
      <w:r>
        <w:rPr>
          <w:color w:val="231F20"/>
          <w:spacing w:val="-18"/>
          <w:sz w:val="23"/>
        </w:rPr>
        <w:t> </w:t>
      </w:r>
      <w:r>
        <w:rPr>
          <w:color w:val="231F20"/>
          <w:sz w:val="23"/>
        </w:rPr>
        <w:t>is</w:t>
      </w:r>
      <w:r>
        <w:rPr>
          <w:color w:val="231F20"/>
          <w:spacing w:val="-17"/>
          <w:sz w:val="23"/>
        </w:rPr>
        <w:t> </w:t>
      </w:r>
      <w:r>
        <w:rPr>
          <w:color w:val="231F20"/>
          <w:sz w:val="23"/>
        </w:rPr>
        <w:t>provided</w:t>
      </w:r>
      <w:r>
        <w:rPr>
          <w:color w:val="231F20"/>
          <w:spacing w:val="-18"/>
          <w:sz w:val="23"/>
        </w:rPr>
        <w:t> </w:t>
      </w:r>
      <w:r>
        <w:rPr>
          <w:color w:val="231F20"/>
          <w:sz w:val="23"/>
        </w:rPr>
        <w:t>for</w:t>
      </w:r>
      <w:r>
        <w:rPr>
          <w:color w:val="231F20"/>
          <w:spacing w:val="-17"/>
          <w:sz w:val="23"/>
        </w:rPr>
        <w:t> </w:t>
      </w:r>
      <w:r>
        <w:rPr>
          <w:color w:val="231F20"/>
          <w:sz w:val="23"/>
        </w:rPr>
        <w:t>rehabilitation</w:t>
      </w:r>
      <w:r>
        <w:rPr>
          <w:color w:val="231F20"/>
          <w:spacing w:val="-18"/>
          <w:sz w:val="23"/>
        </w:rPr>
        <w:t> </w:t>
      </w:r>
      <w:r>
        <w:rPr>
          <w:color w:val="231F20"/>
          <w:sz w:val="23"/>
        </w:rPr>
        <w:t>and</w:t>
      </w:r>
      <w:r>
        <w:rPr>
          <w:color w:val="231F20"/>
          <w:spacing w:val="-18"/>
          <w:sz w:val="23"/>
        </w:rPr>
        <w:t> </w:t>
      </w:r>
      <w:r>
        <w:rPr>
          <w:color w:val="231F20"/>
          <w:sz w:val="23"/>
        </w:rPr>
        <w:t>refurbishment</w:t>
      </w:r>
      <w:r>
        <w:rPr>
          <w:color w:val="231F20"/>
          <w:spacing w:val="-18"/>
          <w:sz w:val="23"/>
        </w:rPr>
        <w:t> </w:t>
      </w:r>
      <w:r>
        <w:rPr>
          <w:color w:val="231F20"/>
          <w:sz w:val="23"/>
        </w:rPr>
        <w:t>of District</w:t>
      </w:r>
      <w:r>
        <w:rPr>
          <w:color w:val="231F20"/>
          <w:spacing w:val="-41"/>
          <w:sz w:val="23"/>
        </w:rPr>
        <w:t> </w:t>
      </w:r>
      <w:r>
        <w:rPr>
          <w:color w:val="231F20"/>
          <w:sz w:val="23"/>
        </w:rPr>
        <w:t>Technical</w:t>
      </w:r>
      <w:r>
        <w:rPr>
          <w:color w:val="231F20"/>
          <w:spacing w:val="-42"/>
          <w:sz w:val="23"/>
        </w:rPr>
        <w:t> </w:t>
      </w:r>
      <w:r>
        <w:rPr>
          <w:color w:val="231F20"/>
          <w:sz w:val="23"/>
        </w:rPr>
        <w:t>Institutes</w:t>
      </w:r>
      <w:r>
        <w:rPr>
          <w:color w:val="231F20"/>
          <w:spacing w:val="-41"/>
          <w:sz w:val="23"/>
        </w:rPr>
        <w:t> </w:t>
      </w:r>
      <w:r>
        <w:rPr>
          <w:color w:val="231F20"/>
          <w:sz w:val="23"/>
        </w:rPr>
        <w:t>and</w:t>
      </w:r>
      <w:r>
        <w:rPr>
          <w:color w:val="231F20"/>
          <w:spacing w:val="-41"/>
          <w:sz w:val="23"/>
        </w:rPr>
        <w:t> </w:t>
      </w:r>
      <w:r>
        <w:rPr>
          <w:color w:val="231F20"/>
          <w:sz w:val="23"/>
        </w:rPr>
        <w:t>Teacher</w:t>
      </w:r>
      <w:r>
        <w:rPr>
          <w:color w:val="231F20"/>
          <w:spacing w:val="-42"/>
          <w:sz w:val="23"/>
        </w:rPr>
        <w:t> </w:t>
      </w:r>
      <w:r>
        <w:rPr>
          <w:color w:val="231F20"/>
          <w:sz w:val="23"/>
        </w:rPr>
        <w:t>Training</w:t>
      </w:r>
      <w:r>
        <w:rPr>
          <w:color w:val="231F20"/>
          <w:spacing w:val="-42"/>
          <w:sz w:val="23"/>
        </w:rPr>
        <w:t> </w:t>
      </w:r>
      <w:r>
        <w:rPr>
          <w:color w:val="231F20"/>
          <w:sz w:val="23"/>
        </w:rPr>
        <w:t>Colleges.</w:t>
      </w:r>
      <w:r>
        <w:rPr>
          <w:color w:val="231F20"/>
          <w:spacing w:val="-40"/>
          <w:sz w:val="23"/>
        </w:rPr>
        <w:t> </w:t>
      </w:r>
      <w:r>
        <w:rPr>
          <w:color w:val="231F20"/>
          <w:sz w:val="23"/>
        </w:rPr>
        <w:t>Government’s</w:t>
      </w:r>
      <w:r>
        <w:rPr>
          <w:color w:val="231F20"/>
          <w:spacing w:val="-41"/>
          <w:sz w:val="23"/>
        </w:rPr>
        <w:t> </w:t>
      </w:r>
      <w:r>
        <w:rPr>
          <w:color w:val="231F20"/>
          <w:sz w:val="23"/>
        </w:rPr>
        <w:t>counterpart contributions</w:t>
      </w:r>
      <w:r>
        <w:rPr>
          <w:color w:val="231F20"/>
          <w:spacing w:val="-10"/>
          <w:sz w:val="23"/>
        </w:rPr>
        <w:t> </w:t>
      </w:r>
      <w:r>
        <w:rPr>
          <w:color w:val="231F20"/>
          <w:sz w:val="23"/>
        </w:rPr>
        <w:t>to</w:t>
      </w:r>
      <w:r>
        <w:rPr>
          <w:color w:val="231F20"/>
          <w:spacing w:val="-10"/>
          <w:sz w:val="23"/>
        </w:rPr>
        <w:t> </w:t>
      </w:r>
      <w:r>
        <w:rPr>
          <w:color w:val="231F20"/>
          <w:sz w:val="23"/>
        </w:rPr>
        <w:t>the</w:t>
      </w:r>
      <w:r>
        <w:rPr>
          <w:color w:val="231F20"/>
          <w:spacing w:val="-10"/>
          <w:sz w:val="23"/>
        </w:rPr>
        <w:t> </w:t>
      </w:r>
      <w:r>
        <w:rPr>
          <w:color w:val="231F20"/>
          <w:sz w:val="23"/>
        </w:rPr>
        <w:t>rehabilitation</w:t>
      </w:r>
      <w:r>
        <w:rPr>
          <w:color w:val="231F20"/>
          <w:spacing w:val="-10"/>
          <w:sz w:val="23"/>
        </w:rPr>
        <w:t> </w:t>
      </w:r>
      <w:r>
        <w:rPr>
          <w:color w:val="231F20"/>
          <w:sz w:val="23"/>
        </w:rPr>
        <w:t>of</w:t>
      </w:r>
      <w:r>
        <w:rPr>
          <w:color w:val="231F20"/>
          <w:spacing w:val="-10"/>
          <w:sz w:val="23"/>
        </w:rPr>
        <w:t> </w:t>
      </w:r>
      <w:r>
        <w:rPr>
          <w:color w:val="231F20"/>
          <w:sz w:val="23"/>
        </w:rPr>
        <w:t>Fourah</w:t>
      </w:r>
      <w:r>
        <w:rPr>
          <w:color w:val="231F20"/>
          <w:spacing w:val="-10"/>
          <w:sz w:val="23"/>
        </w:rPr>
        <w:t> </w:t>
      </w:r>
      <w:r>
        <w:rPr>
          <w:color w:val="231F20"/>
          <w:sz w:val="23"/>
        </w:rPr>
        <w:t>Bay</w:t>
      </w:r>
      <w:r>
        <w:rPr>
          <w:color w:val="231F20"/>
          <w:spacing w:val="-10"/>
          <w:sz w:val="23"/>
        </w:rPr>
        <w:t> </w:t>
      </w:r>
      <w:r>
        <w:rPr>
          <w:color w:val="231F20"/>
          <w:sz w:val="23"/>
        </w:rPr>
        <w:t>College</w:t>
      </w:r>
      <w:r>
        <w:rPr>
          <w:color w:val="231F20"/>
          <w:spacing w:val="-10"/>
          <w:sz w:val="23"/>
        </w:rPr>
        <w:t> </w:t>
      </w:r>
      <w:r>
        <w:rPr>
          <w:color w:val="231F20"/>
          <w:sz w:val="23"/>
        </w:rPr>
        <w:t>will</w:t>
      </w:r>
      <w:r>
        <w:rPr>
          <w:color w:val="231F20"/>
          <w:spacing w:val="-10"/>
          <w:sz w:val="23"/>
        </w:rPr>
        <w:t> </w:t>
      </w:r>
      <w:r>
        <w:rPr>
          <w:color w:val="231F20"/>
          <w:sz w:val="23"/>
        </w:rPr>
        <w:t>amount</w:t>
      </w:r>
      <w:r>
        <w:rPr>
          <w:color w:val="231F20"/>
          <w:spacing w:val="-10"/>
          <w:sz w:val="23"/>
        </w:rPr>
        <w:t> </w:t>
      </w:r>
      <w:r>
        <w:rPr>
          <w:color w:val="231F20"/>
          <w:sz w:val="23"/>
        </w:rPr>
        <w:t>to</w:t>
      </w:r>
      <w:r>
        <w:rPr>
          <w:color w:val="231F20"/>
          <w:spacing w:val="-10"/>
          <w:sz w:val="23"/>
        </w:rPr>
        <w:t> </w:t>
      </w:r>
      <w:r>
        <w:rPr>
          <w:color w:val="231F20"/>
          <w:sz w:val="23"/>
        </w:rPr>
        <w:t>Le5.0</w:t>
      </w:r>
      <w:r>
        <w:rPr>
          <w:color w:val="231F20"/>
          <w:spacing w:val="-10"/>
          <w:sz w:val="23"/>
        </w:rPr>
        <w:t> </w:t>
      </w:r>
      <w:r>
        <w:rPr>
          <w:color w:val="231F20"/>
          <w:sz w:val="23"/>
        </w:rPr>
        <w:t>billion and to the construction of the new IPAM campus is also Le 5.0</w:t>
      </w:r>
      <w:r>
        <w:rPr>
          <w:color w:val="231F20"/>
          <w:spacing w:val="-52"/>
          <w:sz w:val="23"/>
        </w:rPr>
        <w:t> </w:t>
      </w:r>
      <w:r>
        <w:rPr>
          <w:color w:val="231F20"/>
          <w:sz w:val="23"/>
        </w:rPr>
        <w:t>billion.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49"/>
      </w:pPr>
      <w:r>
        <w:rPr>
          <w:color w:val="231F20"/>
        </w:rPr>
        <w:t>34</w:t>
      </w:r>
    </w:p>
    <w:p>
      <w:pPr>
        <w:spacing w:after="0"/>
        <w:sectPr>
          <w:pgSz w:w="11900" w:h="16840"/>
          <w:pgMar w:top="1180" w:bottom="280" w:left="1140" w:right="1120"/>
        </w:sectPr>
      </w:pPr>
    </w:p>
    <w:p>
      <w:pPr>
        <w:pStyle w:val="ListParagraph"/>
        <w:numPr>
          <w:ilvl w:val="0"/>
          <w:numId w:val="2"/>
        </w:numPr>
        <w:tabs>
          <w:tab w:pos="954" w:val="left" w:leader="none"/>
        </w:tabs>
        <w:spacing w:line="285" w:lineRule="auto" w:before="83" w:after="0"/>
        <w:ind w:left="103" w:right="119" w:firstLine="87"/>
        <w:jc w:val="both"/>
        <w:rPr>
          <w:sz w:val="23"/>
        </w:rPr>
      </w:pPr>
      <w:r>
        <w:rPr>
          <w:color w:val="231F20"/>
          <w:sz w:val="23"/>
        </w:rPr>
        <w:t>The wage bill for teahers is projected at Le657.6 billion while that of</w:t>
      </w:r>
      <w:r>
        <w:rPr>
          <w:color w:val="231F20"/>
          <w:spacing w:val="-30"/>
          <w:sz w:val="23"/>
        </w:rPr>
        <w:t> </w:t>
      </w:r>
      <w:r>
        <w:rPr>
          <w:color w:val="231F20"/>
          <w:sz w:val="23"/>
        </w:rPr>
        <w:t>Tertiary Universities</w:t>
      </w:r>
      <w:r>
        <w:rPr>
          <w:color w:val="231F20"/>
          <w:spacing w:val="-15"/>
          <w:sz w:val="23"/>
        </w:rPr>
        <w:t> </w:t>
      </w:r>
      <w:r>
        <w:rPr>
          <w:color w:val="231F20"/>
          <w:sz w:val="23"/>
        </w:rPr>
        <w:t>and</w:t>
      </w:r>
      <w:r>
        <w:rPr>
          <w:color w:val="231F20"/>
          <w:spacing w:val="-15"/>
          <w:sz w:val="23"/>
        </w:rPr>
        <w:t> </w:t>
      </w:r>
      <w:r>
        <w:rPr>
          <w:color w:val="231F20"/>
          <w:sz w:val="23"/>
        </w:rPr>
        <w:t>Colleges</w:t>
      </w:r>
      <w:r>
        <w:rPr>
          <w:color w:val="231F20"/>
          <w:spacing w:val="-15"/>
          <w:sz w:val="23"/>
        </w:rPr>
        <w:t> </w:t>
      </w:r>
      <w:r>
        <w:rPr>
          <w:color w:val="231F20"/>
          <w:sz w:val="23"/>
        </w:rPr>
        <w:t>will</w:t>
      </w:r>
      <w:r>
        <w:rPr>
          <w:color w:val="231F20"/>
          <w:spacing w:val="-15"/>
          <w:sz w:val="23"/>
        </w:rPr>
        <w:t> </w:t>
      </w:r>
      <w:r>
        <w:rPr>
          <w:color w:val="231F20"/>
          <w:sz w:val="23"/>
        </w:rPr>
        <w:t>amount</w:t>
      </w:r>
      <w:r>
        <w:rPr>
          <w:color w:val="231F20"/>
          <w:spacing w:val="-15"/>
          <w:sz w:val="23"/>
        </w:rPr>
        <w:t> </w:t>
      </w:r>
      <w:r>
        <w:rPr>
          <w:color w:val="231F20"/>
          <w:sz w:val="23"/>
        </w:rPr>
        <w:t>to</w:t>
      </w:r>
      <w:r>
        <w:rPr>
          <w:color w:val="231F20"/>
          <w:spacing w:val="-15"/>
          <w:sz w:val="23"/>
        </w:rPr>
        <w:t> </w:t>
      </w:r>
      <w:r>
        <w:rPr>
          <w:color w:val="231F20"/>
          <w:sz w:val="23"/>
        </w:rPr>
        <w:t>Le200.5</w:t>
      </w:r>
      <w:r>
        <w:rPr>
          <w:color w:val="231F20"/>
          <w:spacing w:val="-15"/>
          <w:sz w:val="23"/>
        </w:rPr>
        <w:t> </w:t>
      </w:r>
      <w:r>
        <w:rPr>
          <w:color w:val="231F20"/>
          <w:sz w:val="23"/>
        </w:rPr>
        <w:t>billion.</w:t>
      </w:r>
      <w:r>
        <w:rPr>
          <w:color w:val="231F20"/>
          <w:spacing w:val="-15"/>
          <w:sz w:val="23"/>
        </w:rPr>
        <w:t> </w:t>
      </w:r>
      <w:r>
        <w:rPr>
          <w:color w:val="231F20"/>
          <w:sz w:val="23"/>
        </w:rPr>
        <w:t>From</w:t>
      </w:r>
      <w:r>
        <w:rPr>
          <w:color w:val="231F20"/>
          <w:spacing w:val="-15"/>
          <w:sz w:val="23"/>
        </w:rPr>
        <w:t> </w:t>
      </w:r>
      <w:r>
        <w:rPr>
          <w:color w:val="231F20"/>
          <w:sz w:val="23"/>
        </w:rPr>
        <w:t>the</w:t>
      </w:r>
      <w:r>
        <w:rPr>
          <w:color w:val="231F20"/>
          <w:spacing w:val="-15"/>
          <w:sz w:val="23"/>
        </w:rPr>
        <w:t> </w:t>
      </w:r>
      <w:r>
        <w:rPr>
          <w:color w:val="231F20"/>
          <w:sz w:val="23"/>
        </w:rPr>
        <w:t>recurrence</w:t>
      </w:r>
      <w:r>
        <w:rPr>
          <w:color w:val="231F20"/>
          <w:spacing w:val="-15"/>
          <w:sz w:val="23"/>
        </w:rPr>
        <w:t> </w:t>
      </w:r>
      <w:r>
        <w:rPr>
          <w:color w:val="231F20"/>
          <w:sz w:val="23"/>
        </w:rPr>
        <w:t>budget the</w:t>
      </w:r>
      <w:r>
        <w:rPr>
          <w:color w:val="231F20"/>
          <w:spacing w:val="-28"/>
          <w:sz w:val="23"/>
        </w:rPr>
        <w:t> </w:t>
      </w:r>
      <w:r>
        <w:rPr>
          <w:color w:val="231F20"/>
          <w:sz w:val="23"/>
        </w:rPr>
        <w:t>sum</w:t>
      </w:r>
      <w:r>
        <w:rPr>
          <w:color w:val="231F20"/>
          <w:spacing w:val="-28"/>
          <w:sz w:val="23"/>
        </w:rPr>
        <w:t> </w:t>
      </w:r>
      <w:r>
        <w:rPr>
          <w:color w:val="231F20"/>
          <w:sz w:val="23"/>
        </w:rPr>
        <w:t>of</w:t>
      </w:r>
      <w:r>
        <w:rPr>
          <w:color w:val="231F20"/>
          <w:spacing w:val="-28"/>
          <w:sz w:val="23"/>
        </w:rPr>
        <w:t> </w:t>
      </w:r>
      <w:r>
        <w:rPr>
          <w:color w:val="231F20"/>
          <w:sz w:val="23"/>
        </w:rPr>
        <w:t>Le122.0</w:t>
      </w:r>
      <w:r>
        <w:rPr>
          <w:color w:val="231F20"/>
          <w:spacing w:val="-28"/>
          <w:sz w:val="23"/>
        </w:rPr>
        <w:t> </w:t>
      </w:r>
      <w:r>
        <w:rPr>
          <w:color w:val="231F20"/>
          <w:sz w:val="23"/>
        </w:rPr>
        <w:t>billion</w:t>
      </w:r>
      <w:r>
        <w:rPr>
          <w:color w:val="231F20"/>
          <w:spacing w:val="-28"/>
          <w:sz w:val="23"/>
        </w:rPr>
        <w:t> </w:t>
      </w:r>
      <w:r>
        <w:rPr>
          <w:color w:val="231F20"/>
          <w:sz w:val="23"/>
        </w:rPr>
        <w:t>is</w:t>
      </w:r>
      <w:r>
        <w:rPr>
          <w:color w:val="231F20"/>
          <w:spacing w:val="-28"/>
          <w:sz w:val="23"/>
        </w:rPr>
        <w:t> </w:t>
      </w:r>
      <w:r>
        <w:rPr>
          <w:color w:val="231F20"/>
          <w:sz w:val="23"/>
        </w:rPr>
        <w:t>allocated</w:t>
      </w:r>
      <w:r>
        <w:rPr>
          <w:color w:val="231F20"/>
          <w:spacing w:val="-28"/>
          <w:sz w:val="23"/>
        </w:rPr>
        <w:t> </w:t>
      </w:r>
      <w:r>
        <w:rPr>
          <w:color w:val="231F20"/>
          <w:sz w:val="23"/>
        </w:rPr>
        <w:t>to</w:t>
      </w:r>
      <w:r>
        <w:rPr>
          <w:color w:val="231F20"/>
          <w:spacing w:val="-28"/>
          <w:sz w:val="23"/>
        </w:rPr>
        <w:t> </w:t>
      </w:r>
      <w:r>
        <w:rPr>
          <w:color w:val="231F20"/>
          <w:sz w:val="23"/>
        </w:rPr>
        <w:t>the</w:t>
      </w:r>
      <w:r>
        <w:rPr>
          <w:color w:val="231F20"/>
          <w:spacing w:val="-28"/>
          <w:sz w:val="23"/>
        </w:rPr>
        <w:t> </w:t>
      </w:r>
      <w:r>
        <w:rPr>
          <w:color w:val="231F20"/>
          <w:sz w:val="23"/>
        </w:rPr>
        <w:t>Ministry</w:t>
      </w:r>
      <w:r>
        <w:rPr>
          <w:color w:val="231F20"/>
          <w:spacing w:val="-28"/>
          <w:sz w:val="23"/>
        </w:rPr>
        <w:t> </w:t>
      </w:r>
      <w:r>
        <w:rPr>
          <w:color w:val="231F20"/>
          <w:sz w:val="23"/>
        </w:rPr>
        <w:t>of</w:t>
      </w:r>
      <w:r>
        <w:rPr>
          <w:color w:val="231F20"/>
          <w:spacing w:val="-28"/>
          <w:sz w:val="23"/>
        </w:rPr>
        <w:t> </w:t>
      </w:r>
      <w:r>
        <w:rPr>
          <w:color w:val="231F20"/>
          <w:sz w:val="23"/>
        </w:rPr>
        <w:t>Higher</w:t>
      </w:r>
      <w:r>
        <w:rPr>
          <w:color w:val="231F20"/>
          <w:spacing w:val="-28"/>
          <w:sz w:val="23"/>
        </w:rPr>
        <w:t> </w:t>
      </w:r>
      <w:r>
        <w:rPr>
          <w:color w:val="231F20"/>
          <w:sz w:val="23"/>
        </w:rPr>
        <w:t>and</w:t>
      </w:r>
      <w:r>
        <w:rPr>
          <w:color w:val="231F20"/>
          <w:spacing w:val="-28"/>
          <w:sz w:val="23"/>
        </w:rPr>
        <w:t> </w:t>
      </w:r>
      <w:r>
        <w:rPr>
          <w:color w:val="231F20"/>
          <w:sz w:val="23"/>
        </w:rPr>
        <w:t>Tertiary</w:t>
      </w:r>
      <w:r>
        <w:rPr>
          <w:color w:val="231F20"/>
          <w:spacing w:val="-28"/>
          <w:sz w:val="23"/>
        </w:rPr>
        <w:t> </w:t>
      </w:r>
      <w:r>
        <w:rPr>
          <w:color w:val="231F20"/>
          <w:sz w:val="23"/>
        </w:rPr>
        <w:t>Education including</w:t>
      </w:r>
      <w:r>
        <w:rPr>
          <w:color w:val="231F20"/>
          <w:spacing w:val="-37"/>
          <w:sz w:val="23"/>
        </w:rPr>
        <w:t> </w:t>
      </w:r>
      <w:r>
        <w:rPr>
          <w:color w:val="231F20"/>
          <w:sz w:val="23"/>
        </w:rPr>
        <w:t>Le80.0</w:t>
      </w:r>
      <w:r>
        <w:rPr>
          <w:color w:val="231F20"/>
          <w:spacing w:val="-37"/>
          <w:sz w:val="23"/>
        </w:rPr>
        <w:t> </w:t>
      </w:r>
      <w:r>
        <w:rPr>
          <w:color w:val="231F20"/>
          <w:sz w:val="23"/>
        </w:rPr>
        <w:t>billion</w:t>
      </w:r>
      <w:r>
        <w:rPr>
          <w:color w:val="231F20"/>
          <w:spacing w:val="-37"/>
          <w:sz w:val="23"/>
        </w:rPr>
        <w:t> </w:t>
      </w:r>
      <w:r>
        <w:rPr>
          <w:color w:val="231F20"/>
          <w:sz w:val="23"/>
        </w:rPr>
        <w:t>as</w:t>
      </w:r>
      <w:r>
        <w:rPr>
          <w:color w:val="231F20"/>
          <w:spacing w:val="-37"/>
          <w:sz w:val="23"/>
        </w:rPr>
        <w:t> </w:t>
      </w:r>
      <w:r>
        <w:rPr>
          <w:color w:val="231F20"/>
          <w:sz w:val="23"/>
        </w:rPr>
        <w:t>grant</w:t>
      </w:r>
      <w:r>
        <w:rPr>
          <w:color w:val="231F20"/>
          <w:spacing w:val="-37"/>
          <w:sz w:val="23"/>
        </w:rPr>
        <w:t> </w:t>
      </w:r>
      <w:r>
        <w:rPr>
          <w:color w:val="231F20"/>
          <w:sz w:val="23"/>
        </w:rPr>
        <w:t>in</w:t>
      </w:r>
      <w:r>
        <w:rPr>
          <w:color w:val="231F20"/>
          <w:spacing w:val="-37"/>
          <w:sz w:val="23"/>
        </w:rPr>
        <w:t> </w:t>
      </w:r>
      <w:r>
        <w:rPr>
          <w:color w:val="231F20"/>
          <w:sz w:val="23"/>
        </w:rPr>
        <w:t>aid.</w:t>
      </w:r>
      <w:r>
        <w:rPr>
          <w:color w:val="231F20"/>
          <w:spacing w:val="-37"/>
          <w:sz w:val="23"/>
        </w:rPr>
        <w:t> </w:t>
      </w:r>
      <w:r>
        <w:rPr>
          <w:color w:val="231F20"/>
          <w:sz w:val="23"/>
        </w:rPr>
        <w:t>The</w:t>
      </w:r>
      <w:r>
        <w:rPr>
          <w:color w:val="231F20"/>
          <w:spacing w:val="-37"/>
          <w:sz w:val="23"/>
        </w:rPr>
        <w:t> </w:t>
      </w:r>
      <w:r>
        <w:rPr>
          <w:color w:val="231F20"/>
          <w:sz w:val="23"/>
        </w:rPr>
        <w:t>Ministry</w:t>
      </w:r>
      <w:r>
        <w:rPr>
          <w:color w:val="231F20"/>
          <w:spacing w:val="-37"/>
          <w:sz w:val="23"/>
        </w:rPr>
        <w:t> </w:t>
      </w:r>
      <w:r>
        <w:rPr>
          <w:color w:val="231F20"/>
          <w:sz w:val="23"/>
        </w:rPr>
        <w:t>of</w:t>
      </w:r>
      <w:r>
        <w:rPr>
          <w:color w:val="231F20"/>
          <w:spacing w:val="-37"/>
          <w:sz w:val="23"/>
        </w:rPr>
        <w:t> </w:t>
      </w:r>
      <w:r>
        <w:rPr>
          <w:color w:val="231F20"/>
          <w:sz w:val="23"/>
        </w:rPr>
        <w:t>Basic</w:t>
      </w:r>
      <w:r>
        <w:rPr>
          <w:color w:val="231F20"/>
          <w:spacing w:val="-37"/>
          <w:sz w:val="23"/>
        </w:rPr>
        <w:t> </w:t>
      </w:r>
      <w:r>
        <w:rPr>
          <w:color w:val="231F20"/>
          <w:sz w:val="23"/>
        </w:rPr>
        <w:t>and</w:t>
      </w:r>
      <w:r>
        <w:rPr>
          <w:color w:val="231F20"/>
          <w:spacing w:val="-37"/>
          <w:sz w:val="23"/>
        </w:rPr>
        <w:t> </w:t>
      </w:r>
      <w:r>
        <w:rPr>
          <w:color w:val="231F20"/>
          <w:sz w:val="23"/>
        </w:rPr>
        <w:t>Secondary</w:t>
      </w:r>
      <w:r>
        <w:rPr>
          <w:color w:val="231F20"/>
          <w:spacing w:val="-37"/>
          <w:sz w:val="23"/>
        </w:rPr>
        <w:t> </w:t>
      </w:r>
      <w:r>
        <w:rPr>
          <w:color w:val="231F20"/>
          <w:sz w:val="23"/>
        </w:rPr>
        <w:t>Education is</w:t>
      </w:r>
      <w:r>
        <w:rPr>
          <w:color w:val="231F20"/>
          <w:spacing w:val="-11"/>
          <w:sz w:val="23"/>
        </w:rPr>
        <w:t> </w:t>
      </w:r>
      <w:r>
        <w:rPr>
          <w:color w:val="231F20"/>
          <w:sz w:val="23"/>
        </w:rPr>
        <w:t>allocated</w:t>
      </w:r>
      <w:r>
        <w:rPr>
          <w:color w:val="231F20"/>
          <w:spacing w:val="-11"/>
          <w:sz w:val="23"/>
        </w:rPr>
        <w:t> </w:t>
      </w:r>
      <w:r>
        <w:rPr>
          <w:color w:val="231F20"/>
          <w:sz w:val="23"/>
        </w:rPr>
        <w:t>Le26.1</w:t>
      </w:r>
      <w:r>
        <w:rPr>
          <w:color w:val="231F20"/>
          <w:spacing w:val="-11"/>
          <w:sz w:val="23"/>
        </w:rPr>
        <w:t> </w:t>
      </w:r>
      <w:r>
        <w:rPr>
          <w:color w:val="231F20"/>
          <w:sz w:val="23"/>
        </w:rPr>
        <w:t>billion</w:t>
      </w:r>
      <w:r>
        <w:rPr>
          <w:color w:val="231F20"/>
          <w:spacing w:val="-11"/>
          <w:sz w:val="23"/>
        </w:rPr>
        <w:t> </w:t>
      </w:r>
      <w:r>
        <w:rPr>
          <w:color w:val="231F20"/>
          <w:sz w:val="23"/>
        </w:rPr>
        <w:t>including</w:t>
      </w:r>
      <w:r>
        <w:rPr>
          <w:color w:val="231F20"/>
          <w:spacing w:val="-11"/>
          <w:sz w:val="23"/>
        </w:rPr>
        <w:t> </w:t>
      </w:r>
      <w:r>
        <w:rPr>
          <w:color w:val="231F20"/>
          <w:sz w:val="23"/>
        </w:rPr>
        <w:t>Le10.2</w:t>
      </w:r>
      <w:r>
        <w:rPr>
          <w:color w:val="231F20"/>
          <w:spacing w:val="-11"/>
          <w:sz w:val="23"/>
        </w:rPr>
        <w:t> </w:t>
      </w:r>
      <w:r>
        <w:rPr>
          <w:color w:val="231F20"/>
          <w:sz w:val="23"/>
        </w:rPr>
        <w:t>billion</w:t>
      </w:r>
      <w:r>
        <w:rPr>
          <w:color w:val="231F20"/>
          <w:spacing w:val="-11"/>
          <w:sz w:val="23"/>
        </w:rPr>
        <w:t> </w:t>
      </w:r>
      <w:r>
        <w:rPr>
          <w:color w:val="231F20"/>
          <w:sz w:val="23"/>
        </w:rPr>
        <w:t>as</w:t>
      </w:r>
      <w:r>
        <w:rPr>
          <w:color w:val="231F20"/>
          <w:spacing w:val="-11"/>
          <w:sz w:val="23"/>
        </w:rPr>
        <w:t> </w:t>
      </w:r>
      <w:r>
        <w:rPr>
          <w:color w:val="231F20"/>
          <w:sz w:val="23"/>
        </w:rPr>
        <w:t>Grants</w:t>
      </w:r>
      <w:r>
        <w:rPr>
          <w:color w:val="231F20"/>
          <w:spacing w:val="-11"/>
          <w:sz w:val="23"/>
        </w:rPr>
        <w:t> </w:t>
      </w:r>
      <w:r>
        <w:rPr>
          <w:color w:val="231F20"/>
          <w:sz w:val="23"/>
        </w:rPr>
        <w:t>to</w:t>
      </w:r>
      <w:r>
        <w:rPr>
          <w:color w:val="231F20"/>
          <w:spacing w:val="-11"/>
          <w:sz w:val="23"/>
        </w:rPr>
        <w:t> </w:t>
      </w:r>
      <w:r>
        <w:rPr>
          <w:color w:val="231F20"/>
          <w:sz w:val="23"/>
        </w:rPr>
        <w:t>Government</w:t>
      </w:r>
      <w:r>
        <w:rPr>
          <w:color w:val="231F20"/>
          <w:spacing w:val="-11"/>
          <w:sz w:val="23"/>
        </w:rPr>
        <w:t> </w:t>
      </w:r>
      <w:r>
        <w:rPr>
          <w:color w:val="231F20"/>
          <w:sz w:val="23"/>
        </w:rPr>
        <w:t>Boading </w:t>
      </w:r>
      <w:r>
        <w:rPr>
          <w:color w:val="231F20"/>
          <w:spacing w:val="-3"/>
          <w:sz w:val="23"/>
        </w:rPr>
        <w:t>Schools.</w:t>
      </w:r>
    </w:p>
    <w:p>
      <w:pPr>
        <w:pStyle w:val="BodyText"/>
        <w:spacing w:before="9"/>
        <w:rPr>
          <w:sz w:val="26"/>
        </w:rPr>
      </w:pPr>
    </w:p>
    <w:p>
      <w:pPr>
        <w:pStyle w:val="ListParagraph"/>
        <w:numPr>
          <w:ilvl w:val="0"/>
          <w:numId w:val="2"/>
        </w:numPr>
        <w:tabs>
          <w:tab w:pos="954" w:val="left" w:leader="none"/>
        </w:tabs>
        <w:spacing w:line="285" w:lineRule="auto" w:before="0" w:after="0"/>
        <w:ind w:left="103" w:right="120" w:firstLine="87"/>
        <w:jc w:val="both"/>
        <w:rPr>
          <w:sz w:val="23"/>
        </w:rPr>
      </w:pPr>
      <w:r>
        <w:rPr>
          <w:color w:val="231F20"/>
          <w:sz w:val="23"/>
        </w:rPr>
        <w:t>Development</w:t>
      </w:r>
      <w:r>
        <w:rPr>
          <w:color w:val="231F20"/>
          <w:spacing w:val="-19"/>
          <w:sz w:val="23"/>
        </w:rPr>
        <w:t> </w:t>
      </w:r>
      <w:r>
        <w:rPr>
          <w:color w:val="231F20"/>
          <w:sz w:val="23"/>
        </w:rPr>
        <w:t>partners</w:t>
      </w:r>
      <w:r>
        <w:rPr>
          <w:color w:val="231F20"/>
          <w:spacing w:val="-19"/>
          <w:sz w:val="23"/>
        </w:rPr>
        <w:t> </w:t>
      </w:r>
      <w:r>
        <w:rPr>
          <w:color w:val="231F20"/>
          <w:sz w:val="23"/>
        </w:rPr>
        <w:t>including</w:t>
      </w:r>
      <w:r>
        <w:rPr>
          <w:color w:val="231F20"/>
          <w:spacing w:val="-19"/>
          <w:sz w:val="23"/>
        </w:rPr>
        <w:t> </w:t>
      </w:r>
      <w:r>
        <w:rPr>
          <w:color w:val="231F20"/>
          <w:sz w:val="23"/>
        </w:rPr>
        <w:t>the</w:t>
      </w:r>
      <w:r>
        <w:rPr>
          <w:color w:val="231F20"/>
          <w:spacing w:val="-19"/>
          <w:sz w:val="23"/>
        </w:rPr>
        <w:t> </w:t>
      </w:r>
      <w:r>
        <w:rPr>
          <w:color w:val="231F20"/>
          <w:sz w:val="23"/>
        </w:rPr>
        <w:t>World</w:t>
      </w:r>
      <w:r>
        <w:rPr>
          <w:color w:val="231F20"/>
          <w:spacing w:val="-19"/>
          <w:sz w:val="23"/>
        </w:rPr>
        <w:t> </w:t>
      </w:r>
      <w:r>
        <w:rPr>
          <w:color w:val="231F20"/>
          <w:sz w:val="23"/>
        </w:rPr>
        <w:t>Bank,</w:t>
      </w:r>
      <w:r>
        <w:rPr>
          <w:color w:val="231F20"/>
          <w:spacing w:val="-19"/>
          <w:sz w:val="23"/>
        </w:rPr>
        <w:t> </w:t>
      </w:r>
      <w:r>
        <w:rPr>
          <w:color w:val="231F20"/>
          <w:sz w:val="23"/>
        </w:rPr>
        <w:t>BADEA,</w:t>
      </w:r>
      <w:r>
        <w:rPr>
          <w:color w:val="231F20"/>
          <w:spacing w:val="-19"/>
          <w:sz w:val="23"/>
        </w:rPr>
        <w:t> </w:t>
      </w:r>
      <w:r>
        <w:rPr>
          <w:color w:val="231F20"/>
          <w:sz w:val="23"/>
        </w:rPr>
        <w:t>Saudi</w:t>
      </w:r>
      <w:r>
        <w:rPr>
          <w:color w:val="231F20"/>
          <w:spacing w:val="-19"/>
          <w:sz w:val="23"/>
        </w:rPr>
        <w:t> </w:t>
      </w:r>
      <w:r>
        <w:rPr>
          <w:color w:val="231F20"/>
          <w:sz w:val="23"/>
        </w:rPr>
        <w:t>Fund,</w:t>
      </w:r>
      <w:r>
        <w:rPr>
          <w:color w:val="231F20"/>
          <w:spacing w:val="-19"/>
          <w:sz w:val="23"/>
        </w:rPr>
        <w:t> </w:t>
      </w:r>
      <w:r>
        <w:rPr>
          <w:color w:val="231F20"/>
          <w:sz w:val="23"/>
        </w:rPr>
        <w:t>OFID, EBID</w:t>
      </w:r>
      <w:r>
        <w:rPr>
          <w:color w:val="231F20"/>
          <w:spacing w:val="-43"/>
          <w:sz w:val="23"/>
        </w:rPr>
        <w:t> </w:t>
      </w:r>
      <w:r>
        <w:rPr>
          <w:color w:val="231F20"/>
          <w:sz w:val="23"/>
        </w:rPr>
        <w:t>and</w:t>
      </w:r>
      <w:r>
        <w:rPr>
          <w:color w:val="231F20"/>
          <w:spacing w:val="-42"/>
          <w:sz w:val="23"/>
        </w:rPr>
        <w:t> </w:t>
      </w:r>
      <w:r>
        <w:rPr>
          <w:color w:val="231F20"/>
          <w:sz w:val="23"/>
        </w:rPr>
        <w:t>DFID</w:t>
      </w:r>
      <w:r>
        <w:rPr>
          <w:color w:val="231F20"/>
          <w:spacing w:val="-43"/>
          <w:sz w:val="23"/>
        </w:rPr>
        <w:t> </w:t>
      </w:r>
      <w:r>
        <w:rPr>
          <w:color w:val="231F20"/>
          <w:sz w:val="23"/>
        </w:rPr>
        <w:t>will</w:t>
      </w:r>
      <w:r>
        <w:rPr>
          <w:color w:val="231F20"/>
          <w:spacing w:val="-42"/>
          <w:sz w:val="23"/>
        </w:rPr>
        <w:t> </w:t>
      </w:r>
      <w:r>
        <w:rPr>
          <w:color w:val="231F20"/>
          <w:sz w:val="23"/>
        </w:rPr>
        <w:t>disburse</w:t>
      </w:r>
      <w:r>
        <w:rPr>
          <w:color w:val="231F20"/>
          <w:spacing w:val="-43"/>
          <w:sz w:val="23"/>
        </w:rPr>
        <w:t> </w:t>
      </w:r>
      <w:r>
        <w:rPr>
          <w:color w:val="231F20"/>
          <w:sz w:val="23"/>
        </w:rPr>
        <w:t>Le1.92</w:t>
      </w:r>
      <w:r>
        <w:rPr>
          <w:color w:val="231F20"/>
          <w:spacing w:val="-42"/>
          <w:sz w:val="23"/>
        </w:rPr>
        <w:t> </w:t>
      </w:r>
      <w:r>
        <w:rPr>
          <w:color w:val="231F20"/>
          <w:sz w:val="23"/>
        </w:rPr>
        <w:t>trillion</w:t>
      </w:r>
      <w:r>
        <w:rPr>
          <w:color w:val="231F20"/>
          <w:spacing w:val="-42"/>
          <w:sz w:val="23"/>
        </w:rPr>
        <w:t> </w:t>
      </w:r>
      <w:r>
        <w:rPr>
          <w:color w:val="231F20"/>
          <w:sz w:val="23"/>
        </w:rPr>
        <w:t>to</w:t>
      </w:r>
      <w:r>
        <w:rPr>
          <w:color w:val="231F20"/>
          <w:spacing w:val="-43"/>
          <w:sz w:val="23"/>
        </w:rPr>
        <w:t> </w:t>
      </w:r>
      <w:r>
        <w:rPr>
          <w:color w:val="231F20"/>
          <w:sz w:val="23"/>
        </w:rPr>
        <w:t>support</w:t>
      </w:r>
      <w:r>
        <w:rPr>
          <w:color w:val="231F20"/>
          <w:spacing w:val="-42"/>
          <w:sz w:val="23"/>
        </w:rPr>
        <w:t> </w:t>
      </w:r>
      <w:r>
        <w:rPr>
          <w:color w:val="231F20"/>
          <w:sz w:val="23"/>
        </w:rPr>
        <w:t>various</w:t>
      </w:r>
      <w:r>
        <w:rPr>
          <w:color w:val="231F20"/>
          <w:spacing w:val="-43"/>
          <w:sz w:val="23"/>
        </w:rPr>
        <w:t> </w:t>
      </w:r>
      <w:r>
        <w:rPr>
          <w:color w:val="231F20"/>
          <w:sz w:val="23"/>
        </w:rPr>
        <w:t>projects</w:t>
      </w:r>
      <w:r>
        <w:rPr>
          <w:color w:val="231F20"/>
          <w:spacing w:val="-42"/>
          <w:sz w:val="23"/>
        </w:rPr>
        <w:t> </w:t>
      </w:r>
      <w:r>
        <w:rPr>
          <w:color w:val="231F20"/>
          <w:sz w:val="23"/>
        </w:rPr>
        <w:t>in</w:t>
      </w:r>
      <w:r>
        <w:rPr>
          <w:color w:val="231F20"/>
          <w:spacing w:val="-42"/>
          <w:sz w:val="23"/>
        </w:rPr>
        <w:t> </w:t>
      </w:r>
      <w:r>
        <w:rPr>
          <w:color w:val="231F20"/>
          <w:sz w:val="23"/>
        </w:rPr>
        <w:t>the</w:t>
      </w:r>
      <w:r>
        <w:rPr>
          <w:color w:val="231F20"/>
          <w:spacing w:val="-43"/>
          <w:sz w:val="23"/>
        </w:rPr>
        <w:t> </w:t>
      </w:r>
      <w:r>
        <w:rPr>
          <w:color w:val="231F20"/>
          <w:sz w:val="23"/>
        </w:rPr>
        <w:t>education sector. Transfers for the devolved functions in the Education Sector will amount to Le9.4 billion</w:t>
      </w:r>
      <w:r>
        <w:rPr>
          <w:color w:val="231F20"/>
          <w:spacing w:val="16"/>
          <w:sz w:val="23"/>
        </w:rPr>
        <w:t> </w:t>
      </w:r>
      <w:r>
        <w:rPr>
          <w:color w:val="231F20"/>
          <w:sz w:val="23"/>
        </w:rPr>
        <w:t>leones.</w:t>
      </w:r>
    </w:p>
    <w:p>
      <w:pPr>
        <w:pStyle w:val="BodyText"/>
        <w:spacing w:before="8"/>
        <w:rPr>
          <w:sz w:val="26"/>
        </w:rPr>
      </w:pPr>
    </w:p>
    <w:p>
      <w:pPr>
        <w:pStyle w:val="Heading2"/>
        <w:jc w:val="both"/>
      </w:pPr>
      <w:r>
        <w:rPr>
          <w:color w:val="231F20"/>
        </w:rPr>
        <w:t>Health</w:t>
      </w:r>
    </w:p>
    <w:p>
      <w:pPr>
        <w:pStyle w:val="ListParagraph"/>
        <w:numPr>
          <w:ilvl w:val="0"/>
          <w:numId w:val="2"/>
        </w:numPr>
        <w:tabs>
          <w:tab w:pos="954" w:val="left" w:leader="none"/>
        </w:tabs>
        <w:spacing w:line="283" w:lineRule="auto" w:before="52" w:after="0"/>
        <w:ind w:left="103" w:right="117" w:firstLine="87"/>
        <w:jc w:val="both"/>
        <w:rPr>
          <w:sz w:val="23"/>
        </w:rPr>
      </w:pPr>
      <w:r>
        <w:rPr>
          <w:color w:val="231F20"/>
          <w:sz w:val="23"/>
        </w:rPr>
        <w:t>The</w:t>
      </w:r>
      <w:r>
        <w:rPr>
          <w:color w:val="231F20"/>
          <w:spacing w:val="-5"/>
          <w:sz w:val="23"/>
        </w:rPr>
        <w:t> </w:t>
      </w:r>
      <w:r>
        <w:rPr>
          <w:color w:val="231F20"/>
          <w:sz w:val="23"/>
        </w:rPr>
        <w:t>Health</w:t>
      </w:r>
      <w:r>
        <w:rPr>
          <w:color w:val="231F20"/>
          <w:spacing w:val="-5"/>
          <w:sz w:val="23"/>
        </w:rPr>
        <w:t> </w:t>
      </w:r>
      <w:r>
        <w:rPr>
          <w:color w:val="231F20"/>
          <w:sz w:val="23"/>
        </w:rPr>
        <w:t>sector</w:t>
      </w:r>
      <w:r>
        <w:rPr>
          <w:color w:val="231F20"/>
          <w:spacing w:val="-5"/>
          <w:sz w:val="23"/>
        </w:rPr>
        <w:t> </w:t>
      </w:r>
      <w:r>
        <w:rPr>
          <w:color w:val="231F20"/>
          <w:sz w:val="23"/>
        </w:rPr>
        <w:t>is</w:t>
      </w:r>
      <w:r>
        <w:rPr>
          <w:color w:val="231F20"/>
          <w:spacing w:val="-5"/>
          <w:sz w:val="23"/>
        </w:rPr>
        <w:t> </w:t>
      </w:r>
      <w:r>
        <w:rPr>
          <w:color w:val="231F20"/>
          <w:sz w:val="23"/>
        </w:rPr>
        <w:t>allocated</w:t>
      </w:r>
      <w:r>
        <w:rPr>
          <w:color w:val="231F20"/>
          <w:spacing w:val="-5"/>
          <w:sz w:val="23"/>
        </w:rPr>
        <w:t> </w:t>
      </w:r>
      <w:r>
        <w:rPr>
          <w:color w:val="231F20"/>
          <w:sz w:val="23"/>
        </w:rPr>
        <w:t>Le674.2</w:t>
      </w:r>
      <w:r>
        <w:rPr>
          <w:color w:val="231F20"/>
          <w:spacing w:val="-5"/>
          <w:sz w:val="23"/>
        </w:rPr>
        <w:t> </w:t>
      </w:r>
      <w:r>
        <w:rPr>
          <w:color w:val="231F20"/>
          <w:sz w:val="23"/>
        </w:rPr>
        <w:t>billion,</w:t>
      </w:r>
      <w:r>
        <w:rPr>
          <w:color w:val="231F20"/>
          <w:spacing w:val="-5"/>
          <w:sz w:val="23"/>
        </w:rPr>
        <w:t> </w:t>
      </w:r>
      <w:r>
        <w:rPr>
          <w:color w:val="231F20"/>
          <w:sz w:val="23"/>
        </w:rPr>
        <w:t>representing</w:t>
      </w:r>
      <w:r>
        <w:rPr>
          <w:color w:val="231F20"/>
          <w:spacing w:val="-5"/>
          <w:sz w:val="23"/>
        </w:rPr>
        <w:t> </w:t>
      </w:r>
      <w:r>
        <w:rPr>
          <w:color w:val="231F20"/>
          <w:sz w:val="23"/>
        </w:rPr>
        <w:t>11</w:t>
      </w:r>
      <w:r>
        <w:rPr>
          <w:color w:val="231F20"/>
          <w:spacing w:val="-5"/>
          <w:sz w:val="23"/>
        </w:rPr>
        <w:t> </w:t>
      </w:r>
      <w:r>
        <w:rPr>
          <w:color w:val="231F20"/>
          <w:sz w:val="23"/>
        </w:rPr>
        <w:t>percent</w:t>
      </w:r>
      <w:r>
        <w:rPr>
          <w:color w:val="231F20"/>
          <w:spacing w:val="-5"/>
          <w:sz w:val="23"/>
        </w:rPr>
        <w:t> </w:t>
      </w:r>
      <w:r>
        <w:rPr>
          <w:color w:val="231F20"/>
          <w:sz w:val="23"/>
        </w:rPr>
        <w:t>of</w:t>
      </w:r>
      <w:r>
        <w:rPr>
          <w:color w:val="231F20"/>
          <w:spacing w:val="-5"/>
          <w:sz w:val="23"/>
        </w:rPr>
        <w:t> </w:t>
      </w:r>
      <w:r>
        <w:rPr>
          <w:color w:val="231F20"/>
          <w:sz w:val="23"/>
        </w:rPr>
        <w:t>the total budget. Of this amount, Le51.2 billion is from the recurrent budget including Le13.1</w:t>
      </w:r>
      <w:r>
        <w:rPr>
          <w:color w:val="231F20"/>
          <w:spacing w:val="-8"/>
          <w:sz w:val="23"/>
        </w:rPr>
        <w:t> </w:t>
      </w:r>
      <w:r>
        <w:rPr>
          <w:color w:val="231F20"/>
          <w:sz w:val="23"/>
        </w:rPr>
        <w:t>billion</w:t>
      </w:r>
      <w:r>
        <w:rPr>
          <w:color w:val="231F20"/>
          <w:spacing w:val="-8"/>
          <w:sz w:val="23"/>
        </w:rPr>
        <w:t> </w:t>
      </w:r>
      <w:r>
        <w:rPr>
          <w:color w:val="231F20"/>
          <w:sz w:val="23"/>
        </w:rPr>
        <w:t>to</w:t>
      </w:r>
      <w:r>
        <w:rPr>
          <w:color w:val="231F20"/>
          <w:spacing w:val="-8"/>
          <w:sz w:val="23"/>
        </w:rPr>
        <w:t> </w:t>
      </w:r>
      <w:r>
        <w:rPr>
          <w:color w:val="231F20"/>
          <w:sz w:val="23"/>
        </w:rPr>
        <w:t>support</w:t>
      </w:r>
      <w:r>
        <w:rPr>
          <w:color w:val="231F20"/>
          <w:spacing w:val="-8"/>
          <w:sz w:val="23"/>
        </w:rPr>
        <w:t> </w:t>
      </w:r>
      <w:r>
        <w:rPr>
          <w:color w:val="231F20"/>
          <w:sz w:val="23"/>
        </w:rPr>
        <w:t>primary</w:t>
      </w:r>
      <w:r>
        <w:rPr>
          <w:color w:val="231F20"/>
          <w:spacing w:val="-8"/>
          <w:sz w:val="23"/>
        </w:rPr>
        <w:t> </w:t>
      </w:r>
      <w:r>
        <w:rPr>
          <w:color w:val="231F20"/>
          <w:sz w:val="23"/>
        </w:rPr>
        <w:t>health</w:t>
      </w:r>
      <w:r>
        <w:rPr>
          <w:color w:val="231F20"/>
          <w:spacing w:val="-8"/>
          <w:sz w:val="23"/>
        </w:rPr>
        <w:t> </w:t>
      </w:r>
      <w:r>
        <w:rPr>
          <w:color w:val="231F20"/>
          <w:sz w:val="23"/>
        </w:rPr>
        <w:t>care</w:t>
      </w:r>
      <w:r>
        <w:rPr>
          <w:color w:val="231F20"/>
          <w:spacing w:val="-8"/>
          <w:sz w:val="23"/>
        </w:rPr>
        <w:t> </w:t>
      </w:r>
      <w:r>
        <w:rPr>
          <w:color w:val="231F20"/>
          <w:sz w:val="23"/>
        </w:rPr>
        <w:t>services</w:t>
      </w:r>
      <w:r>
        <w:rPr>
          <w:color w:val="231F20"/>
          <w:spacing w:val="-8"/>
          <w:sz w:val="23"/>
        </w:rPr>
        <w:t> </w:t>
      </w:r>
      <w:r>
        <w:rPr>
          <w:color w:val="231F20"/>
          <w:sz w:val="23"/>
        </w:rPr>
        <w:t>for</w:t>
      </w:r>
      <w:r>
        <w:rPr>
          <w:color w:val="231F20"/>
          <w:spacing w:val="-8"/>
          <w:sz w:val="23"/>
        </w:rPr>
        <w:t> </w:t>
      </w:r>
      <w:r>
        <w:rPr>
          <w:color w:val="231F20"/>
          <w:sz w:val="23"/>
        </w:rPr>
        <w:t>Malaria,</w:t>
      </w:r>
      <w:r>
        <w:rPr>
          <w:color w:val="231F20"/>
          <w:spacing w:val="-8"/>
          <w:sz w:val="23"/>
        </w:rPr>
        <w:t> </w:t>
      </w:r>
      <w:r>
        <w:rPr>
          <w:color w:val="231F20"/>
          <w:sz w:val="23"/>
        </w:rPr>
        <w:t>TB</w:t>
      </w:r>
      <w:r>
        <w:rPr>
          <w:color w:val="231F20"/>
          <w:spacing w:val="-8"/>
          <w:sz w:val="23"/>
        </w:rPr>
        <w:t> </w:t>
      </w:r>
      <w:r>
        <w:rPr>
          <w:color w:val="231F20"/>
          <w:sz w:val="23"/>
        </w:rPr>
        <w:t>and</w:t>
      </w:r>
      <w:r>
        <w:rPr>
          <w:color w:val="231F20"/>
          <w:spacing w:val="-8"/>
          <w:sz w:val="23"/>
        </w:rPr>
        <w:t> </w:t>
      </w:r>
      <w:r>
        <w:rPr>
          <w:color w:val="231F20"/>
          <w:sz w:val="23"/>
        </w:rPr>
        <w:t>HIV/AIDS prevention</w:t>
      </w:r>
      <w:r>
        <w:rPr>
          <w:color w:val="231F20"/>
          <w:spacing w:val="-25"/>
          <w:sz w:val="23"/>
        </w:rPr>
        <w:t> </w:t>
      </w:r>
      <w:r>
        <w:rPr>
          <w:color w:val="231F20"/>
          <w:sz w:val="23"/>
        </w:rPr>
        <w:t>and</w:t>
      </w:r>
      <w:r>
        <w:rPr>
          <w:color w:val="231F20"/>
          <w:spacing w:val="-25"/>
          <w:sz w:val="23"/>
        </w:rPr>
        <w:t> </w:t>
      </w:r>
      <w:r>
        <w:rPr>
          <w:color w:val="231F20"/>
          <w:sz w:val="23"/>
        </w:rPr>
        <w:t>control;</w:t>
      </w:r>
      <w:r>
        <w:rPr>
          <w:color w:val="231F20"/>
          <w:spacing w:val="-25"/>
          <w:sz w:val="23"/>
        </w:rPr>
        <w:t> </w:t>
      </w:r>
      <w:r>
        <w:rPr>
          <w:color w:val="231F20"/>
          <w:sz w:val="23"/>
        </w:rPr>
        <w:t>Le5.5</w:t>
      </w:r>
      <w:r>
        <w:rPr>
          <w:color w:val="231F20"/>
          <w:spacing w:val="-25"/>
          <w:sz w:val="23"/>
        </w:rPr>
        <w:t> </w:t>
      </w:r>
      <w:r>
        <w:rPr>
          <w:color w:val="231F20"/>
          <w:sz w:val="23"/>
        </w:rPr>
        <w:t>billion</w:t>
      </w:r>
      <w:r>
        <w:rPr>
          <w:color w:val="231F20"/>
          <w:spacing w:val="-25"/>
          <w:sz w:val="23"/>
        </w:rPr>
        <w:t> </w:t>
      </w:r>
      <w:r>
        <w:rPr>
          <w:color w:val="231F20"/>
          <w:sz w:val="23"/>
        </w:rPr>
        <w:t>for</w:t>
      </w:r>
      <w:r>
        <w:rPr>
          <w:color w:val="231F20"/>
          <w:spacing w:val="-25"/>
          <w:sz w:val="23"/>
        </w:rPr>
        <w:t> </w:t>
      </w:r>
      <w:r>
        <w:rPr>
          <w:color w:val="231F20"/>
          <w:sz w:val="23"/>
        </w:rPr>
        <w:t>Reproductive</w:t>
      </w:r>
      <w:r>
        <w:rPr>
          <w:color w:val="231F20"/>
          <w:spacing w:val="-25"/>
          <w:sz w:val="23"/>
        </w:rPr>
        <w:t> </w:t>
      </w:r>
      <w:r>
        <w:rPr>
          <w:color w:val="231F20"/>
          <w:sz w:val="23"/>
        </w:rPr>
        <w:t>and</w:t>
      </w:r>
      <w:r>
        <w:rPr>
          <w:color w:val="231F20"/>
          <w:spacing w:val="-25"/>
          <w:sz w:val="23"/>
        </w:rPr>
        <w:t> </w:t>
      </w:r>
      <w:r>
        <w:rPr>
          <w:color w:val="231F20"/>
          <w:sz w:val="23"/>
        </w:rPr>
        <w:t>Child</w:t>
      </w:r>
      <w:r>
        <w:rPr>
          <w:color w:val="231F20"/>
          <w:spacing w:val="-25"/>
          <w:sz w:val="23"/>
        </w:rPr>
        <w:t> </w:t>
      </w:r>
      <w:r>
        <w:rPr>
          <w:color w:val="231F20"/>
          <w:sz w:val="23"/>
        </w:rPr>
        <w:t>Health</w:t>
      </w:r>
      <w:r>
        <w:rPr>
          <w:color w:val="231F20"/>
          <w:spacing w:val="-25"/>
          <w:sz w:val="23"/>
        </w:rPr>
        <w:t> </w:t>
      </w:r>
      <w:r>
        <w:rPr>
          <w:color w:val="231F20"/>
          <w:sz w:val="23"/>
        </w:rPr>
        <w:t>Care</w:t>
      </w:r>
      <w:r>
        <w:rPr>
          <w:color w:val="231F20"/>
          <w:spacing w:val="-25"/>
          <w:sz w:val="23"/>
        </w:rPr>
        <w:t> </w:t>
      </w:r>
      <w:r>
        <w:rPr>
          <w:color w:val="231F20"/>
          <w:sz w:val="23"/>
        </w:rPr>
        <w:t>Services; Le19.2 billion for Hospital and Ambulance Services. The Wage bill for Health</w:t>
      </w:r>
      <w:r>
        <w:rPr>
          <w:color w:val="231F20"/>
          <w:spacing w:val="-26"/>
          <w:sz w:val="23"/>
        </w:rPr>
        <w:t> </w:t>
      </w:r>
      <w:r>
        <w:rPr>
          <w:color w:val="231F20"/>
          <w:sz w:val="23"/>
        </w:rPr>
        <w:t>sector workers will amount to Le345.1 billion in</w:t>
      </w:r>
      <w:r>
        <w:rPr>
          <w:color w:val="231F20"/>
          <w:spacing w:val="-49"/>
          <w:sz w:val="23"/>
        </w:rPr>
        <w:t> </w:t>
      </w:r>
      <w:r>
        <w:rPr>
          <w:color w:val="231F20"/>
          <w:sz w:val="23"/>
        </w:rPr>
        <w:t>2020.</w:t>
      </w:r>
    </w:p>
    <w:p>
      <w:pPr>
        <w:pStyle w:val="BodyText"/>
        <w:spacing w:before="10"/>
        <w:rPr>
          <w:sz w:val="27"/>
        </w:rPr>
      </w:pPr>
    </w:p>
    <w:p>
      <w:pPr>
        <w:pStyle w:val="ListParagraph"/>
        <w:numPr>
          <w:ilvl w:val="0"/>
          <w:numId w:val="2"/>
        </w:numPr>
        <w:tabs>
          <w:tab w:pos="954" w:val="left" w:leader="none"/>
        </w:tabs>
        <w:spacing w:line="288" w:lineRule="auto" w:before="0" w:after="0"/>
        <w:ind w:left="103" w:right="117" w:firstLine="87"/>
        <w:jc w:val="both"/>
        <w:rPr>
          <w:sz w:val="23"/>
        </w:rPr>
      </w:pPr>
      <w:r>
        <w:rPr>
          <w:color w:val="231F20"/>
          <w:sz w:val="23"/>
        </w:rPr>
        <w:t>In addition, a total of Le37.2 billion is allocated to the health sector from</w:t>
      </w:r>
      <w:r>
        <w:rPr>
          <w:color w:val="231F20"/>
          <w:spacing w:val="-42"/>
          <w:sz w:val="23"/>
        </w:rPr>
        <w:t> </w:t>
      </w:r>
      <w:r>
        <w:rPr>
          <w:color w:val="231F20"/>
          <w:sz w:val="23"/>
        </w:rPr>
        <w:t>the domestic capital budget. Of this, Le7.0 billion in addition to the Le15 billion from recovered money from the ACC is for the construction of a Diagnostic Health</w:t>
      </w:r>
      <w:r>
        <w:rPr>
          <w:color w:val="231F20"/>
          <w:spacing w:val="-39"/>
          <w:sz w:val="23"/>
        </w:rPr>
        <w:t> </w:t>
      </w:r>
      <w:r>
        <w:rPr>
          <w:color w:val="231F20"/>
          <w:sz w:val="23"/>
        </w:rPr>
        <w:t>Centre and Le1.0 for the construction of a Warehouse at Kerry Town. An amount of Le51.3 billion</w:t>
      </w:r>
      <w:r>
        <w:rPr>
          <w:color w:val="231F20"/>
          <w:spacing w:val="-30"/>
          <w:sz w:val="23"/>
        </w:rPr>
        <w:t> </w:t>
      </w:r>
      <w:r>
        <w:rPr>
          <w:color w:val="231F20"/>
          <w:sz w:val="23"/>
        </w:rPr>
        <w:t>is</w:t>
      </w:r>
      <w:r>
        <w:rPr>
          <w:color w:val="231F20"/>
          <w:spacing w:val="-30"/>
          <w:sz w:val="23"/>
        </w:rPr>
        <w:t> </w:t>
      </w:r>
      <w:r>
        <w:rPr>
          <w:color w:val="231F20"/>
          <w:sz w:val="23"/>
        </w:rPr>
        <w:t>allocated</w:t>
      </w:r>
      <w:r>
        <w:rPr>
          <w:color w:val="231F20"/>
          <w:spacing w:val="-30"/>
          <w:sz w:val="23"/>
        </w:rPr>
        <w:t> </w:t>
      </w:r>
      <w:r>
        <w:rPr>
          <w:color w:val="231F20"/>
          <w:sz w:val="23"/>
        </w:rPr>
        <w:t>to</w:t>
      </w:r>
      <w:r>
        <w:rPr>
          <w:color w:val="231F20"/>
          <w:spacing w:val="-30"/>
          <w:sz w:val="23"/>
        </w:rPr>
        <w:t> </w:t>
      </w:r>
      <w:r>
        <w:rPr>
          <w:color w:val="231F20"/>
          <w:sz w:val="23"/>
        </w:rPr>
        <w:t>the</w:t>
      </w:r>
      <w:r>
        <w:rPr>
          <w:color w:val="231F20"/>
          <w:spacing w:val="-30"/>
          <w:sz w:val="23"/>
        </w:rPr>
        <w:t> </w:t>
      </w:r>
      <w:r>
        <w:rPr>
          <w:color w:val="231F20"/>
          <w:sz w:val="23"/>
        </w:rPr>
        <w:t>National</w:t>
      </w:r>
      <w:r>
        <w:rPr>
          <w:color w:val="231F20"/>
          <w:spacing w:val="-30"/>
          <w:sz w:val="23"/>
        </w:rPr>
        <w:t> </w:t>
      </w:r>
      <w:r>
        <w:rPr>
          <w:color w:val="231F20"/>
          <w:sz w:val="23"/>
        </w:rPr>
        <w:t>Medical</w:t>
      </w:r>
      <w:r>
        <w:rPr>
          <w:color w:val="231F20"/>
          <w:spacing w:val="-30"/>
          <w:sz w:val="23"/>
        </w:rPr>
        <w:t> </w:t>
      </w:r>
      <w:r>
        <w:rPr>
          <w:color w:val="231F20"/>
          <w:sz w:val="23"/>
        </w:rPr>
        <w:t>Supplies</w:t>
      </w:r>
      <w:r>
        <w:rPr>
          <w:color w:val="231F20"/>
          <w:spacing w:val="-30"/>
          <w:sz w:val="23"/>
        </w:rPr>
        <w:t> </w:t>
      </w:r>
      <w:r>
        <w:rPr>
          <w:color w:val="231F20"/>
          <w:sz w:val="23"/>
        </w:rPr>
        <w:t>Agency</w:t>
      </w:r>
      <w:r>
        <w:rPr>
          <w:color w:val="231F20"/>
          <w:spacing w:val="-30"/>
          <w:sz w:val="23"/>
        </w:rPr>
        <w:t> </w:t>
      </w:r>
      <w:r>
        <w:rPr>
          <w:color w:val="231F20"/>
          <w:sz w:val="23"/>
        </w:rPr>
        <w:t>for</w:t>
      </w:r>
      <w:r>
        <w:rPr>
          <w:color w:val="231F20"/>
          <w:spacing w:val="-30"/>
          <w:sz w:val="23"/>
        </w:rPr>
        <w:t> </w:t>
      </w:r>
      <w:r>
        <w:rPr>
          <w:color w:val="231F20"/>
          <w:sz w:val="23"/>
        </w:rPr>
        <w:t>the</w:t>
      </w:r>
      <w:r>
        <w:rPr>
          <w:color w:val="231F20"/>
          <w:spacing w:val="-30"/>
          <w:sz w:val="23"/>
        </w:rPr>
        <w:t> </w:t>
      </w:r>
      <w:r>
        <w:rPr>
          <w:color w:val="231F20"/>
          <w:sz w:val="23"/>
        </w:rPr>
        <w:t>procurement</w:t>
      </w:r>
      <w:r>
        <w:rPr>
          <w:color w:val="231F20"/>
          <w:spacing w:val="-30"/>
          <w:sz w:val="23"/>
        </w:rPr>
        <w:t> </w:t>
      </w:r>
      <w:r>
        <w:rPr>
          <w:color w:val="231F20"/>
          <w:sz w:val="23"/>
        </w:rPr>
        <w:t>of</w:t>
      </w:r>
      <w:r>
        <w:rPr>
          <w:color w:val="231F20"/>
          <w:spacing w:val="-30"/>
          <w:sz w:val="23"/>
        </w:rPr>
        <w:t> </w:t>
      </w:r>
      <w:r>
        <w:rPr>
          <w:color w:val="231F20"/>
          <w:sz w:val="23"/>
        </w:rPr>
        <w:t>Free Health Care and Cost Recovery</w:t>
      </w:r>
      <w:r>
        <w:rPr>
          <w:color w:val="231F20"/>
          <w:spacing w:val="14"/>
          <w:sz w:val="23"/>
        </w:rPr>
        <w:t> </w:t>
      </w:r>
      <w:r>
        <w:rPr>
          <w:color w:val="231F20"/>
          <w:sz w:val="23"/>
        </w:rPr>
        <w:t>Drugs.</w:t>
      </w:r>
    </w:p>
    <w:p>
      <w:pPr>
        <w:pStyle w:val="BodyText"/>
        <w:spacing w:before="8"/>
        <w:rPr>
          <w:sz w:val="28"/>
        </w:rPr>
      </w:pPr>
    </w:p>
    <w:p>
      <w:pPr>
        <w:pStyle w:val="ListParagraph"/>
        <w:numPr>
          <w:ilvl w:val="0"/>
          <w:numId w:val="2"/>
        </w:numPr>
        <w:tabs>
          <w:tab w:pos="954" w:val="left" w:leader="none"/>
        </w:tabs>
        <w:spacing w:line="285" w:lineRule="auto" w:before="0" w:after="0"/>
        <w:ind w:left="103" w:right="120" w:firstLine="87"/>
        <w:jc w:val="both"/>
        <w:rPr>
          <w:sz w:val="23"/>
        </w:rPr>
      </w:pPr>
      <w:r>
        <w:rPr>
          <w:color w:val="231F20"/>
          <w:sz w:val="23"/>
        </w:rPr>
        <w:t>The</w:t>
      </w:r>
      <w:r>
        <w:rPr>
          <w:color w:val="231F20"/>
          <w:spacing w:val="-24"/>
          <w:sz w:val="23"/>
        </w:rPr>
        <w:t> </w:t>
      </w:r>
      <w:r>
        <w:rPr>
          <w:color w:val="231F20"/>
          <w:sz w:val="23"/>
        </w:rPr>
        <w:t>World</w:t>
      </w:r>
      <w:r>
        <w:rPr>
          <w:color w:val="231F20"/>
          <w:spacing w:val="-23"/>
          <w:sz w:val="23"/>
        </w:rPr>
        <w:t> </w:t>
      </w:r>
      <w:r>
        <w:rPr>
          <w:color w:val="231F20"/>
          <w:sz w:val="23"/>
        </w:rPr>
        <w:t>Bank,</w:t>
      </w:r>
      <w:r>
        <w:rPr>
          <w:color w:val="231F20"/>
          <w:spacing w:val="-23"/>
          <w:sz w:val="23"/>
        </w:rPr>
        <w:t> </w:t>
      </w:r>
      <w:r>
        <w:rPr>
          <w:color w:val="231F20"/>
          <w:sz w:val="23"/>
        </w:rPr>
        <w:t>Global</w:t>
      </w:r>
      <w:r>
        <w:rPr>
          <w:color w:val="231F20"/>
          <w:spacing w:val="-23"/>
          <w:sz w:val="23"/>
        </w:rPr>
        <w:t> </w:t>
      </w:r>
      <w:r>
        <w:rPr>
          <w:color w:val="231F20"/>
          <w:sz w:val="23"/>
        </w:rPr>
        <w:t>Fund,</w:t>
      </w:r>
      <w:r>
        <w:rPr>
          <w:color w:val="231F20"/>
          <w:spacing w:val="-23"/>
          <w:sz w:val="23"/>
        </w:rPr>
        <w:t> </w:t>
      </w:r>
      <w:r>
        <w:rPr>
          <w:color w:val="231F20"/>
          <w:sz w:val="23"/>
        </w:rPr>
        <w:t>GAVI,</w:t>
      </w:r>
      <w:r>
        <w:rPr>
          <w:color w:val="231F20"/>
          <w:spacing w:val="-23"/>
          <w:sz w:val="23"/>
        </w:rPr>
        <w:t> </w:t>
      </w:r>
      <w:r>
        <w:rPr>
          <w:color w:val="231F20"/>
          <w:sz w:val="23"/>
        </w:rPr>
        <w:t>CDC,</w:t>
      </w:r>
      <w:r>
        <w:rPr>
          <w:color w:val="231F20"/>
          <w:spacing w:val="-23"/>
          <w:sz w:val="23"/>
        </w:rPr>
        <w:t> </w:t>
      </w:r>
      <w:r>
        <w:rPr>
          <w:color w:val="231F20"/>
          <w:sz w:val="23"/>
        </w:rPr>
        <w:t>IDB</w:t>
      </w:r>
      <w:r>
        <w:rPr>
          <w:color w:val="231F20"/>
          <w:spacing w:val="-23"/>
          <w:sz w:val="23"/>
        </w:rPr>
        <w:t> </w:t>
      </w:r>
      <w:r>
        <w:rPr>
          <w:color w:val="231F20"/>
          <w:sz w:val="23"/>
        </w:rPr>
        <w:t>Kuwaiti</w:t>
      </w:r>
      <w:r>
        <w:rPr>
          <w:color w:val="231F20"/>
          <w:spacing w:val="-24"/>
          <w:sz w:val="23"/>
        </w:rPr>
        <w:t> </w:t>
      </w:r>
      <w:r>
        <w:rPr>
          <w:color w:val="231F20"/>
          <w:sz w:val="23"/>
        </w:rPr>
        <w:t>Fund</w:t>
      </w:r>
      <w:r>
        <w:rPr>
          <w:color w:val="231F20"/>
          <w:spacing w:val="-23"/>
          <w:sz w:val="23"/>
        </w:rPr>
        <w:t> </w:t>
      </w:r>
      <w:r>
        <w:rPr>
          <w:color w:val="231F20"/>
          <w:sz w:val="23"/>
        </w:rPr>
        <w:t>and</w:t>
      </w:r>
      <w:r>
        <w:rPr>
          <w:color w:val="231F20"/>
          <w:spacing w:val="-23"/>
          <w:sz w:val="23"/>
        </w:rPr>
        <w:t> </w:t>
      </w:r>
      <w:r>
        <w:rPr>
          <w:color w:val="231F20"/>
          <w:sz w:val="23"/>
        </w:rPr>
        <w:t>BADEA</w:t>
      </w:r>
      <w:r>
        <w:rPr>
          <w:color w:val="231F20"/>
          <w:spacing w:val="-23"/>
          <w:sz w:val="23"/>
        </w:rPr>
        <w:t> </w:t>
      </w:r>
      <w:r>
        <w:rPr>
          <w:color w:val="231F20"/>
          <w:sz w:val="23"/>
        </w:rPr>
        <w:t>will disburse</w:t>
      </w:r>
      <w:r>
        <w:rPr>
          <w:color w:val="231F20"/>
          <w:spacing w:val="-32"/>
          <w:sz w:val="23"/>
        </w:rPr>
        <w:t> </w:t>
      </w:r>
      <w:r>
        <w:rPr>
          <w:color w:val="231F20"/>
          <w:sz w:val="23"/>
        </w:rPr>
        <w:t>about</w:t>
      </w:r>
      <w:r>
        <w:rPr>
          <w:color w:val="231F20"/>
          <w:spacing w:val="-32"/>
          <w:sz w:val="23"/>
        </w:rPr>
        <w:t> </w:t>
      </w:r>
      <w:r>
        <w:rPr>
          <w:color w:val="231F20"/>
          <w:sz w:val="23"/>
        </w:rPr>
        <w:t>Le</w:t>
      </w:r>
      <w:r>
        <w:rPr>
          <w:color w:val="231F20"/>
          <w:spacing w:val="-32"/>
          <w:sz w:val="23"/>
        </w:rPr>
        <w:t> </w:t>
      </w:r>
      <w:r>
        <w:rPr>
          <w:color w:val="231F20"/>
          <w:sz w:val="23"/>
        </w:rPr>
        <w:t>291.2</w:t>
      </w:r>
      <w:r>
        <w:rPr>
          <w:color w:val="231F20"/>
          <w:spacing w:val="-32"/>
          <w:sz w:val="23"/>
        </w:rPr>
        <w:t> </w:t>
      </w:r>
      <w:r>
        <w:rPr>
          <w:color w:val="231F20"/>
          <w:sz w:val="23"/>
        </w:rPr>
        <w:t>billion</w:t>
      </w:r>
      <w:r>
        <w:rPr>
          <w:color w:val="231F20"/>
          <w:spacing w:val="-32"/>
          <w:sz w:val="23"/>
        </w:rPr>
        <w:t> </w:t>
      </w:r>
      <w:r>
        <w:rPr>
          <w:color w:val="231F20"/>
          <w:sz w:val="23"/>
        </w:rPr>
        <w:t>for</w:t>
      </w:r>
      <w:r>
        <w:rPr>
          <w:color w:val="231F20"/>
          <w:spacing w:val="-32"/>
          <w:sz w:val="23"/>
        </w:rPr>
        <w:t> </w:t>
      </w:r>
      <w:r>
        <w:rPr>
          <w:color w:val="231F20"/>
          <w:sz w:val="23"/>
        </w:rPr>
        <w:t>the</w:t>
      </w:r>
      <w:r>
        <w:rPr>
          <w:color w:val="231F20"/>
          <w:spacing w:val="-32"/>
          <w:sz w:val="23"/>
        </w:rPr>
        <w:t> </w:t>
      </w:r>
      <w:r>
        <w:rPr>
          <w:color w:val="231F20"/>
          <w:sz w:val="23"/>
        </w:rPr>
        <w:t>implementation</w:t>
      </w:r>
      <w:r>
        <w:rPr>
          <w:color w:val="231F20"/>
          <w:spacing w:val="-32"/>
          <w:sz w:val="23"/>
        </w:rPr>
        <w:t> </w:t>
      </w:r>
      <w:r>
        <w:rPr>
          <w:color w:val="231F20"/>
          <w:sz w:val="23"/>
        </w:rPr>
        <w:t>of</w:t>
      </w:r>
      <w:r>
        <w:rPr>
          <w:color w:val="231F20"/>
          <w:spacing w:val="-32"/>
          <w:sz w:val="23"/>
        </w:rPr>
        <w:t> </w:t>
      </w:r>
      <w:r>
        <w:rPr>
          <w:color w:val="231F20"/>
          <w:sz w:val="23"/>
        </w:rPr>
        <w:t>various</w:t>
      </w:r>
      <w:r>
        <w:rPr>
          <w:color w:val="231F20"/>
          <w:spacing w:val="-32"/>
          <w:sz w:val="23"/>
        </w:rPr>
        <w:t> </w:t>
      </w:r>
      <w:r>
        <w:rPr>
          <w:color w:val="231F20"/>
          <w:sz w:val="23"/>
        </w:rPr>
        <w:t>projects</w:t>
      </w:r>
      <w:r>
        <w:rPr>
          <w:color w:val="231F20"/>
          <w:spacing w:val="-32"/>
          <w:sz w:val="23"/>
        </w:rPr>
        <w:t> </w:t>
      </w:r>
      <w:r>
        <w:rPr>
          <w:color w:val="231F20"/>
          <w:sz w:val="23"/>
        </w:rPr>
        <w:t>in</w:t>
      </w:r>
      <w:r>
        <w:rPr>
          <w:color w:val="231F20"/>
          <w:spacing w:val="-32"/>
          <w:sz w:val="23"/>
        </w:rPr>
        <w:t> </w:t>
      </w:r>
      <w:r>
        <w:rPr>
          <w:color w:val="231F20"/>
          <w:sz w:val="23"/>
        </w:rPr>
        <w:t>the</w:t>
      </w:r>
      <w:r>
        <w:rPr>
          <w:color w:val="231F20"/>
          <w:spacing w:val="-32"/>
          <w:sz w:val="23"/>
        </w:rPr>
        <w:t> </w:t>
      </w:r>
      <w:r>
        <w:rPr>
          <w:color w:val="231F20"/>
          <w:sz w:val="23"/>
        </w:rPr>
        <w:t>health sector.</w:t>
      </w:r>
      <w:r>
        <w:rPr>
          <w:color w:val="231F20"/>
          <w:spacing w:val="-30"/>
          <w:sz w:val="23"/>
        </w:rPr>
        <w:t> </w:t>
      </w:r>
      <w:r>
        <w:rPr>
          <w:color w:val="231F20"/>
          <w:sz w:val="23"/>
        </w:rPr>
        <w:t>Government’s</w:t>
      </w:r>
      <w:r>
        <w:rPr>
          <w:color w:val="231F20"/>
          <w:spacing w:val="-30"/>
          <w:sz w:val="23"/>
        </w:rPr>
        <w:t> </w:t>
      </w:r>
      <w:r>
        <w:rPr>
          <w:color w:val="231F20"/>
          <w:sz w:val="23"/>
        </w:rPr>
        <w:t>counterpart</w:t>
      </w:r>
      <w:r>
        <w:rPr>
          <w:color w:val="231F20"/>
          <w:spacing w:val="-30"/>
          <w:sz w:val="23"/>
        </w:rPr>
        <w:t> </w:t>
      </w:r>
      <w:r>
        <w:rPr>
          <w:color w:val="231F20"/>
          <w:sz w:val="23"/>
        </w:rPr>
        <w:t>contribution</w:t>
      </w:r>
      <w:r>
        <w:rPr>
          <w:color w:val="231F20"/>
          <w:spacing w:val="-30"/>
          <w:sz w:val="23"/>
        </w:rPr>
        <w:t> </w:t>
      </w:r>
      <w:r>
        <w:rPr>
          <w:color w:val="231F20"/>
          <w:sz w:val="23"/>
        </w:rPr>
        <w:t>to</w:t>
      </w:r>
      <w:r>
        <w:rPr>
          <w:color w:val="231F20"/>
          <w:spacing w:val="-30"/>
          <w:sz w:val="23"/>
        </w:rPr>
        <w:t> </w:t>
      </w:r>
      <w:r>
        <w:rPr>
          <w:color w:val="231F20"/>
          <w:sz w:val="23"/>
        </w:rPr>
        <w:t>these</w:t>
      </w:r>
      <w:r>
        <w:rPr>
          <w:color w:val="231F20"/>
          <w:spacing w:val="-30"/>
          <w:sz w:val="23"/>
        </w:rPr>
        <w:t> </w:t>
      </w:r>
      <w:r>
        <w:rPr>
          <w:color w:val="231F20"/>
          <w:sz w:val="23"/>
        </w:rPr>
        <w:t>projects</w:t>
      </w:r>
      <w:r>
        <w:rPr>
          <w:color w:val="231F20"/>
          <w:spacing w:val="-30"/>
          <w:sz w:val="23"/>
        </w:rPr>
        <w:t> </w:t>
      </w:r>
      <w:r>
        <w:rPr>
          <w:color w:val="231F20"/>
          <w:sz w:val="23"/>
        </w:rPr>
        <w:t>will</w:t>
      </w:r>
      <w:r>
        <w:rPr>
          <w:color w:val="231F20"/>
          <w:spacing w:val="-30"/>
          <w:sz w:val="23"/>
        </w:rPr>
        <w:t> </w:t>
      </w:r>
      <w:r>
        <w:rPr>
          <w:color w:val="231F20"/>
          <w:sz w:val="23"/>
        </w:rPr>
        <w:t>amount</w:t>
      </w:r>
      <w:r>
        <w:rPr>
          <w:color w:val="231F20"/>
          <w:spacing w:val="-30"/>
          <w:sz w:val="23"/>
        </w:rPr>
        <w:t> </w:t>
      </w:r>
      <w:r>
        <w:rPr>
          <w:color w:val="231F20"/>
          <w:sz w:val="23"/>
        </w:rPr>
        <w:t>to</w:t>
      </w:r>
      <w:r>
        <w:rPr>
          <w:color w:val="231F20"/>
          <w:spacing w:val="-30"/>
          <w:sz w:val="23"/>
        </w:rPr>
        <w:t> </w:t>
      </w:r>
      <w:r>
        <w:rPr>
          <w:color w:val="231F20"/>
          <w:sz w:val="23"/>
        </w:rPr>
        <w:t>Le24.0 billion.</w:t>
      </w:r>
    </w:p>
    <w:p>
      <w:pPr>
        <w:pStyle w:val="BodyText"/>
        <w:spacing w:before="10"/>
        <w:rPr>
          <w:sz w:val="26"/>
        </w:rPr>
      </w:pPr>
    </w:p>
    <w:p>
      <w:pPr>
        <w:pStyle w:val="ListParagraph"/>
        <w:numPr>
          <w:ilvl w:val="0"/>
          <w:numId w:val="2"/>
        </w:numPr>
        <w:tabs>
          <w:tab w:pos="954" w:val="left" w:leader="none"/>
        </w:tabs>
        <w:spacing w:line="283" w:lineRule="auto" w:before="0" w:after="0"/>
        <w:ind w:left="103" w:right="118" w:firstLine="87"/>
        <w:jc w:val="both"/>
        <w:rPr>
          <w:sz w:val="23"/>
        </w:rPr>
      </w:pPr>
      <w:r>
        <w:rPr>
          <w:color w:val="231F20"/>
          <w:sz w:val="23"/>
        </w:rPr>
        <w:t>The amount of Le82.3 billion allocated for devolved functions in the health sector</w:t>
      </w:r>
      <w:r>
        <w:rPr>
          <w:color w:val="231F20"/>
          <w:spacing w:val="-33"/>
          <w:sz w:val="23"/>
        </w:rPr>
        <w:t> </w:t>
      </w:r>
      <w:r>
        <w:rPr>
          <w:color w:val="231F20"/>
          <w:sz w:val="23"/>
        </w:rPr>
        <w:t>covering</w:t>
      </w:r>
      <w:r>
        <w:rPr>
          <w:color w:val="231F20"/>
          <w:spacing w:val="-33"/>
          <w:sz w:val="23"/>
        </w:rPr>
        <w:t> </w:t>
      </w:r>
      <w:r>
        <w:rPr>
          <w:color w:val="231F20"/>
          <w:sz w:val="23"/>
        </w:rPr>
        <w:t>solid</w:t>
      </w:r>
      <w:r>
        <w:rPr>
          <w:color w:val="231F20"/>
          <w:spacing w:val="-33"/>
          <w:sz w:val="23"/>
        </w:rPr>
        <w:t> </w:t>
      </w:r>
      <w:r>
        <w:rPr>
          <w:color w:val="231F20"/>
          <w:sz w:val="23"/>
        </w:rPr>
        <w:t>waste</w:t>
      </w:r>
      <w:r>
        <w:rPr>
          <w:color w:val="231F20"/>
          <w:spacing w:val="-33"/>
          <w:sz w:val="23"/>
        </w:rPr>
        <w:t> </w:t>
      </w:r>
      <w:r>
        <w:rPr>
          <w:color w:val="231F20"/>
          <w:sz w:val="23"/>
        </w:rPr>
        <w:t>management,</w:t>
      </w:r>
      <w:r>
        <w:rPr>
          <w:color w:val="231F20"/>
          <w:spacing w:val="-33"/>
          <w:sz w:val="23"/>
        </w:rPr>
        <w:t> </w:t>
      </w:r>
      <w:r>
        <w:rPr>
          <w:color w:val="231F20"/>
          <w:sz w:val="23"/>
        </w:rPr>
        <w:t>monthly</w:t>
      </w:r>
      <w:r>
        <w:rPr>
          <w:color w:val="231F20"/>
          <w:spacing w:val="-33"/>
          <w:sz w:val="23"/>
        </w:rPr>
        <w:t> </w:t>
      </w:r>
      <w:r>
        <w:rPr>
          <w:color w:val="231F20"/>
          <w:sz w:val="23"/>
        </w:rPr>
        <w:t>cleaning</w:t>
      </w:r>
      <w:r>
        <w:rPr>
          <w:color w:val="231F20"/>
          <w:spacing w:val="-33"/>
          <w:sz w:val="23"/>
        </w:rPr>
        <w:t> </w:t>
      </w:r>
      <w:r>
        <w:rPr>
          <w:color w:val="231F20"/>
          <w:sz w:val="23"/>
        </w:rPr>
        <w:t>exercise,</w:t>
      </w:r>
      <w:r>
        <w:rPr>
          <w:color w:val="231F20"/>
          <w:spacing w:val="-33"/>
          <w:sz w:val="23"/>
        </w:rPr>
        <w:t> </w:t>
      </w:r>
      <w:r>
        <w:rPr>
          <w:color w:val="231F20"/>
          <w:sz w:val="23"/>
        </w:rPr>
        <w:t>District</w:t>
      </w:r>
      <w:r>
        <w:rPr>
          <w:color w:val="231F20"/>
          <w:spacing w:val="-33"/>
          <w:sz w:val="23"/>
        </w:rPr>
        <w:t> </w:t>
      </w:r>
      <w:r>
        <w:rPr>
          <w:color w:val="231F20"/>
          <w:sz w:val="23"/>
        </w:rPr>
        <w:t>Hospitals and Peripheral Health care services</w:t>
      </w:r>
      <w:r>
        <w:rPr>
          <w:color w:val="231F20"/>
          <w:spacing w:val="4"/>
          <w:sz w:val="23"/>
        </w:rPr>
        <w:t> </w:t>
      </w:r>
      <w:r>
        <w:rPr>
          <w:color w:val="231F20"/>
          <w:sz w:val="23"/>
        </w:rPr>
        <w:t>(PHCs).</w:t>
      </w:r>
    </w:p>
    <w:p>
      <w:pPr>
        <w:pStyle w:val="BodyText"/>
        <w:spacing w:before="7"/>
        <w:rPr>
          <w:sz w:val="27"/>
        </w:rPr>
      </w:pPr>
    </w:p>
    <w:p>
      <w:pPr>
        <w:pStyle w:val="Heading2"/>
        <w:jc w:val="both"/>
      </w:pPr>
      <w:r>
        <w:rPr>
          <w:color w:val="231F20"/>
        </w:rPr>
        <w:t>Social Protection</w:t>
      </w:r>
    </w:p>
    <w:p>
      <w:pPr>
        <w:pStyle w:val="ListParagraph"/>
        <w:numPr>
          <w:ilvl w:val="0"/>
          <w:numId w:val="2"/>
        </w:numPr>
        <w:tabs>
          <w:tab w:pos="954" w:val="left" w:leader="none"/>
        </w:tabs>
        <w:spacing w:line="285" w:lineRule="auto" w:before="49" w:after="0"/>
        <w:ind w:left="103" w:right="120" w:firstLine="87"/>
        <w:jc w:val="both"/>
        <w:rPr>
          <w:sz w:val="23"/>
        </w:rPr>
      </w:pPr>
      <w:r>
        <w:rPr>
          <w:color w:val="231F20"/>
          <w:sz w:val="23"/>
        </w:rPr>
        <w:t>An</w:t>
      </w:r>
      <w:r>
        <w:rPr>
          <w:color w:val="231F20"/>
          <w:spacing w:val="-30"/>
          <w:sz w:val="23"/>
        </w:rPr>
        <w:t> </w:t>
      </w:r>
      <w:r>
        <w:rPr>
          <w:color w:val="231F20"/>
          <w:sz w:val="23"/>
        </w:rPr>
        <w:t>amount</w:t>
      </w:r>
      <w:r>
        <w:rPr>
          <w:color w:val="231F20"/>
          <w:spacing w:val="-31"/>
          <w:sz w:val="23"/>
        </w:rPr>
        <w:t> </w:t>
      </w:r>
      <w:r>
        <w:rPr>
          <w:color w:val="231F20"/>
          <w:sz w:val="23"/>
        </w:rPr>
        <w:t>of</w:t>
      </w:r>
      <w:r>
        <w:rPr>
          <w:color w:val="231F20"/>
          <w:spacing w:val="-31"/>
          <w:sz w:val="23"/>
        </w:rPr>
        <w:t> </w:t>
      </w:r>
      <w:r>
        <w:rPr>
          <w:color w:val="231F20"/>
          <w:sz w:val="23"/>
        </w:rPr>
        <w:t>Le44.5</w:t>
      </w:r>
      <w:r>
        <w:rPr>
          <w:color w:val="231F20"/>
          <w:spacing w:val="-31"/>
          <w:sz w:val="23"/>
        </w:rPr>
        <w:t> </w:t>
      </w:r>
      <w:r>
        <w:rPr>
          <w:color w:val="231F20"/>
          <w:sz w:val="23"/>
        </w:rPr>
        <w:t>billion</w:t>
      </w:r>
      <w:r>
        <w:rPr>
          <w:color w:val="231F20"/>
          <w:spacing w:val="-31"/>
          <w:sz w:val="23"/>
        </w:rPr>
        <w:t> </w:t>
      </w:r>
      <w:r>
        <w:rPr>
          <w:color w:val="231F20"/>
          <w:sz w:val="23"/>
        </w:rPr>
        <w:t>is</w:t>
      </w:r>
      <w:r>
        <w:rPr>
          <w:color w:val="231F20"/>
          <w:spacing w:val="-30"/>
          <w:sz w:val="23"/>
        </w:rPr>
        <w:t> </w:t>
      </w:r>
      <w:r>
        <w:rPr>
          <w:color w:val="231F20"/>
          <w:sz w:val="23"/>
        </w:rPr>
        <w:t>allocated</w:t>
      </w:r>
      <w:r>
        <w:rPr>
          <w:color w:val="231F20"/>
          <w:spacing w:val="-31"/>
          <w:sz w:val="23"/>
        </w:rPr>
        <w:t> </w:t>
      </w:r>
      <w:r>
        <w:rPr>
          <w:color w:val="231F20"/>
          <w:sz w:val="23"/>
        </w:rPr>
        <w:t>from</w:t>
      </w:r>
      <w:r>
        <w:rPr>
          <w:color w:val="231F20"/>
          <w:spacing w:val="-30"/>
          <w:sz w:val="23"/>
        </w:rPr>
        <w:t> </w:t>
      </w:r>
      <w:r>
        <w:rPr>
          <w:color w:val="231F20"/>
          <w:sz w:val="23"/>
        </w:rPr>
        <w:t>the</w:t>
      </w:r>
      <w:r>
        <w:rPr>
          <w:color w:val="231F20"/>
          <w:spacing w:val="-30"/>
          <w:sz w:val="23"/>
        </w:rPr>
        <w:t> </w:t>
      </w:r>
      <w:r>
        <w:rPr>
          <w:color w:val="231F20"/>
          <w:sz w:val="23"/>
        </w:rPr>
        <w:t>recurrent</w:t>
      </w:r>
      <w:r>
        <w:rPr>
          <w:color w:val="231F20"/>
          <w:spacing w:val="-31"/>
          <w:sz w:val="23"/>
        </w:rPr>
        <w:t> </w:t>
      </w:r>
      <w:r>
        <w:rPr>
          <w:color w:val="231F20"/>
          <w:sz w:val="23"/>
        </w:rPr>
        <w:t>budget</w:t>
      </w:r>
      <w:r>
        <w:rPr>
          <w:color w:val="231F20"/>
          <w:spacing w:val="-31"/>
          <w:sz w:val="23"/>
        </w:rPr>
        <w:t> </w:t>
      </w:r>
      <w:r>
        <w:rPr>
          <w:color w:val="231F20"/>
          <w:sz w:val="23"/>
        </w:rPr>
        <w:t>to</w:t>
      </w:r>
      <w:r>
        <w:rPr>
          <w:color w:val="231F20"/>
          <w:spacing w:val="-30"/>
          <w:sz w:val="23"/>
        </w:rPr>
        <w:t> </w:t>
      </w:r>
      <w:r>
        <w:rPr>
          <w:color w:val="231F20"/>
          <w:sz w:val="23"/>
        </w:rPr>
        <w:t>the</w:t>
      </w:r>
      <w:r>
        <w:rPr>
          <w:color w:val="231F20"/>
          <w:spacing w:val="-30"/>
          <w:sz w:val="23"/>
        </w:rPr>
        <w:t> </w:t>
      </w:r>
      <w:r>
        <w:rPr>
          <w:color w:val="231F20"/>
          <w:sz w:val="23"/>
        </w:rPr>
        <w:t>Social Protection</w:t>
      </w:r>
      <w:r>
        <w:rPr>
          <w:color w:val="231F20"/>
          <w:spacing w:val="-24"/>
          <w:sz w:val="23"/>
        </w:rPr>
        <w:t> </w:t>
      </w:r>
      <w:r>
        <w:rPr>
          <w:color w:val="231F20"/>
          <w:sz w:val="23"/>
        </w:rPr>
        <w:t>Sector,</w:t>
      </w:r>
      <w:r>
        <w:rPr>
          <w:color w:val="231F20"/>
          <w:spacing w:val="-24"/>
          <w:sz w:val="23"/>
        </w:rPr>
        <w:t> </w:t>
      </w:r>
      <w:r>
        <w:rPr>
          <w:color w:val="231F20"/>
          <w:sz w:val="23"/>
        </w:rPr>
        <w:t>including</w:t>
      </w:r>
      <w:r>
        <w:rPr>
          <w:color w:val="231F20"/>
          <w:spacing w:val="-24"/>
          <w:sz w:val="23"/>
        </w:rPr>
        <w:t> </w:t>
      </w:r>
      <w:r>
        <w:rPr>
          <w:color w:val="231F20"/>
          <w:sz w:val="23"/>
        </w:rPr>
        <w:t>Le7.2</w:t>
      </w:r>
      <w:r>
        <w:rPr>
          <w:color w:val="231F20"/>
          <w:spacing w:val="-24"/>
          <w:sz w:val="23"/>
        </w:rPr>
        <w:t> </w:t>
      </w:r>
      <w:r>
        <w:rPr>
          <w:color w:val="231F20"/>
          <w:sz w:val="23"/>
        </w:rPr>
        <w:t>billion</w:t>
      </w:r>
      <w:r>
        <w:rPr>
          <w:color w:val="231F20"/>
          <w:spacing w:val="-24"/>
          <w:sz w:val="23"/>
        </w:rPr>
        <w:t> </w:t>
      </w:r>
      <w:r>
        <w:rPr>
          <w:color w:val="231F20"/>
          <w:sz w:val="23"/>
        </w:rPr>
        <w:t>for</w:t>
      </w:r>
      <w:r>
        <w:rPr>
          <w:color w:val="231F20"/>
          <w:spacing w:val="26"/>
          <w:sz w:val="23"/>
        </w:rPr>
        <w:t> </w:t>
      </w:r>
      <w:r>
        <w:rPr>
          <w:color w:val="231F20"/>
          <w:sz w:val="23"/>
        </w:rPr>
        <w:t>Social</w:t>
      </w:r>
      <w:r>
        <w:rPr>
          <w:color w:val="231F20"/>
          <w:spacing w:val="-24"/>
          <w:sz w:val="23"/>
        </w:rPr>
        <w:t> </w:t>
      </w:r>
      <w:r>
        <w:rPr>
          <w:color w:val="231F20"/>
          <w:sz w:val="23"/>
        </w:rPr>
        <w:t>Protection,</w:t>
      </w:r>
      <w:r>
        <w:rPr>
          <w:color w:val="231F20"/>
          <w:spacing w:val="-24"/>
          <w:sz w:val="23"/>
        </w:rPr>
        <w:t> </w:t>
      </w:r>
      <w:r>
        <w:rPr>
          <w:color w:val="231F20"/>
          <w:sz w:val="23"/>
        </w:rPr>
        <w:t>Le8.7</w:t>
      </w:r>
      <w:r>
        <w:rPr>
          <w:color w:val="231F20"/>
          <w:spacing w:val="-24"/>
          <w:sz w:val="23"/>
        </w:rPr>
        <w:t> </w:t>
      </w:r>
      <w:r>
        <w:rPr>
          <w:color w:val="231F20"/>
          <w:sz w:val="23"/>
        </w:rPr>
        <w:t>billion</w:t>
      </w:r>
      <w:r>
        <w:rPr>
          <w:color w:val="231F20"/>
          <w:spacing w:val="-24"/>
          <w:sz w:val="23"/>
        </w:rPr>
        <w:t> </w:t>
      </w:r>
      <w:r>
        <w:rPr>
          <w:color w:val="231F20"/>
          <w:sz w:val="23"/>
        </w:rPr>
        <w:t>leones</w:t>
      </w:r>
      <w:r>
        <w:rPr>
          <w:color w:val="231F20"/>
          <w:spacing w:val="-24"/>
          <w:sz w:val="23"/>
        </w:rPr>
        <w:t> </w:t>
      </w:r>
      <w:r>
        <w:rPr>
          <w:color w:val="231F20"/>
          <w:sz w:val="23"/>
        </w:rPr>
        <w:t>for Pilgrimage</w:t>
      </w:r>
      <w:r>
        <w:rPr>
          <w:color w:val="231F20"/>
          <w:spacing w:val="-29"/>
          <w:sz w:val="23"/>
        </w:rPr>
        <w:t> </w:t>
      </w:r>
      <w:r>
        <w:rPr>
          <w:color w:val="231F20"/>
          <w:sz w:val="23"/>
        </w:rPr>
        <w:t>under</w:t>
      </w:r>
      <w:r>
        <w:rPr>
          <w:color w:val="231F20"/>
          <w:spacing w:val="-29"/>
          <w:sz w:val="23"/>
        </w:rPr>
        <w:t> </w:t>
      </w:r>
      <w:r>
        <w:rPr>
          <w:color w:val="231F20"/>
          <w:sz w:val="23"/>
        </w:rPr>
        <w:t>the</w:t>
      </w:r>
      <w:r>
        <w:rPr>
          <w:color w:val="231F20"/>
          <w:spacing w:val="-29"/>
          <w:sz w:val="23"/>
        </w:rPr>
        <w:t> </w:t>
      </w:r>
      <w:r>
        <w:rPr>
          <w:color w:val="231F20"/>
          <w:sz w:val="23"/>
        </w:rPr>
        <w:t>Ministry</w:t>
      </w:r>
      <w:r>
        <w:rPr>
          <w:color w:val="231F20"/>
          <w:spacing w:val="-29"/>
          <w:sz w:val="23"/>
        </w:rPr>
        <w:t> </w:t>
      </w:r>
      <w:r>
        <w:rPr>
          <w:color w:val="231F20"/>
          <w:sz w:val="23"/>
        </w:rPr>
        <w:t>of</w:t>
      </w:r>
      <w:r>
        <w:rPr>
          <w:color w:val="231F20"/>
          <w:spacing w:val="-29"/>
          <w:sz w:val="23"/>
        </w:rPr>
        <w:t> </w:t>
      </w:r>
      <w:r>
        <w:rPr>
          <w:color w:val="231F20"/>
          <w:sz w:val="23"/>
        </w:rPr>
        <w:t>Social</w:t>
      </w:r>
      <w:r>
        <w:rPr>
          <w:color w:val="231F20"/>
          <w:spacing w:val="-29"/>
          <w:sz w:val="23"/>
        </w:rPr>
        <w:t> </w:t>
      </w:r>
      <w:r>
        <w:rPr>
          <w:color w:val="231F20"/>
          <w:sz w:val="23"/>
        </w:rPr>
        <w:t>Welfare</w:t>
      </w:r>
      <w:r>
        <w:rPr>
          <w:color w:val="231F20"/>
          <w:spacing w:val="-29"/>
          <w:sz w:val="23"/>
        </w:rPr>
        <w:t> </w:t>
      </w:r>
      <w:r>
        <w:rPr>
          <w:color w:val="231F20"/>
          <w:sz w:val="23"/>
        </w:rPr>
        <w:t>Gender</w:t>
      </w:r>
      <w:r>
        <w:rPr>
          <w:color w:val="231F20"/>
          <w:spacing w:val="-29"/>
          <w:sz w:val="23"/>
        </w:rPr>
        <w:t> </w:t>
      </w:r>
      <w:r>
        <w:rPr>
          <w:color w:val="231F20"/>
          <w:sz w:val="23"/>
        </w:rPr>
        <w:t>and</w:t>
      </w:r>
      <w:r>
        <w:rPr>
          <w:color w:val="231F20"/>
          <w:spacing w:val="-29"/>
          <w:sz w:val="23"/>
        </w:rPr>
        <w:t> </w:t>
      </w:r>
      <w:r>
        <w:rPr>
          <w:color w:val="231F20"/>
          <w:sz w:val="23"/>
        </w:rPr>
        <w:t>Children’s</w:t>
      </w:r>
      <w:r>
        <w:rPr>
          <w:color w:val="231F20"/>
          <w:spacing w:val="-29"/>
          <w:sz w:val="23"/>
        </w:rPr>
        <w:t> </w:t>
      </w:r>
      <w:r>
        <w:rPr>
          <w:color w:val="231F20"/>
          <w:sz w:val="23"/>
        </w:rPr>
        <w:t>Affaire;</w:t>
      </w:r>
      <w:r>
        <w:rPr>
          <w:color w:val="231F20"/>
          <w:spacing w:val="61"/>
          <w:sz w:val="23"/>
        </w:rPr>
        <w:t> </w:t>
      </w:r>
      <w:r>
        <w:rPr>
          <w:color w:val="231F20"/>
          <w:sz w:val="23"/>
        </w:rPr>
        <w:t>NaCSA Le</w:t>
      </w:r>
      <w:r>
        <w:rPr>
          <w:color w:val="231F20"/>
          <w:spacing w:val="-14"/>
          <w:sz w:val="23"/>
        </w:rPr>
        <w:t> </w:t>
      </w:r>
      <w:r>
        <w:rPr>
          <w:color w:val="231F20"/>
          <w:sz w:val="23"/>
        </w:rPr>
        <w:t>2.1</w:t>
      </w:r>
      <w:r>
        <w:rPr>
          <w:color w:val="231F20"/>
          <w:spacing w:val="-14"/>
          <w:sz w:val="23"/>
        </w:rPr>
        <w:t> </w:t>
      </w:r>
      <w:r>
        <w:rPr>
          <w:color w:val="231F20"/>
          <w:sz w:val="23"/>
        </w:rPr>
        <w:t>billion;</w:t>
      </w:r>
      <w:r>
        <w:rPr>
          <w:color w:val="231F20"/>
          <w:spacing w:val="-14"/>
          <w:sz w:val="23"/>
        </w:rPr>
        <w:t> </w:t>
      </w:r>
      <w:r>
        <w:rPr>
          <w:color w:val="231F20"/>
          <w:sz w:val="23"/>
        </w:rPr>
        <w:t>Ministry</w:t>
      </w:r>
      <w:r>
        <w:rPr>
          <w:color w:val="231F20"/>
          <w:spacing w:val="-14"/>
          <w:sz w:val="23"/>
        </w:rPr>
        <w:t> </w:t>
      </w:r>
      <w:r>
        <w:rPr>
          <w:color w:val="231F20"/>
          <w:sz w:val="23"/>
        </w:rPr>
        <w:t>of</w:t>
      </w:r>
      <w:r>
        <w:rPr>
          <w:color w:val="231F20"/>
          <w:spacing w:val="-14"/>
          <w:sz w:val="23"/>
        </w:rPr>
        <w:t> </w:t>
      </w:r>
      <w:r>
        <w:rPr>
          <w:color w:val="231F20"/>
          <w:sz w:val="23"/>
        </w:rPr>
        <w:t>Labour</w:t>
      </w:r>
      <w:r>
        <w:rPr>
          <w:color w:val="231F20"/>
          <w:spacing w:val="-14"/>
          <w:sz w:val="23"/>
        </w:rPr>
        <w:t> </w:t>
      </w:r>
      <w:r>
        <w:rPr>
          <w:color w:val="231F20"/>
          <w:sz w:val="23"/>
        </w:rPr>
        <w:t>and</w:t>
      </w:r>
      <w:r>
        <w:rPr>
          <w:color w:val="231F20"/>
          <w:spacing w:val="-14"/>
          <w:sz w:val="23"/>
        </w:rPr>
        <w:t> </w:t>
      </w:r>
      <w:r>
        <w:rPr>
          <w:color w:val="231F20"/>
          <w:sz w:val="23"/>
        </w:rPr>
        <w:t>Social</w:t>
      </w:r>
      <w:r>
        <w:rPr>
          <w:color w:val="231F20"/>
          <w:spacing w:val="-14"/>
          <w:sz w:val="23"/>
        </w:rPr>
        <w:t> </w:t>
      </w:r>
      <w:r>
        <w:rPr>
          <w:color w:val="231F20"/>
          <w:sz w:val="23"/>
        </w:rPr>
        <w:t>Security;</w:t>
      </w:r>
      <w:r>
        <w:rPr>
          <w:color w:val="231F20"/>
          <w:spacing w:val="-14"/>
          <w:sz w:val="23"/>
        </w:rPr>
        <w:t> </w:t>
      </w:r>
      <w:r>
        <w:rPr>
          <w:color w:val="231F20"/>
          <w:sz w:val="23"/>
        </w:rPr>
        <w:t>Le4.4</w:t>
      </w:r>
      <w:r>
        <w:rPr>
          <w:color w:val="231F20"/>
          <w:spacing w:val="-14"/>
          <w:sz w:val="23"/>
        </w:rPr>
        <w:t> </w:t>
      </w:r>
      <w:r>
        <w:rPr>
          <w:color w:val="231F20"/>
          <w:sz w:val="23"/>
        </w:rPr>
        <w:t>billion;</w:t>
      </w:r>
      <w:r>
        <w:rPr>
          <w:color w:val="231F20"/>
          <w:spacing w:val="-14"/>
          <w:sz w:val="23"/>
        </w:rPr>
        <w:t> </w:t>
      </w:r>
      <w:r>
        <w:rPr>
          <w:color w:val="231F20"/>
          <w:sz w:val="23"/>
        </w:rPr>
        <w:t>Ministry</w:t>
      </w:r>
      <w:r>
        <w:rPr>
          <w:color w:val="231F20"/>
          <w:spacing w:val="-14"/>
          <w:sz w:val="23"/>
        </w:rPr>
        <w:t> </w:t>
      </w:r>
      <w:r>
        <w:rPr>
          <w:color w:val="231F20"/>
          <w:sz w:val="23"/>
        </w:rPr>
        <w:t>of</w:t>
      </w:r>
      <w:r>
        <w:rPr>
          <w:color w:val="231F20"/>
          <w:spacing w:val="-14"/>
          <w:sz w:val="23"/>
        </w:rPr>
        <w:t> </w:t>
      </w:r>
      <w:r>
        <w:rPr>
          <w:color w:val="231F20"/>
          <w:sz w:val="23"/>
        </w:rPr>
        <w:t>Youth Affairs</w:t>
      </w:r>
      <w:r>
        <w:rPr>
          <w:color w:val="231F20"/>
          <w:spacing w:val="-8"/>
          <w:sz w:val="23"/>
        </w:rPr>
        <w:t> </w:t>
      </w:r>
      <w:r>
        <w:rPr>
          <w:color w:val="231F20"/>
          <w:sz w:val="23"/>
        </w:rPr>
        <w:t>Le5.5</w:t>
      </w:r>
      <w:r>
        <w:rPr>
          <w:color w:val="231F20"/>
          <w:spacing w:val="-8"/>
          <w:sz w:val="23"/>
        </w:rPr>
        <w:t> </w:t>
      </w:r>
      <w:r>
        <w:rPr>
          <w:color w:val="231F20"/>
          <w:sz w:val="23"/>
        </w:rPr>
        <w:t>billion,</w:t>
      </w:r>
      <w:r>
        <w:rPr>
          <w:color w:val="231F20"/>
          <w:spacing w:val="-8"/>
          <w:sz w:val="23"/>
        </w:rPr>
        <w:t> </w:t>
      </w:r>
      <w:r>
        <w:rPr>
          <w:color w:val="231F20"/>
          <w:sz w:val="23"/>
        </w:rPr>
        <w:t>of</w:t>
      </w:r>
      <w:r>
        <w:rPr>
          <w:color w:val="231F20"/>
          <w:spacing w:val="-8"/>
          <w:sz w:val="23"/>
        </w:rPr>
        <w:t> </w:t>
      </w:r>
      <w:r>
        <w:rPr>
          <w:color w:val="231F20"/>
          <w:sz w:val="23"/>
        </w:rPr>
        <w:t>which</w:t>
      </w:r>
      <w:r>
        <w:rPr>
          <w:color w:val="231F20"/>
          <w:spacing w:val="-8"/>
          <w:sz w:val="23"/>
        </w:rPr>
        <w:t> </w:t>
      </w:r>
      <w:r>
        <w:rPr>
          <w:color w:val="231F20"/>
          <w:sz w:val="23"/>
        </w:rPr>
        <w:t>the</w:t>
      </w:r>
      <w:r>
        <w:rPr>
          <w:color w:val="231F20"/>
          <w:spacing w:val="-8"/>
          <w:sz w:val="23"/>
        </w:rPr>
        <w:t> </w:t>
      </w:r>
      <w:r>
        <w:rPr>
          <w:color w:val="231F20"/>
          <w:sz w:val="23"/>
        </w:rPr>
        <w:t>National</w:t>
      </w:r>
      <w:r>
        <w:rPr>
          <w:color w:val="231F20"/>
          <w:spacing w:val="-8"/>
          <w:sz w:val="23"/>
        </w:rPr>
        <w:t> </w:t>
      </w:r>
      <w:r>
        <w:rPr>
          <w:color w:val="231F20"/>
          <w:sz w:val="23"/>
        </w:rPr>
        <w:t>Youth</w:t>
      </w:r>
      <w:r>
        <w:rPr>
          <w:color w:val="231F20"/>
          <w:spacing w:val="-8"/>
          <w:sz w:val="23"/>
        </w:rPr>
        <w:t> </w:t>
      </w:r>
      <w:r>
        <w:rPr>
          <w:color w:val="231F20"/>
          <w:sz w:val="23"/>
        </w:rPr>
        <w:t>Commission</w:t>
      </w:r>
      <w:r>
        <w:rPr>
          <w:color w:val="231F20"/>
          <w:spacing w:val="-8"/>
          <w:sz w:val="23"/>
        </w:rPr>
        <w:t> </w:t>
      </w:r>
      <w:r>
        <w:rPr>
          <w:color w:val="231F20"/>
          <w:sz w:val="23"/>
        </w:rPr>
        <w:t>Le3.1</w:t>
      </w:r>
      <w:r>
        <w:rPr>
          <w:color w:val="231F20"/>
          <w:spacing w:val="-8"/>
          <w:sz w:val="23"/>
        </w:rPr>
        <w:t> </w:t>
      </w:r>
      <w:r>
        <w:rPr>
          <w:color w:val="231F20"/>
          <w:sz w:val="23"/>
        </w:rPr>
        <w:t>billion;</w:t>
      </w:r>
      <w:r>
        <w:rPr>
          <w:color w:val="231F20"/>
          <w:spacing w:val="-8"/>
          <w:sz w:val="23"/>
        </w:rPr>
        <w:t> </w:t>
      </w:r>
      <w:r>
        <w:rPr>
          <w:color w:val="231F20"/>
          <w:sz w:val="23"/>
        </w:rPr>
        <w:t>Ministry of</w:t>
      </w:r>
      <w:r>
        <w:rPr>
          <w:color w:val="231F20"/>
          <w:spacing w:val="-24"/>
          <w:sz w:val="23"/>
        </w:rPr>
        <w:t> </w:t>
      </w:r>
      <w:r>
        <w:rPr>
          <w:color w:val="231F20"/>
          <w:sz w:val="23"/>
        </w:rPr>
        <w:t>Sports</w:t>
      </w:r>
      <w:r>
        <w:rPr>
          <w:color w:val="231F20"/>
          <w:spacing w:val="-24"/>
          <w:sz w:val="23"/>
        </w:rPr>
        <w:t> </w:t>
      </w:r>
      <w:r>
        <w:rPr>
          <w:color w:val="231F20"/>
          <w:sz w:val="23"/>
        </w:rPr>
        <w:t>Le16.6</w:t>
      </w:r>
      <w:r>
        <w:rPr>
          <w:color w:val="231F20"/>
          <w:spacing w:val="-24"/>
          <w:sz w:val="23"/>
        </w:rPr>
        <w:t> </w:t>
      </w:r>
      <w:r>
        <w:rPr>
          <w:color w:val="231F20"/>
          <w:sz w:val="23"/>
        </w:rPr>
        <w:t>billion;</w:t>
      </w:r>
      <w:r>
        <w:rPr>
          <w:color w:val="231F20"/>
          <w:spacing w:val="-24"/>
          <w:sz w:val="23"/>
        </w:rPr>
        <w:t> </w:t>
      </w:r>
      <w:r>
        <w:rPr>
          <w:color w:val="231F20"/>
          <w:sz w:val="23"/>
        </w:rPr>
        <w:t>and</w:t>
      </w:r>
      <w:r>
        <w:rPr>
          <w:color w:val="231F20"/>
          <w:spacing w:val="-24"/>
          <w:sz w:val="23"/>
        </w:rPr>
        <w:t> </w:t>
      </w:r>
      <w:r>
        <w:rPr>
          <w:color w:val="231F20"/>
          <w:sz w:val="23"/>
        </w:rPr>
        <w:t>National</w:t>
      </w:r>
      <w:r>
        <w:rPr>
          <w:color w:val="231F20"/>
          <w:spacing w:val="-24"/>
          <w:sz w:val="23"/>
        </w:rPr>
        <w:t> </w:t>
      </w:r>
      <w:r>
        <w:rPr>
          <w:color w:val="231F20"/>
          <w:sz w:val="23"/>
        </w:rPr>
        <w:t>Youth</w:t>
      </w:r>
      <w:r>
        <w:rPr>
          <w:color w:val="231F20"/>
          <w:spacing w:val="-24"/>
          <w:sz w:val="23"/>
        </w:rPr>
        <w:t> </w:t>
      </w:r>
      <w:r>
        <w:rPr>
          <w:color w:val="231F20"/>
          <w:sz w:val="23"/>
        </w:rPr>
        <w:t>Service</w:t>
      </w:r>
      <w:r>
        <w:rPr>
          <w:color w:val="231F20"/>
          <w:spacing w:val="-24"/>
          <w:sz w:val="23"/>
        </w:rPr>
        <w:t> </w:t>
      </w:r>
      <w:r>
        <w:rPr>
          <w:color w:val="231F20"/>
          <w:sz w:val="23"/>
        </w:rPr>
        <w:t>Le2.4</w:t>
      </w:r>
      <w:r>
        <w:rPr>
          <w:color w:val="231F20"/>
          <w:spacing w:val="-24"/>
          <w:sz w:val="23"/>
        </w:rPr>
        <w:t> </w:t>
      </w:r>
      <w:r>
        <w:rPr>
          <w:color w:val="231F20"/>
          <w:sz w:val="23"/>
        </w:rPr>
        <w:t>billion.</w:t>
      </w:r>
      <w:r>
        <w:rPr>
          <w:color w:val="231F20"/>
          <w:spacing w:val="-24"/>
          <w:sz w:val="23"/>
        </w:rPr>
        <w:t> </w:t>
      </w:r>
      <w:r>
        <w:rPr>
          <w:color w:val="231F20"/>
          <w:sz w:val="23"/>
        </w:rPr>
        <w:t>An</w:t>
      </w:r>
      <w:r>
        <w:rPr>
          <w:color w:val="231F20"/>
          <w:spacing w:val="-24"/>
          <w:sz w:val="23"/>
        </w:rPr>
        <w:t> </w:t>
      </w:r>
      <w:r>
        <w:rPr>
          <w:color w:val="231F20"/>
          <w:sz w:val="23"/>
        </w:rPr>
        <w:t>amount</w:t>
      </w:r>
      <w:r>
        <w:rPr>
          <w:color w:val="231F20"/>
          <w:spacing w:val="-24"/>
          <w:sz w:val="23"/>
        </w:rPr>
        <w:t> </w:t>
      </w:r>
      <w:r>
        <w:rPr>
          <w:color w:val="231F20"/>
          <w:sz w:val="23"/>
        </w:rPr>
        <w:t>of</w:t>
      </w:r>
      <w:r>
        <w:rPr>
          <w:color w:val="231F20"/>
          <w:spacing w:val="-24"/>
          <w:sz w:val="23"/>
        </w:rPr>
        <w:t> </w:t>
      </w:r>
      <w:r>
        <w:rPr>
          <w:color w:val="231F20"/>
          <w:sz w:val="23"/>
        </w:rPr>
        <w:t>Le</w:t>
      </w:r>
      <w:r>
        <w:rPr>
          <w:color w:val="231F20"/>
          <w:spacing w:val="-24"/>
          <w:sz w:val="23"/>
        </w:rPr>
        <w:t> </w:t>
      </w:r>
      <w:r>
        <w:rPr>
          <w:color w:val="231F20"/>
          <w:sz w:val="23"/>
        </w:rPr>
        <w:t>2.2 billion</w:t>
      </w:r>
      <w:r>
        <w:rPr>
          <w:color w:val="231F20"/>
          <w:spacing w:val="-7"/>
          <w:sz w:val="23"/>
        </w:rPr>
        <w:t> </w:t>
      </w:r>
      <w:r>
        <w:rPr>
          <w:color w:val="231F20"/>
          <w:sz w:val="23"/>
        </w:rPr>
        <w:t>is</w:t>
      </w:r>
      <w:r>
        <w:rPr>
          <w:color w:val="231F20"/>
          <w:spacing w:val="-7"/>
          <w:sz w:val="23"/>
        </w:rPr>
        <w:t> </w:t>
      </w:r>
      <w:r>
        <w:rPr>
          <w:color w:val="231F20"/>
          <w:sz w:val="23"/>
        </w:rPr>
        <w:t>allocated</w:t>
      </w:r>
      <w:r>
        <w:rPr>
          <w:color w:val="231F20"/>
          <w:spacing w:val="-7"/>
          <w:sz w:val="23"/>
        </w:rPr>
        <w:t> </w:t>
      </w:r>
      <w:r>
        <w:rPr>
          <w:color w:val="231F20"/>
          <w:sz w:val="23"/>
        </w:rPr>
        <w:t>for</w:t>
      </w:r>
      <w:r>
        <w:rPr>
          <w:color w:val="231F20"/>
          <w:spacing w:val="-7"/>
          <w:sz w:val="23"/>
        </w:rPr>
        <w:t> </w:t>
      </w:r>
      <w:r>
        <w:rPr>
          <w:color w:val="231F20"/>
          <w:sz w:val="23"/>
        </w:rPr>
        <w:t>devolved</w:t>
      </w:r>
      <w:r>
        <w:rPr>
          <w:color w:val="231F20"/>
          <w:spacing w:val="-7"/>
          <w:sz w:val="23"/>
        </w:rPr>
        <w:t> </w:t>
      </w:r>
      <w:r>
        <w:rPr>
          <w:color w:val="231F20"/>
          <w:sz w:val="23"/>
        </w:rPr>
        <w:t>functions</w:t>
      </w:r>
      <w:r>
        <w:rPr>
          <w:color w:val="231F20"/>
          <w:spacing w:val="-7"/>
          <w:sz w:val="23"/>
        </w:rPr>
        <w:t> </w:t>
      </w:r>
      <w:r>
        <w:rPr>
          <w:color w:val="231F20"/>
          <w:sz w:val="23"/>
        </w:rPr>
        <w:t>relating</w:t>
      </w:r>
      <w:r>
        <w:rPr>
          <w:color w:val="231F20"/>
          <w:spacing w:val="-7"/>
          <w:sz w:val="23"/>
        </w:rPr>
        <w:t> </w:t>
      </w:r>
      <w:r>
        <w:rPr>
          <w:color w:val="231F20"/>
          <w:sz w:val="23"/>
        </w:rPr>
        <w:t>to</w:t>
      </w:r>
      <w:r>
        <w:rPr>
          <w:color w:val="231F20"/>
          <w:spacing w:val="-7"/>
          <w:sz w:val="23"/>
        </w:rPr>
        <w:t> </w:t>
      </w:r>
      <w:r>
        <w:rPr>
          <w:color w:val="231F20"/>
          <w:sz w:val="23"/>
        </w:rPr>
        <w:t>youth</w:t>
      </w:r>
      <w:r>
        <w:rPr>
          <w:color w:val="231F20"/>
          <w:spacing w:val="-7"/>
          <w:sz w:val="23"/>
        </w:rPr>
        <w:t> </w:t>
      </w:r>
      <w:r>
        <w:rPr>
          <w:color w:val="231F20"/>
          <w:sz w:val="23"/>
        </w:rPr>
        <w:t>and</w:t>
      </w:r>
      <w:r>
        <w:rPr>
          <w:color w:val="231F20"/>
          <w:spacing w:val="-7"/>
          <w:sz w:val="23"/>
        </w:rPr>
        <w:t> </w:t>
      </w:r>
      <w:r>
        <w:rPr>
          <w:color w:val="231F20"/>
          <w:sz w:val="23"/>
        </w:rPr>
        <w:t>sports</w:t>
      </w:r>
      <w:r>
        <w:rPr>
          <w:color w:val="231F20"/>
          <w:spacing w:val="-7"/>
          <w:sz w:val="23"/>
        </w:rPr>
        <w:t> </w:t>
      </w:r>
      <w:r>
        <w:rPr>
          <w:color w:val="231F20"/>
          <w:sz w:val="23"/>
        </w:rPr>
        <w:t>services</w:t>
      </w:r>
      <w:r>
        <w:rPr>
          <w:color w:val="231F20"/>
          <w:spacing w:val="-7"/>
          <w:sz w:val="23"/>
        </w:rPr>
        <w:t> </w:t>
      </w:r>
      <w:r>
        <w:rPr>
          <w:color w:val="231F20"/>
          <w:sz w:val="23"/>
        </w:rPr>
        <w:t>at</w:t>
      </w:r>
      <w:r>
        <w:rPr>
          <w:color w:val="231F20"/>
          <w:spacing w:val="-7"/>
          <w:sz w:val="23"/>
        </w:rPr>
        <w:t> </w:t>
      </w:r>
      <w:r>
        <w:rPr>
          <w:color w:val="231F20"/>
          <w:sz w:val="23"/>
        </w:rPr>
        <w:t>the local level. Grants for devolved social welfare services will amount to Le1.5</w:t>
      </w:r>
      <w:r>
        <w:rPr>
          <w:color w:val="231F20"/>
          <w:spacing w:val="10"/>
          <w:sz w:val="23"/>
        </w:rPr>
        <w:t> </w:t>
      </w:r>
      <w:r>
        <w:rPr>
          <w:color w:val="231F20"/>
          <w:sz w:val="23"/>
        </w:rPr>
        <w:t>billion.</w:t>
      </w:r>
    </w:p>
    <w:p>
      <w:pPr>
        <w:pStyle w:val="Heading1"/>
        <w:spacing w:before="227"/>
      </w:pPr>
      <w:r>
        <w:rPr>
          <w:color w:val="231F20"/>
        </w:rPr>
        <w:t>35</w:t>
      </w:r>
    </w:p>
    <w:p>
      <w:pPr>
        <w:spacing w:after="0"/>
        <w:sectPr>
          <w:pgSz w:w="11900" w:h="16840"/>
          <w:pgMar w:top="1160" w:bottom="280" w:left="1140" w:right="1120"/>
        </w:sectPr>
      </w:pPr>
    </w:p>
    <w:p>
      <w:pPr>
        <w:pStyle w:val="ListParagraph"/>
        <w:numPr>
          <w:ilvl w:val="0"/>
          <w:numId w:val="2"/>
        </w:numPr>
        <w:tabs>
          <w:tab w:pos="954" w:val="left" w:leader="none"/>
        </w:tabs>
        <w:spacing w:line="285" w:lineRule="auto" w:before="83" w:after="0"/>
        <w:ind w:left="103" w:right="120" w:firstLine="87"/>
        <w:jc w:val="both"/>
        <w:rPr>
          <w:sz w:val="23"/>
        </w:rPr>
      </w:pPr>
      <w:r>
        <w:rPr>
          <w:color w:val="231F20"/>
          <w:sz w:val="23"/>
        </w:rPr>
        <w:t>From the domestic capital budget, the Ministry of Youth will also receive</w:t>
      </w:r>
      <w:r>
        <w:rPr>
          <w:color w:val="231F20"/>
          <w:spacing w:val="-24"/>
          <w:sz w:val="23"/>
        </w:rPr>
        <w:t> </w:t>
      </w:r>
      <w:r>
        <w:rPr>
          <w:color w:val="231F20"/>
          <w:sz w:val="23"/>
        </w:rPr>
        <w:t>the sum of Le56.4 billion for the implementation of various youth development and empowerment</w:t>
      </w:r>
      <w:r>
        <w:rPr>
          <w:color w:val="231F20"/>
          <w:spacing w:val="-30"/>
          <w:sz w:val="23"/>
        </w:rPr>
        <w:t> </w:t>
      </w:r>
      <w:r>
        <w:rPr>
          <w:color w:val="231F20"/>
          <w:sz w:val="23"/>
        </w:rPr>
        <w:t>programmes.</w:t>
      </w:r>
      <w:r>
        <w:rPr>
          <w:color w:val="231F20"/>
          <w:spacing w:val="-30"/>
          <w:sz w:val="23"/>
        </w:rPr>
        <w:t> </w:t>
      </w:r>
      <w:r>
        <w:rPr>
          <w:color w:val="231F20"/>
          <w:sz w:val="23"/>
        </w:rPr>
        <w:t>These</w:t>
      </w:r>
      <w:r>
        <w:rPr>
          <w:color w:val="231F20"/>
          <w:spacing w:val="-30"/>
          <w:sz w:val="23"/>
        </w:rPr>
        <w:t> </w:t>
      </w:r>
      <w:r>
        <w:rPr>
          <w:color w:val="231F20"/>
          <w:sz w:val="23"/>
        </w:rPr>
        <w:t>include</w:t>
      </w:r>
      <w:r>
        <w:rPr>
          <w:color w:val="231F20"/>
          <w:spacing w:val="-29"/>
          <w:sz w:val="23"/>
        </w:rPr>
        <w:t> </w:t>
      </w:r>
      <w:r>
        <w:rPr>
          <w:color w:val="231F20"/>
          <w:sz w:val="23"/>
        </w:rPr>
        <w:t>Le30.0</w:t>
      </w:r>
      <w:r>
        <w:rPr>
          <w:color w:val="231F20"/>
          <w:spacing w:val="-30"/>
          <w:sz w:val="23"/>
        </w:rPr>
        <w:t> </w:t>
      </w:r>
      <w:r>
        <w:rPr>
          <w:color w:val="231F20"/>
          <w:sz w:val="23"/>
        </w:rPr>
        <w:t>billion</w:t>
      </w:r>
      <w:r>
        <w:rPr>
          <w:color w:val="231F20"/>
          <w:spacing w:val="-30"/>
          <w:sz w:val="23"/>
        </w:rPr>
        <w:t> </w:t>
      </w:r>
      <w:r>
        <w:rPr>
          <w:color w:val="231F20"/>
          <w:sz w:val="23"/>
        </w:rPr>
        <w:t>for</w:t>
      </w:r>
      <w:r>
        <w:rPr>
          <w:color w:val="231F20"/>
          <w:spacing w:val="-29"/>
          <w:sz w:val="23"/>
        </w:rPr>
        <w:t> </w:t>
      </w:r>
      <w:r>
        <w:rPr>
          <w:color w:val="231F20"/>
          <w:sz w:val="23"/>
        </w:rPr>
        <w:t>Youth</w:t>
      </w:r>
      <w:r>
        <w:rPr>
          <w:color w:val="231F20"/>
          <w:spacing w:val="-30"/>
          <w:sz w:val="23"/>
        </w:rPr>
        <w:t> </w:t>
      </w:r>
      <w:r>
        <w:rPr>
          <w:color w:val="231F20"/>
          <w:sz w:val="23"/>
        </w:rPr>
        <w:t>Entrepreneurship; Le21</w:t>
      </w:r>
      <w:r>
        <w:rPr>
          <w:color w:val="231F20"/>
          <w:spacing w:val="-24"/>
          <w:sz w:val="23"/>
        </w:rPr>
        <w:t> </w:t>
      </w:r>
      <w:r>
        <w:rPr>
          <w:color w:val="231F20"/>
          <w:sz w:val="23"/>
        </w:rPr>
        <w:t>billion</w:t>
      </w:r>
      <w:r>
        <w:rPr>
          <w:color w:val="231F20"/>
          <w:spacing w:val="-24"/>
          <w:sz w:val="23"/>
        </w:rPr>
        <w:t> </w:t>
      </w:r>
      <w:r>
        <w:rPr>
          <w:color w:val="231F20"/>
          <w:sz w:val="23"/>
        </w:rPr>
        <w:t>for</w:t>
      </w:r>
      <w:r>
        <w:rPr>
          <w:color w:val="231F20"/>
          <w:spacing w:val="-24"/>
          <w:sz w:val="23"/>
        </w:rPr>
        <w:t> </w:t>
      </w:r>
      <w:r>
        <w:rPr>
          <w:color w:val="231F20"/>
          <w:sz w:val="23"/>
        </w:rPr>
        <w:t>the</w:t>
      </w:r>
      <w:r>
        <w:rPr>
          <w:color w:val="231F20"/>
          <w:spacing w:val="-24"/>
          <w:sz w:val="23"/>
        </w:rPr>
        <w:t> </w:t>
      </w:r>
      <w:r>
        <w:rPr>
          <w:color w:val="231F20"/>
          <w:sz w:val="23"/>
        </w:rPr>
        <w:t>establishment</w:t>
      </w:r>
      <w:r>
        <w:rPr>
          <w:color w:val="231F20"/>
          <w:spacing w:val="-24"/>
          <w:sz w:val="23"/>
        </w:rPr>
        <w:t> </w:t>
      </w:r>
      <w:r>
        <w:rPr>
          <w:color w:val="231F20"/>
          <w:sz w:val="23"/>
        </w:rPr>
        <w:t>of</w:t>
      </w:r>
      <w:r>
        <w:rPr>
          <w:color w:val="231F20"/>
          <w:spacing w:val="-24"/>
          <w:sz w:val="23"/>
        </w:rPr>
        <w:t> </w:t>
      </w:r>
      <w:r>
        <w:rPr>
          <w:color w:val="231F20"/>
          <w:sz w:val="23"/>
        </w:rPr>
        <w:t>Youth</w:t>
      </w:r>
      <w:r>
        <w:rPr>
          <w:color w:val="231F20"/>
          <w:spacing w:val="-25"/>
          <w:sz w:val="23"/>
        </w:rPr>
        <w:t> </w:t>
      </w:r>
      <w:r>
        <w:rPr>
          <w:color w:val="231F20"/>
          <w:sz w:val="23"/>
        </w:rPr>
        <w:t>Farms;</w:t>
      </w:r>
      <w:r>
        <w:rPr>
          <w:color w:val="231F20"/>
          <w:spacing w:val="-25"/>
          <w:sz w:val="23"/>
        </w:rPr>
        <w:t> </w:t>
      </w:r>
      <w:r>
        <w:rPr>
          <w:color w:val="231F20"/>
          <w:sz w:val="23"/>
        </w:rPr>
        <w:t>Le3.4</w:t>
      </w:r>
      <w:r>
        <w:rPr>
          <w:color w:val="231F20"/>
          <w:spacing w:val="-24"/>
          <w:sz w:val="23"/>
        </w:rPr>
        <w:t> </w:t>
      </w:r>
      <w:r>
        <w:rPr>
          <w:color w:val="231F20"/>
          <w:sz w:val="23"/>
        </w:rPr>
        <w:t>billion</w:t>
      </w:r>
      <w:r>
        <w:rPr>
          <w:color w:val="231F20"/>
          <w:spacing w:val="-24"/>
          <w:sz w:val="23"/>
        </w:rPr>
        <w:t> </w:t>
      </w:r>
      <w:r>
        <w:rPr>
          <w:color w:val="231F20"/>
          <w:sz w:val="23"/>
        </w:rPr>
        <w:t>for</w:t>
      </w:r>
      <w:r>
        <w:rPr>
          <w:color w:val="231F20"/>
          <w:spacing w:val="-24"/>
          <w:sz w:val="23"/>
        </w:rPr>
        <w:t> </w:t>
      </w:r>
      <w:r>
        <w:rPr>
          <w:color w:val="231F20"/>
          <w:sz w:val="23"/>
        </w:rPr>
        <w:t>Youth</w:t>
      </w:r>
      <w:r>
        <w:rPr>
          <w:color w:val="231F20"/>
          <w:spacing w:val="-25"/>
          <w:sz w:val="23"/>
        </w:rPr>
        <w:t> </w:t>
      </w:r>
      <w:r>
        <w:rPr>
          <w:color w:val="231F20"/>
          <w:sz w:val="23"/>
        </w:rPr>
        <w:t>in</w:t>
      </w:r>
      <w:r>
        <w:rPr>
          <w:color w:val="231F20"/>
          <w:spacing w:val="-24"/>
          <w:sz w:val="23"/>
        </w:rPr>
        <w:t> </w:t>
      </w:r>
      <w:r>
        <w:rPr>
          <w:color w:val="231F20"/>
          <w:sz w:val="23"/>
        </w:rPr>
        <w:t>Fisheries; Le2.0 billion for the Car Wash Project and Le1.0 for Youth Empowerment Fund and Le400 million for the establishment of the National Apprenticeship</w:t>
      </w:r>
      <w:r>
        <w:rPr>
          <w:color w:val="231F20"/>
          <w:spacing w:val="36"/>
          <w:sz w:val="23"/>
        </w:rPr>
        <w:t> </w:t>
      </w:r>
      <w:r>
        <w:rPr>
          <w:color w:val="231F20"/>
          <w:sz w:val="23"/>
        </w:rPr>
        <w:t>Scheme.</w:t>
      </w:r>
    </w:p>
    <w:p>
      <w:pPr>
        <w:pStyle w:val="BodyText"/>
        <w:spacing w:before="9"/>
        <w:rPr>
          <w:sz w:val="26"/>
        </w:rPr>
      </w:pPr>
    </w:p>
    <w:p>
      <w:pPr>
        <w:pStyle w:val="ListParagraph"/>
        <w:numPr>
          <w:ilvl w:val="0"/>
          <w:numId w:val="2"/>
        </w:numPr>
        <w:tabs>
          <w:tab w:pos="954" w:val="left" w:leader="none"/>
        </w:tabs>
        <w:spacing w:line="283" w:lineRule="auto" w:before="0" w:after="0"/>
        <w:ind w:left="103" w:right="118" w:firstLine="87"/>
        <w:jc w:val="both"/>
        <w:rPr>
          <w:sz w:val="23"/>
        </w:rPr>
      </w:pPr>
      <w:r>
        <w:rPr>
          <w:color w:val="231F20"/>
          <w:sz w:val="23"/>
        </w:rPr>
        <w:t>From</w:t>
      </w:r>
      <w:r>
        <w:rPr>
          <w:color w:val="231F20"/>
          <w:spacing w:val="-25"/>
          <w:sz w:val="23"/>
        </w:rPr>
        <w:t> </w:t>
      </w:r>
      <w:r>
        <w:rPr>
          <w:color w:val="231F20"/>
          <w:sz w:val="23"/>
        </w:rPr>
        <w:t>the</w:t>
      </w:r>
      <w:r>
        <w:rPr>
          <w:color w:val="231F20"/>
          <w:spacing w:val="-25"/>
          <w:sz w:val="23"/>
        </w:rPr>
        <w:t> </w:t>
      </w:r>
      <w:r>
        <w:rPr>
          <w:color w:val="231F20"/>
          <w:sz w:val="23"/>
        </w:rPr>
        <w:t>domestic</w:t>
      </w:r>
      <w:r>
        <w:rPr>
          <w:color w:val="231F20"/>
          <w:spacing w:val="-25"/>
          <w:sz w:val="23"/>
        </w:rPr>
        <w:t> </w:t>
      </w:r>
      <w:r>
        <w:rPr>
          <w:color w:val="231F20"/>
          <w:sz w:val="23"/>
        </w:rPr>
        <w:t>capital</w:t>
      </w:r>
      <w:r>
        <w:rPr>
          <w:color w:val="231F20"/>
          <w:spacing w:val="-25"/>
          <w:sz w:val="23"/>
        </w:rPr>
        <w:t> </w:t>
      </w:r>
      <w:r>
        <w:rPr>
          <w:color w:val="231F20"/>
          <w:sz w:val="23"/>
        </w:rPr>
        <w:t>budget,</w:t>
      </w:r>
      <w:r>
        <w:rPr>
          <w:color w:val="231F20"/>
          <w:spacing w:val="-25"/>
          <w:sz w:val="23"/>
        </w:rPr>
        <w:t> </w:t>
      </w:r>
      <w:r>
        <w:rPr>
          <w:color w:val="231F20"/>
          <w:sz w:val="23"/>
        </w:rPr>
        <w:t>Le14.7</w:t>
      </w:r>
      <w:r>
        <w:rPr>
          <w:color w:val="231F20"/>
          <w:spacing w:val="-25"/>
          <w:sz w:val="23"/>
        </w:rPr>
        <w:t> </w:t>
      </w:r>
      <w:r>
        <w:rPr>
          <w:color w:val="231F20"/>
          <w:sz w:val="23"/>
        </w:rPr>
        <w:t>billion</w:t>
      </w:r>
      <w:r>
        <w:rPr>
          <w:color w:val="231F20"/>
          <w:spacing w:val="-25"/>
          <w:sz w:val="23"/>
        </w:rPr>
        <w:t> </w:t>
      </w:r>
      <w:r>
        <w:rPr>
          <w:color w:val="231F20"/>
          <w:sz w:val="23"/>
        </w:rPr>
        <w:t>is</w:t>
      </w:r>
      <w:r>
        <w:rPr>
          <w:color w:val="231F20"/>
          <w:spacing w:val="-25"/>
          <w:sz w:val="23"/>
        </w:rPr>
        <w:t> </w:t>
      </w:r>
      <w:r>
        <w:rPr>
          <w:color w:val="231F20"/>
          <w:sz w:val="23"/>
        </w:rPr>
        <w:t>allocated</w:t>
      </w:r>
      <w:r>
        <w:rPr>
          <w:color w:val="231F20"/>
          <w:spacing w:val="-25"/>
          <w:sz w:val="23"/>
        </w:rPr>
        <w:t> </w:t>
      </w:r>
      <w:r>
        <w:rPr>
          <w:color w:val="231F20"/>
          <w:sz w:val="23"/>
        </w:rPr>
        <w:t>to</w:t>
      </w:r>
      <w:r>
        <w:rPr>
          <w:color w:val="231F20"/>
          <w:spacing w:val="-25"/>
          <w:sz w:val="23"/>
        </w:rPr>
        <w:t> </w:t>
      </w:r>
      <w:r>
        <w:rPr>
          <w:color w:val="231F20"/>
          <w:sz w:val="23"/>
        </w:rPr>
        <w:t>NaCSA.</w:t>
      </w:r>
      <w:r>
        <w:rPr>
          <w:color w:val="231F20"/>
          <w:spacing w:val="-25"/>
          <w:sz w:val="23"/>
        </w:rPr>
        <w:t> </w:t>
      </w:r>
      <w:r>
        <w:rPr>
          <w:color w:val="231F20"/>
          <w:sz w:val="23"/>
        </w:rPr>
        <w:t>Of</w:t>
      </w:r>
      <w:r>
        <w:rPr>
          <w:color w:val="231F20"/>
          <w:spacing w:val="-25"/>
          <w:sz w:val="23"/>
        </w:rPr>
        <w:t> </w:t>
      </w:r>
      <w:r>
        <w:rPr>
          <w:color w:val="231F20"/>
          <w:sz w:val="23"/>
        </w:rPr>
        <w:t>this amount</w:t>
      </w:r>
      <w:r>
        <w:rPr>
          <w:color w:val="231F20"/>
          <w:spacing w:val="-24"/>
          <w:sz w:val="23"/>
        </w:rPr>
        <w:t> </w:t>
      </w:r>
      <w:r>
        <w:rPr>
          <w:color w:val="231F20"/>
          <w:sz w:val="23"/>
        </w:rPr>
        <w:t>Le</w:t>
      </w:r>
      <w:r>
        <w:rPr>
          <w:color w:val="231F20"/>
          <w:spacing w:val="-24"/>
          <w:sz w:val="23"/>
        </w:rPr>
        <w:t> </w:t>
      </w:r>
      <w:r>
        <w:rPr>
          <w:color w:val="231F20"/>
          <w:sz w:val="23"/>
        </w:rPr>
        <w:t>5.0</w:t>
      </w:r>
      <w:r>
        <w:rPr>
          <w:color w:val="231F20"/>
          <w:spacing w:val="-24"/>
          <w:sz w:val="23"/>
        </w:rPr>
        <w:t> </w:t>
      </w:r>
      <w:r>
        <w:rPr>
          <w:color w:val="231F20"/>
          <w:sz w:val="23"/>
        </w:rPr>
        <w:t>billion</w:t>
      </w:r>
      <w:r>
        <w:rPr>
          <w:color w:val="231F20"/>
          <w:spacing w:val="-24"/>
          <w:sz w:val="23"/>
        </w:rPr>
        <w:t> </w:t>
      </w:r>
      <w:r>
        <w:rPr>
          <w:color w:val="231F20"/>
          <w:sz w:val="23"/>
        </w:rPr>
        <w:t>is</w:t>
      </w:r>
      <w:r>
        <w:rPr>
          <w:color w:val="231F20"/>
          <w:spacing w:val="-24"/>
          <w:sz w:val="23"/>
        </w:rPr>
        <w:t> </w:t>
      </w:r>
      <w:r>
        <w:rPr>
          <w:color w:val="231F20"/>
          <w:sz w:val="23"/>
        </w:rPr>
        <w:t>for</w:t>
      </w:r>
      <w:r>
        <w:rPr>
          <w:color w:val="231F20"/>
          <w:spacing w:val="-24"/>
          <w:sz w:val="23"/>
        </w:rPr>
        <w:t> </w:t>
      </w:r>
      <w:r>
        <w:rPr>
          <w:color w:val="231F20"/>
          <w:sz w:val="23"/>
        </w:rPr>
        <w:t>the</w:t>
      </w:r>
      <w:r>
        <w:rPr>
          <w:color w:val="231F20"/>
          <w:spacing w:val="-24"/>
          <w:sz w:val="23"/>
        </w:rPr>
        <w:t> </w:t>
      </w:r>
      <w:r>
        <w:rPr>
          <w:color w:val="231F20"/>
          <w:sz w:val="23"/>
        </w:rPr>
        <w:t>construction</w:t>
      </w:r>
      <w:r>
        <w:rPr>
          <w:color w:val="231F20"/>
          <w:spacing w:val="-24"/>
          <w:sz w:val="23"/>
        </w:rPr>
        <w:t> </w:t>
      </w:r>
      <w:r>
        <w:rPr>
          <w:color w:val="231F20"/>
          <w:sz w:val="23"/>
        </w:rPr>
        <w:t>and</w:t>
      </w:r>
      <w:r>
        <w:rPr>
          <w:color w:val="231F20"/>
          <w:spacing w:val="-24"/>
          <w:sz w:val="23"/>
        </w:rPr>
        <w:t> </w:t>
      </w:r>
      <w:r>
        <w:rPr>
          <w:color w:val="231F20"/>
          <w:sz w:val="23"/>
        </w:rPr>
        <w:t>rehabilitation</w:t>
      </w:r>
      <w:r>
        <w:rPr>
          <w:color w:val="231F20"/>
          <w:spacing w:val="-24"/>
          <w:sz w:val="23"/>
        </w:rPr>
        <w:t> </w:t>
      </w:r>
      <w:r>
        <w:rPr>
          <w:color w:val="231F20"/>
          <w:sz w:val="23"/>
        </w:rPr>
        <w:t>of</w:t>
      </w:r>
      <w:r>
        <w:rPr>
          <w:color w:val="231F20"/>
          <w:spacing w:val="-24"/>
          <w:sz w:val="23"/>
        </w:rPr>
        <w:t> </w:t>
      </w:r>
      <w:r>
        <w:rPr>
          <w:color w:val="231F20"/>
          <w:sz w:val="23"/>
        </w:rPr>
        <w:t>community</w:t>
      </w:r>
      <w:r>
        <w:rPr>
          <w:color w:val="231F20"/>
          <w:spacing w:val="-24"/>
          <w:sz w:val="23"/>
        </w:rPr>
        <w:t> </w:t>
      </w:r>
      <w:r>
        <w:rPr>
          <w:color w:val="231F20"/>
          <w:sz w:val="23"/>
        </w:rPr>
        <w:t>facilities and</w:t>
      </w:r>
      <w:r>
        <w:rPr>
          <w:color w:val="231F20"/>
          <w:spacing w:val="-11"/>
          <w:sz w:val="23"/>
        </w:rPr>
        <w:t> </w:t>
      </w:r>
      <w:r>
        <w:rPr>
          <w:color w:val="231F20"/>
          <w:sz w:val="23"/>
        </w:rPr>
        <w:t>an</w:t>
      </w:r>
      <w:r>
        <w:rPr>
          <w:color w:val="231F20"/>
          <w:spacing w:val="-11"/>
          <w:sz w:val="23"/>
        </w:rPr>
        <w:t> </w:t>
      </w:r>
      <w:r>
        <w:rPr>
          <w:color w:val="231F20"/>
          <w:sz w:val="23"/>
        </w:rPr>
        <w:t>initial</w:t>
      </w:r>
      <w:r>
        <w:rPr>
          <w:color w:val="231F20"/>
          <w:spacing w:val="-11"/>
          <w:sz w:val="23"/>
        </w:rPr>
        <w:t> </w:t>
      </w:r>
      <w:r>
        <w:rPr>
          <w:color w:val="231F20"/>
          <w:sz w:val="23"/>
        </w:rPr>
        <w:t>amount</w:t>
      </w:r>
      <w:r>
        <w:rPr>
          <w:color w:val="231F20"/>
          <w:spacing w:val="-11"/>
          <w:sz w:val="23"/>
        </w:rPr>
        <w:t> </w:t>
      </w:r>
      <w:r>
        <w:rPr>
          <w:color w:val="231F20"/>
          <w:sz w:val="23"/>
        </w:rPr>
        <w:t>of</w:t>
      </w:r>
      <w:r>
        <w:rPr>
          <w:color w:val="231F20"/>
          <w:spacing w:val="-11"/>
          <w:sz w:val="23"/>
        </w:rPr>
        <w:t> </w:t>
      </w:r>
      <w:r>
        <w:rPr>
          <w:color w:val="231F20"/>
          <w:sz w:val="23"/>
        </w:rPr>
        <w:t>Le5.0</w:t>
      </w:r>
      <w:r>
        <w:rPr>
          <w:color w:val="231F20"/>
          <w:spacing w:val="-11"/>
          <w:sz w:val="23"/>
        </w:rPr>
        <w:t> </w:t>
      </w:r>
      <w:r>
        <w:rPr>
          <w:color w:val="231F20"/>
          <w:sz w:val="23"/>
        </w:rPr>
        <w:t>billion</w:t>
      </w:r>
      <w:r>
        <w:rPr>
          <w:color w:val="231F20"/>
          <w:spacing w:val="-11"/>
          <w:sz w:val="23"/>
        </w:rPr>
        <w:t> </w:t>
      </w:r>
      <w:r>
        <w:rPr>
          <w:color w:val="231F20"/>
          <w:sz w:val="23"/>
        </w:rPr>
        <w:t>for</w:t>
      </w:r>
      <w:r>
        <w:rPr>
          <w:color w:val="231F20"/>
          <w:spacing w:val="-11"/>
          <w:sz w:val="23"/>
        </w:rPr>
        <w:t> </w:t>
      </w:r>
      <w:r>
        <w:rPr>
          <w:color w:val="231F20"/>
          <w:sz w:val="23"/>
        </w:rPr>
        <w:t>Economic</w:t>
      </w:r>
      <w:r>
        <w:rPr>
          <w:color w:val="231F20"/>
          <w:spacing w:val="-11"/>
          <w:sz w:val="23"/>
        </w:rPr>
        <w:t> </w:t>
      </w:r>
      <w:r>
        <w:rPr>
          <w:color w:val="231F20"/>
          <w:sz w:val="23"/>
        </w:rPr>
        <w:t>Empowerment</w:t>
      </w:r>
      <w:r>
        <w:rPr>
          <w:color w:val="231F20"/>
          <w:spacing w:val="-11"/>
          <w:sz w:val="23"/>
        </w:rPr>
        <w:t> </w:t>
      </w:r>
      <w:r>
        <w:rPr>
          <w:color w:val="231F20"/>
          <w:sz w:val="23"/>
        </w:rPr>
        <w:t>for</w:t>
      </w:r>
      <w:r>
        <w:rPr>
          <w:color w:val="231F20"/>
          <w:spacing w:val="-11"/>
          <w:sz w:val="23"/>
        </w:rPr>
        <w:t> </w:t>
      </w:r>
      <w:r>
        <w:rPr>
          <w:color w:val="231F20"/>
          <w:sz w:val="23"/>
        </w:rPr>
        <w:t>Persons</w:t>
      </w:r>
      <w:r>
        <w:rPr>
          <w:color w:val="231F20"/>
          <w:spacing w:val="-11"/>
          <w:sz w:val="23"/>
        </w:rPr>
        <w:t> </w:t>
      </w:r>
      <w:r>
        <w:rPr>
          <w:color w:val="231F20"/>
          <w:sz w:val="23"/>
        </w:rPr>
        <w:t>Living with</w:t>
      </w:r>
      <w:r>
        <w:rPr>
          <w:color w:val="231F20"/>
          <w:spacing w:val="-17"/>
          <w:sz w:val="23"/>
        </w:rPr>
        <w:t> </w:t>
      </w:r>
      <w:r>
        <w:rPr>
          <w:color w:val="231F20"/>
          <w:sz w:val="23"/>
        </w:rPr>
        <w:t>Disability.</w:t>
      </w:r>
      <w:r>
        <w:rPr>
          <w:color w:val="231F20"/>
          <w:spacing w:val="-17"/>
          <w:sz w:val="23"/>
        </w:rPr>
        <w:t> </w:t>
      </w:r>
      <w:r>
        <w:rPr>
          <w:color w:val="231F20"/>
          <w:sz w:val="23"/>
        </w:rPr>
        <w:t>Counterpart</w:t>
      </w:r>
      <w:r>
        <w:rPr>
          <w:color w:val="231F20"/>
          <w:spacing w:val="-17"/>
          <w:sz w:val="23"/>
        </w:rPr>
        <w:t> </w:t>
      </w:r>
      <w:r>
        <w:rPr>
          <w:color w:val="231F20"/>
          <w:sz w:val="23"/>
        </w:rPr>
        <w:t>contributions</w:t>
      </w:r>
      <w:r>
        <w:rPr>
          <w:color w:val="231F20"/>
          <w:spacing w:val="-17"/>
          <w:sz w:val="23"/>
        </w:rPr>
        <w:t> </w:t>
      </w:r>
      <w:r>
        <w:rPr>
          <w:color w:val="231F20"/>
          <w:sz w:val="23"/>
        </w:rPr>
        <w:t>to</w:t>
      </w:r>
      <w:r>
        <w:rPr>
          <w:color w:val="231F20"/>
          <w:spacing w:val="-17"/>
          <w:sz w:val="23"/>
        </w:rPr>
        <w:t> </w:t>
      </w:r>
      <w:r>
        <w:rPr>
          <w:color w:val="231F20"/>
          <w:sz w:val="23"/>
        </w:rPr>
        <w:t>donor-funded</w:t>
      </w:r>
      <w:r>
        <w:rPr>
          <w:color w:val="231F20"/>
          <w:spacing w:val="-17"/>
          <w:sz w:val="23"/>
        </w:rPr>
        <w:t> </w:t>
      </w:r>
      <w:r>
        <w:rPr>
          <w:color w:val="231F20"/>
          <w:sz w:val="23"/>
        </w:rPr>
        <w:t>projects,</w:t>
      </w:r>
      <w:r>
        <w:rPr>
          <w:color w:val="231F20"/>
          <w:spacing w:val="-17"/>
          <w:sz w:val="23"/>
        </w:rPr>
        <w:t> </w:t>
      </w:r>
      <w:r>
        <w:rPr>
          <w:color w:val="231F20"/>
          <w:sz w:val="23"/>
        </w:rPr>
        <w:t>implemented</w:t>
      </w:r>
      <w:r>
        <w:rPr>
          <w:color w:val="231F20"/>
          <w:spacing w:val="-17"/>
          <w:sz w:val="23"/>
        </w:rPr>
        <w:t> </w:t>
      </w:r>
      <w:r>
        <w:rPr>
          <w:color w:val="231F20"/>
          <w:sz w:val="23"/>
        </w:rPr>
        <w:t>by NaCSA, will amount to Le4.7</w:t>
      </w:r>
      <w:r>
        <w:rPr>
          <w:color w:val="231F20"/>
          <w:spacing w:val="-30"/>
          <w:sz w:val="23"/>
        </w:rPr>
        <w:t> </w:t>
      </w:r>
      <w:r>
        <w:rPr>
          <w:color w:val="231F20"/>
          <w:sz w:val="23"/>
        </w:rPr>
        <w:t>billion.</w:t>
      </w:r>
    </w:p>
    <w:p>
      <w:pPr>
        <w:pStyle w:val="BodyText"/>
        <w:spacing w:before="10"/>
        <w:rPr>
          <w:sz w:val="27"/>
        </w:rPr>
      </w:pPr>
    </w:p>
    <w:p>
      <w:pPr>
        <w:pStyle w:val="ListParagraph"/>
        <w:numPr>
          <w:ilvl w:val="0"/>
          <w:numId w:val="2"/>
        </w:numPr>
        <w:tabs>
          <w:tab w:pos="954" w:val="left" w:leader="none"/>
        </w:tabs>
        <w:spacing w:line="283" w:lineRule="auto" w:before="0" w:after="0"/>
        <w:ind w:left="103" w:right="121" w:firstLine="87"/>
        <w:jc w:val="both"/>
        <w:rPr>
          <w:sz w:val="23"/>
        </w:rPr>
      </w:pPr>
      <w:r>
        <w:rPr>
          <w:color w:val="231F20"/>
          <w:sz w:val="23"/>
        </w:rPr>
        <w:t>The</w:t>
      </w:r>
      <w:r>
        <w:rPr>
          <w:color w:val="231F20"/>
          <w:spacing w:val="-35"/>
          <w:sz w:val="23"/>
        </w:rPr>
        <w:t> </w:t>
      </w:r>
      <w:r>
        <w:rPr>
          <w:color w:val="231F20"/>
          <w:sz w:val="23"/>
        </w:rPr>
        <w:t>World</w:t>
      </w:r>
      <w:r>
        <w:rPr>
          <w:color w:val="231F20"/>
          <w:spacing w:val="-35"/>
          <w:sz w:val="23"/>
        </w:rPr>
        <w:t> </w:t>
      </w:r>
      <w:r>
        <w:rPr>
          <w:color w:val="231F20"/>
          <w:sz w:val="23"/>
        </w:rPr>
        <w:t>Bank,</w:t>
      </w:r>
      <w:r>
        <w:rPr>
          <w:color w:val="231F20"/>
          <w:spacing w:val="-35"/>
          <w:sz w:val="23"/>
        </w:rPr>
        <w:t> </w:t>
      </w:r>
      <w:r>
        <w:rPr>
          <w:color w:val="231F20"/>
          <w:sz w:val="23"/>
        </w:rPr>
        <w:t>IDB,</w:t>
      </w:r>
      <w:r>
        <w:rPr>
          <w:color w:val="231F20"/>
          <w:spacing w:val="-35"/>
          <w:sz w:val="23"/>
        </w:rPr>
        <w:t> </w:t>
      </w:r>
      <w:r>
        <w:rPr>
          <w:color w:val="231F20"/>
          <w:sz w:val="23"/>
        </w:rPr>
        <w:t>KFW,</w:t>
      </w:r>
      <w:r>
        <w:rPr>
          <w:color w:val="231F20"/>
          <w:spacing w:val="-35"/>
          <w:sz w:val="23"/>
        </w:rPr>
        <w:t> </w:t>
      </w:r>
      <w:r>
        <w:rPr>
          <w:color w:val="231F20"/>
          <w:sz w:val="23"/>
        </w:rPr>
        <w:t>GIZ</w:t>
      </w:r>
      <w:r>
        <w:rPr>
          <w:color w:val="231F20"/>
          <w:spacing w:val="-35"/>
          <w:sz w:val="23"/>
        </w:rPr>
        <w:t> </w:t>
      </w:r>
      <w:r>
        <w:rPr>
          <w:color w:val="231F20"/>
          <w:sz w:val="23"/>
        </w:rPr>
        <w:t>and</w:t>
      </w:r>
      <w:r>
        <w:rPr>
          <w:color w:val="231F20"/>
          <w:spacing w:val="-35"/>
          <w:sz w:val="23"/>
        </w:rPr>
        <w:t> </w:t>
      </w:r>
      <w:r>
        <w:rPr>
          <w:color w:val="231F20"/>
          <w:sz w:val="23"/>
        </w:rPr>
        <w:t>UNHCR</w:t>
      </w:r>
      <w:r>
        <w:rPr>
          <w:color w:val="231F20"/>
          <w:spacing w:val="-35"/>
          <w:sz w:val="23"/>
        </w:rPr>
        <w:t> </w:t>
      </w:r>
      <w:r>
        <w:rPr>
          <w:color w:val="231F20"/>
          <w:sz w:val="23"/>
        </w:rPr>
        <w:t>will</w:t>
      </w:r>
      <w:r>
        <w:rPr>
          <w:color w:val="231F20"/>
          <w:spacing w:val="-35"/>
          <w:sz w:val="23"/>
        </w:rPr>
        <w:t> </w:t>
      </w:r>
      <w:r>
        <w:rPr>
          <w:color w:val="231F20"/>
          <w:sz w:val="23"/>
        </w:rPr>
        <w:t>disburse</w:t>
      </w:r>
      <w:r>
        <w:rPr>
          <w:color w:val="231F20"/>
          <w:spacing w:val="-35"/>
          <w:sz w:val="23"/>
        </w:rPr>
        <w:t> </w:t>
      </w:r>
      <w:r>
        <w:rPr>
          <w:color w:val="231F20"/>
          <w:sz w:val="23"/>
        </w:rPr>
        <w:t>Le89.9</w:t>
      </w:r>
      <w:r>
        <w:rPr>
          <w:color w:val="231F20"/>
          <w:spacing w:val="-35"/>
          <w:sz w:val="23"/>
        </w:rPr>
        <w:t> </w:t>
      </w:r>
      <w:r>
        <w:rPr>
          <w:color w:val="231F20"/>
          <w:sz w:val="23"/>
        </w:rPr>
        <w:t>billion</w:t>
      </w:r>
      <w:r>
        <w:rPr>
          <w:color w:val="231F20"/>
          <w:spacing w:val="-35"/>
          <w:sz w:val="23"/>
        </w:rPr>
        <w:t> </w:t>
      </w:r>
      <w:r>
        <w:rPr>
          <w:color w:val="231F20"/>
          <w:sz w:val="23"/>
        </w:rPr>
        <w:t>for</w:t>
      </w:r>
      <w:r>
        <w:rPr>
          <w:color w:val="231F20"/>
          <w:spacing w:val="-35"/>
          <w:sz w:val="23"/>
        </w:rPr>
        <w:t> </w:t>
      </w:r>
      <w:r>
        <w:rPr>
          <w:color w:val="231F20"/>
          <w:sz w:val="23"/>
        </w:rPr>
        <w:t>the implementation</w:t>
      </w:r>
      <w:r>
        <w:rPr>
          <w:color w:val="231F20"/>
          <w:spacing w:val="-9"/>
          <w:sz w:val="23"/>
        </w:rPr>
        <w:t> </w:t>
      </w:r>
      <w:r>
        <w:rPr>
          <w:color w:val="231F20"/>
          <w:sz w:val="23"/>
        </w:rPr>
        <w:t>of</w:t>
      </w:r>
      <w:r>
        <w:rPr>
          <w:color w:val="231F20"/>
          <w:spacing w:val="-9"/>
          <w:sz w:val="23"/>
        </w:rPr>
        <w:t> </w:t>
      </w:r>
      <w:r>
        <w:rPr>
          <w:color w:val="231F20"/>
          <w:sz w:val="23"/>
        </w:rPr>
        <w:t>various</w:t>
      </w:r>
      <w:r>
        <w:rPr>
          <w:color w:val="231F20"/>
          <w:spacing w:val="-9"/>
          <w:sz w:val="23"/>
        </w:rPr>
        <w:t> </w:t>
      </w:r>
      <w:r>
        <w:rPr>
          <w:color w:val="231F20"/>
          <w:sz w:val="23"/>
        </w:rPr>
        <w:t>social</w:t>
      </w:r>
      <w:r>
        <w:rPr>
          <w:color w:val="231F20"/>
          <w:spacing w:val="-9"/>
          <w:sz w:val="23"/>
        </w:rPr>
        <w:t> </w:t>
      </w:r>
      <w:r>
        <w:rPr>
          <w:color w:val="231F20"/>
          <w:sz w:val="23"/>
        </w:rPr>
        <w:t>protection</w:t>
      </w:r>
      <w:r>
        <w:rPr>
          <w:color w:val="231F20"/>
          <w:spacing w:val="-9"/>
          <w:sz w:val="23"/>
        </w:rPr>
        <w:t> </w:t>
      </w:r>
      <w:r>
        <w:rPr>
          <w:color w:val="231F20"/>
          <w:sz w:val="23"/>
        </w:rPr>
        <w:t>programmes</w:t>
      </w:r>
      <w:r>
        <w:rPr>
          <w:color w:val="231F20"/>
          <w:spacing w:val="-9"/>
          <w:sz w:val="23"/>
        </w:rPr>
        <w:t> </w:t>
      </w:r>
      <w:r>
        <w:rPr>
          <w:color w:val="231F20"/>
          <w:sz w:val="23"/>
        </w:rPr>
        <w:t>implemented</w:t>
      </w:r>
      <w:r>
        <w:rPr>
          <w:color w:val="231F20"/>
          <w:spacing w:val="-9"/>
          <w:sz w:val="23"/>
        </w:rPr>
        <w:t> </w:t>
      </w:r>
      <w:r>
        <w:rPr>
          <w:color w:val="231F20"/>
          <w:sz w:val="23"/>
        </w:rPr>
        <w:t>by</w:t>
      </w:r>
      <w:r>
        <w:rPr>
          <w:color w:val="231F20"/>
          <w:spacing w:val="-9"/>
          <w:sz w:val="23"/>
        </w:rPr>
        <w:t> </w:t>
      </w:r>
      <w:r>
        <w:rPr>
          <w:color w:val="231F20"/>
          <w:sz w:val="23"/>
        </w:rPr>
        <w:t>NaCSA.</w:t>
      </w:r>
    </w:p>
    <w:p>
      <w:pPr>
        <w:pStyle w:val="Heading2"/>
        <w:spacing w:line="638" w:lineRule="exact" w:before="29"/>
        <w:ind w:left="953" w:right="4090"/>
      </w:pPr>
      <w:r>
        <w:rPr>
          <w:color w:val="231F20"/>
        </w:rPr>
        <w:t>Cluster</w:t>
      </w:r>
      <w:r>
        <w:rPr>
          <w:color w:val="231F20"/>
          <w:spacing w:val="-30"/>
        </w:rPr>
        <w:t> </w:t>
      </w:r>
      <w:r>
        <w:rPr>
          <w:color w:val="231F20"/>
        </w:rPr>
        <w:t>Two:</w:t>
      </w:r>
      <w:r>
        <w:rPr>
          <w:color w:val="231F20"/>
          <w:spacing w:val="-30"/>
        </w:rPr>
        <w:t> </w:t>
      </w:r>
      <w:r>
        <w:rPr>
          <w:color w:val="231F20"/>
        </w:rPr>
        <w:t>Diversifying</w:t>
      </w:r>
      <w:r>
        <w:rPr>
          <w:color w:val="231F20"/>
          <w:spacing w:val="-30"/>
        </w:rPr>
        <w:t> </w:t>
      </w:r>
      <w:r>
        <w:rPr>
          <w:color w:val="231F20"/>
        </w:rPr>
        <w:t>the</w:t>
      </w:r>
      <w:r>
        <w:rPr>
          <w:color w:val="231F20"/>
          <w:spacing w:val="-30"/>
        </w:rPr>
        <w:t> </w:t>
      </w:r>
      <w:r>
        <w:rPr>
          <w:color w:val="231F20"/>
        </w:rPr>
        <w:t>Economy Agriculture</w:t>
      </w:r>
    </w:p>
    <w:p>
      <w:pPr>
        <w:pStyle w:val="ListParagraph"/>
        <w:numPr>
          <w:ilvl w:val="0"/>
          <w:numId w:val="2"/>
        </w:numPr>
        <w:tabs>
          <w:tab w:pos="954" w:val="left" w:leader="none"/>
        </w:tabs>
        <w:spacing w:line="248" w:lineRule="exact" w:before="0" w:after="0"/>
        <w:ind w:left="953" w:right="0" w:hanging="763"/>
        <w:jc w:val="both"/>
        <w:rPr>
          <w:sz w:val="23"/>
        </w:rPr>
      </w:pPr>
      <w:r>
        <w:rPr>
          <w:color w:val="231F20"/>
          <w:sz w:val="23"/>
        </w:rPr>
        <w:t>Mr.</w:t>
      </w:r>
      <w:r>
        <w:rPr>
          <w:color w:val="231F20"/>
          <w:spacing w:val="20"/>
          <w:sz w:val="23"/>
        </w:rPr>
        <w:t> </w:t>
      </w:r>
      <w:r>
        <w:rPr>
          <w:color w:val="231F20"/>
          <w:sz w:val="23"/>
        </w:rPr>
        <w:t>Speaker,</w:t>
      </w:r>
      <w:r>
        <w:rPr>
          <w:color w:val="231F20"/>
          <w:spacing w:val="20"/>
          <w:sz w:val="23"/>
        </w:rPr>
        <w:t> </w:t>
      </w:r>
      <w:r>
        <w:rPr>
          <w:color w:val="231F20"/>
          <w:sz w:val="23"/>
        </w:rPr>
        <w:t>Hon.</w:t>
      </w:r>
      <w:r>
        <w:rPr>
          <w:color w:val="231F20"/>
          <w:spacing w:val="20"/>
          <w:sz w:val="23"/>
        </w:rPr>
        <w:t> </w:t>
      </w:r>
      <w:r>
        <w:rPr>
          <w:color w:val="231F20"/>
          <w:sz w:val="23"/>
        </w:rPr>
        <w:t>Member,</w:t>
      </w:r>
      <w:r>
        <w:rPr>
          <w:color w:val="231F20"/>
          <w:spacing w:val="20"/>
          <w:sz w:val="23"/>
        </w:rPr>
        <w:t> </w:t>
      </w:r>
      <w:r>
        <w:rPr>
          <w:color w:val="231F20"/>
          <w:sz w:val="23"/>
        </w:rPr>
        <w:t>to</w:t>
      </w:r>
      <w:r>
        <w:rPr>
          <w:color w:val="231F20"/>
          <w:spacing w:val="20"/>
          <w:sz w:val="23"/>
        </w:rPr>
        <w:t> </w:t>
      </w:r>
      <w:r>
        <w:rPr>
          <w:color w:val="231F20"/>
          <w:sz w:val="23"/>
        </w:rPr>
        <w:t>support</w:t>
      </w:r>
      <w:r>
        <w:rPr>
          <w:color w:val="231F20"/>
          <w:spacing w:val="20"/>
          <w:sz w:val="23"/>
        </w:rPr>
        <w:t> </w:t>
      </w:r>
      <w:r>
        <w:rPr>
          <w:color w:val="231F20"/>
          <w:sz w:val="23"/>
        </w:rPr>
        <w:t>the</w:t>
      </w:r>
      <w:r>
        <w:rPr>
          <w:color w:val="231F20"/>
          <w:spacing w:val="20"/>
          <w:sz w:val="23"/>
        </w:rPr>
        <w:t> </w:t>
      </w:r>
      <w:r>
        <w:rPr>
          <w:color w:val="231F20"/>
          <w:sz w:val="23"/>
        </w:rPr>
        <w:t>implementation</w:t>
      </w:r>
      <w:r>
        <w:rPr>
          <w:color w:val="231F20"/>
          <w:spacing w:val="20"/>
          <w:sz w:val="23"/>
        </w:rPr>
        <w:t> </w:t>
      </w:r>
      <w:r>
        <w:rPr>
          <w:color w:val="231F20"/>
          <w:sz w:val="23"/>
        </w:rPr>
        <w:t>of</w:t>
      </w:r>
      <w:r>
        <w:rPr>
          <w:color w:val="231F20"/>
          <w:spacing w:val="20"/>
          <w:sz w:val="23"/>
        </w:rPr>
        <w:t> </w:t>
      </w:r>
      <w:r>
        <w:rPr>
          <w:color w:val="231F20"/>
          <w:sz w:val="23"/>
        </w:rPr>
        <w:t>the</w:t>
      </w:r>
      <w:r>
        <w:rPr>
          <w:color w:val="231F20"/>
          <w:spacing w:val="20"/>
          <w:sz w:val="23"/>
        </w:rPr>
        <w:t> </w:t>
      </w:r>
      <w:r>
        <w:rPr>
          <w:color w:val="231F20"/>
          <w:sz w:val="23"/>
        </w:rPr>
        <w:t>National</w:t>
      </w:r>
    </w:p>
    <w:p>
      <w:pPr>
        <w:pStyle w:val="BodyText"/>
        <w:spacing w:line="288" w:lineRule="auto" w:before="49"/>
        <w:ind w:left="103" w:right="120"/>
        <w:jc w:val="both"/>
      </w:pPr>
      <w:r>
        <w:rPr>
          <w:color w:val="231F20"/>
        </w:rPr>
        <w:t>Agricultural</w:t>
      </w:r>
      <w:r>
        <w:rPr>
          <w:color w:val="231F20"/>
          <w:spacing w:val="-14"/>
        </w:rPr>
        <w:t> </w:t>
      </w:r>
      <w:r>
        <w:rPr>
          <w:color w:val="231F20"/>
        </w:rPr>
        <w:t>Transformation</w:t>
      </w:r>
      <w:r>
        <w:rPr>
          <w:color w:val="231F20"/>
          <w:spacing w:val="-13"/>
        </w:rPr>
        <w:t> </w:t>
      </w:r>
      <w:r>
        <w:rPr>
          <w:color w:val="231F20"/>
        </w:rPr>
        <w:t>programme,</w:t>
      </w:r>
      <w:r>
        <w:rPr>
          <w:color w:val="231F20"/>
          <w:spacing w:val="-13"/>
        </w:rPr>
        <w:t> </w:t>
      </w:r>
      <w:r>
        <w:rPr>
          <w:color w:val="231F20"/>
        </w:rPr>
        <w:t>Government</w:t>
      </w:r>
      <w:r>
        <w:rPr>
          <w:color w:val="231F20"/>
          <w:spacing w:val="-14"/>
        </w:rPr>
        <w:t> </w:t>
      </w:r>
      <w:r>
        <w:rPr>
          <w:color w:val="231F20"/>
        </w:rPr>
        <w:t>is</w:t>
      </w:r>
      <w:r>
        <w:rPr>
          <w:color w:val="231F20"/>
          <w:spacing w:val="-13"/>
        </w:rPr>
        <w:t> </w:t>
      </w:r>
      <w:r>
        <w:rPr>
          <w:color w:val="231F20"/>
        </w:rPr>
        <w:t>allocating</w:t>
      </w:r>
      <w:r>
        <w:rPr>
          <w:color w:val="231F20"/>
          <w:spacing w:val="-13"/>
        </w:rPr>
        <w:t> </w:t>
      </w:r>
      <w:r>
        <w:rPr>
          <w:color w:val="231F20"/>
        </w:rPr>
        <w:t>Le348.8</w:t>
      </w:r>
      <w:r>
        <w:rPr>
          <w:color w:val="231F20"/>
          <w:spacing w:val="-14"/>
        </w:rPr>
        <w:t> </w:t>
      </w:r>
      <w:r>
        <w:rPr>
          <w:color w:val="231F20"/>
        </w:rPr>
        <w:t>billion</w:t>
      </w:r>
      <w:r>
        <w:rPr>
          <w:color w:val="231F20"/>
          <w:spacing w:val="-13"/>
        </w:rPr>
        <w:t> </w:t>
      </w:r>
      <w:r>
        <w:rPr>
          <w:color w:val="231F20"/>
        </w:rPr>
        <w:t>to the agriculture sector, accounting for 6 percent of the total primary expenditure. Of this,</w:t>
      </w:r>
      <w:r>
        <w:rPr>
          <w:color w:val="231F20"/>
          <w:spacing w:val="-38"/>
        </w:rPr>
        <w:t> </w:t>
      </w:r>
      <w:r>
        <w:rPr>
          <w:color w:val="231F20"/>
        </w:rPr>
        <w:t>Le38.9</w:t>
      </w:r>
      <w:r>
        <w:rPr>
          <w:color w:val="231F20"/>
          <w:spacing w:val="-38"/>
        </w:rPr>
        <w:t> </w:t>
      </w:r>
      <w:r>
        <w:rPr>
          <w:color w:val="231F20"/>
        </w:rPr>
        <w:t>billion</w:t>
      </w:r>
      <w:r>
        <w:rPr>
          <w:color w:val="231F20"/>
          <w:spacing w:val="-38"/>
        </w:rPr>
        <w:t> </w:t>
      </w:r>
      <w:r>
        <w:rPr>
          <w:color w:val="231F20"/>
        </w:rPr>
        <w:t>is</w:t>
      </w:r>
      <w:r>
        <w:rPr>
          <w:color w:val="231F20"/>
          <w:spacing w:val="-37"/>
        </w:rPr>
        <w:t> </w:t>
      </w:r>
      <w:r>
        <w:rPr>
          <w:color w:val="231F20"/>
        </w:rPr>
        <w:t>from</w:t>
      </w:r>
      <w:r>
        <w:rPr>
          <w:color w:val="231F20"/>
          <w:spacing w:val="-38"/>
        </w:rPr>
        <w:t> </w:t>
      </w:r>
      <w:r>
        <w:rPr>
          <w:color w:val="231F20"/>
        </w:rPr>
        <w:t>the</w:t>
      </w:r>
      <w:r>
        <w:rPr>
          <w:color w:val="231F20"/>
          <w:spacing w:val="-38"/>
        </w:rPr>
        <w:t> </w:t>
      </w:r>
      <w:r>
        <w:rPr>
          <w:color w:val="231F20"/>
        </w:rPr>
        <w:t>recurrent</w:t>
      </w:r>
      <w:r>
        <w:rPr>
          <w:color w:val="231F20"/>
          <w:spacing w:val="-38"/>
        </w:rPr>
        <w:t> </w:t>
      </w:r>
      <w:r>
        <w:rPr>
          <w:color w:val="231F20"/>
        </w:rPr>
        <w:t>budget</w:t>
      </w:r>
      <w:r>
        <w:rPr>
          <w:color w:val="231F20"/>
          <w:spacing w:val="-37"/>
        </w:rPr>
        <w:t> </w:t>
      </w:r>
      <w:r>
        <w:rPr>
          <w:color w:val="231F20"/>
        </w:rPr>
        <w:t>to</w:t>
      </w:r>
      <w:r>
        <w:rPr>
          <w:color w:val="231F20"/>
          <w:spacing w:val="-38"/>
        </w:rPr>
        <w:t> </w:t>
      </w:r>
      <w:r>
        <w:rPr>
          <w:color w:val="231F20"/>
        </w:rPr>
        <w:t>support</w:t>
      </w:r>
      <w:r>
        <w:rPr>
          <w:color w:val="231F20"/>
          <w:spacing w:val="-38"/>
        </w:rPr>
        <w:t> </w:t>
      </w:r>
      <w:r>
        <w:rPr>
          <w:color w:val="231F20"/>
        </w:rPr>
        <w:t>the</w:t>
      </w:r>
      <w:r>
        <w:rPr>
          <w:color w:val="231F20"/>
          <w:spacing w:val="-2"/>
        </w:rPr>
        <w:t> </w:t>
      </w:r>
      <w:r>
        <w:rPr>
          <w:color w:val="231F20"/>
        </w:rPr>
        <w:t>rehabilitation</w:t>
      </w:r>
      <w:r>
        <w:rPr>
          <w:color w:val="231F20"/>
          <w:spacing w:val="-38"/>
        </w:rPr>
        <w:t> </w:t>
      </w:r>
      <w:r>
        <w:rPr>
          <w:color w:val="231F20"/>
        </w:rPr>
        <w:t>of</w:t>
      </w:r>
      <w:r>
        <w:rPr>
          <w:color w:val="231F20"/>
          <w:spacing w:val="-38"/>
        </w:rPr>
        <w:t> </w:t>
      </w:r>
      <w:r>
        <w:rPr>
          <w:color w:val="231F20"/>
        </w:rPr>
        <w:t>existing plantations, rehabilitation of Inland Valley Swamps, procurement of livestock and animal vaccines, fertilizers and seedlings, as well as support the Fertizer</w:t>
      </w:r>
      <w:r>
        <w:rPr>
          <w:color w:val="231F20"/>
          <w:spacing w:val="-32"/>
        </w:rPr>
        <w:t> </w:t>
      </w:r>
      <w:r>
        <w:rPr>
          <w:color w:val="231F20"/>
        </w:rPr>
        <w:t>Regulatory Agency and the Seed Certification</w:t>
      </w:r>
      <w:r>
        <w:rPr>
          <w:color w:val="231F20"/>
          <w:spacing w:val="60"/>
        </w:rPr>
        <w:t> </w:t>
      </w:r>
      <w:r>
        <w:rPr>
          <w:color w:val="231F20"/>
        </w:rPr>
        <w:t>Agency.</w:t>
      </w:r>
    </w:p>
    <w:p>
      <w:pPr>
        <w:pStyle w:val="BodyText"/>
        <w:spacing w:before="10"/>
        <w:rPr>
          <w:sz w:val="29"/>
        </w:rPr>
      </w:pPr>
    </w:p>
    <w:p>
      <w:pPr>
        <w:pStyle w:val="ListParagraph"/>
        <w:numPr>
          <w:ilvl w:val="0"/>
          <w:numId w:val="2"/>
        </w:numPr>
        <w:tabs>
          <w:tab w:pos="954" w:val="left" w:leader="none"/>
        </w:tabs>
        <w:spacing w:line="302" w:lineRule="auto" w:before="0" w:after="0"/>
        <w:ind w:left="103" w:right="122" w:firstLine="87"/>
        <w:jc w:val="both"/>
        <w:rPr>
          <w:sz w:val="23"/>
        </w:rPr>
      </w:pPr>
      <w:r>
        <w:rPr>
          <w:color w:val="231F20"/>
          <w:sz w:val="23"/>
        </w:rPr>
        <w:t>Transfers for devolved functions in the agriculture and fisheries sectors will amount to Le8.3</w:t>
      </w:r>
      <w:r>
        <w:rPr>
          <w:color w:val="231F20"/>
          <w:spacing w:val="-33"/>
          <w:sz w:val="23"/>
        </w:rPr>
        <w:t> </w:t>
      </w:r>
      <w:r>
        <w:rPr>
          <w:color w:val="231F20"/>
          <w:sz w:val="23"/>
        </w:rPr>
        <w:t>billion.</w:t>
      </w:r>
    </w:p>
    <w:p>
      <w:pPr>
        <w:pStyle w:val="BodyText"/>
        <w:spacing w:before="9"/>
        <w:rPr>
          <w:sz w:val="27"/>
        </w:rPr>
      </w:pPr>
    </w:p>
    <w:p>
      <w:pPr>
        <w:pStyle w:val="ListParagraph"/>
        <w:numPr>
          <w:ilvl w:val="0"/>
          <w:numId w:val="2"/>
        </w:numPr>
        <w:tabs>
          <w:tab w:pos="954" w:val="left" w:leader="none"/>
        </w:tabs>
        <w:spacing w:line="285" w:lineRule="auto" w:before="0" w:after="0"/>
        <w:ind w:left="103" w:right="121" w:firstLine="87"/>
        <w:jc w:val="both"/>
        <w:rPr>
          <w:sz w:val="23"/>
        </w:rPr>
      </w:pPr>
      <w:r>
        <w:rPr>
          <w:color w:val="231F20"/>
          <w:sz w:val="23"/>
        </w:rPr>
        <w:t>Mr.</w:t>
      </w:r>
      <w:r>
        <w:rPr>
          <w:color w:val="231F20"/>
          <w:spacing w:val="-11"/>
          <w:sz w:val="23"/>
        </w:rPr>
        <w:t> </w:t>
      </w:r>
      <w:r>
        <w:rPr>
          <w:color w:val="231F20"/>
          <w:sz w:val="23"/>
        </w:rPr>
        <w:t>Speaker,</w:t>
      </w:r>
      <w:r>
        <w:rPr>
          <w:color w:val="231F20"/>
          <w:spacing w:val="-11"/>
          <w:sz w:val="23"/>
        </w:rPr>
        <w:t> </w:t>
      </w:r>
      <w:r>
        <w:rPr>
          <w:color w:val="231F20"/>
          <w:sz w:val="23"/>
        </w:rPr>
        <w:t>Honourable</w:t>
      </w:r>
      <w:r>
        <w:rPr>
          <w:color w:val="231F20"/>
          <w:spacing w:val="-11"/>
          <w:sz w:val="23"/>
        </w:rPr>
        <w:t> </w:t>
      </w:r>
      <w:r>
        <w:rPr>
          <w:color w:val="231F20"/>
          <w:sz w:val="23"/>
        </w:rPr>
        <w:t>Members,</w:t>
      </w:r>
      <w:r>
        <w:rPr>
          <w:color w:val="231F20"/>
          <w:spacing w:val="-11"/>
          <w:sz w:val="23"/>
        </w:rPr>
        <w:t> </w:t>
      </w:r>
      <w:r>
        <w:rPr>
          <w:color w:val="231F20"/>
          <w:sz w:val="23"/>
        </w:rPr>
        <w:t>Government</w:t>
      </w:r>
      <w:r>
        <w:rPr>
          <w:color w:val="231F20"/>
          <w:spacing w:val="-11"/>
          <w:sz w:val="23"/>
        </w:rPr>
        <w:t> </w:t>
      </w:r>
      <w:r>
        <w:rPr>
          <w:color w:val="231F20"/>
          <w:sz w:val="23"/>
        </w:rPr>
        <w:t>is</w:t>
      </w:r>
      <w:r>
        <w:rPr>
          <w:color w:val="231F20"/>
          <w:spacing w:val="-11"/>
          <w:sz w:val="23"/>
        </w:rPr>
        <w:t> </w:t>
      </w:r>
      <w:r>
        <w:rPr>
          <w:color w:val="231F20"/>
          <w:sz w:val="23"/>
        </w:rPr>
        <w:t>allocating</w:t>
      </w:r>
      <w:r>
        <w:rPr>
          <w:color w:val="231F20"/>
          <w:spacing w:val="-11"/>
          <w:sz w:val="23"/>
        </w:rPr>
        <w:t> </w:t>
      </w:r>
      <w:r>
        <w:rPr>
          <w:color w:val="231F20"/>
          <w:sz w:val="23"/>
        </w:rPr>
        <w:t>Le109.4</w:t>
      </w:r>
      <w:r>
        <w:rPr>
          <w:color w:val="231F20"/>
          <w:spacing w:val="-11"/>
          <w:sz w:val="23"/>
        </w:rPr>
        <w:t> </w:t>
      </w:r>
      <w:r>
        <w:rPr>
          <w:color w:val="231F20"/>
          <w:sz w:val="23"/>
        </w:rPr>
        <w:t>billion from the domestic capital budget to the Ministry of Agriculture and Forestry. Of</w:t>
      </w:r>
      <w:r>
        <w:rPr>
          <w:color w:val="231F20"/>
          <w:spacing w:val="-52"/>
          <w:sz w:val="23"/>
        </w:rPr>
        <w:t> </w:t>
      </w:r>
      <w:r>
        <w:rPr>
          <w:color w:val="231F20"/>
          <w:sz w:val="23"/>
        </w:rPr>
        <w:t>this amount Le61.6 billion is allocated for the establishment of the Chiefdom Youth and Military</w:t>
      </w:r>
      <w:r>
        <w:rPr>
          <w:color w:val="231F20"/>
          <w:spacing w:val="-25"/>
          <w:sz w:val="23"/>
        </w:rPr>
        <w:t> </w:t>
      </w:r>
      <w:r>
        <w:rPr>
          <w:color w:val="231F20"/>
          <w:sz w:val="23"/>
        </w:rPr>
        <w:t>Farms</w:t>
      </w:r>
      <w:r>
        <w:rPr>
          <w:color w:val="231F20"/>
          <w:spacing w:val="-25"/>
          <w:sz w:val="23"/>
        </w:rPr>
        <w:t> </w:t>
      </w:r>
      <w:r>
        <w:rPr>
          <w:color w:val="231F20"/>
          <w:sz w:val="23"/>
        </w:rPr>
        <w:t>and</w:t>
      </w:r>
      <w:r>
        <w:rPr>
          <w:color w:val="231F20"/>
          <w:spacing w:val="-25"/>
          <w:sz w:val="23"/>
        </w:rPr>
        <w:t> </w:t>
      </w:r>
      <w:r>
        <w:rPr>
          <w:color w:val="231F20"/>
          <w:sz w:val="23"/>
        </w:rPr>
        <w:t>Le10.0</w:t>
      </w:r>
      <w:r>
        <w:rPr>
          <w:color w:val="231F20"/>
          <w:spacing w:val="-25"/>
          <w:sz w:val="23"/>
        </w:rPr>
        <w:t> </w:t>
      </w:r>
      <w:r>
        <w:rPr>
          <w:color w:val="231F20"/>
          <w:sz w:val="23"/>
        </w:rPr>
        <w:t>billion</w:t>
      </w:r>
      <w:r>
        <w:rPr>
          <w:color w:val="231F20"/>
          <w:spacing w:val="-25"/>
          <w:sz w:val="23"/>
        </w:rPr>
        <w:t> </w:t>
      </w:r>
      <w:r>
        <w:rPr>
          <w:color w:val="231F20"/>
          <w:sz w:val="23"/>
        </w:rPr>
        <w:t>to</w:t>
      </w:r>
      <w:r>
        <w:rPr>
          <w:color w:val="231F20"/>
          <w:spacing w:val="-25"/>
          <w:sz w:val="23"/>
        </w:rPr>
        <w:t> </w:t>
      </w:r>
      <w:r>
        <w:rPr>
          <w:color w:val="231F20"/>
          <w:sz w:val="23"/>
        </w:rPr>
        <w:t>support</w:t>
      </w:r>
      <w:r>
        <w:rPr>
          <w:color w:val="231F20"/>
          <w:spacing w:val="-25"/>
          <w:sz w:val="23"/>
        </w:rPr>
        <w:t> </w:t>
      </w:r>
      <w:r>
        <w:rPr>
          <w:color w:val="231F20"/>
          <w:sz w:val="23"/>
        </w:rPr>
        <w:t>the</w:t>
      </w:r>
      <w:r>
        <w:rPr>
          <w:color w:val="231F20"/>
          <w:spacing w:val="-25"/>
          <w:sz w:val="23"/>
        </w:rPr>
        <w:t> </w:t>
      </w:r>
      <w:r>
        <w:rPr>
          <w:color w:val="231F20"/>
          <w:sz w:val="23"/>
        </w:rPr>
        <w:t>National</w:t>
      </w:r>
      <w:r>
        <w:rPr>
          <w:color w:val="231F20"/>
          <w:spacing w:val="-25"/>
          <w:sz w:val="23"/>
        </w:rPr>
        <w:t> </w:t>
      </w:r>
      <w:r>
        <w:rPr>
          <w:color w:val="231F20"/>
          <w:sz w:val="23"/>
        </w:rPr>
        <w:t>Reafforestation</w:t>
      </w:r>
      <w:r>
        <w:rPr>
          <w:color w:val="231F20"/>
          <w:spacing w:val="-25"/>
          <w:sz w:val="23"/>
        </w:rPr>
        <w:t> </w:t>
      </w:r>
      <w:r>
        <w:rPr>
          <w:color w:val="231F20"/>
          <w:sz w:val="23"/>
        </w:rPr>
        <w:t>programme. Also,</w:t>
      </w:r>
      <w:r>
        <w:rPr>
          <w:color w:val="231F20"/>
          <w:spacing w:val="-32"/>
          <w:sz w:val="23"/>
        </w:rPr>
        <w:t> </w:t>
      </w:r>
      <w:r>
        <w:rPr>
          <w:color w:val="231F20"/>
          <w:sz w:val="23"/>
        </w:rPr>
        <w:t>Le2.0</w:t>
      </w:r>
      <w:r>
        <w:rPr>
          <w:color w:val="231F20"/>
          <w:spacing w:val="-32"/>
          <w:sz w:val="23"/>
        </w:rPr>
        <w:t> </w:t>
      </w:r>
      <w:r>
        <w:rPr>
          <w:color w:val="231F20"/>
          <w:sz w:val="23"/>
        </w:rPr>
        <w:t>billion</w:t>
      </w:r>
      <w:r>
        <w:rPr>
          <w:color w:val="231F20"/>
          <w:spacing w:val="-32"/>
          <w:sz w:val="23"/>
        </w:rPr>
        <w:t> </w:t>
      </w:r>
      <w:r>
        <w:rPr>
          <w:color w:val="231F20"/>
          <w:sz w:val="23"/>
        </w:rPr>
        <w:t>is</w:t>
      </w:r>
      <w:r>
        <w:rPr>
          <w:color w:val="231F20"/>
          <w:spacing w:val="-32"/>
          <w:sz w:val="23"/>
        </w:rPr>
        <w:t> </w:t>
      </w:r>
      <w:r>
        <w:rPr>
          <w:color w:val="231F20"/>
          <w:sz w:val="23"/>
        </w:rPr>
        <w:t>provided</w:t>
      </w:r>
      <w:r>
        <w:rPr>
          <w:color w:val="231F20"/>
          <w:spacing w:val="-32"/>
          <w:sz w:val="23"/>
        </w:rPr>
        <w:t> </w:t>
      </w:r>
      <w:r>
        <w:rPr>
          <w:color w:val="231F20"/>
          <w:sz w:val="23"/>
        </w:rPr>
        <w:t>for</w:t>
      </w:r>
      <w:r>
        <w:rPr>
          <w:color w:val="231F20"/>
          <w:spacing w:val="-32"/>
          <w:sz w:val="23"/>
        </w:rPr>
        <w:t> </w:t>
      </w:r>
      <w:r>
        <w:rPr>
          <w:color w:val="231F20"/>
          <w:sz w:val="23"/>
        </w:rPr>
        <w:t>the</w:t>
      </w:r>
      <w:r>
        <w:rPr>
          <w:color w:val="231F20"/>
          <w:spacing w:val="-32"/>
          <w:sz w:val="23"/>
        </w:rPr>
        <w:t> </w:t>
      </w:r>
      <w:r>
        <w:rPr>
          <w:color w:val="231F20"/>
          <w:sz w:val="23"/>
        </w:rPr>
        <w:t>rehabilitation</w:t>
      </w:r>
      <w:r>
        <w:rPr>
          <w:color w:val="231F20"/>
          <w:spacing w:val="-32"/>
          <w:sz w:val="23"/>
        </w:rPr>
        <w:t> </w:t>
      </w:r>
      <w:r>
        <w:rPr>
          <w:color w:val="231F20"/>
          <w:sz w:val="23"/>
        </w:rPr>
        <w:t>of</w:t>
      </w:r>
      <w:r>
        <w:rPr>
          <w:color w:val="231F20"/>
          <w:spacing w:val="-32"/>
          <w:sz w:val="23"/>
        </w:rPr>
        <w:t> </w:t>
      </w:r>
      <w:r>
        <w:rPr>
          <w:color w:val="231F20"/>
          <w:sz w:val="23"/>
        </w:rPr>
        <w:t>the</w:t>
      </w:r>
      <w:r>
        <w:rPr>
          <w:color w:val="231F20"/>
          <w:spacing w:val="-32"/>
          <w:sz w:val="23"/>
        </w:rPr>
        <w:t> </w:t>
      </w:r>
      <w:r>
        <w:rPr>
          <w:color w:val="231F20"/>
          <w:sz w:val="23"/>
        </w:rPr>
        <w:t>Musaia</w:t>
      </w:r>
      <w:r>
        <w:rPr>
          <w:color w:val="231F20"/>
          <w:spacing w:val="-32"/>
          <w:sz w:val="23"/>
        </w:rPr>
        <w:t> </w:t>
      </w:r>
      <w:r>
        <w:rPr>
          <w:color w:val="231F20"/>
          <w:sz w:val="23"/>
        </w:rPr>
        <w:t>Livestock</w:t>
      </w:r>
      <w:r>
        <w:rPr>
          <w:color w:val="231F20"/>
          <w:spacing w:val="-32"/>
          <w:sz w:val="23"/>
        </w:rPr>
        <w:t> </w:t>
      </w:r>
      <w:r>
        <w:rPr>
          <w:color w:val="231F20"/>
          <w:sz w:val="23"/>
        </w:rPr>
        <w:t>Station.</w:t>
      </w:r>
      <w:r>
        <w:rPr>
          <w:color w:val="231F20"/>
          <w:spacing w:val="10"/>
          <w:sz w:val="23"/>
        </w:rPr>
        <w:t> </w:t>
      </w:r>
      <w:r>
        <w:rPr>
          <w:color w:val="231F20"/>
          <w:sz w:val="23"/>
        </w:rPr>
        <w:t>An amount</w:t>
      </w:r>
      <w:r>
        <w:rPr>
          <w:color w:val="231F20"/>
          <w:spacing w:val="-50"/>
          <w:sz w:val="23"/>
        </w:rPr>
        <w:t> </w:t>
      </w:r>
      <w:r>
        <w:rPr>
          <w:color w:val="231F20"/>
          <w:sz w:val="23"/>
        </w:rPr>
        <w:t>of</w:t>
      </w:r>
      <w:r>
        <w:rPr>
          <w:color w:val="231F20"/>
          <w:spacing w:val="-50"/>
          <w:sz w:val="23"/>
        </w:rPr>
        <w:t> </w:t>
      </w:r>
      <w:r>
        <w:rPr>
          <w:color w:val="231F20"/>
          <w:sz w:val="23"/>
        </w:rPr>
        <w:t>Le500</w:t>
      </w:r>
      <w:r>
        <w:rPr>
          <w:color w:val="231F20"/>
          <w:spacing w:val="-50"/>
          <w:sz w:val="23"/>
        </w:rPr>
        <w:t> </w:t>
      </w:r>
      <w:r>
        <w:rPr>
          <w:color w:val="231F20"/>
          <w:sz w:val="23"/>
        </w:rPr>
        <w:t>million</w:t>
      </w:r>
      <w:r>
        <w:rPr>
          <w:color w:val="231F20"/>
          <w:spacing w:val="-50"/>
          <w:sz w:val="23"/>
        </w:rPr>
        <w:t> </w:t>
      </w:r>
      <w:r>
        <w:rPr>
          <w:color w:val="231F20"/>
          <w:sz w:val="23"/>
        </w:rPr>
        <w:t>is</w:t>
      </w:r>
      <w:r>
        <w:rPr>
          <w:color w:val="231F20"/>
          <w:spacing w:val="-49"/>
          <w:sz w:val="23"/>
        </w:rPr>
        <w:t> </w:t>
      </w:r>
      <w:r>
        <w:rPr>
          <w:color w:val="231F20"/>
          <w:sz w:val="23"/>
        </w:rPr>
        <w:t>allocated</w:t>
      </w:r>
      <w:r>
        <w:rPr>
          <w:color w:val="231F20"/>
          <w:spacing w:val="-50"/>
          <w:sz w:val="23"/>
        </w:rPr>
        <w:t> </w:t>
      </w:r>
      <w:r>
        <w:rPr>
          <w:color w:val="231F20"/>
          <w:sz w:val="23"/>
        </w:rPr>
        <w:t>to</w:t>
      </w:r>
      <w:r>
        <w:rPr>
          <w:color w:val="231F20"/>
          <w:spacing w:val="-49"/>
          <w:sz w:val="23"/>
        </w:rPr>
        <w:t> </w:t>
      </w:r>
      <w:r>
        <w:rPr>
          <w:color w:val="231F20"/>
          <w:sz w:val="23"/>
        </w:rPr>
        <w:t>finance</w:t>
      </w:r>
      <w:r>
        <w:rPr>
          <w:color w:val="231F20"/>
          <w:spacing w:val="-50"/>
          <w:sz w:val="23"/>
        </w:rPr>
        <w:t> </w:t>
      </w:r>
      <w:r>
        <w:rPr>
          <w:color w:val="231F20"/>
          <w:sz w:val="23"/>
        </w:rPr>
        <w:t>the</w:t>
      </w:r>
      <w:r>
        <w:rPr>
          <w:color w:val="231F20"/>
          <w:spacing w:val="-49"/>
          <w:sz w:val="23"/>
        </w:rPr>
        <w:t> </w:t>
      </w:r>
      <w:r>
        <w:rPr>
          <w:color w:val="231F20"/>
          <w:sz w:val="23"/>
        </w:rPr>
        <w:t>feasibility</w:t>
      </w:r>
      <w:r>
        <w:rPr>
          <w:color w:val="231F20"/>
          <w:spacing w:val="-49"/>
          <w:sz w:val="23"/>
        </w:rPr>
        <w:t> </w:t>
      </w:r>
      <w:r>
        <w:rPr>
          <w:color w:val="231F20"/>
          <w:sz w:val="23"/>
        </w:rPr>
        <w:t>study</w:t>
      </w:r>
      <w:r>
        <w:rPr>
          <w:color w:val="231F20"/>
          <w:spacing w:val="-50"/>
          <w:sz w:val="23"/>
        </w:rPr>
        <w:t> </w:t>
      </w:r>
      <w:r>
        <w:rPr>
          <w:color w:val="231F20"/>
          <w:sz w:val="23"/>
        </w:rPr>
        <w:t>for</w:t>
      </w:r>
      <w:r>
        <w:rPr>
          <w:color w:val="231F20"/>
          <w:spacing w:val="-49"/>
          <w:sz w:val="23"/>
        </w:rPr>
        <w:t> </w:t>
      </w:r>
      <w:r>
        <w:rPr>
          <w:color w:val="231F20"/>
          <w:sz w:val="23"/>
        </w:rPr>
        <w:t>the</w:t>
      </w:r>
      <w:r>
        <w:rPr>
          <w:color w:val="231F20"/>
          <w:spacing w:val="-50"/>
          <w:sz w:val="23"/>
        </w:rPr>
        <w:t> </w:t>
      </w:r>
      <w:r>
        <w:rPr>
          <w:color w:val="231F20"/>
          <w:sz w:val="23"/>
        </w:rPr>
        <w:t>establishment of District Farm Service</w:t>
      </w:r>
      <w:r>
        <w:rPr>
          <w:color w:val="231F20"/>
          <w:spacing w:val="69"/>
          <w:sz w:val="23"/>
        </w:rPr>
        <w:t> </w:t>
      </w:r>
      <w:r>
        <w:rPr>
          <w:color w:val="231F20"/>
          <w:sz w:val="23"/>
        </w:rPr>
        <w:t>Centres.</w:t>
      </w:r>
    </w:p>
    <w:p>
      <w:pPr>
        <w:pStyle w:val="BodyText"/>
        <w:spacing w:before="6"/>
        <w:rPr>
          <w:sz w:val="26"/>
        </w:rPr>
      </w:pPr>
    </w:p>
    <w:p>
      <w:pPr>
        <w:pStyle w:val="ListParagraph"/>
        <w:numPr>
          <w:ilvl w:val="0"/>
          <w:numId w:val="2"/>
        </w:numPr>
        <w:tabs>
          <w:tab w:pos="954" w:val="left" w:leader="none"/>
        </w:tabs>
        <w:spacing w:line="283" w:lineRule="auto" w:before="0" w:after="0"/>
        <w:ind w:left="103" w:right="122" w:firstLine="87"/>
        <w:jc w:val="both"/>
        <w:rPr>
          <w:sz w:val="23"/>
        </w:rPr>
      </w:pPr>
      <w:r>
        <w:rPr>
          <w:color w:val="231F20"/>
          <w:sz w:val="23"/>
        </w:rPr>
        <w:t>The World Bank, IFAD, AfDB, IDB and DFID will also disburse the sum of Le190.9 billion for the implementation of various projects in the agriculture</w:t>
      </w:r>
      <w:r>
        <w:rPr>
          <w:color w:val="231F20"/>
          <w:spacing w:val="30"/>
          <w:sz w:val="23"/>
        </w:rPr>
        <w:t> </w:t>
      </w:r>
      <w:r>
        <w:rPr>
          <w:color w:val="231F20"/>
          <w:sz w:val="23"/>
        </w:rPr>
        <w:t>sector.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pPr>
    </w:p>
    <w:p>
      <w:pPr>
        <w:pStyle w:val="Heading1"/>
      </w:pPr>
      <w:r>
        <w:rPr>
          <w:color w:val="231F20"/>
        </w:rPr>
        <w:t>36</w:t>
      </w:r>
    </w:p>
    <w:p>
      <w:pPr>
        <w:spacing w:after="0"/>
        <w:sectPr>
          <w:pgSz w:w="11900" w:h="16840"/>
          <w:pgMar w:top="1160" w:bottom="280" w:left="1140" w:right="1120"/>
        </w:sectPr>
      </w:pPr>
    </w:p>
    <w:p>
      <w:pPr>
        <w:pStyle w:val="Heading2"/>
        <w:spacing w:before="83"/>
        <w:jc w:val="both"/>
      </w:pPr>
      <w:r>
        <w:rPr>
          <w:color w:val="231F20"/>
        </w:rPr>
        <w:t>Fisheries</w:t>
      </w:r>
    </w:p>
    <w:p>
      <w:pPr>
        <w:pStyle w:val="ListParagraph"/>
        <w:numPr>
          <w:ilvl w:val="0"/>
          <w:numId w:val="2"/>
        </w:numPr>
        <w:tabs>
          <w:tab w:pos="954" w:val="left" w:leader="none"/>
        </w:tabs>
        <w:spacing w:line="283" w:lineRule="auto" w:before="52" w:after="0"/>
        <w:ind w:left="103" w:right="120" w:firstLine="87"/>
        <w:jc w:val="both"/>
        <w:rPr>
          <w:sz w:val="23"/>
        </w:rPr>
      </w:pPr>
      <w:r>
        <w:rPr>
          <w:color w:val="231F20"/>
          <w:sz w:val="23"/>
        </w:rPr>
        <w:t>As part of Government’s efforts to improve the productivity of the fisheries sector,</w:t>
      </w:r>
      <w:r>
        <w:rPr>
          <w:color w:val="231F20"/>
          <w:spacing w:val="-24"/>
          <w:sz w:val="23"/>
        </w:rPr>
        <w:t> </w:t>
      </w:r>
      <w:r>
        <w:rPr>
          <w:color w:val="231F20"/>
          <w:sz w:val="23"/>
        </w:rPr>
        <w:t>the</w:t>
      </w:r>
      <w:r>
        <w:rPr>
          <w:color w:val="231F20"/>
          <w:spacing w:val="-23"/>
          <w:sz w:val="23"/>
        </w:rPr>
        <w:t> </w:t>
      </w:r>
      <w:r>
        <w:rPr>
          <w:color w:val="231F20"/>
          <w:sz w:val="23"/>
        </w:rPr>
        <w:t>Ministry</w:t>
      </w:r>
      <w:r>
        <w:rPr>
          <w:color w:val="231F20"/>
          <w:spacing w:val="-23"/>
          <w:sz w:val="23"/>
        </w:rPr>
        <w:t> </w:t>
      </w:r>
      <w:r>
        <w:rPr>
          <w:color w:val="231F20"/>
          <w:sz w:val="23"/>
        </w:rPr>
        <w:t>of</w:t>
      </w:r>
      <w:r>
        <w:rPr>
          <w:color w:val="231F20"/>
          <w:spacing w:val="-24"/>
          <w:sz w:val="23"/>
        </w:rPr>
        <w:t> </w:t>
      </w:r>
      <w:r>
        <w:rPr>
          <w:color w:val="231F20"/>
          <w:sz w:val="23"/>
        </w:rPr>
        <w:t>Fisheries</w:t>
      </w:r>
      <w:r>
        <w:rPr>
          <w:color w:val="231F20"/>
          <w:spacing w:val="-24"/>
          <w:sz w:val="23"/>
        </w:rPr>
        <w:t> </w:t>
      </w:r>
      <w:r>
        <w:rPr>
          <w:color w:val="231F20"/>
          <w:sz w:val="23"/>
        </w:rPr>
        <w:t>and</w:t>
      </w:r>
      <w:r>
        <w:rPr>
          <w:color w:val="231F20"/>
          <w:spacing w:val="-24"/>
          <w:sz w:val="23"/>
        </w:rPr>
        <w:t> </w:t>
      </w:r>
      <w:r>
        <w:rPr>
          <w:color w:val="231F20"/>
          <w:sz w:val="23"/>
        </w:rPr>
        <w:t>Marine</w:t>
      </w:r>
      <w:r>
        <w:rPr>
          <w:color w:val="231F20"/>
          <w:spacing w:val="-23"/>
          <w:sz w:val="23"/>
        </w:rPr>
        <w:t> </w:t>
      </w:r>
      <w:r>
        <w:rPr>
          <w:color w:val="231F20"/>
          <w:sz w:val="23"/>
        </w:rPr>
        <w:t>Resources</w:t>
      </w:r>
      <w:r>
        <w:rPr>
          <w:color w:val="231F20"/>
          <w:spacing w:val="-24"/>
          <w:sz w:val="23"/>
        </w:rPr>
        <w:t> </w:t>
      </w:r>
      <w:r>
        <w:rPr>
          <w:color w:val="231F20"/>
          <w:sz w:val="23"/>
        </w:rPr>
        <w:t>is</w:t>
      </w:r>
      <w:r>
        <w:rPr>
          <w:color w:val="231F20"/>
          <w:spacing w:val="-23"/>
          <w:sz w:val="23"/>
        </w:rPr>
        <w:t> </w:t>
      </w:r>
      <w:r>
        <w:rPr>
          <w:color w:val="231F20"/>
          <w:sz w:val="23"/>
        </w:rPr>
        <w:t>allocated</w:t>
      </w:r>
      <w:r>
        <w:rPr>
          <w:color w:val="231F20"/>
          <w:spacing w:val="-24"/>
          <w:sz w:val="23"/>
        </w:rPr>
        <w:t> </w:t>
      </w:r>
      <w:r>
        <w:rPr>
          <w:color w:val="231F20"/>
          <w:sz w:val="23"/>
        </w:rPr>
        <w:t>Le12.6</w:t>
      </w:r>
      <w:r>
        <w:rPr>
          <w:color w:val="231F20"/>
          <w:spacing w:val="-24"/>
          <w:sz w:val="23"/>
        </w:rPr>
        <w:t> </w:t>
      </w:r>
      <w:r>
        <w:rPr>
          <w:color w:val="231F20"/>
          <w:sz w:val="23"/>
        </w:rPr>
        <w:t>billion</w:t>
      </w:r>
      <w:r>
        <w:rPr>
          <w:color w:val="231F20"/>
          <w:spacing w:val="-24"/>
          <w:sz w:val="23"/>
        </w:rPr>
        <w:t> </w:t>
      </w:r>
      <w:r>
        <w:rPr>
          <w:color w:val="231F20"/>
          <w:sz w:val="23"/>
        </w:rPr>
        <w:t>from the recurrent budget. Of this amount, Le7.6 billion is for the procurement and distribution</w:t>
      </w:r>
      <w:r>
        <w:rPr>
          <w:color w:val="231F20"/>
          <w:spacing w:val="-14"/>
          <w:sz w:val="23"/>
        </w:rPr>
        <w:t> </w:t>
      </w:r>
      <w:r>
        <w:rPr>
          <w:color w:val="231F20"/>
          <w:sz w:val="23"/>
        </w:rPr>
        <w:t>of</w:t>
      </w:r>
      <w:r>
        <w:rPr>
          <w:color w:val="231F20"/>
          <w:spacing w:val="-14"/>
          <w:sz w:val="23"/>
        </w:rPr>
        <w:t> </w:t>
      </w:r>
      <w:r>
        <w:rPr>
          <w:color w:val="231F20"/>
          <w:sz w:val="23"/>
        </w:rPr>
        <w:t>appropriate</w:t>
      </w:r>
      <w:r>
        <w:rPr>
          <w:color w:val="231F20"/>
          <w:spacing w:val="-14"/>
          <w:sz w:val="23"/>
        </w:rPr>
        <w:t> </w:t>
      </w:r>
      <w:r>
        <w:rPr>
          <w:color w:val="231F20"/>
          <w:sz w:val="23"/>
        </w:rPr>
        <w:t>fishing</w:t>
      </w:r>
      <w:r>
        <w:rPr>
          <w:color w:val="231F20"/>
          <w:spacing w:val="-14"/>
          <w:sz w:val="23"/>
        </w:rPr>
        <w:t> </w:t>
      </w:r>
      <w:r>
        <w:rPr>
          <w:color w:val="231F20"/>
          <w:sz w:val="23"/>
        </w:rPr>
        <w:t>gear</w:t>
      </w:r>
      <w:r>
        <w:rPr>
          <w:color w:val="231F20"/>
          <w:spacing w:val="-14"/>
          <w:sz w:val="23"/>
        </w:rPr>
        <w:t> </w:t>
      </w:r>
      <w:r>
        <w:rPr>
          <w:color w:val="231F20"/>
          <w:sz w:val="23"/>
        </w:rPr>
        <w:t>and</w:t>
      </w:r>
      <w:r>
        <w:rPr>
          <w:color w:val="231F20"/>
          <w:spacing w:val="-14"/>
          <w:sz w:val="23"/>
        </w:rPr>
        <w:t> </w:t>
      </w:r>
      <w:r>
        <w:rPr>
          <w:color w:val="231F20"/>
          <w:sz w:val="23"/>
        </w:rPr>
        <w:t>training</w:t>
      </w:r>
      <w:r>
        <w:rPr>
          <w:color w:val="231F20"/>
          <w:spacing w:val="-14"/>
          <w:sz w:val="23"/>
        </w:rPr>
        <w:t> </w:t>
      </w:r>
      <w:r>
        <w:rPr>
          <w:color w:val="231F20"/>
          <w:sz w:val="23"/>
        </w:rPr>
        <w:t>on</w:t>
      </w:r>
      <w:r>
        <w:rPr>
          <w:color w:val="231F20"/>
          <w:spacing w:val="-14"/>
          <w:sz w:val="23"/>
        </w:rPr>
        <w:t> </w:t>
      </w:r>
      <w:r>
        <w:rPr>
          <w:color w:val="231F20"/>
          <w:sz w:val="23"/>
        </w:rPr>
        <w:t>sustainable</w:t>
      </w:r>
      <w:r>
        <w:rPr>
          <w:color w:val="231F20"/>
          <w:spacing w:val="-14"/>
          <w:sz w:val="23"/>
        </w:rPr>
        <w:t> </w:t>
      </w:r>
      <w:r>
        <w:rPr>
          <w:color w:val="231F20"/>
          <w:sz w:val="23"/>
        </w:rPr>
        <w:t>fishing</w:t>
      </w:r>
      <w:r>
        <w:rPr>
          <w:color w:val="231F20"/>
          <w:spacing w:val="-14"/>
          <w:sz w:val="23"/>
        </w:rPr>
        <w:t> </w:t>
      </w:r>
      <w:r>
        <w:rPr>
          <w:color w:val="231F20"/>
          <w:sz w:val="23"/>
        </w:rPr>
        <w:t>practices. An</w:t>
      </w:r>
      <w:r>
        <w:rPr>
          <w:color w:val="231F20"/>
          <w:spacing w:val="-9"/>
          <w:sz w:val="23"/>
        </w:rPr>
        <w:t> </w:t>
      </w:r>
      <w:r>
        <w:rPr>
          <w:color w:val="231F20"/>
          <w:sz w:val="23"/>
        </w:rPr>
        <w:t>amount</w:t>
      </w:r>
      <w:r>
        <w:rPr>
          <w:color w:val="231F20"/>
          <w:spacing w:val="-9"/>
          <w:sz w:val="23"/>
        </w:rPr>
        <w:t> </w:t>
      </w:r>
      <w:r>
        <w:rPr>
          <w:color w:val="231F20"/>
          <w:sz w:val="23"/>
        </w:rPr>
        <w:t>of</w:t>
      </w:r>
      <w:r>
        <w:rPr>
          <w:color w:val="231F20"/>
          <w:spacing w:val="-9"/>
          <w:sz w:val="23"/>
        </w:rPr>
        <w:t> </w:t>
      </w:r>
      <w:r>
        <w:rPr>
          <w:color w:val="231F20"/>
          <w:sz w:val="23"/>
        </w:rPr>
        <w:t>Le3.1</w:t>
      </w:r>
      <w:r>
        <w:rPr>
          <w:color w:val="231F20"/>
          <w:spacing w:val="-9"/>
          <w:sz w:val="23"/>
        </w:rPr>
        <w:t> </w:t>
      </w:r>
      <w:r>
        <w:rPr>
          <w:color w:val="231F20"/>
          <w:sz w:val="23"/>
        </w:rPr>
        <w:t>billion</w:t>
      </w:r>
      <w:r>
        <w:rPr>
          <w:color w:val="231F20"/>
          <w:spacing w:val="-9"/>
          <w:sz w:val="23"/>
        </w:rPr>
        <w:t> </w:t>
      </w:r>
      <w:r>
        <w:rPr>
          <w:color w:val="231F20"/>
          <w:sz w:val="23"/>
        </w:rPr>
        <w:t>is</w:t>
      </w:r>
      <w:r>
        <w:rPr>
          <w:color w:val="231F20"/>
          <w:spacing w:val="-9"/>
          <w:sz w:val="23"/>
        </w:rPr>
        <w:t> </w:t>
      </w:r>
      <w:r>
        <w:rPr>
          <w:color w:val="231F20"/>
          <w:sz w:val="23"/>
        </w:rPr>
        <w:t>allocated</w:t>
      </w:r>
      <w:r>
        <w:rPr>
          <w:color w:val="231F20"/>
          <w:spacing w:val="-9"/>
          <w:sz w:val="23"/>
        </w:rPr>
        <w:t> </w:t>
      </w:r>
      <w:r>
        <w:rPr>
          <w:color w:val="231F20"/>
          <w:sz w:val="23"/>
        </w:rPr>
        <w:t>to</w:t>
      </w:r>
      <w:r>
        <w:rPr>
          <w:color w:val="231F20"/>
          <w:spacing w:val="-9"/>
          <w:sz w:val="23"/>
        </w:rPr>
        <w:t> </w:t>
      </w:r>
      <w:r>
        <w:rPr>
          <w:color w:val="231F20"/>
          <w:sz w:val="23"/>
        </w:rPr>
        <w:t>establish</w:t>
      </w:r>
      <w:r>
        <w:rPr>
          <w:color w:val="231F20"/>
          <w:spacing w:val="-9"/>
          <w:sz w:val="23"/>
        </w:rPr>
        <w:t> </w:t>
      </w:r>
      <w:r>
        <w:rPr>
          <w:color w:val="231F20"/>
          <w:sz w:val="23"/>
        </w:rPr>
        <w:t>and</w:t>
      </w:r>
      <w:r>
        <w:rPr>
          <w:color w:val="231F20"/>
          <w:spacing w:val="-9"/>
          <w:sz w:val="23"/>
        </w:rPr>
        <w:t> </w:t>
      </w:r>
      <w:r>
        <w:rPr>
          <w:color w:val="231F20"/>
          <w:sz w:val="23"/>
        </w:rPr>
        <w:t>operationalise</w:t>
      </w:r>
      <w:r>
        <w:rPr>
          <w:color w:val="231F20"/>
          <w:spacing w:val="-9"/>
          <w:sz w:val="23"/>
        </w:rPr>
        <w:t> </w:t>
      </w:r>
      <w:r>
        <w:rPr>
          <w:color w:val="231F20"/>
          <w:sz w:val="23"/>
        </w:rPr>
        <w:t>a</w:t>
      </w:r>
      <w:r>
        <w:rPr>
          <w:color w:val="231F20"/>
          <w:spacing w:val="-9"/>
          <w:sz w:val="23"/>
        </w:rPr>
        <w:t> </w:t>
      </w:r>
      <w:r>
        <w:rPr>
          <w:color w:val="231F20"/>
          <w:sz w:val="23"/>
        </w:rPr>
        <w:t>Fish</w:t>
      </w:r>
      <w:r>
        <w:rPr>
          <w:color w:val="231F20"/>
          <w:spacing w:val="-9"/>
          <w:sz w:val="23"/>
        </w:rPr>
        <w:t> </w:t>
      </w:r>
      <w:r>
        <w:rPr>
          <w:color w:val="231F20"/>
          <w:sz w:val="23"/>
        </w:rPr>
        <w:t>Testing </w:t>
      </w:r>
      <w:r>
        <w:rPr>
          <w:color w:val="231F20"/>
          <w:spacing w:val="-4"/>
          <w:sz w:val="23"/>
        </w:rPr>
        <w:t>Laboratory.</w:t>
      </w:r>
    </w:p>
    <w:p>
      <w:pPr>
        <w:pStyle w:val="BodyText"/>
        <w:spacing w:before="10"/>
        <w:rPr>
          <w:sz w:val="27"/>
        </w:rPr>
      </w:pPr>
    </w:p>
    <w:p>
      <w:pPr>
        <w:pStyle w:val="ListParagraph"/>
        <w:numPr>
          <w:ilvl w:val="0"/>
          <w:numId w:val="2"/>
        </w:numPr>
        <w:tabs>
          <w:tab w:pos="954" w:val="left" w:leader="none"/>
        </w:tabs>
        <w:spacing w:line="285" w:lineRule="auto" w:before="0" w:after="0"/>
        <w:ind w:left="103" w:right="118" w:firstLine="87"/>
        <w:jc w:val="both"/>
        <w:rPr>
          <w:sz w:val="23"/>
        </w:rPr>
      </w:pPr>
      <w:r>
        <w:rPr>
          <w:color w:val="231F20"/>
          <w:sz w:val="23"/>
        </w:rPr>
        <w:t>Government is also allocating Le7.5 billion from the domestic capital budget to support the fish stock assessment, rehabilitation and construction of fisheries infrastructure, support to women in fisheries, monitoring and surveillance and improving</w:t>
      </w:r>
      <w:r>
        <w:rPr>
          <w:color w:val="231F20"/>
          <w:spacing w:val="-8"/>
          <w:sz w:val="23"/>
        </w:rPr>
        <w:t> </w:t>
      </w:r>
      <w:r>
        <w:rPr>
          <w:color w:val="231F20"/>
          <w:sz w:val="23"/>
        </w:rPr>
        <w:t>quality</w:t>
      </w:r>
      <w:r>
        <w:rPr>
          <w:color w:val="231F20"/>
          <w:spacing w:val="-8"/>
          <w:sz w:val="23"/>
        </w:rPr>
        <w:t> </w:t>
      </w:r>
      <w:r>
        <w:rPr>
          <w:color w:val="231F20"/>
          <w:sz w:val="23"/>
        </w:rPr>
        <w:t>and</w:t>
      </w:r>
      <w:r>
        <w:rPr>
          <w:color w:val="231F20"/>
          <w:spacing w:val="-8"/>
          <w:sz w:val="23"/>
        </w:rPr>
        <w:t> </w:t>
      </w:r>
      <w:r>
        <w:rPr>
          <w:color w:val="231F20"/>
          <w:sz w:val="23"/>
        </w:rPr>
        <w:t>safety</w:t>
      </w:r>
      <w:r>
        <w:rPr>
          <w:color w:val="231F20"/>
          <w:spacing w:val="-8"/>
          <w:sz w:val="23"/>
        </w:rPr>
        <w:t> </w:t>
      </w:r>
      <w:r>
        <w:rPr>
          <w:color w:val="231F20"/>
          <w:sz w:val="23"/>
        </w:rPr>
        <w:t>standards</w:t>
      </w:r>
      <w:r>
        <w:rPr>
          <w:color w:val="231F20"/>
          <w:spacing w:val="-8"/>
          <w:sz w:val="23"/>
        </w:rPr>
        <w:t> </w:t>
      </w:r>
      <w:r>
        <w:rPr>
          <w:color w:val="231F20"/>
          <w:sz w:val="23"/>
        </w:rPr>
        <w:t>for</w:t>
      </w:r>
      <w:r>
        <w:rPr>
          <w:color w:val="231F20"/>
          <w:spacing w:val="-8"/>
          <w:sz w:val="23"/>
        </w:rPr>
        <w:t> </w:t>
      </w:r>
      <w:r>
        <w:rPr>
          <w:color w:val="231F20"/>
          <w:sz w:val="23"/>
        </w:rPr>
        <w:t>fish</w:t>
      </w:r>
      <w:r>
        <w:rPr>
          <w:color w:val="231F20"/>
          <w:spacing w:val="-8"/>
          <w:sz w:val="23"/>
        </w:rPr>
        <w:t> </w:t>
      </w:r>
      <w:r>
        <w:rPr>
          <w:color w:val="231F20"/>
          <w:sz w:val="23"/>
        </w:rPr>
        <w:t>exports.</w:t>
      </w:r>
    </w:p>
    <w:p>
      <w:pPr>
        <w:pStyle w:val="BodyText"/>
        <w:spacing w:before="11"/>
        <w:rPr>
          <w:sz w:val="26"/>
        </w:rPr>
      </w:pPr>
    </w:p>
    <w:p>
      <w:pPr>
        <w:pStyle w:val="Heading2"/>
        <w:ind w:left="953"/>
      </w:pPr>
      <w:r>
        <w:rPr>
          <w:color w:val="231F20"/>
        </w:rPr>
        <w:t>Tourism</w:t>
      </w:r>
    </w:p>
    <w:p>
      <w:pPr>
        <w:pStyle w:val="ListParagraph"/>
        <w:numPr>
          <w:ilvl w:val="0"/>
          <w:numId w:val="2"/>
        </w:numPr>
        <w:tabs>
          <w:tab w:pos="954" w:val="left" w:leader="none"/>
        </w:tabs>
        <w:spacing w:line="283" w:lineRule="auto" w:before="49" w:after="0"/>
        <w:ind w:left="103" w:right="116" w:firstLine="87"/>
        <w:jc w:val="both"/>
        <w:rPr>
          <w:sz w:val="23"/>
        </w:rPr>
      </w:pPr>
      <w:r>
        <w:rPr>
          <w:color w:val="231F20"/>
          <w:sz w:val="23"/>
        </w:rPr>
        <w:t>Government is allocating Le7.7 billion from the recurrent budget including Le4.2 billion to the National Tourist Board, for the implementation of the Tourism Marketing</w:t>
      </w:r>
      <w:r>
        <w:rPr>
          <w:color w:val="231F20"/>
          <w:spacing w:val="-30"/>
          <w:sz w:val="23"/>
        </w:rPr>
        <w:t> </w:t>
      </w:r>
      <w:r>
        <w:rPr>
          <w:color w:val="231F20"/>
          <w:sz w:val="23"/>
        </w:rPr>
        <w:t>Strategy</w:t>
      </w:r>
      <w:r>
        <w:rPr>
          <w:color w:val="231F20"/>
          <w:spacing w:val="-30"/>
          <w:sz w:val="23"/>
        </w:rPr>
        <w:t> </w:t>
      </w:r>
      <w:r>
        <w:rPr>
          <w:color w:val="231F20"/>
          <w:sz w:val="23"/>
        </w:rPr>
        <w:t>and</w:t>
      </w:r>
      <w:r>
        <w:rPr>
          <w:color w:val="231F20"/>
          <w:spacing w:val="-30"/>
          <w:sz w:val="23"/>
        </w:rPr>
        <w:t> </w:t>
      </w:r>
      <w:r>
        <w:rPr>
          <w:color w:val="231F20"/>
          <w:sz w:val="23"/>
        </w:rPr>
        <w:t>Le2.2</w:t>
      </w:r>
      <w:r>
        <w:rPr>
          <w:color w:val="231F20"/>
          <w:spacing w:val="-30"/>
          <w:sz w:val="23"/>
        </w:rPr>
        <w:t> </w:t>
      </w:r>
      <w:r>
        <w:rPr>
          <w:color w:val="231F20"/>
          <w:sz w:val="23"/>
        </w:rPr>
        <w:t>billion</w:t>
      </w:r>
      <w:r>
        <w:rPr>
          <w:color w:val="231F20"/>
          <w:spacing w:val="-30"/>
          <w:sz w:val="23"/>
        </w:rPr>
        <w:t> </w:t>
      </w:r>
      <w:r>
        <w:rPr>
          <w:color w:val="231F20"/>
          <w:sz w:val="23"/>
        </w:rPr>
        <w:t>to</w:t>
      </w:r>
      <w:r>
        <w:rPr>
          <w:color w:val="231F20"/>
          <w:spacing w:val="-30"/>
          <w:sz w:val="23"/>
        </w:rPr>
        <w:t> </w:t>
      </w:r>
      <w:r>
        <w:rPr>
          <w:color w:val="231F20"/>
          <w:sz w:val="23"/>
        </w:rPr>
        <w:t>the</w:t>
      </w:r>
      <w:r>
        <w:rPr>
          <w:color w:val="231F20"/>
          <w:spacing w:val="-30"/>
          <w:sz w:val="23"/>
        </w:rPr>
        <w:t> </w:t>
      </w:r>
      <w:r>
        <w:rPr>
          <w:color w:val="231F20"/>
          <w:sz w:val="23"/>
        </w:rPr>
        <w:t>Monuments</w:t>
      </w:r>
      <w:r>
        <w:rPr>
          <w:color w:val="231F20"/>
          <w:spacing w:val="-30"/>
          <w:sz w:val="23"/>
        </w:rPr>
        <w:t> </w:t>
      </w:r>
      <w:r>
        <w:rPr>
          <w:color w:val="231F20"/>
          <w:sz w:val="23"/>
        </w:rPr>
        <w:t>and</w:t>
      </w:r>
      <w:r>
        <w:rPr>
          <w:color w:val="231F20"/>
          <w:spacing w:val="-30"/>
          <w:sz w:val="23"/>
        </w:rPr>
        <w:t> </w:t>
      </w:r>
      <w:r>
        <w:rPr>
          <w:color w:val="231F20"/>
          <w:sz w:val="23"/>
        </w:rPr>
        <w:t>Relics</w:t>
      </w:r>
      <w:r>
        <w:rPr>
          <w:color w:val="231F20"/>
          <w:spacing w:val="-30"/>
          <w:sz w:val="23"/>
        </w:rPr>
        <w:t> </w:t>
      </w:r>
      <w:r>
        <w:rPr>
          <w:color w:val="231F20"/>
          <w:sz w:val="23"/>
        </w:rPr>
        <w:t>Commission</w:t>
      </w:r>
      <w:r>
        <w:rPr>
          <w:color w:val="231F20"/>
          <w:spacing w:val="-30"/>
          <w:sz w:val="23"/>
        </w:rPr>
        <w:t> </w:t>
      </w:r>
      <w:r>
        <w:rPr>
          <w:color w:val="231F20"/>
          <w:sz w:val="23"/>
        </w:rPr>
        <w:t>for</w:t>
      </w:r>
      <w:r>
        <w:rPr>
          <w:color w:val="231F20"/>
          <w:spacing w:val="-30"/>
          <w:sz w:val="23"/>
        </w:rPr>
        <w:t> </w:t>
      </w:r>
      <w:r>
        <w:rPr>
          <w:color w:val="231F20"/>
          <w:sz w:val="23"/>
        </w:rPr>
        <w:t>the rehabilitation of various historic buildings and sites nationwide. The National and Railway Museums will receive Le1.2</w:t>
      </w:r>
      <w:r>
        <w:rPr>
          <w:color w:val="231F20"/>
          <w:spacing w:val="45"/>
          <w:sz w:val="23"/>
        </w:rPr>
        <w:t> </w:t>
      </w:r>
      <w:r>
        <w:rPr>
          <w:color w:val="231F20"/>
          <w:sz w:val="23"/>
        </w:rPr>
        <w:t>billion.</w:t>
      </w:r>
    </w:p>
    <w:p>
      <w:pPr>
        <w:pStyle w:val="BodyText"/>
        <w:spacing w:before="10"/>
        <w:rPr>
          <w:sz w:val="27"/>
        </w:rPr>
      </w:pPr>
    </w:p>
    <w:p>
      <w:pPr>
        <w:pStyle w:val="ListParagraph"/>
        <w:numPr>
          <w:ilvl w:val="0"/>
          <w:numId w:val="2"/>
        </w:numPr>
        <w:tabs>
          <w:tab w:pos="954" w:val="left" w:leader="none"/>
        </w:tabs>
        <w:spacing w:line="285" w:lineRule="auto" w:before="0" w:after="0"/>
        <w:ind w:left="103" w:right="117" w:firstLine="87"/>
        <w:jc w:val="both"/>
        <w:rPr>
          <w:sz w:val="23"/>
        </w:rPr>
      </w:pPr>
      <w:r>
        <w:rPr>
          <w:color w:val="231F20"/>
          <w:sz w:val="23"/>
        </w:rPr>
        <w:t>In</w:t>
      </w:r>
      <w:r>
        <w:rPr>
          <w:color w:val="231F20"/>
          <w:spacing w:val="-17"/>
          <w:sz w:val="23"/>
        </w:rPr>
        <w:t> </w:t>
      </w:r>
      <w:r>
        <w:rPr>
          <w:color w:val="231F20"/>
          <w:sz w:val="23"/>
        </w:rPr>
        <w:t>addition,</w:t>
      </w:r>
      <w:r>
        <w:rPr>
          <w:color w:val="231F20"/>
          <w:spacing w:val="-17"/>
          <w:sz w:val="23"/>
        </w:rPr>
        <w:t> </w:t>
      </w:r>
      <w:r>
        <w:rPr>
          <w:color w:val="231F20"/>
          <w:sz w:val="23"/>
        </w:rPr>
        <w:t>an</w:t>
      </w:r>
      <w:r>
        <w:rPr>
          <w:color w:val="231F20"/>
          <w:spacing w:val="-17"/>
          <w:sz w:val="23"/>
        </w:rPr>
        <w:t> </w:t>
      </w:r>
      <w:r>
        <w:rPr>
          <w:color w:val="231F20"/>
          <w:sz w:val="23"/>
        </w:rPr>
        <w:t>amount</w:t>
      </w:r>
      <w:r>
        <w:rPr>
          <w:color w:val="231F20"/>
          <w:spacing w:val="-17"/>
          <w:sz w:val="23"/>
        </w:rPr>
        <w:t> </w:t>
      </w:r>
      <w:r>
        <w:rPr>
          <w:color w:val="231F20"/>
          <w:sz w:val="23"/>
        </w:rPr>
        <w:t>of</w:t>
      </w:r>
      <w:r>
        <w:rPr>
          <w:color w:val="231F20"/>
          <w:spacing w:val="-17"/>
          <w:sz w:val="23"/>
        </w:rPr>
        <w:t> </w:t>
      </w:r>
      <w:r>
        <w:rPr>
          <w:color w:val="231F20"/>
          <w:sz w:val="23"/>
        </w:rPr>
        <w:t>Le17.1</w:t>
      </w:r>
      <w:r>
        <w:rPr>
          <w:color w:val="231F20"/>
          <w:spacing w:val="-17"/>
          <w:sz w:val="23"/>
        </w:rPr>
        <w:t> </w:t>
      </w:r>
      <w:r>
        <w:rPr>
          <w:color w:val="231F20"/>
          <w:sz w:val="23"/>
        </w:rPr>
        <w:t>billion</w:t>
      </w:r>
      <w:r>
        <w:rPr>
          <w:color w:val="231F20"/>
          <w:spacing w:val="-17"/>
          <w:sz w:val="23"/>
        </w:rPr>
        <w:t> </w:t>
      </w:r>
      <w:r>
        <w:rPr>
          <w:color w:val="231F20"/>
          <w:sz w:val="23"/>
        </w:rPr>
        <w:t>is</w:t>
      </w:r>
      <w:r>
        <w:rPr>
          <w:color w:val="231F20"/>
          <w:spacing w:val="-17"/>
          <w:sz w:val="23"/>
        </w:rPr>
        <w:t> </w:t>
      </w:r>
      <w:r>
        <w:rPr>
          <w:color w:val="231F20"/>
          <w:sz w:val="23"/>
        </w:rPr>
        <w:t>allocated</w:t>
      </w:r>
      <w:r>
        <w:rPr>
          <w:color w:val="231F20"/>
          <w:spacing w:val="-17"/>
          <w:sz w:val="23"/>
        </w:rPr>
        <w:t> </w:t>
      </w:r>
      <w:r>
        <w:rPr>
          <w:color w:val="231F20"/>
          <w:sz w:val="23"/>
        </w:rPr>
        <w:t>from</w:t>
      </w:r>
      <w:r>
        <w:rPr>
          <w:color w:val="231F20"/>
          <w:spacing w:val="-17"/>
          <w:sz w:val="23"/>
        </w:rPr>
        <w:t> </w:t>
      </w:r>
      <w:r>
        <w:rPr>
          <w:color w:val="231F20"/>
          <w:sz w:val="23"/>
        </w:rPr>
        <w:t>the</w:t>
      </w:r>
      <w:r>
        <w:rPr>
          <w:color w:val="231F20"/>
          <w:spacing w:val="-17"/>
          <w:sz w:val="23"/>
        </w:rPr>
        <w:t> </w:t>
      </w:r>
      <w:r>
        <w:rPr>
          <w:color w:val="231F20"/>
          <w:sz w:val="23"/>
        </w:rPr>
        <w:t>domestic</w:t>
      </w:r>
      <w:r>
        <w:rPr>
          <w:color w:val="231F20"/>
          <w:spacing w:val="-17"/>
          <w:sz w:val="23"/>
        </w:rPr>
        <w:t> </w:t>
      </w:r>
      <w:r>
        <w:rPr>
          <w:color w:val="231F20"/>
          <w:sz w:val="23"/>
        </w:rPr>
        <w:t>capital budget</w:t>
      </w:r>
      <w:r>
        <w:rPr>
          <w:color w:val="231F20"/>
          <w:spacing w:val="-28"/>
          <w:sz w:val="23"/>
        </w:rPr>
        <w:t> </w:t>
      </w:r>
      <w:r>
        <w:rPr>
          <w:color w:val="231F20"/>
          <w:sz w:val="23"/>
        </w:rPr>
        <w:t>to</w:t>
      </w:r>
      <w:r>
        <w:rPr>
          <w:color w:val="231F20"/>
          <w:spacing w:val="-27"/>
          <w:sz w:val="23"/>
        </w:rPr>
        <w:t> </w:t>
      </w:r>
      <w:r>
        <w:rPr>
          <w:color w:val="231F20"/>
          <w:sz w:val="23"/>
        </w:rPr>
        <w:t>the</w:t>
      </w:r>
      <w:r>
        <w:rPr>
          <w:color w:val="231F20"/>
          <w:spacing w:val="-27"/>
          <w:sz w:val="23"/>
        </w:rPr>
        <w:t> </w:t>
      </w:r>
      <w:r>
        <w:rPr>
          <w:color w:val="231F20"/>
          <w:sz w:val="23"/>
        </w:rPr>
        <w:t>tourism</w:t>
      </w:r>
      <w:r>
        <w:rPr>
          <w:color w:val="231F20"/>
          <w:spacing w:val="-27"/>
          <w:sz w:val="23"/>
        </w:rPr>
        <w:t> </w:t>
      </w:r>
      <w:r>
        <w:rPr>
          <w:color w:val="231F20"/>
          <w:sz w:val="23"/>
        </w:rPr>
        <w:t>sector,</w:t>
      </w:r>
      <w:r>
        <w:rPr>
          <w:color w:val="231F20"/>
          <w:spacing w:val="-28"/>
          <w:sz w:val="23"/>
        </w:rPr>
        <w:t> </w:t>
      </w:r>
      <w:r>
        <w:rPr>
          <w:color w:val="231F20"/>
          <w:sz w:val="23"/>
        </w:rPr>
        <w:t>of</w:t>
      </w:r>
      <w:r>
        <w:rPr>
          <w:color w:val="231F20"/>
          <w:spacing w:val="-28"/>
          <w:sz w:val="23"/>
        </w:rPr>
        <w:t> </w:t>
      </w:r>
      <w:r>
        <w:rPr>
          <w:color w:val="231F20"/>
          <w:sz w:val="23"/>
        </w:rPr>
        <w:t>which</w:t>
      </w:r>
      <w:r>
        <w:rPr>
          <w:color w:val="231F20"/>
          <w:spacing w:val="-27"/>
          <w:sz w:val="23"/>
        </w:rPr>
        <w:t> </w:t>
      </w:r>
      <w:r>
        <w:rPr>
          <w:color w:val="231F20"/>
          <w:sz w:val="23"/>
        </w:rPr>
        <w:t>Le1.9</w:t>
      </w:r>
      <w:r>
        <w:rPr>
          <w:color w:val="231F20"/>
          <w:spacing w:val="-28"/>
          <w:sz w:val="23"/>
        </w:rPr>
        <w:t> </w:t>
      </w:r>
      <w:r>
        <w:rPr>
          <w:color w:val="231F20"/>
          <w:sz w:val="23"/>
        </w:rPr>
        <w:t>billion</w:t>
      </w:r>
      <w:r>
        <w:rPr>
          <w:color w:val="231F20"/>
          <w:spacing w:val="-28"/>
          <w:sz w:val="23"/>
        </w:rPr>
        <w:t> </w:t>
      </w:r>
      <w:r>
        <w:rPr>
          <w:color w:val="231F20"/>
          <w:sz w:val="23"/>
        </w:rPr>
        <w:t>is</w:t>
      </w:r>
      <w:r>
        <w:rPr>
          <w:color w:val="231F20"/>
          <w:spacing w:val="-27"/>
          <w:sz w:val="23"/>
        </w:rPr>
        <w:t> </w:t>
      </w:r>
      <w:r>
        <w:rPr>
          <w:color w:val="231F20"/>
          <w:sz w:val="23"/>
        </w:rPr>
        <w:t>to</w:t>
      </w:r>
      <w:r>
        <w:rPr>
          <w:color w:val="231F20"/>
          <w:spacing w:val="-27"/>
          <w:sz w:val="23"/>
        </w:rPr>
        <w:t> </w:t>
      </w:r>
      <w:r>
        <w:rPr>
          <w:color w:val="231F20"/>
          <w:sz w:val="23"/>
        </w:rPr>
        <w:t>the</w:t>
      </w:r>
      <w:r>
        <w:rPr>
          <w:color w:val="231F20"/>
          <w:spacing w:val="-27"/>
          <w:sz w:val="23"/>
        </w:rPr>
        <w:t> </w:t>
      </w:r>
      <w:r>
        <w:rPr>
          <w:color w:val="231F20"/>
          <w:sz w:val="23"/>
        </w:rPr>
        <w:t>Ministry</w:t>
      </w:r>
      <w:r>
        <w:rPr>
          <w:color w:val="231F20"/>
          <w:spacing w:val="-28"/>
          <w:sz w:val="23"/>
        </w:rPr>
        <w:t> </w:t>
      </w:r>
      <w:r>
        <w:rPr>
          <w:color w:val="231F20"/>
          <w:sz w:val="23"/>
        </w:rPr>
        <w:t>of</w:t>
      </w:r>
      <w:r>
        <w:rPr>
          <w:color w:val="231F20"/>
          <w:spacing w:val="-28"/>
          <w:sz w:val="23"/>
        </w:rPr>
        <w:t> </w:t>
      </w:r>
      <w:r>
        <w:rPr>
          <w:color w:val="231F20"/>
          <w:sz w:val="23"/>
        </w:rPr>
        <w:t>Tourism</w:t>
      </w:r>
      <w:r>
        <w:rPr>
          <w:color w:val="231F20"/>
          <w:spacing w:val="-28"/>
          <w:sz w:val="23"/>
        </w:rPr>
        <w:t> </w:t>
      </w:r>
      <w:r>
        <w:rPr>
          <w:color w:val="231F20"/>
          <w:sz w:val="23"/>
        </w:rPr>
        <w:t>for</w:t>
      </w:r>
      <w:r>
        <w:rPr>
          <w:color w:val="231F20"/>
          <w:spacing w:val="-27"/>
          <w:sz w:val="23"/>
        </w:rPr>
        <w:t> </w:t>
      </w:r>
      <w:r>
        <w:rPr>
          <w:color w:val="231F20"/>
          <w:sz w:val="23"/>
        </w:rPr>
        <w:t>the development of five ecotourism sites; Le8.2 billion to the National Tourist Board for several tourism projects, including the Peninsula Beaches Sanitation and Security Project</w:t>
      </w:r>
      <w:r>
        <w:rPr>
          <w:color w:val="231F20"/>
          <w:spacing w:val="-24"/>
          <w:sz w:val="23"/>
        </w:rPr>
        <w:t> </w:t>
      </w:r>
      <w:r>
        <w:rPr>
          <w:color w:val="231F20"/>
          <w:sz w:val="23"/>
        </w:rPr>
        <w:t>and</w:t>
      </w:r>
      <w:r>
        <w:rPr>
          <w:color w:val="231F20"/>
          <w:spacing w:val="-24"/>
          <w:sz w:val="23"/>
        </w:rPr>
        <w:t> </w:t>
      </w:r>
      <w:r>
        <w:rPr>
          <w:color w:val="231F20"/>
          <w:sz w:val="23"/>
        </w:rPr>
        <w:t>Le7.0</w:t>
      </w:r>
      <w:r>
        <w:rPr>
          <w:color w:val="231F20"/>
          <w:spacing w:val="-24"/>
          <w:sz w:val="23"/>
        </w:rPr>
        <w:t> </w:t>
      </w:r>
      <w:r>
        <w:rPr>
          <w:color w:val="231F20"/>
          <w:sz w:val="23"/>
        </w:rPr>
        <w:t>billion</w:t>
      </w:r>
      <w:r>
        <w:rPr>
          <w:color w:val="231F20"/>
          <w:spacing w:val="-24"/>
          <w:sz w:val="23"/>
        </w:rPr>
        <w:t> </w:t>
      </w:r>
      <w:r>
        <w:rPr>
          <w:color w:val="231F20"/>
          <w:sz w:val="23"/>
        </w:rPr>
        <w:t>to</w:t>
      </w:r>
      <w:r>
        <w:rPr>
          <w:color w:val="231F20"/>
          <w:spacing w:val="-24"/>
          <w:sz w:val="23"/>
        </w:rPr>
        <w:t> </w:t>
      </w:r>
      <w:r>
        <w:rPr>
          <w:color w:val="231F20"/>
          <w:sz w:val="23"/>
        </w:rPr>
        <w:t>the</w:t>
      </w:r>
      <w:r>
        <w:rPr>
          <w:color w:val="231F20"/>
          <w:spacing w:val="-24"/>
          <w:sz w:val="23"/>
        </w:rPr>
        <w:t> </w:t>
      </w:r>
      <w:r>
        <w:rPr>
          <w:color w:val="231F20"/>
          <w:sz w:val="23"/>
        </w:rPr>
        <w:t>Monuments</w:t>
      </w:r>
      <w:r>
        <w:rPr>
          <w:color w:val="231F20"/>
          <w:spacing w:val="-24"/>
          <w:sz w:val="23"/>
        </w:rPr>
        <w:t> </w:t>
      </w:r>
      <w:r>
        <w:rPr>
          <w:color w:val="231F20"/>
          <w:sz w:val="23"/>
        </w:rPr>
        <w:t>and</w:t>
      </w:r>
      <w:r>
        <w:rPr>
          <w:color w:val="231F20"/>
          <w:spacing w:val="-24"/>
          <w:sz w:val="23"/>
        </w:rPr>
        <w:t> </w:t>
      </w:r>
      <w:r>
        <w:rPr>
          <w:color w:val="231F20"/>
          <w:sz w:val="23"/>
        </w:rPr>
        <w:t>Relics</w:t>
      </w:r>
      <w:r>
        <w:rPr>
          <w:color w:val="231F20"/>
          <w:spacing w:val="-24"/>
          <w:sz w:val="23"/>
        </w:rPr>
        <w:t> </w:t>
      </w:r>
      <w:r>
        <w:rPr>
          <w:color w:val="231F20"/>
          <w:sz w:val="23"/>
        </w:rPr>
        <w:t>Commission</w:t>
      </w:r>
      <w:r>
        <w:rPr>
          <w:color w:val="231F20"/>
          <w:spacing w:val="-24"/>
          <w:sz w:val="23"/>
        </w:rPr>
        <w:t> </w:t>
      </w:r>
      <w:r>
        <w:rPr>
          <w:color w:val="231F20"/>
          <w:sz w:val="23"/>
        </w:rPr>
        <w:t>for</w:t>
      </w:r>
      <w:r>
        <w:rPr>
          <w:color w:val="231F20"/>
          <w:spacing w:val="-24"/>
          <w:sz w:val="23"/>
        </w:rPr>
        <w:t> </w:t>
      </w:r>
      <w:r>
        <w:rPr>
          <w:color w:val="231F20"/>
          <w:sz w:val="23"/>
        </w:rPr>
        <w:t>the</w:t>
      </w:r>
      <w:r>
        <w:rPr>
          <w:color w:val="231F20"/>
          <w:spacing w:val="-24"/>
          <w:sz w:val="23"/>
        </w:rPr>
        <w:t> </w:t>
      </w:r>
      <w:r>
        <w:rPr>
          <w:color w:val="231F20"/>
          <w:sz w:val="23"/>
        </w:rPr>
        <w:t>restoration of</w:t>
      </w:r>
      <w:r>
        <w:rPr>
          <w:color w:val="231F20"/>
          <w:spacing w:val="-12"/>
          <w:sz w:val="23"/>
        </w:rPr>
        <w:t> </w:t>
      </w:r>
      <w:r>
        <w:rPr>
          <w:color w:val="231F20"/>
          <w:sz w:val="23"/>
        </w:rPr>
        <w:t>Old</w:t>
      </w:r>
      <w:r>
        <w:rPr>
          <w:color w:val="231F20"/>
          <w:spacing w:val="-12"/>
          <w:sz w:val="23"/>
        </w:rPr>
        <w:t> </w:t>
      </w:r>
      <w:r>
        <w:rPr>
          <w:color w:val="231F20"/>
          <w:sz w:val="23"/>
        </w:rPr>
        <w:t>Fourah</w:t>
      </w:r>
      <w:r>
        <w:rPr>
          <w:color w:val="231F20"/>
          <w:spacing w:val="-12"/>
          <w:sz w:val="23"/>
        </w:rPr>
        <w:t> </w:t>
      </w:r>
      <w:r>
        <w:rPr>
          <w:color w:val="231F20"/>
          <w:sz w:val="23"/>
        </w:rPr>
        <w:t>Bay</w:t>
      </w:r>
      <w:r>
        <w:rPr>
          <w:color w:val="231F20"/>
          <w:spacing w:val="-12"/>
          <w:sz w:val="23"/>
        </w:rPr>
        <w:t> </w:t>
      </w:r>
      <w:r>
        <w:rPr>
          <w:color w:val="231F20"/>
          <w:sz w:val="23"/>
        </w:rPr>
        <w:t>College,</w:t>
      </w:r>
      <w:r>
        <w:rPr>
          <w:color w:val="231F20"/>
          <w:spacing w:val="-12"/>
          <w:sz w:val="23"/>
        </w:rPr>
        <w:t> </w:t>
      </w:r>
      <w:r>
        <w:rPr>
          <w:color w:val="231F20"/>
          <w:sz w:val="23"/>
        </w:rPr>
        <w:t>construction</w:t>
      </w:r>
      <w:r>
        <w:rPr>
          <w:color w:val="231F20"/>
          <w:spacing w:val="-12"/>
          <w:sz w:val="23"/>
        </w:rPr>
        <w:t> </w:t>
      </w:r>
      <w:r>
        <w:rPr>
          <w:color w:val="231F20"/>
          <w:sz w:val="23"/>
        </w:rPr>
        <w:t>of</w:t>
      </w:r>
      <w:r>
        <w:rPr>
          <w:color w:val="231F20"/>
          <w:spacing w:val="-12"/>
          <w:sz w:val="23"/>
        </w:rPr>
        <w:t> </w:t>
      </w:r>
      <w:r>
        <w:rPr>
          <w:color w:val="231F20"/>
          <w:sz w:val="23"/>
        </w:rPr>
        <w:t>a</w:t>
      </w:r>
      <w:r>
        <w:rPr>
          <w:color w:val="231F20"/>
          <w:spacing w:val="-12"/>
          <w:sz w:val="23"/>
        </w:rPr>
        <w:t> </w:t>
      </w:r>
      <w:r>
        <w:rPr>
          <w:color w:val="231F20"/>
          <w:sz w:val="23"/>
        </w:rPr>
        <w:t>Museum</w:t>
      </w:r>
      <w:r>
        <w:rPr>
          <w:color w:val="231F20"/>
          <w:spacing w:val="-12"/>
          <w:sz w:val="23"/>
        </w:rPr>
        <w:t> </w:t>
      </w:r>
      <w:r>
        <w:rPr>
          <w:color w:val="231F20"/>
          <w:sz w:val="23"/>
        </w:rPr>
        <w:t>and</w:t>
      </w:r>
      <w:r>
        <w:rPr>
          <w:color w:val="231F20"/>
          <w:spacing w:val="-12"/>
          <w:sz w:val="23"/>
        </w:rPr>
        <w:t> </w:t>
      </w:r>
      <w:r>
        <w:rPr>
          <w:color w:val="231F20"/>
          <w:sz w:val="23"/>
        </w:rPr>
        <w:t>Heritage</w:t>
      </w:r>
      <w:r>
        <w:rPr>
          <w:color w:val="231F20"/>
          <w:spacing w:val="-12"/>
          <w:sz w:val="23"/>
        </w:rPr>
        <w:t> </w:t>
      </w:r>
      <w:r>
        <w:rPr>
          <w:color w:val="231F20"/>
          <w:sz w:val="23"/>
        </w:rPr>
        <w:t>Centre</w:t>
      </w:r>
      <w:r>
        <w:rPr>
          <w:color w:val="231F20"/>
          <w:spacing w:val="-12"/>
          <w:sz w:val="23"/>
        </w:rPr>
        <w:t> </w:t>
      </w:r>
      <w:r>
        <w:rPr>
          <w:color w:val="231F20"/>
          <w:sz w:val="23"/>
        </w:rPr>
        <w:t>in</w:t>
      </w:r>
      <w:r>
        <w:rPr>
          <w:color w:val="231F20"/>
          <w:spacing w:val="-12"/>
          <w:sz w:val="23"/>
        </w:rPr>
        <w:t> </w:t>
      </w:r>
      <w:r>
        <w:rPr>
          <w:color w:val="231F20"/>
          <w:sz w:val="23"/>
        </w:rPr>
        <w:t>Bonthe and restoration of proclaimed and protected</w:t>
      </w:r>
      <w:r>
        <w:rPr>
          <w:color w:val="231F20"/>
          <w:spacing w:val="12"/>
          <w:sz w:val="23"/>
        </w:rPr>
        <w:t> </w:t>
      </w:r>
      <w:r>
        <w:rPr>
          <w:color w:val="231F20"/>
          <w:sz w:val="23"/>
        </w:rPr>
        <w:t>sites.</w:t>
      </w:r>
    </w:p>
    <w:p>
      <w:pPr>
        <w:pStyle w:val="BodyText"/>
        <w:spacing w:before="7"/>
        <w:rPr>
          <w:sz w:val="26"/>
        </w:rPr>
      </w:pPr>
    </w:p>
    <w:p>
      <w:pPr>
        <w:pStyle w:val="ListParagraph"/>
        <w:numPr>
          <w:ilvl w:val="0"/>
          <w:numId w:val="2"/>
        </w:numPr>
        <w:tabs>
          <w:tab w:pos="954" w:val="left" w:leader="none"/>
        </w:tabs>
        <w:spacing w:line="288" w:lineRule="auto" w:before="0" w:after="0"/>
        <w:ind w:left="103" w:right="119" w:firstLine="87"/>
        <w:jc w:val="both"/>
        <w:rPr>
          <w:sz w:val="23"/>
        </w:rPr>
      </w:pPr>
      <w:r>
        <w:rPr>
          <w:color w:val="231F20"/>
          <w:sz w:val="23"/>
        </w:rPr>
        <w:t>Development</w:t>
      </w:r>
      <w:r>
        <w:rPr>
          <w:color w:val="231F20"/>
          <w:spacing w:val="-8"/>
          <w:sz w:val="23"/>
        </w:rPr>
        <w:t> </w:t>
      </w:r>
      <w:r>
        <w:rPr>
          <w:color w:val="231F20"/>
          <w:sz w:val="23"/>
        </w:rPr>
        <w:t>partners</w:t>
      </w:r>
      <w:r>
        <w:rPr>
          <w:color w:val="231F20"/>
          <w:spacing w:val="-8"/>
          <w:sz w:val="23"/>
        </w:rPr>
        <w:t> </w:t>
      </w:r>
      <w:r>
        <w:rPr>
          <w:color w:val="231F20"/>
          <w:sz w:val="23"/>
        </w:rPr>
        <w:t>including</w:t>
      </w:r>
      <w:r>
        <w:rPr>
          <w:color w:val="231F20"/>
          <w:spacing w:val="-8"/>
          <w:sz w:val="23"/>
        </w:rPr>
        <w:t> </w:t>
      </w:r>
      <w:r>
        <w:rPr>
          <w:color w:val="231F20"/>
          <w:sz w:val="23"/>
        </w:rPr>
        <w:t>the</w:t>
      </w:r>
      <w:r>
        <w:rPr>
          <w:color w:val="231F20"/>
          <w:spacing w:val="-8"/>
          <w:sz w:val="23"/>
        </w:rPr>
        <w:t> </w:t>
      </w:r>
      <w:r>
        <w:rPr>
          <w:color w:val="231F20"/>
          <w:sz w:val="23"/>
        </w:rPr>
        <w:t>UNDP</w:t>
      </w:r>
      <w:r>
        <w:rPr>
          <w:color w:val="231F20"/>
          <w:spacing w:val="-8"/>
          <w:sz w:val="23"/>
        </w:rPr>
        <w:t> </w:t>
      </w:r>
      <w:r>
        <w:rPr>
          <w:color w:val="231F20"/>
          <w:sz w:val="23"/>
        </w:rPr>
        <w:t>and</w:t>
      </w:r>
      <w:r>
        <w:rPr>
          <w:color w:val="231F20"/>
          <w:spacing w:val="-8"/>
          <w:sz w:val="23"/>
        </w:rPr>
        <w:t> </w:t>
      </w:r>
      <w:r>
        <w:rPr>
          <w:color w:val="231F20"/>
          <w:sz w:val="23"/>
        </w:rPr>
        <w:t>the</w:t>
      </w:r>
      <w:r>
        <w:rPr>
          <w:color w:val="231F20"/>
          <w:spacing w:val="-8"/>
          <w:sz w:val="23"/>
        </w:rPr>
        <w:t> </w:t>
      </w:r>
      <w:r>
        <w:rPr>
          <w:color w:val="231F20"/>
          <w:sz w:val="23"/>
        </w:rPr>
        <w:t>USA</w:t>
      </w:r>
      <w:r>
        <w:rPr>
          <w:color w:val="231F20"/>
          <w:spacing w:val="-8"/>
          <w:sz w:val="23"/>
        </w:rPr>
        <w:t> </w:t>
      </w:r>
      <w:r>
        <w:rPr>
          <w:color w:val="231F20"/>
          <w:sz w:val="23"/>
        </w:rPr>
        <w:t>will</w:t>
      </w:r>
      <w:r>
        <w:rPr>
          <w:color w:val="231F20"/>
          <w:spacing w:val="-8"/>
          <w:sz w:val="23"/>
        </w:rPr>
        <w:t> </w:t>
      </w:r>
      <w:r>
        <w:rPr>
          <w:color w:val="231F20"/>
          <w:sz w:val="23"/>
        </w:rPr>
        <w:t>disburse</w:t>
      </w:r>
      <w:r>
        <w:rPr>
          <w:color w:val="231F20"/>
          <w:spacing w:val="-8"/>
          <w:sz w:val="23"/>
        </w:rPr>
        <w:t> </w:t>
      </w:r>
      <w:r>
        <w:rPr>
          <w:color w:val="231F20"/>
          <w:sz w:val="23"/>
        </w:rPr>
        <w:t>Le33.0 billion for implementation of various projects in the tourism sector. Government’s counterpart</w:t>
      </w:r>
      <w:r>
        <w:rPr>
          <w:color w:val="231F20"/>
          <w:spacing w:val="-11"/>
          <w:sz w:val="23"/>
        </w:rPr>
        <w:t> </w:t>
      </w:r>
      <w:r>
        <w:rPr>
          <w:color w:val="231F20"/>
          <w:sz w:val="23"/>
        </w:rPr>
        <w:t>contribution</w:t>
      </w:r>
      <w:r>
        <w:rPr>
          <w:color w:val="231F20"/>
          <w:spacing w:val="-11"/>
          <w:sz w:val="23"/>
        </w:rPr>
        <w:t> </w:t>
      </w:r>
      <w:r>
        <w:rPr>
          <w:color w:val="231F20"/>
          <w:sz w:val="23"/>
        </w:rPr>
        <w:t>to</w:t>
      </w:r>
      <w:r>
        <w:rPr>
          <w:color w:val="231F20"/>
          <w:spacing w:val="-11"/>
          <w:sz w:val="23"/>
        </w:rPr>
        <w:t> </w:t>
      </w:r>
      <w:r>
        <w:rPr>
          <w:color w:val="231F20"/>
          <w:sz w:val="23"/>
        </w:rPr>
        <w:t>these</w:t>
      </w:r>
      <w:r>
        <w:rPr>
          <w:color w:val="231F20"/>
          <w:spacing w:val="-11"/>
          <w:sz w:val="23"/>
        </w:rPr>
        <w:t> </w:t>
      </w:r>
      <w:r>
        <w:rPr>
          <w:color w:val="231F20"/>
          <w:sz w:val="23"/>
        </w:rPr>
        <w:t>projects</w:t>
      </w:r>
      <w:r>
        <w:rPr>
          <w:color w:val="231F20"/>
          <w:spacing w:val="-11"/>
          <w:sz w:val="23"/>
        </w:rPr>
        <w:t> </w:t>
      </w:r>
      <w:r>
        <w:rPr>
          <w:color w:val="231F20"/>
          <w:sz w:val="23"/>
        </w:rPr>
        <w:t>in</w:t>
      </w:r>
      <w:r>
        <w:rPr>
          <w:color w:val="231F20"/>
          <w:spacing w:val="-11"/>
          <w:sz w:val="23"/>
        </w:rPr>
        <w:t> </w:t>
      </w:r>
      <w:r>
        <w:rPr>
          <w:color w:val="231F20"/>
          <w:sz w:val="23"/>
        </w:rPr>
        <w:t>the</w:t>
      </w:r>
      <w:r>
        <w:rPr>
          <w:color w:val="231F20"/>
          <w:spacing w:val="-11"/>
          <w:sz w:val="23"/>
        </w:rPr>
        <w:t> </w:t>
      </w:r>
      <w:r>
        <w:rPr>
          <w:color w:val="231F20"/>
          <w:sz w:val="23"/>
        </w:rPr>
        <w:t>tourism</w:t>
      </w:r>
      <w:r>
        <w:rPr>
          <w:color w:val="231F20"/>
          <w:spacing w:val="-11"/>
          <w:sz w:val="23"/>
        </w:rPr>
        <w:t> </w:t>
      </w:r>
      <w:r>
        <w:rPr>
          <w:color w:val="231F20"/>
          <w:sz w:val="23"/>
        </w:rPr>
        <w:t>sector</w:t>
      </w:r>
      <w:r>
        <w:rPr>
          <w:color w:val="231F20"/>
          <w:spacing w:val="-11"/>
          <w:sz w:val="23"/>
        </w:rPr>
        <w:t> </w:t>
      </w:r>
      <w:r>
        <w:rPr>
          <w:color w:val="231F20"/>
          <w:sz w:val="23"/>
        </w:rPr>
        <w:t>will</w:t>
      </w:r>
      <w:r>
        <w:rPr>
          <w:color w:val="231F20"/>
          <w:spacing w:val="-11"/>
          <w:sz w:val="23"/>
        </w:rPr>
        <w:t> </w:t>
      </w:r>
      <w:r>
        <w:rPr>
          <w:color w:val="231F20"/>
          <w:sz w:val="23"/>
        </w:rPr>
        <w:t>amount</w:t>
      </w:r>
      <w:r>
        <w:rPr>
          <w:color w:val="231F20"/>
          <w:spacing w:val="-11"/>
          <w:sz w:val="23"/>
        </w:rPr>
        <w:t> </w:t>
      </w:r>
      <w:r>
        <w:rPr>
          <w:color w:val="231F20"/>
          <w:sz w:val="23"/>
        </w:rPr>
        <w:t>to</w:t>
      </w:r>
      <w:r>
        <w:rPr>
          <w:color w:val="231F20"/>
          <w:spacing w:val="-11"/>
          <w:sz w:val="23"/>
        </w:rPr>
        <w:t> </w:t>
      </w:r>
      <w:r>
        <w:rPr>
          <w:color w:val="231F20"/>
          <w:sz w:val="23"/>
        </w:rPr>
        <w:t>Le5.0 billion.</w:t>
      </w:r>
    </w:p>
    <w:p>
      <w:pPr>
        <w:pStyle w:val="BodyText"/>
        <w:spacing w:before="5"/>
        <w:rPr>
          <w:sz w:val="30"/>
        </w:rPr>
      </w:pPr>
    </w:p>
    <w:p>
      <w:pPr>
        <w:pStyle w:val="Heading2"/>
        <w:spacing w:before="1"/>
        <w:ind w:left="953"/>
      </w:pPr>
      <w:r>
        <w:rPr>
          <w:color w:val="231F20"/>
        </w:rPr>
        <w:t>Trade, Manufacturing and Services Sectors</w:t>
      </w:r>
    </w:p>
    <w:p>
      <w:pPr>
        <w:pStyle w:val="ListParagraph"/>
        <w:numPr>
          <w:ilvl w:val="0"/>
          <w:numId w:val="2"/>
        </w:numPr>
        <w:tabs>
          <w:tab w:pos="954" w:val="left" w:leader="none"/>
        </w:tabs>
        <w:spacing w:line="302" w:lineRule="auto" w:before="70" w:after="0"/>
        <w:ind w:left="103" w:right="119" w:firstLine="87"/>
        <w:jc w:val="both"/>
        <w:rPr>
          <w:sz w:val="23"/>
        </w:rPr>
      </w:pPr>
      <w:r>
        <w:rPr>
          <w:color w:val="231F20"/>
          <w:sz w:val="23"/>
        </w:rPr>
        <w:t>As part of the efforts to promote trade and investments for job creation especially for the youths, Government is allocating from the recurrent budget an amount of Le14.8 billion to the Ministry of Trade and Industry to support various agencies engaged in improving the business environment and the promotion of investment and export</w:t>
      </w:r>
      <w:r>
        <w:rPr>
          <w:color w:val="231F20"/>
          <w:spacing w:val="18"/>
          <w:sz w:val="23"/>
        </w:rPr>
        <w:t> </w:t>
      </w:r>
      <w:r>
        <w:rPr>
          <w:color w:val="231F20"/>
          <w:sz w:val="23"/>
        </w:rPr>
        <w:t>activities.</w:t>
      </w:r>
    </w:p>
    <w:p>
      <w:pPr>
        <w:pStyle w:val="BodyText"/>
        <w:spacing w:before="11"/>
        <w:rPr>
          <w:sz w:val="28"/>
        </w:rPr>
      </w:pPr>
    </w:p>
    <w:p>
      <w:pPr>
        <w:pStyle w:val="ListParagraph"/>
        <w:numPr>
          <w:ilvl w:val="0"/>
          <w:numId w:val="2"/>
        </w:numPr>
        <w:tabs>
          <w:tab w:pos="954" w:val="left" w:leader="none"/>
        </w:tabs>
        <w:spacing w:line="300" w:lineRule="auto" w:before="0" w:after="0"/>
        <w:ind w:left="103" w:right="125" w:firstLine="87"/>
        <w:jc w:val="both"/>
        <w:rPr>
          <w:sz w:val="23"/>
        </w:rPr>
      </w:pPr>
      <w:r>
        <w:rPr>
          <w:color w:val="231F20"/>
          <w:sz w:val="23"/>
        </w:rPr>
        <w:t>In addition, Le22.0 billion is allocated from the domestic capital budget as support</w:t>
      </w:r>
      <w:r>
        <w:rPr>
          <w:color w:val="231F20"/>
          <w:spacing w:val="-9"/>
          <w:sz w:val="23"/>
        </w:rPr>
        <w:t> </w:t>
      </w:r>
      <w:r>
        <w:rPr>
          <w:color w:val="231F20"/>
          <w:sz w:val="23"/>
        </w:rPr>
        <w:t>to</w:t>
      </w:r>
      <w:r>
        <w:rPr>
          <w:color w:val="231F20"/>
          <w:spacing w:val="-8"/>
          <w:sz w:val="23"/>
        </w:rPr>
        <w:t> </w:t>
      </w:r>
      <w:r>
        <w:rPr>
          <w:color w:val="231F20"/>
          <w:sz w:val="23"/>
        </w:rPr>
        <w:t>Micro,</w:t>
      </w:r>
      <w:r>
        <w:rPr>
          <w:color w:val="231F20"/>
          <w:spacing w:val="-8"/>
          <w:sz w:val="23"/>
        </w:rPr>
        <w:t> </w:t>
      </w:r>
      <w:r>
        <w:rPr>
          <w:color w:val="231F20"/>
          <w:sz w:val="23"/>
        </w:rPr>
        <w:t>Small</w:t>
      </w:r>
      <w:r>
        <w:rPr>
          <w:color w:val="231F20"/>
          <w:spacing w:val="-9"/>
          <w:sz w:val="23"/>
        </w:rPr>
        <w:t> </w:t>
      </w:r>
      <w:r>
        <w:rPr>
          <w:color w:val="231F20"/>
          <w:sz w:val="23"/>
        </w:rPr>
        <w:t>and</w:t>
      </w:r>
      <w:r>
        <w:rPr>
          <w:color w:val="231F20"/>
          <w:spacing w:val="-9"/>
          <w:sz w:val="23"/>
        </w:rPr>
        <w:t> </w:t>
      </w:r>
      <w:r>
        <w:rPr>
          <w:color w:val="231F20"/>
          <w:sz w:val="23"/>
        </w:rPr>
        <w:t>Medium</w:t>
      </w:r>
      <w:r>
        <w:rPr>
          <w:color w:val="231F20"/>
          <w:spacing w:val="-8"/>
          <w:sz w:val="23"/>
        </w:rPr>
        <w:t> </w:t>
      </w:r>
      <w:r>
        <w:rPr>
          <w:color w:val="231F20"/>
          <w:sz w:val="23"/>
        </w:rPr>
        <w:t>Scale</w:t>
      </w:r>
      <w:r>
        <w:rPr>
          <w:color w:val="231F20"/>
          <w:spacing w:val="-9"/>
          <w:sz w:val="23"/>
        </w:rPr>
        <w:t> </w:t>
      </w:r>
      <w:r>
        <w:rPr>
          <w:color w:val="231F20"/>
          <w:sz w:val="23"/>
        </w:rPr>
        <w:t>Enterprises.</w:t>
      </w:r>
    </w:p>
    <w:p>
      <w:pPr>
        <w:pStyle w:val="BodyText"/>
        <w:rPr>
          <w:sz w:val="20"/>
        </w:rPr>
      </w:pPr>
    </w:p>
    <w:p>
      <w:pPr>
        <w:pStyle w:val="BodyText"/>
        <w:rPr>
          <w:sz w:val="20"/>
        </w:rPr>
      </w:pPr>
    </w:p>
    <w:p>
      <w:pPr>
        <w:pStyle w:val="BodyText"/>
        <w:rPr>
          <w:sz w:val="20"/>
        </w:rPr>
      </w:pPr>
    </w:p>
    <w:p>
      <w:pPr>
        <w:pStyle w:val="BodyText"/>
        <w:spacing w:before="2"/>
        <w:rPr>
          <w:sz w:val="17"/>
        </w:rPr>
      </w:pPr>
    </w:p>
    <w:p>
      <w:pPr>
        <w:pStyle w:val="Heading1"/>
      </w:pPr>
      <w:r>
        <w:rPr>
          <w:color w:val="231F20"/>
        </w:rPr>
        <w:t>37</w:t>
      </w:r>
    </w:p>
    <w:p>
      <w:pPr>
        <w:spacing w:after="0"/>
        <w:sectPr>
          <w:pgSz w:w="11900" w:h="16840"/>
          <w:pgMar w:top="1160" w:bottom="280" w:left="1140" w:right="1120"/>
        </w:sectPr>
      </w:pPr>
    </w:p>
    <w:p>
      <w:pPr>
        <w:pStyle w:val="Heading2"/>
        <w:spacing w:before="77"/>
        <w:jc w:val="both"/>
      </w:pPr>
      <w:r>
        <w:rPr>
          <w:color w:val="231F20"/>
        </w:rPr>
        <w:t>Cluster 3: Managing Natural Resources</w:t>
      </w:r>
    </w:p>
    <w:p>
      <w:pPr>
        <w:pStyle w:val="ListParagraph"/>
        <w:numPr>
          <w:ilvl w:val="0"/>
          <w:numId w:val="2"/>
        </w:numPr>
        <w:tabs>
          <w:tab w:pos="954" w:val="left" w:leader="none"/>
        </w:tabs>
        <w:spacing w:line="302" w:lineRule="auto" w:before="71" w:after="0"/>
        <w:ind w:left="103" w:right="119" w:firstLine="87"/>
        <w:jc w:val="both"/>
        <w:rPr>
          <w:sz w:val="23"/>
        </w:rPr>
      </w:pPr>
      <w:r>
        <w:rPr>
          <w:color w:val="231F20"/>
          <w:sz w:val="23"/>
        </w:rPr>
        <w:t>Mr.</w:t>
      </w:r>
      <w:r>
        <w:rPr>
          <w:color w:val="231F20"/>
          <w:spacing w:val="-36"/>
          <w:sz w:val="23"/>
        </w:rPr>
        <w:t> </w:t>
      </w:r>
      <w:r>
        <w:rPr>
          <w:color w:val="231F20"/>
          <w:sz w:val="23"/>
        </w:rPr>
        <w:t>Speaker,</w:t>
      </w:r>
      <w:r>
        <w:rPr>
          <w:color w:val="231F20"/>
          <w:spacing w:val="-36"/>
          <w:sz w:val="23"/>
        </w:rPr>
        <w:t> </w:t>
      </w:r>
      <w:r>
        <w:rPr>
          <w:color w:val="231F20"/>
          <w:sz w:val="23"/>
        </w:rPr>
        <w:t>Honourable</w:t>
      </w:r>
      <w:r>
        <w:rPr>
          <w:color w:val="231F20"/>
          <w:spacing w:val="-35"/>
          <w:sz w:val="23"/>
        </w:rPr>
        <w:t> </w:t>
      </w:r>
      <w:r>
        <w:rPr>
          <w:color w:val="231F20"/>
          <w:sz w:val="23"/>
        </w:rPr>
        <w:t>Members,</w:t>
      </w:r>
      <w:r>
        <w:rPr>
          <w:color w:val="231F20"/>
          <w:spacing w:val="-36"/>
          <w:sz w:val="23"/>
        </w:rPr>
        <w:t> </w:t>
      </w:r>
      <w:r>
        <w:rPr>
          <w:color w:val="231F20"/>
          <w:sz w:val="23"/>
        </w:rPr>
        <w:t>to</w:t>
      </w:r>
      <w:r>
        <w:rPr>
          <w:color w:val="231F20"/>
          <w:spacing w:val="-36"/>
          <w:sz w:val="23"/>
        </w:rPr>
        <w:t> </w:t>
      </w:r>
      <w:r>
        <w:rPr>
          <w:color w:val="231F20"/>
          <w:sz w:val="23"/>
        </w:rPr>
        <w:t>support</w:t>
      </w:r>
      <w:r>
        <w:rPr>
          <w:color w:val="231F20"/>
          <w:spacing w:val="-36"/>
          <w:sz w:val="23"/>
        </w:rPr>
        <w:t> </w:t>
      </w:r>
      <w:r>
        <w:rPr>
          <w:color w:val="231F20"/>
          <w:sz w:val="23"/>
        </w:rPr>
        <w:t>the</w:t>
      </w:r>
      <w:r>
        <w:rPr>
          <w:color w:val="231F20"/>
          <w:spacing w:val="-36"/>
          <w:sz w:val="23"/>
        </w:rPr>
        <w:t> </w:t>
      </w:r>
      <w:r>
        <w:rPr>
          <w:color w:val="231F20"/>
          <w:sz w:val="23"/>
        </w:rPr>
        <w:t>efficient</w:t>
      </w:r>
      <w:r>
        <w:rPr>
          <w:color w:val="231F20"/>
          <w:spacing w:val="-36"/>
          <w:sz w:val="23"/>
        </w:rPr>
        <w:t> </w:t>
      </w:r>
      <w:r>
        <w:rPr>
          <w:color w:val="231F20"/>
          <w:sz w:val="23"/>
        </w:rPr>
        <w:t>management</w:t>
      </w:r>
      <w:r>
        <w:rPr>
          <w:color w:val="231F20"/>
          <w:spacing w:val="-36"/>
          <w:sz w:val="23"/>
        </w:rPr>
        <w:t> </w:t>
      </w:r>
      <w:r>
        <w:rPr>
          <w:color w:val="231F20"/>
          <w:sz w:val="23"/>
        </w:rPr>
        <w:t>of</w:t>
      </w:r>
      <w:r>
        <w:rPr>
          <w:color w:val="231F20"/>
          <w:spacing w:val="-36"/>
          <w:sz w:val="23"/>
        </w:rPr>
        <w:t> </w:t>
      </w:r>
      <w:r>
        <w:rPr>
          <w:color w:val="231F20"/>
          <w:sz w:val="23"/>
        </w:rPr>
        <w:t>our natural</w:t>
      </w:r>
      <w:r>
        <w:rPr>
          <w:color w:val="231F20"/>
          <w:spacing w:val="-21"/>
          <w:sz w:val="23"/>
        </w:rPr>
        <w:t> </w:t>
      </w:r>
      <w:r>
        <w:rPr>
          <w:color w:val="231F20"/>
          <w:sz w:val="23"/>
        </w:rPr>
        <w:t>resources,</w:t>
      </w:r>
      <w:r>
        <w:rPr>
          <w:color w:val="231F20"/>
          <w:spacing w:val="-21"/>
          <w:sz w:val="23"/>
        </w:rPr>
        <w:t> </w:t>
      </w:r>
      <w:r>
        <w:rPr>
          <w:color w:val="231F20"/>
          <w:sz w:val="23"/>
        </w:rPr>
        <w:t>Government</w:t>
      </w:r>
      <w:r>
        <w:rPr>
          <w:color w:val="231F20"/>
          <w:spacing w:val="-21"/>
          <w:sz w:val="23"/>
        </w:rPr>
        <w:t> </w:t>
      </w:r>
      <w:r>
        <w:rPr>
          <w:color w:val="231F20"/>
          <w:sz w:val="23"/>
        </w:rPr>
        <w:t>is</w:t>
      </w:r>
      <w:r>
        <w:rPr>
          <w:color w:val="231F20"/>
          <w:spacing w:val="-21"/>
          <w:sz w:val="23"/>
        </w:rPr>
        <w:t> </w:t>
      </w:r>
      <w:r>
        <w:rPr>
          <w:color w:val="231F20"/>
          <w:sz w:val="23"/>
        </w:rPr>
        <w:t>allocating</w:t>
      </w:r>
      <w:r>
        <w:rPr>
          <w:color w:val="231F20"/>
          <w:spacing w:val="-21"/>
          <w:sz w:val="23"/>
        </w:rPr>
        <w:t> </w:t>
      </w:r>
      <w:r>
        <w:rPr>
          <w:color w:val="231F20"/>
          <w:sz w:val="23"/>
        </w:rPr>
        <w:t>Le3.4</w:t>
      </w:r>
      <w:r>
        <w:rPr>
          <w:color w:val="231F20"/>
          <w:spacing w:val="-21"/>
          <w:sz w:val="23"/>
        </w:rPr>
        <w:t> </w:t>
      </w:r>
      <w:r>
        <w:rPr>
          <w:color w:val="231F20"/>
          <w:sz w:val="23"/>
        </w:rPr>
        <w:t>billion</w:t>
      </w:r>
      <w:r>
        <w:rPr>
          <w:color w:val="231F20"/>
          <w:spacing w:val="-21"/>
          <w:sz w:val="23"/>
        </w:rPr>
        <w:t> </w:t>
      </w:r>
      <w:r>
        <w:rPr>
          <w:color w:val="231F20"/>
          <w:sz w:val="23"/>
        </w:rPr>
        <w:t>to</w:t>
      </w:r>
      <w:r>
        <w:rPr>
          <w:color w:val="231F20"/>
          <w:spacing w:val="-21"/>
          <w:sz w:val="23"/>
        </w:rPr>
        <w:t> </w:t>
      </w:r>
      <w:r>
        <w:rPr>
          <w:color w:val="231F20"/>
          <w:sz w:val="23"/>
        </w:rPr>
        <w:t>the</w:t>
      </w:r>
      <w:r>
        <w:rPr>
          <w:color w:val="231F20"/>
          <w:spacing w:val="-21"/>
          <w:sz w:val="23"/>
        </w:rPr>
        <w:t> </w:t>
      </w:r>
      <w:r>
        <w:rPr>
          <w:color w:val="231F20"/>
          <w:sz w:val="23"/>
        </w:rPr>
        <w:t>Ministry</w:t>
      </w:r>
      <w:r>
        <w:rPr>
          <w:color w:val="231F20"/>
          <w:spacing w:val="-21"/>
          <w:sz w:val="23"/>
        </w:rPr>
        <w:t> </w:t>
      </w:r>
      <w:r>
        <w:rPr>
          <w:color w:val="231F20"/>
          <w:sz w:val="23"/>
        </w:rPr>
        <w:t>of</w:t>
      </w:r>
      <w:r>
        <w:rPr>
          <w:color w:val="231F20"/>
          <w:spacing w:val="-21"/>
          <w:sz w:val="23"/>
        </w:rPr>
        <w:t> </w:t>
      </w:r>
      <w:r>
        <w:rPr>
          <w:color w:val="231F20"/>
          <w:sz w:val="23"/>
        </w:rPr>
        <w:t>Mines</w:t>
      </w:r>
      <w:r>
        <w:rPr>
          <w:color w:val="231F20"/>
          <w:spacing w:val="-21"/>
          <w:sz w:val="23"/>
        </w:rPr>
        <w:t> </w:t>
      </w:r>
      <w:r>
        <w:rPr>
          <w:color w:val="231F20"/>
          <w:sz w:val="23"/>
        </w:rPr>
        <w:t>and Mineral</w:t>
      </w:r>
      <w:r>
        <w:rPr>
          <w:color w:val="231F20"/>
          <w:spacing w:val="-43"/>
          <w:sz w:val="23"/>
        </w:rPr>
        <w:t> </w:t>
      </w:r>
      <w:r>
        <w:rPr>
          <w:color w:val="231F20"/>
          <w:sz w:val="23"/>
        </w:rPr>
        <w:t>Resources</w:t>
      </w:r>
      <w:r>
        <w:rPr>
          <w:color w:val="231F20"/>
          <w:spacing w:val="-42"/>
          <w:sz w:val="23"/>
        </w:rPr>
        <w:t> </w:t>
      </w:r>
      <w:r>
        <w:rPr>
          <w:color w:val="231F20"/>
          <w:sz w:val="23"/>
        </w:rPr>
        <w:t>including</w:t>
      </w:r>
      <w:r>
        <w:rPr>
          <w:color w:val="231F20"/>
          <w:spacing w:val="-43"/>
          <w:sz w:val="23"/>
        </w:rPr>
        <w:t> </w:t>
      </w:r>
      <w:r>
        <w:rPr>
          <w:color w:val="231F20"/>
          <w:sz w:val="23"/>
        </w:rPr>
        <w:t>Le1.8</w:t>
      </w:r>
      <w:r>
        <w:rPr>
          <w:color w:val="231F20"/>
          <w:spacing w:val="-11"/>
          <w:sz w:val="23"/>
        </w:rPr>
        <w:t> </w:t>
      </w:r>
      <w:r>
        <w:rPr>
          <w:color w:val="231F20"/>
          <w:sz w:val="23"/>
        </w:rPr>
        <w:t>billion</w:t>
      </w:r>
      <w:r>
        <w:rPr>
          <w:color w:val="231F20"/>
          <w:spacing w:val="-42"/>
          <w:sz w:val="23"/>
        </w:rPr>
        <w:t> </w:t>
      </w:r>
      <w:r>
        <w:rPr>
          <w:color w:val="231F20"/>
          <w:sz w:val="23"/>
        </w:rPr>
        <w:t>to</w:t>
      </w:r>
      <w:r>
        <w:rPr>
          <w:color w:val="231F20"/>
          <w:spacing w:val="-43"/>
          <w:sz w:val="23"/>
        </w:rPr>
        <w:t> </w:t>
      </w:r>
      <w:r>
        <w:rPr>
          <w:color w:val="231F20"/>
          <w:sz w:val="23"/>
        </w:rPr>
        <w:t>the</w:t>
      </w:r>
      <w:r>
        <w:rPr>
          <w:color w:val="231F20"/>
          <w:spacing w:val="-42"/>
          <w:sz w:val="23"/>
        </w:rPr>
        <w:t> </w:t>
      </w:r>
      <w:r>
        <w:rPr>
          <w:color w:val="231F20"/>
          <w:sz w:val="23"/>
        </w:rPr>
        <w:t>National</w:t>
      </w:r>
      <w:r>
        <w:rPr>
          <w:color w:val="231F20"/>
          <w:spacing w:val="-43"/>
          <w:sz w:val="23"/>
        </w:rPr>
        <w:t> </w:t>
      </w:r>
      <w:r>
        <w:rPr>
          <w:color w:val="231F20"/>
          <w:sz w:val="23"/>
        </w:rPr>
        <w:t>Minerals</w:t>
      </w:r>
      <w:r>
        <w:rPr>
          <w:color w:val="231F20"/>
          <w:spacing w:val="-42"/>
          <w:sz w:val="23"/>
        </w:rPr>
        <w:t> </w:t>
      </w:r>
      <w:r>
        <w:rPr>
          <w:color w:val="231F20"/>
          <w:sz w:val="23"/>
        </w:rPr>
        <w:t>Agency.</w:t>
      </w:r>
      <w:r>
        <w:rPr>
          <w:color w:val="231F20"/>
          <w:spacing w:val="-11"/>
          <w:sz w:val="23"/>
        </w:rPr>
        <w:t> </w:t>
      </w:r>
      <w:r>
        <w:rPr>
          <w:color w:val="231F20"/>
          <w:sz w:val="23"/>
        </w:rPr>
        <w:t>In</w:t>
      </w:r>
      <w:r>
        <w:rPr>
          <w:color w:val="231F20"/>
          <w:spacing w:val="-43"/>
          <w:sz w:val="23"/>
        </w:rPr>
        <w:t> </w:t>
      </w:r>
      <w:r>
        <w:rPr>
          <w:color w:val="231F20"/>
          <w:sz w:val="23"/>
        </w:rPr>
        <w:t>addition, Le6.0</w:t>
      </w:r>
      <w:r>
        <w:rPr>
          <w:color w:val="231F20"/>
          <w:spacing w:val="-18"/>
          <w:sz w:val="23"/>
        </w:rPr>
        <w:t> </w:t>
      </w:r>
      <w:r>
        <w:rPr>
          <w:color w:val="231F20"/>
          <w:sz w:val="23"/>
        </w:rPr>
        <w:t>billion</w:t>
      </w:r>
      <w:r>
        <w:rPr>
          <w:color w:val="231F20"/>
          <w:spacing w:val="-18"/>
          <w:sz w:val="23"/>
        </w:rPr>
        <w:t> </w:t>
      </w:r>
      <w:r>
        <w:rPr>
          <w:color w:val="231F20"/>
          <w:sz w:val="23"/>
        </w:rPr>
        <w:t>is</w:t>
      </w:r>
      <w:r>
        <w:rPr>
          <w:color w:val="231F20"/>
          <w:spacing w:val="-18"/>
          <w:sz w:val="23"/>
        </w:rPr>
        <w:t> </w:t>
      </w:r>
      <w:r>
        <w:rPr>
          <w:color w:val="231F20"/>
          <w:sz w:val="23"/>
        </w:rPr>
        <w:t>allocated</w:t>
      </w:r>
      <w:r>
        <w:rPr>
          <w:color w:val="231F20"/>
          <w:spacing w:val="-18"/>
          <w:sz w:val="23"/>
        </w:rPr>
        <w:t> </w:t>
      </w:r>
      <w:r>
        <w:rPr>
          <w:color w:val="231F20"/>
          <w:sz w:val="23"/>
        </w:rPr>
        <w:t>to</w:t>
      </w:r>
      <w:r>
        <w:rPr>
          <w:color w:val="231F20"/>
          <w:spacing w:val="-18"/>
          <w:sz w:val="23"/>
        </w:rPr>
        <w:t> </w:t>
      </w:r>
      <w:r>
        <w:rPr>
          <w:color w:val="231F20"/>
          <w:sz w:val="23"/>
        </w:rPr>
        <w:t>the</w:t>
      </w:r>
      <w:r>
        <w:rPr>
          <w:color w:val="231F20"/>
          <w:spacing w:val="-18"/>
          <w:sz w:val="23"/>
        </w:rPr>
        <w:t> </w:t>
      </w:r>
      <w:r>
        <w:rPr>
          <w:color w:val="231F20"/>
          <w:sz w:val="23"/>
        </w:rPr>
        <w:t>Petroleum</w:t>
      </w:r>
      <w:r>
        <w:rPr>
          <w:color w:val="231F20"/>
          <w:spacing w:val="-18"/>
          <w:sz w:val="23"/>
        </w:rPr>
        <w:t> </w:t>
      </w:r>
      <w:r>
        <w:rPr>
          <w:color w:val="231F20"/>
          <w:sz w:val="23"/>
        </w:rPr>
        <w:t>Directorate</w:t>
      </w:r>
      <w:r>
        <w:rPr>
          <w:color w:val="231F20"/>
          <w:spacing w:val="-18"/>
          <w:sz w:val="23"/>
        </w:rPr>
        <w:t> </w:t>
      </w:r>
      <w:r>
        <w:rPr>
          <w:color w:val="231F20"/>
          <w:sz w:val="23"/>
        </w:rPr>
        <w:t>for</w:t>
      </w:r>
      <w:r>
        <w:rPr>
          <w:color w:val="231F20"/>
          <w:spacing w:val="-18"/>
          <w:sz w:val="23"/>
        </w:rPr>
        <w:t> </w:t>
      </w:r>
      <w:r>
        <w:rPr>
          <w:color w:val="231F20"/>
          <w:sz w:val="23"/>
        </w:rPr>
        <w:t>the</w:t>
      </w:r>
      <w:r>
        <w:rPr>
          <w:color w:val="231F20"/>
          <w:spacing w:val="-18"/>
          <w:sz w:val="23"/>
        </w:rPr>
        <w:t> </w:t>
      </w:r>
      <w:r>
        <w:rPr>
          <w:color w:val="231F20"/>
          <w:sz w:val="23"/>
        </w:rPr>
        <w:t>effective</w:t>
      </w:r>
      <w:r>
        <w:rPr>
          <w:color w:val="231F20"/>
          <w:spacing w:val="-18"/>
          <w:sz w:val="23"/>
        </w:rPr>
        <w:t> </w:t>
      </w:r>
      <w:r>
        <w:rPr>
          <w:color w:val="231F20"/>
          <w:sz w:val="23"/>
        </w:rPr>
        <w:t>governance</w:t>
      </w:r>
      <w:r>
        <w:rPr>
          <w:color w:val="231F20"/>
          <w:spacing w:val="-18"/>
          <w:sz w:val="23"/>
        </w:rPr>
        <w:t> </w:t>
      </w:r>
      <w:r>
        <w:rPr>
          <w:color w:val="231F20"/>
          <w:sz w:val="23"/>
        </w:rPr>
        <w:t>and management</w:t>
      </w:r>
      <w:r>
        <w:rPr>
          <w:color w:val="231F20"/>
          <w:spacing w:val="-7"/>
          <w:sz w:val="23"/>
        </w:rPr>
        <w:t> </w:t>
      </w:r>
      <w:r>
        <w:rPr>
          <w:color w:val="231F20"/>
          <w:sz w:val="23"/>
        </w:rPr>
        <w:t>of</w:t>
      </w:r>
      <w:r>
        <w:rPr>
          <w:color w:val="231F20"/>
          <w:spacing w:val="-6"/>
          <w:sz w:val="23"/>
        </w:rPr>
        <w:t> </w:t>
      </w:r>
      <w:r>
        <w:rPr>
          <w:color w:val="231F20"/>
          <w:sz w:val="23"/>
        </w:rPr>
        <w:t>upstream</w:t>
      </w:r>
      <w:r>
        <w:rPr>
          <w:color w:val="231F20"/>
          <w:spacing w:val="-6"/>
          <w:sz w:val="23"/>
        </w:rPr>
        <w:t> </w:t>
      </w:r>
      <w:r>
        <w:rPr>
          <w:color w:val="231F20"/>
          <w:sz w:val="23"/>
        </w:rPr>
        <w:t>petroleum</w:t>
      </w:r>
      <w:r>
        <w:rPr>
          <w:color w:val="231F20"/>
          <w:spacing w:val="-6"/>
          <w:sz w:val="23"/>
        </w:rPr>
        <w:t> </w:t>
      </w:r>
      <w:r>
        <w:rPr>
          <w:color w:val="231F20"/>
          <w:sz w:val="23"/>
        </w:rPr>
        <w:t>resources.</w:t>
      </w:r>
      <w:r>
        <w:rPr>
          <w:color w:val="231F20"/>
          <w:spacing w:val="-7"/>
          <w:sz w:val="23"/>
        </w:rPr>
        <w:t> </w:t>
      </w:r>
      <w:r>
        <w:rPr>
          <w:color w:val="231F20"/>
          <w:sz w:val="23"/>
        </w:rPr>
        <w:t>The</w:t>
      </w:r>
      <w:r>
        <w:rPr>
          <w:color w:val="231F20"/>
          <w:spacing w:val="-6"/>
          <w:sz w:val="23"/>
        </w:rPr>
        <w:t> </w:t>
      </w:r>
      <w:r>
        <w:rPr>
          <w:color w:val="231F20"/>
          <w:sz w:val="23"/>
        </w:rPr>
        <w:t>Petroleum</w:t>
      </w:r>
      <w:r>
        <w:rPr>
          <w:color w:val="231F20"/>
          <w:spacing w:val="-6"/>
          <w:sz w:val="23"/>
        </w:rPr>
        <w:t> </w:t>
      </w:r>
      <w:r>
        <w:rPr>
          <w:color w:val="231F20"/>
          <w:sz w:val="23"/>
        </w:rPr>
        <w:t>Regulatory</w:t>
      </w:r>
      <w:r>
        <w:rPr>
          <w:color w:val="231F20"/>
          <w:spacing w:val="-6"/>
          <w:sz w:val="23"/>
        </w:rPr>
        <w:t> </w:t>
      </w:r>
      <w:r>
        <w:rPr>
          <w:color w:val="231F20"/>
          <w:sz w:val="23"/>
        </w:rPr>
        <w:t>Agency</w:t>
      </w:r>
      <w:r>
        <w:rPr>
          <w:color w:val="231F20"/>
          <w:spacing w:val="-6"/>
          <w:sz w:val="23"/>
        </w:rPr>
        <w:t> </w:t>
      </w:r>
      <w:r>
        <w:rPr>
          <w:color w:val="231F20"/>
          <w:sz w:val="23"/>
        </w:rPr>
        <w:t>is allocated</w:t>
      </w:r>
      <w:r>
        <w:rPr>
          <w:color w:val="231F20"/>
          <w:spacing w:val="-38"/>
          <w:sz w:val="23"/>
        </w:rPr>
        <w:t> </w:t>
      </w:r>
      <w:r>
        <w:rPr>
          <w:color w:val="231F20"/>
          <w:sz w:val="23"/>
        </w:rPr>
        <w:t>Le10.2</w:t>
      </w:r>
      <w:r>
        <w:rPr>
          <w:color w:val="231F20"/>
          <w:spacing w:val="-37"/>
          <w:sz w:val="23"/>
        </w:rPr>
        <w:t> </w:t>
      </w:r>
      <w:r>
        <w:rPr>
          <w:color w:val="231F20"/>
          <w:sz w:val="23"/>
        </w:rPr>
        <w:t>billion.</w:t>
      </w:r>
      <w:r>
        <w:rPr>
          <w:color w:val="231F20"/>
          <w:spacing w:val="-37"/>
          <w:sz w:val="23"/>
        </w:rPr>
        <w:t> </w:t>
      </w:r>
      <w:r>
        <w:rPr>
          <w:color w:val="231F20"/>
          <w:sz w:val="23"/>
        </w:rPr>
        <w:t>An</w:t>
      </w:r>
      <w:r>
        <w:rPr>
          <w:color w:val="231F20"/>
          <w:spacing w:val="-37"/>
          <w:sz w:val="23"/>
        </w:rPr>
        <w:t> </w:t>
      </w:r>
      <w:r>
        <w:rPr>
          <w:color w:val="231F20"/>
          <w:sz w:val="23"/>
        </w:rPr>
        <w:t>amount</w:t>
      </w:r>
      <w:r>
        <w:rPr>
          <w:color w:val="231F20"/>
          <w:spacing w:val="-37"/>
          <w:sz w:val="23"/>
        </w:rPr>
        <w:t> </w:t>
      </w:r>
      <w:r>
        <w:rPr>
          <w:color w:val="231F20"/>
          <w:sz w:val="23"/>
        </w:rPr>
        <w:t>of</w:t>
      </w:r>
      <w:r>
        <w:rPr>
          <w:color w:val="231F20"/>
          <w:spacing w:val="-37"/>
          <w:sz w:val="23"/>
        </w:rPr>
        <w:t> </w:t>
      </w:r>
      <w:r>
        <w:rPr>
          <w:color w:val="231F20"/>
          <w:sz w:val="23"/>
        </w:rPr>
        <w:t>Le3.7</w:t>
      </w:r>
      <w:r>
        <w:rPr>
          <w:color w:val="231F20"/>
          <w:spacing w:val="-37"/>
          <w:sz w:val="23"/>
        </w:rPr>
        <w:t> </w:t>
      </w:r>
      <w:r>
        <w:rPr>
          <w:color w:val="231F20"/>
          <w:sz w:val="23"/>
        </w:rPr>
        <w:t>billion</w:t>
      </w:r>
      <w:r>
        <w:rPr>
          <w:color w:val="231F20"/>
          <w:spacing w:val="-37"/>
          <w:sz w:val="23"/>
        </w:rPr>
        <w:t> </w:t>
      </w:r>
      <w:r>
        <w:rPr>
          <w:color w:val="231F20"/>
          <w:sz w:val="23"/>
        </w:rPr>
        <w:t>is</w:t>
      </w:r>
      <w:r>
        <w:rPr>
          <w:color w:val="231F20"/>
          <w:spacing w:val="-37"/>
          <w:sz w:val="23"/>
        </w:rPr>
        <w:t> </w:t>
      </w:r>
      <w:r>
        <w:rPr>
          <w:color w:val="231F20"/>
          <w:sz w:val="23"/>
        </w:rPr>
        <w:t>allocated</w:t>
      </w:r>
      <w:r>
        <w:rPr>
          <w:color w:val="231F20"/>
          <w:spacing w:val="-37"/>
          <w:sz w:val="23"/>
        </w:rPr>
        <w:t> </w:t>
      </w:r>
      <w:r>
        <w:rPr>
          <w:color w:val="231F20"/>
          <w:sz w:val="23"/>
        </w:rPr>
        <w:t>to</w:t>
      </w:r>
      <w:r>
        <w:rPr>
          <w:color w:val="231F20"/>
          <w:spacing w:val="-37"/>
          <w:sz w:val="23"/>
        </w:rPr>
        <w:t> </w:t>
      </w:r>
      <w:r>
        <w:rPr>
          <w:color w:val="231F20"/>
          <w:sz w:val="23"/>
        </w:rPr>
        <w:t>the</w:t>
      </w:r>
      <w:r>
        <w:rPr>
          <w:color w:val="231F20"/>
          <w:spacing w:val="-37"/>
          <w:sz w:val="23"/>
        </w:rPr>
        <w:t> </w:t>
      </w:r>
      <w:r>
        <w:rPr>
          <w:color w:val="231F20"/>
          <w:sz w:val="23"/>
        </w:rPr>
        <w:t>Ministry</w:t>
      </w:r>
      <w:r>
        <w:rPr>
          <w:color w:val="231F20"/>
          <w:spacing w:val="-37"/>
          <w:sz w:val="23"/>
        </w:rPr>
        <w:t> </w:t>
      </w:r>
      <w:r>
        <w:rPr>
          <w:color w:val="231F20"/>
          <w:sz w:val="23"/>
        </w:rPr>
        <w:t>of</w:t>
      </w:r>
      <w:r>
        <w:rPr>
          <w:color w:val="231F20"/>
          <w:spacing w:val="-37"/>
          <w:sz w:val="23"/>
        </w:rPr>
        <w:t> </w:t>
      </w:r>
      <w:r>
        <w:rPr>
          <w:color w:val="231F20"/>
          <w:sz w:val="23"/>
        </w:rPr>
        <w:t>Lands, Housing</w:t>
      </w:r>
      <w:r>
        <w:rPr>
          <w:color w:val="231F20"/>
          <w:spacing w:val="-12"/>
          <w:sz w:val="23"/>
        </w:rPr>
        <w:t> </w:t>
      </w:r>
      <w:r>
        <w:rPr>
          <w:color w:val="231F20"/>
          <w:sz w:val="23"/>
        </w:rPr>
        <w:t>and</w:t>
      </w:r>
      <w:r>
        <w:rPr>
          <w:color w:val="231F20"/>
          <w:spacing w:val="-12"/>
          <w:sz w:val="23"/>
        </w:rPr>
        <w:t> </w:t>
      </w:r>
      <w:r>
        <w:rPr>
          <w:color w:val="231F20"/>
          <w:sz w:val="23"/>
        </w:rPr>
        <w:t>the</w:t>
      </w:r>
      <w:r>
        <w:rPr>
          <w:color w:val="231F20"/>
          <w:spacing w:val="-12"/>
          <w:sz w:val="23"/>
        </w:rPr>
        <w:t> </w:t>
      </w:r>
      <w:r>
        <w:rPr>
          <w:color w:val="231F20"/>
          <w:sz w:val="23"/>
        </w:rPr>
        <w:t>Environment</w:t>
      </w:r>
      <w:r>
        <w:rPr>
          <w:color w:val="231F20"/>
          <w:spacing w:val="-12"/>
          <w:sz w:val="23"/>
        </w:rPr>
        <w:t> </w:t>
      </w:r>
      <w:r>
        <w:rPr>
          <w:color w:val="231F20"/>
          <w:sz w:val="23"/>
        </w:rPr>
        <w:t>for</w:t>
      </w:r>
      <w:r>
        <w:rPr>
          <w:color w:val="231F20"/>
          <w:spacing w:val="-12"/>
          <w:sz w:val="23"/>
        </w:rPr>
        <w:t> </w:t>
      </w:r>
      <w:r>
        <w:rPr>
          <w:color w:val="231F20"/>
          <w:sz w:val="23"/>
        </w:rPr>
        <w:t>the</w:t>
      </w:r>
      <w:r>
        <w:rPr>
          <w:color w:val="231F20"/>
          <w:spacing w:val="-12"/>
          <w:sz w:val="23"/>
        </w:rPr>
        <w:t> </w:t>
      </w:r>
      <w:r>
        <w:rPr>
          <w:color w:val="231F20"/>
          <w:sz w:val="23"/>
        </w:rPr>
        <w:t>implementation</w:t>
      </w:r>
      <w:r>
        <w:rPr>
          <w:color w:val="231F20"/>
          <w:spacing w:val="-12"/>
          <w:sz w:val="23"/>
        </w:rPr>
        <w:t> </w:t>
      </w:r>
      <w:r>
        <w:rPr>
          <w:color w:val="231F20"/>
          <w:sz w:val="23"/>
        </w:rPr>
        <w:t>of</w:t>
      </w:r>
      <w:r>
        <w:rPr>
          <w:color w:val="231F20"/>
          <w:spacing w:val="-12"/>
          <w:sz w:val="23"/>
        </w:rPr>
        <w:t> </w:t>
      </w:r>
      <w:r>
        <w:rPr>
          <w:color w:val="231F20"/>
          <w:sz w:val="23"/>
        </w:rPr>
        <w:t>the</w:t>
      </w:r>
      <w:r>
        <w:rPr>
          <w:color w:val="231F20"/>
          <w:spacing w:val="-12"/>
          <w:sz w:val="23"/>
        </w:rPr>
        <w:t> </w:t>
      </w:r>
      <w:r>
        <w:rPr>
          <w:color w:val="231F20"/>
          <w:sz w:val="23"/>
        </w:rPr>
        <w:t>development</w:t>
      </w:r>
      <w:r>
        <w:rPr>
          <w:color w:val="231F20"/>
          <w:spacing w:val="-12"/>
          <w:sz w:val="23"/>
        </w:rPr>
        <w:t> </w:t>
      </w:r>
      <w:r>
        <w:rPr>
          <w:color w:val="231F20"/>
          <w:sz w:val="23"/>
        </w:rPr>
        <w:t>of</w:t>
      </w:r>
      <w:r>
        <w:rPr>
          <w:color w:val="231F20"/>
          <w:spacing w:val="-12"/>
          <w:sz w:val="23"/>
        </w:rPr>
        <w:t> </w:t>
      </w:r>
      <w:r>
        <w:rPr>
          <w:color w:val="231F20"/>
          <w:sz w:val="23"/>
        </w:rPr>
        <w:t>the</w:t>
      </w:r>
      <w:r>
        <w:rPr>
          <w:color w:val="231F20"/>
          <w:spacing w:val="-12"/>
          <w:sz w:val="23"/>
        </w:rPr>
        <w:t> </w:t>
      </w:r>
      <w:r>
        <w:rPr>
          <w:color w:val="231F20"/>
          <w:sz w:val="23"/>
        </w:rPr>
        <w:t>legal framework for the Land Commission and Customary Land Rights</w:t>
      </w:r>
      <w:r>
        <w:rPr>
          <w:color w:val="231F20"/>
          <w:spacing w:val="-36"/>
          <w:sz w:val="23"/>
        </w:rPr>
        <w:t> </w:t>
      </w:r>
      <w:r>
        <w:rPr>
          <w:color w:val="231F20"/>
          <w:sz w:val="23"/>
        </w:rPr>
        <w:t>Bill.</w:t>
      </w:r>
    </w:p>
    <w:p>
      <w:pPr>
        <w:pStyle w:val="BodyText"/>
        <w:spacing w:before="10"/>
        <w:rPr>
          <w:sz w:val="28"/>
        </w:rPr>
      </w:pPr>
    </w:p>
    <w:p>
      <w:pPr>
        <w:pStyle w:val="Heading2"/>
        <w:jc w:val="both"/>
      </w:pPr>
      <w:r>
        <w:rPr>
          <w:color w:val="231F20"/>
        </w:rPr>
        <w:t>Cluster Four: Governance and Accountability for Results</w:t>
      </w:r>
    </w:p>
    <w:p>
      <w:pPr>
        <w:pStyle w:val="ListParagraph"/>
        <w:numPr>
          <w:ilvl w:val="0"/>
          <w:numId w:val="2"/>
        </w:numPr>
        <w:tabs>
          <w:tab w:pos="954" w:val="left" w:leader="none"/>
        </w:tabs>
        <w:spacing w:line="302" w:lineRule="auto" w:before="71" w:after="0"/>
        <w:ind w:left="103" w:right="117" w:firstLine="87"/>
        <w:jc w:val="both"/>
        <w:rPr>
          <w:sz w:val="23"/>
        </w:rPr>
      </w:pPr>
      <w:r>
        <w:rPr>
          <w:color w:val="231F20"/>
          <w:sz w:val="23"/>
        </w:rPr>
        <w:t>Mr.</w:t>
      </w:r>
      <w:r>
        <w:rPr>
          <w:color w:val="231F20"/>
          <w:spacing w:val="-17"/>
          <w:sz w:val="23"/>
        </w:rPr>
        <w:t> </w:t>
      </w:r>
      <w:r>
        <w:rPr>
          <w:color w:val="231F20"/>
          <w:sz w:val="23"/>
        </w:rPr>
        <w:t>Speaker,</w:t>
      </w:r>
      <w:r>
        <w:rPr>
          <w:color w:val="231F20"/>
          <w:spacing w:val="-17"/>
          <w:sz w:val="23"/>
        </w:rPr>
        <w:t> </w:t>
      </w:r>
      <w:r>
        <w:rPr>
          <w:color w:val="231F20"/>
          <w:sz w:val="23"/>
        </w:rPr>
        <w:t>Honourable</w:t>
      </w:r>
      <w:r>
        <w:rPr>
          <w:color w:val="231F20"/>
          <w:spacing w:val="-17"/>
          <w:sz w:val="23"/>
        </w:rPr>
        <w:t> </w:t>
      </w:r>
      <w:r>
        <w:rPr>
          <w:color w:val="231F20"/>
          <w:sz w:val="23"/>
        </w:rPr>
        <w:t>Members,</w:t>
      </w:r>
      <w:r>
        <w:rPr>
          <w:color w:val="231F20"/>
          <w:spacing w:val="-17"/>
          <w:sz w:val="23"/>
        </w:rPr>
        <w:t> </w:t>
      </w:r>
      <w:r>
        <w:rPr>
          <w:color w:val="231F20"/>
          <w:sz w:val="23"/>
        </w:rPr>
        <w:t>to</w:t>
      </w:r>
      <w:r>
        <w:rPr>
          <w:color w:val="231F20"/>
          <w:spacing w:val="-17"/>
          <w:sz w:val="23"/>
        </w:rPr>
        <w:t> </w:t>
      </w:r>
      <w:r>
        <w:rPr>
          <w:color w:val="231F20"/>
          <w:sz w:val="23"/>
        </w:rPr>
        <w:t>promote</w:t>
      </w:r>
      <w:r>
        <w:rPr>
          <w:color w:val="231F20"/>
          <w:spacing w:val="-17"/>
          <w:sz w:val="23"/>
        </w:rPr>
        <w:t> </w:t>
      </w:r>
      <w:r>
        <w:rPr>
          <w:color w:val="231F20"/>
          <w:sz w:val="23"/>
        </w:rPr>
        <w:t>good</w:t>
      </w:r>
      <w:r>
        <w:rPr>
          <w:color w:val="231F20"/>
          <w:spacing w:val="-17"/>
          <w:sz w:val="23"/>
        </w:rPr>
        <w:t> </w:t>
      </w:r>
      <w:r>
        <w:rPr>
          <w:color w:val="231F20"/>
          <w:sz w:val="23"/>
        </w:rPr>
        <w:t>governance</w:t>
      </w:r>
      <w:r>
        <w:rPr>
          <w:color w:val="231F20"/>
          <w:spacing w:val="-17"/>
          <w:sz w:val="23"/>
        </w:rPr>
        <w:t> </w:t>
      </w:r>
      <w:r>
        <w:rPr>
          <w:color w:val="231F20"/>
          <w:sz w:val="23"/>
        </w:rPr>
        <w:t>and</w:t>
      </w:r>
      <w:r>
        <w:rPr>
          <w:color w:val="231F20"/>
          <w:spacing w:val="-17"/>
          <w:sz w:val="23"/>
        </w:rPr>
        <w:t> </w:t>
      </w:r>
      <w:r>
        <w:rPr>
          <w:color w:val="231F20"/>
          <w:sz w:val="23"/>
        </w:rPr>
        <w:t>efficient management of the economy, Government is allocating from the recurrent budget, Le7.2 billion to the Audit Service Sierra Leone; Le8.0 billion to the Anti Corruption Commission; Le17.0 billion to the Judiciary; Le18.8 billion to the Law Officer’s Department; Le93.0 billion to the Ministry of Foreign Affairs and International Cooperation;</w:t>
      </w:r>
      <w:r>
        <w:rPr>
          <w:color w:val="231F20"/>
          <w:spacing w:val="-23"/>
          <w:sz w:val="23"/>
        </w:rPr>
        <w:t> </w:t>
      </w:r>
      <w:r>
        <w:rPr>
          <w:color w:val="231F20"/>
          <w:sz w:val="23"/>
        </w:rPr>
        <w:t>Le83.0</w:t>
      </w:r>
      <w:r>
        <w:rPr>
          <w:color w:val="231F20"/>
          <w:spacing w:val="-23"/>
          <w:sz w:val="23"/>
        </w:rPr>
        <w:t> </w:t>
      </w:r>
      <w:r>
        <w:rPr>
          <w:color w:val="231F20"/>
          <w:sz w:val="23"/>
        </w:rPr>
        <w:t>billion</w:t>
      </w:r>
      <w:r>
        <w:rPr>
          <w:color w:val="231F20"/>
          <w:spacing w:val="-23"/>
          <w:sz w:val="23"/>
        </w:rPr>
        <w:t> </w:t>
      </w:r>
      <w:r>
        <w:rPr>
          <w:color w:val="231F20"/>
          <w:sz w:val="23"/>
        </w:rPr>
        <w:t>to</w:t>
      </w:r>
      <w:r>
        <w:rPr>
          <w:color w:val="231F20"/>
          <w:spacing w:val="-23"/>
          <w:sz w:val="23"/>
        </w:rPr>
        <w:t> </w:t>
      </w:r>
      <w:r>
        <w:rPr>
          <w:color w:val="231F20"/>
          <w:sz w:val="23"/>
        </w:rPr>
        <w:t>the</w:t>
      </w:r>
      <w:r>
        <w:rPr>
          <w:color w:val="231F20"/>
          <w:spacing w:val="-23"/>
          <w:sz w:val="23"/>
        </w:rPr>
        <w:t> </w:t>
      </w:r>
      <w:r>
        <w:rPr>
          <w:color w:val="231F20"/>
          <w:sz w:val="23"/>
        </w:rPr>
        <w:t>Ministry</w:t>
      </w:r>
      <w:r>
        <w:rPr>
          <w:color w:val="231F20"/>
          <w:spacing w:val="-23"/>
          <w:sz w:val="23"/>
        </w:rPr>
        <w:t> </w:t>
      </w:r>
      <w:r>
        <w:rPr>
          <w:color w:val="231F20"/>
          <w:sz w:val="23"/>
        </w:rPr>
        <w:t>of</w:t>
      </w:r>
      <w:r>
        <w:rPr>
          <w:color w:val="231F20"/>
          <w:spacing w:val="-23"/>
          <w:sz w:val="23"/>
        </w:rPr>
        <w:t> </w:t>
      </w:r>
      <w:r>
        <w:rPr>
          <w:color w:val="231F20"/>
          <w:sz w:val="23"/>
        </w:rPr>
        <w:t>Finance;</w:t>
      </w:r>
      <w:r>
        <w:rPr>
          <w:color w:val="231F20"/>
          <w:spacing w:val="-23"/>
          <w:sz w:val="23"/>
        </w:rPr>
        <w:t> </w:t>
      </w:r>
      <w:r>
        <w:rPr>
          <w:color w:val="231F20"/>
          <w:sz w:val="23"/>
        </w:rPr>
        <w:t>Le43.5</w:t>
      </w:r>
      <w:r>
        <w:rPr>
          <w:color w:val="231F20"/>
          <w:spacing w:val="-23"/>
          <w:sz w:val="23"/>
        </w:rPr>
        <w:t> </w:t>
      </w:r>
      <w:r>
        <w:rPr>
          <w:color w:val="231F20"/>
          <w:sz w:val="23"/>
        </w:rPr>
        <w:t>billion</w:t>
      </w:r>
      <w:r>
        <w:rPr>
          <w:color w:val="231F20"/>
          <w:spacing w:val="-23"/>
          <w:sz w:val="23"/>
        </w:rPr>
        <w:t> </w:t>
      </w:r>
      <w:r>
        <w:rPr>
          <w:color w:val="231F20"/>
          <w:sz w:val="23"/>
        </w:rPr>
        <w:t>to</w:t>
      </w:r>
      <w:r>
        <w:rPr>
          <w:color w:val="231F20"/>
          <w:spacing w:val="-23"/>
          <w:sz w:val="23"/>
        </w:rPr>
        <w:t> </w:t>
      </w:r>
      <w:r>
        <w:rPr>
          <w:color w:val="231F20"/>
          <w:sz w:val="23"/>
        </w:rPr>
        <w:t>the</w:t>
      </w:r>
      <w:r>
        <w:rPr>
          <w:color w:val="231F20"/>
          <w:spacing w:val="-23"/>
          <w:sz w:val="23"/>
        </w:rPr>
        <w:t> </w:t>
      </w:r>
      <w:r>
        <w:rPr>
          <w:color w:val="231F20"/>
          <w:sz w:val="23"/>
        </w:rPr>
        <w:t>Ministry</w:t>
      </w:r>
      <w:r>
        <w:rPr>
          <w:color w:val="231F20"/>
          <w:spacing w:val="-23"/>
          <w:sz w:val="23"/>
        </w:rPr>
        <w:t> </w:t>
      </w:r>
      <w:r>
        <w:rPr>
          <w:color w:val="231F20"/>
          <w:sz w:val="23"/>
        </w:rPr>
        <w:t>of Planning</w:t>
      </w:r>
      <w:r>
        <w:rPr>
          <w:color w:val="231F20"/>
          <w:spacing w:val="-7"/>
          <w:sz w:val="23"/>
        </w:rPr>
        <w:t> </w:t>
      </w:r>
      <w:r>
        <w:rPr>
          <w:color w:val="231F20"/>
          <w:sz w:val="23"/>
        </w:rPr>
        <w:t>and</w:t>
      </w:r>
      <w:r>
        <w:rPr>
          <w:color w:val="231F20"/>
          <w:spacing w:val="-7"/>
          <w:sz w:val="23"/>
        </w:rPr>
        <w:t> </w:t>
      </w:r>
      <w:r>
        <w:rPr>
          <w:color w:val="231F20"/>
          <w:sz w:val="23"/>
        </w:rPr>
        <w:t>Economic</w:t>
      </w:r>
      <w:r>
        <w:rPr>
          <w:color w:val="231F20"/>
          <w:spacing w:val="-7"/>
          <w:sz w:val="23"/>
        </w:rPr>
        <w:t> </w:t>
      </w:r>
      <w:r>
        <w:rPr>
          <w:color w:val="231F20"/>
          <w:sz w:val="23"/>
        </w:rPr>
        <w:t>Development;</w:t>
      </w:r>
      <w:r>
        <w:rPr>
          <w:color w:val="231F20"/>
          <w:spacing w:val="-7"/>
          <w:sz w:val="23"/>
        </w:rPr>
        <w:t> </w:t>
      </w:r>
      <w:r>
        <w:rPr>
          <w:color w:val="231F20"/>
          <w:sz w:val="23"/>
        </w:rPr>
        <w:t>Statistics</w:t>
      </w:r>
      <w:r>
        <w:rPr>
          <w:color w:val="231F20"/>
          <w:spacing w:val="-7"/>
          <w:sz w:val="23"/>
        </w:rPr>
        <w:t> </w:t>
      </w:r>
      <w:r>
        <w:rPr>
          <w:color w:val="231F20"/>
          <w:sz w:val="23"/>
        </w:rPr>
        <w:t>Sierra</w:t>
      </w:r>
      <w:r>
        <w:rPr>
          <w:color w:val="231F20"/>
          <w:spacing w:val="-7"/>
          <w:sz w:val="23"/>
        </w:rPr>
        <w:t> </w:t>
      </w:r>
      <w:r>
        <w:rPr>
          <w:color w:val="231F20"/>
          <w:sz w:val="23"/>
        </w:rPr>
        <w:t>Leone,</w:t>
      </w:r>
      <w:r>
        <w:rPr>
          <w:color w:val="231F20"/>
          <w:spacing w:val="-7"/>
          <w:sz w:val="23"/>
        </w:rPr>
        <w:t> </w:t>
      </w:r>
      <w:r>
        <w:rPr>
          <w:color w:val="231F20"/>
          <w:sz w:val="23"/>
        </w:rPr>
        <w:t>Le5.6</w:t>
      </w:r>
      <w:r>
        <w:rPr>
          <w:color w:val="231F20"/>
          <w:spacing w:val="-7"/>
          <w:sz w:val="23"/>
        </w:rPr>
        <w:t> </w:t>
      </w:r>
      <w:r>
        <w:rPr>
          <w:color w:val="231F20"/>
          <w:sz w:val="23"/>
        </w:rPr>
        <w:t>billion;</w:t>
      </w:r>
      <w:r>
        <w:rPr>
          <w:color w:val="231F20"/>
          <w:spacing w:val="-7"/>
          <w:sz w:val="23"/>
        </w:rPr>
        <w:t> </w:t>
      </w:r>
      <w:r>
        <w:rPr>
          <w:color w:val="231F20"/>
          <w:sz w:val="23"/>
        </w:rPr>
        <w:t>Le193.9 billion</w:t>
      </w:r>
      <w:r>
        <w:rPr>
          <w:color w:val="231F20"/>
          <w:spacing w:val="-11"/>
          <w:sz w:val="23"/>
        </w:rPr>
        <w:t> </w:t>
      </w:r>
      <w:r>
        <w:rPr>
          <w:color w:val="231F20"/>
          <w:sz w:val="23"/>
        </w:rPr>
        <w:t>to</w:t>
      </w:r>
      <w:r>
        <w:rPr>
          <w:color w:val="231F20"/>
          <w:spacing w:val="-11"/>
          <w:sz w:val="23"/>
        </w:rPr>
        <w:t> </w:t>
      </w:r>
      <w:r>
        <w:rPr>
          <w:color w:val="231F20"/>
          <w:sz w:val="23"/>
        </w:rPr>
        <w:t>the</w:t>
      </w:r>
      <w:r>
        <w:rPr>
          <w:color w:val="231F20"/>
          <w:spacing w:val="-11"/>
          <w:sz w:val="23"/>
        </w:rPr>
        <w:t> </w:t>
      </w:r>
      <w:r>
        <w:rPr>
          <w:color w:val="231F20"/>
          <w:sz w:val="23"/>
        </w:rPr>
        <w:t>National</w:t>
      </w:r>
      <w:r>
        <w:rPr>
          <w:color w:val="231F20"/>
          <w:spacing w:val="-10"/>
          <w:sz w:val="23"/>
        </w:rPr>
        <w:t> </w:t>
      </w:r>
      <w:r>
        <w:rPr>
          <w:color w:val="231F20"/>
          <w:sz w:val="23"/>
        </w:rPr>
        <w:t>Revenue</w:t>
      </w:r>
      <w:r>
        <w:rPr>
          <w:color w:val="231F20"/>
          <w:spacing w:val="-11"/>
          <w:sz w:val="23"/>
        </w:rPr>
        <w:t> </w:t>
      </w:r>
      <w:r>
        <w:rPr>
          <w:color w:val="231F20"/>
          <w:sz w:val="23"/>
        </w:rPr>
        <w:t>Authority;</w:t>
      </w:r>
      <w:r>
        <w:rPr>
          <w:color w:val="231F20"/>
          <w:spacing w:val="-11"/>
          <w:sz w:val="23"/>
        </w:rPr>
        <w:t> </w:t>
      </w:r>
      <w:r>
        <w:rPr>
          <w:color w:val="231F20"/>
          <w:sz w:val="23"/>
        </w:rPr>
        <w:t>Le35.0</w:t>
      </w:r>
      <w:r>
        <w:rPr>
          <w:color w:val="231F20"/>
          <w:spacing w:val="-11"/>
          <w:sz w:val="23"/>
        </w:rPr>
        <w:t> </w:t>
      </w:r>
      <w:r>
        <w:rPr>
          <w:color w:val="231F20"/>
          <w:sz w:val="23"/>
        </w:rPr>
        <w:t>billion</w:t>
      </w:r>
      <w:r>
        <w:rPr>
          <w:color w:val="231F20"/>
          <w:spacing w:val="-11"/>
          <w:sz w:val="23"/>
        </w:rPr>
        <w:t> </w:t>
      </w:r>
      <w:r>
        <w:rPr>
          <w:color w:val="231F20"/>
          <w:sz w:val="23"/>
        </w:rPr>
        <w:t>to</w:t>
      </w:r>
      <w:r>
        <w:rPr>
          <w:color w:val="231F20"/>
          <w:spacing w:val="-11"/>
          <w:sz w:val="23"/>
        </w:rPr>
        <w:t> </w:t>
      </w:r>
      <w:r>
        <w:rPr>
          <w:color w:val="231F20"/>
          <w:sz w:val="23"/>
        </w:rPr>
        <w:t>the</w:t>
      </w:r>
      <w:r>
        <w:rPr>
          <w:color w:val="231F20"/>
          <w:spacing w:val="-11"/>
          <w:sz w:val="23"/>
        </w:rPr>
        <w:t> </w:t>
      </w:r>
      <w:r>
        <w:rPr>
          <w:color w:val="231F20"/>
          <w:sz w:val="23"/>
        </w:rPr>
        <w:t>Accountant-General’s Department;</w:t>
      </w:r>
      <w:r>
        <w:rPr>
          <w:color w:val="231F20"/>
          <w:spacing w:val="-19"/>
          <w:sz w:val="23"/>
        </w:rPr>
        <w:t> </w:t>
      </w:r>
      <w:r>
        <w:rPr>
          <w:color w:val="231F20"/>
          <w:sz w:val="23"/>
        </w:rPr>
        <w:t>Le1.1</w:t>
      </w:r>
      <w:r>
        <w:rPr>
          <w:color w:val="231F20"/>
          <w:spacing w:val="-19"/>
          <w:sz w:val="23"/>
        </w:rPr>
        <w:t> </w:t>
      </w:r>
      <w:r>
        <w:rPr>
          <w:color w:val="231F20"/>
          <w:sz w:val="23"/>
        </w:rPr>
        <w:t>billion</w:t>
      </w:r>
      <w:r>
        <w:rPr>
          <w:color w:val="231F20"/>
          <w:spacing w:val="-19"/>
          <w:sz w:val="23"/>
        </w:rPr>
        <w:t> </w:t>
      </w:r>
      <w:r>
        <w:rPr>
          <w:color w:val="231F20"/>
          <w:sz w:val="23"/>
        </w:rPr>
        <w:t>to</w:t>
      </w:r>
      <w:r>
        <w:rPr>
          <w:color w:val="231F20"/>
          <w:spacing w:val="-19"/>
          <w:sz w:val="23"/>
        </w:rPr>
        <w:t> </w:t>
      </w:r>
      <w:r>
        <w:rPr>
          <w:color w:val="231F20"/>
          <w:sz w:val="23"/>
        </w:rPr>
        <w:t>the</w:t>
      </w:r>
      <w:r>
        <w:rPr>
          <w:color w:val="231F20"/>
          <w:spacing w:val="-19"/>
          <w:sz w:val="23"/>
        </w:rPr>
        <w:t> </w:t>
      </w:r>
      <w:r>
        <w:rPr>
          <w:color w:val="231F20"/>
          <w:sz w:val="23"/>
        </w:rPr>
        <w:t>National</w:t>
      </w:r>
      <w:r>
        <w:rPr>
          <w:color w:val="231F20"/>
          <w:spacing w:val="-19"/>
          <w:sz w:val="23"/>
        </w:rPr>
        <w:t> </w:t>
      </w:r>
      <w:r>
        <w:rPr>
          <w:color w:val="231F20"/>
          <w:sz w:val="23"/>
        </w:rPr>
        <w:t>Commission</w:t>
      </w:r>
      <w:r>
        <w:rPr>
          <w:color w:val="231F20"/>
          <w:spacing w:val="-19"/>
          <w:sz w:val="23"/>
        </w:rPr>
        <w:t> </w:t>
      </w:r>
      <w:r>
        <w:rPr>
          <w:color w:val="231F20"/>
          <w:sz w:val="23"/>
        </w:rPr>
        <w:t>for</w:t>
      </w:r>
      <w:r>
        <w:rPr>
          <w:color w:val="231F20"/>
          <w:spacing w:val="-19"/>
          <w:sz w:val="23"/>
        </w:rPr>
        <w:t> </w:t>
      </w:r>
      <w:r>
        <w:rPr>
          <w:color w:val="231F20"/>
          <w:sz w:val="23"/>
        </w:rPr>
        <w:t>Democracy;</w:t>
      </w:r>
      <w:r>
        <w:rPr>
          <w:color w:val="231F20"/>
          <w:spacing w:val="-19"/>
          <w:sz w:val="23"/>
        </w:rPr>
        <w:t> </w:t>
      </w:r>
      <w:r>
        <w:rPr>
          <w:color w:val="231F20"/>
          <w:sz w:val="23"/>
        </w:rPr>
        <w:t>Le2.0</w:t>
      </w:r>
      <w:r>
        <w:rPr>
          <w:color w:val="231F20"/>
          <w:spacing w:val="-19"/>
          <w:sz w:val="23"/>
        </w:rPr>
        <w:t> </w:t>
      </w:r>
      <w:r>
        <w:rPr>
          <w:color w:val="231F20"/>
          <w:sz w:val="23"/>
        </w:rPr>
        <w:t>billion</w:t>
      </w:r>
      <w:r>
        <w:rPr>
          <w:color w:val="231F20"/>
          <w:spacing w:val="-19"/>
          <w:sz w:val="23"/>
        </w:rPr>
        <w:t> </w:t>
      </w:r>
      <w:r>
        <w:rPr>
          <w:color w:val="231F20"/>
          <w:sz w:val="23"/>
        </w:rPr>
        <w:t>to the</w:t>
      </w:r>
      <w:r>
        <w:rPr>
          <w:color w:val="231F20"/>
          <w:spacing w:val="-34"/>
          <w:sz w:val="23"/>
        </w:rPr>
        <w:t> </w:t>
      </w:r>
      <w:r>
        <w:rPr>
          <w:color w:val="231F20"/>
          <w:sz w:val="23"/>
        </w:rPr>
        <w:t>National</w:t>
      </w:r>
      <w:r>
        <w:rPr>
          <w:color w:val="231F20"/>
          <w:spacing w:val="-34"/>
          <w:sz w:val="23"/>
        </w:rPr>
        <w:t> </w:t>
      </w:r>
      <w:r>
        <w:rPr>
          <w:color w:val="231F20"/>
          <w:sz w:val="23"/>
        </w:rPr>
        <w:t>Council</w:t>
      </w:r>
      <w:r>
        <w:rPr>
          <w:color w:val="231F20"/>
          <w:spacing w:val="-34"/>
          <w:sz w:val="23"/>
        </w:rPr>
        <w:t> </w:t>
      </w:r>
      <w:r>
        <w:rPr>
          <w:color w:val="231F20"/>
          <w:sz w:val="23"/>
        </w:rPr>
        <w:t>for</w:t>
      </w:r>
      <w:r>
        <w:rPr>
          <w:color w:val="231F20"/>
          <w:spacing w:val="-34"/>
          <w:sz w:val="23"/>
        </w:rPr>
        <w:t> </w:t>
      </w:r>
      <w:r>
        <w:rPr>
          <w:color w:val="231F20"/>
          <w:sz w:val="23"/>
        </w:rPr>
        <w:t>Civic</w:t>
      </w:r>
      <w:r>
        <w:rPr>
          <w:color w:val="231F20"/>
          <w:spacing w:val="-34"/>
          <w:sz w:val="23"/>
        </w:rPr>
        <w:t> </w:t>
      </w:r>
      <w:r>
        <w:rPr>
          <w:color w:val="231F20"/>
          <w:sz w:val="23"/>
        </w:rPr>
        <w:t>Education</w:t>
      </w:r>
      <w:r>
        <w:rPr>
          <w:color w:val="231F20"/>
          <w:spacing w:val="-34"/>
          <w:sz w:val="23"/>
        </w:rPr>
        <w:t> </w:t>
      </w:r>
      <w:r>
        <w:rPr>
          <w:color w:val="231F20"/>
          <w:sz w:val="23"/>
        </w:rPr>
        <w:t>and</w:t>
      </w:r>
      <w:r>
        <w:rPr>
          <w:color w:val="231F20"/>
          <w:spacing w:val="-34"/>
          <w:sz w:val="23"/>
        </w:rPr>
        <w:t> </w:t>
      </w:r>
      <w:r>
        <w:rPr>
          <w:color w:val="231F20"/>
          <w:sz w:val="23"/>
        </w:rPr>
        <w:t>Development</w:t>
      </w:r>
      <w:r>
        <w:rPr>
          <w:color w:val="231F20"/>
          <w:spacing w:val="-34"/>
          <w:sz w:val="23"/>
        </w:rPr>
        <w:t> </w:t>
      </w:r>
      <w:r>
        <w:rPr>
          <w:color w:val="231F20"/>
          <w:sz w:val="23"/>
        </w:rPr>
        <w:t>(NACCED):</w:t>
      </w:r>
      <w:r>
        <w:rPr>
          <w:color w:val="231F20"/>
          <w:spacing w:val="-34"/>
          <w:sz w:val="23"/>
        </w:rPr>
        <w:t> </w:t>
      </w:r>
      <w:r>
        <w:rPr>
          <w:color w:val="231F20"/>
          <w:sz w:val="23"/>
        </w:rPr>
        <w:t>Le70.8</w:t>
      </w:r>
      <w:r>
        <w:rPr>
          <w:color w:val="231F20"/>
          <w:spacing w:val="-34"/>
          <w:sz w:val="23"/>
        </w:rPr>
        <w:t> </w:t>
      </w:r>
      <w:r>
        <w:rPr>
          <w:color w:val="231F20"/>
          <w:sz w:val="23"/>
        </w:rPr>
        <w:t>billion</w:t>
      </w:r>
      <w:r>
        <w:rPr>
          <w:color w:val="231F20"/>
          <w:spacing w:val="-34"/>
          <w:sz w:val="23"/>
        </w:rPr>
        <w:t> </w:t>
      </w:r>
      <w:r>
        <w:rPr>
          <w:color w:val="231F20"/>
          <w:sz w:val="23"/>
        </w:rPr>
        <w:t>to the</w:t>
      </w:r>
      <w:r>
        <w:rPr>
          <w:color w:val="231F20"/>
          <w:spacing w:val="-15"/>
          <w:sz w:val="23"/>
        </w:rPr>
        <w:t> </w:t>
      </w:r>
      <w:r>
        <w:rPr>
          <w:color w:val="231F20"/>
          <w:sz w:val="23"/>
        </w:rPr>
        <w:t>Ministry</w:t>
      </w:r>
      <w:r>
        <w:rPr>
          <w:color w:val="231F20"/>
          <w:spacing w:val="-15"/>
          <w:sz w:val="23"/>
        </w:rPr>
        <w:t> </w:t>
      </w:r>
      <w:r>
        <w:rPr>
          <w:color w:val="231F20"/>
          <w:sz w:val="23"/>
        </w:rPr>
        <w:t>of</w:t>
      </w:r>
      <w:r>
        <w:rPr>
          <w:color w:val="231F20"/>
          <w:spacing w:val="-15"/>
          <w:sz w:val="23"/>
        </w:rPr>
        <w:t> </w:t>
      </w:r>
      <w:r>
        <w:rPr>
          <w:color w:val="231F20"/>
          <w:sz w:val="23"/>
        </w:rPr>
        <w:t>Defence;</w:t>
      </w:r>
      <w:r>
        <w:rPr>
          <w:color w:val="231F20"/>
          <w:spacing w:val="-15"/>
          <w:sz w:val="23"/>
        </w:rPr>
        <w:t> </w:t>
      </w:r>
      <w:r>
        <w:rPr>
          <w:color w:val="231F20"/>
          <w:sz w:val="23"/>
        </w:rPr>
        <w:t>Le60.1</w:t>
      </w:r>
      <w:r>
        <w:rPr>
          <w:color w:val="231F20"/>
          <w:spacing w:val="-15"/>
          <w:sz w:val="23"/>
        </w:rPr>
        <w:t> </w:t>
      </w:r>
      <w:r>
        <w:rPr>
          <w:color w:val="231F20"/>
          <w:sz w:val="23"/>
        </w:rPr>
        <w:t>billion</w:t>
      </w:r>
      <w:r>
        <w:rPr>
          <w:color w:val="231F20"/>
          <w:spacing w:val="-15"/>
          <w:sz w:val="23"/>
        </w:rPr>
        <w:t> </w:t>
      </w:r>
      <w:r>
        <w:rPr>
          <w:color w:val="231F20"/>
          <w:sz w:val="23"/>
        </w:rPr>
        <w:t>to</w:t>
      </w:r>
      <w:r>
        <w:rPr>
          <w:color w:val="231F20"/>
          <w:spacing w:val="-15"/>
          <w:sz w:val="23"/>
        </w:rPr>
        <w:t> </w:t>
      </w:r>
      <w:r>
        <w:rPr>
          <w:color w:val="231F20"/>
          <w:sz w:val="23"/>
        </w:rPr>
        <w:t>the</w:t>
      </w:r>
      <w:r>
        <w:rPr>
          <w:color w:val="231F20"/>
          <w:spacing w:val="-15"/>
          <w:sz w:val="23"/>
        </w:rPr>
        <w:t> </w:t>
      </w:r>
      <w:r>
        <w:rPr>
          <w:color w:val="231F20"/>
          <w:sz w:val="23"/>
        </w:rPr>
        <w:t>Sierra</w:t>
      </w:r>
      <w:r>
        <w:rPr>
          <w:color w:val="231F20"/>
          <w:spacing w:val="-15"/>
          <w:sz w:val="23"/>
        </w:rPr>
        <w:t> </w:t>
      </w:r>
      <w:r>
        <w:rPr>
          <w:color w:val="231F20"/>
          <w:sz w:val="23"/>
        </w:rPr>
        <w:t>Leone</w:t>
      </w:r>
      <w:r>
        <w:rPr>
          <w:color w:val="231F20"/>
          <w:spacing w:val="-15"/>
          <w:sz w:val="23"/>
        </w:rPr>
        <w:t> </w:t>
      </w:r>
      <w:r>
        <w:rPr>
          <w:color w:val="231F20"/>
          <w:sz w:val="23"/>
        </w:rPr>
        <w:t>Police;</w:t>
      </w:r>
      <w:r>
        <w:rPr>
          <w:color w:val="231F20"/>
          <w:spacing w:val="-15"/>
          <w:sz w:val="23"/>
        </w:rPr>
        <w:t> </w:t>
      </w:r>
      <w:r>
        <w:rPr>
          <w:color w:val="231F20"/>
          <w:sz w:val="23"/>
        </w:rPr>
        <w:t>Le43.8</w:t>
      </w:r>
      <w:r>
        <w:rPr>
          <w:color w:val="231F20"/>
          <w:spacing w:val="-15"/>
          <w:sz w:val="23"/>
        </w:rPr>
        <w:t> </w:t>
      </w:r>
      <w:r>
        <w:rPr>
          <w:color w:val="231F20"/>
          <w:sz w:val="23"/>
        </w:rPr>
        <w:t>billion</w:t>
      </w:r>
      <w:r>
        <w:rPr>
          <w:color w:val="231F20"/>
          <w:spacing w:val="-15"/>
          <w:sz w:val="23"/>
        </w:rPr>
        <w:t> </w:t>
      </w:r>
      <w:r>
        <w:rPr>
          <w:color w:val="231F20"/>
          <w:sz w:val="23"/>
        </w:rPr>
        <w:t>to</w:t>
      </w:r>
      <w:r>
        <w:rPr>
          <w:color w:val="231F20"/>
          <w:spacing w:val="-15"/>
          <w:sz w:val="23"/>
        </w:rPr>
        <w:t> </w:t>
      </w:r>
      <w:r>
        <w:rPr>
          <w:color w:val="231F20"/>
          <w:sz w:val="23"/>
        </w:rPr>
        <w:t>the Sierra Leone Correctional Services; and Le3.4 billion to the National Fire</w:t>
      </w:r>
      <w:r>
        <w:rPr>
          <w:color w:val="231F20"/>
          <w:spacing w:val="-24"/>
          <w:sz w:val="23"/>
        </w:rPr>
        <w:t> </w:t>
      </w:r>
      <w:r>
        <w:rPr>
          <w:color w:val="231F20"/>
          <w:sz w:val="23"/>
        </w:rPr>
        <w:t>Authority. The</w:t>
      </w:r>
      <w:r>
        <w:rPr>
          <w:color w:val="231F20"/>
          <w:spacing w:val="-5"/>
          <w:sz w:val="23"/>
        </w:rPr>
        <w:t> </w:t>
      </w:r>
      <w:r>
        <w:rPr>
          <w:color w:val="231F20"/>
          <w:sz w:val="23"/>
        </w:rPr>
        <w:t>budgetary</w:t>
      </w:r>
      <w:r>
        <w:rPr>
          <w:color w:val="231F20"/>
          <w:spacing w:val="-5"/>
          <w:sz w:val="23"/>
        </w:rPr>
        <w:t> </w:t>
      </w:r>
      <w:r>
        <w:rPr>
          <w:color w:val="231F20"/>
          <w:sz w:val="23"/>
        </w:rPr>
        <w:t>allocation</w:t>
      </w:r>
      <w:r>
        <w:rPr>
          <w:color w:val="231F20"/>
          <w:spacing w:val="-5"/>
          <w:sz w:val="23"/>
        </w:rPr>
        <w:t> </w:t>
      </w:r>
      <w:r>
        <w:rPr>
          <w:color w:val="231F20"/>
          <w:sz w:val="23"/>
        </w:rPr>
        <w:t>to</w:t>
      </w:r>
      <w:r>
        <w:rPr>
          <w:color w:val="231F20"/>
          <w:spacing w:val="-5"/>
          <w:sz w:val="23"/>
        </w:rPr>
        <w:t> </w:t>
      </w:r>
      <w:r>
        <w:rPr>
          <w:color w:val="231F20"/>
          <w:sz w:val="23"/>
        </w:rPr>
        <w:t>the</w:t>
      </w:r>
      <w:r>
        <w:rPr>
          <w:color w:val="231F20"/>
          <w:spacing w:val="-5"/>
          <w:sz w:val="23"/>
        </w:rPr>
        <w:t> </w:t>
      </w:r>
      <w:r>
        <w:rPr>
          <w:color w:val="231F20"/>
          <w:sz w:val="23"/>
        </w:rPr>
        <w:t>House</w:t>
      </w:r>
      <w:r>
        <w:rPr>
          <w:color w:val="231F20"/>
          <w:spacing w:val="-5"/>
          <w:sz w:val="23"/>
        </w:rPr>
        <w:t> </w:t>
      </w:r>
      <w:r>
        <w:rPr>
          <w:color w:val="231F20"/>
          <w:sz w:val="23"/>
        </w:rPr>
        <w:t>of</w:t>
      </w:r>
      <w:r>
        <w:rPr>
          <w:color w:val="231F20"/>
          <w:spacing w:val="-5"/>
          <w:sz w:val="23"/>
        </w:rPr>
        <w:t> </w:t>
      </w:r>
      <w:r>
        <w:rPr>
          <w:color w:val="231F20"/>
          <w:sz w:val="23"/>
        </w:rPr>
        <w:t>Parliament</w:t>
      </w:r>
      <w:r>
        <w:rPr>
          <w:color w:val="231F20"/>
          <w:spacing w:val="-5"/>
          <w:sz w:val="23"/>
        </w:rPr>
        <w:t> </w:t>
      </w:r>
      <w:r>
        <w:rPr>
          <w:color w:val="231F20"/>
          <w:sz w:val="23"/>
        </w:rPr>
        <w:t>is</w:t>
      </w:r>
      <w:r>
        <w:rPr>
          <w:color w:val="231F20"/>
          <w:spacing w:val="-5"/>
          <w:sz w:val="23"/>
        </w:rPr>
        <w:t> </w:t>
      </w:r>
      <w:r>
        <w:rPr>
          <w:color w:val="231F20"/>
          <w:sz w:val="23"/>
        </w:rPr>
        <w:t>increased</w:t>
      </w:r>
      <w:r>
        <w:rPr>
          <w:color w:val="231F20"/>
          <w:spacing w:val="-5"/>
          <w:sz w:val="23"/>
        </w:rPr>
        <w:t> </w:t>
      </w:r>
      <w:r>
        <w:rPr>
          <w:color w:val="231F20"/>
          <w:sz w:val="23"/>
        </w:rPr>
        <w:t>to</w:t>
      </w:r>
      <w:r>
        <w:rPr>
          <w:color w:val="231F20"/>
          <w:spacing w:val="-5"/>
          <w:sz w:val="23"/>
        </w:rPr>
        <w:t> </w:t>
      </w:r>
      <w:r>
        <w:rPr>
          <w:color w:val="231F20"/>
          <w:sz w:val="23"/>
        </w:rPr>
        <w:t>Le37.2</w:t>
      </w:r>
      <w:r>
        <w:rPr>
          <w:color w:val="231F20"/>
          <w:spacing w:val="-5"/>
          <w:sz w:val="23"/>
        </w:rPr>
        <w:t> </w:t>
      </w:r>
      <w:r>
        <w:rPr>
          <w:color w:val="231F20"/>
          <w:sz w:val="23"/>
        </w:rPr>
        <w:t>billion</w:t>
      </w:r>
      <w:r>
        <w:rPr>
          <w:color w:val="231F20"/>
          <w:spacing w:val="-5"/>
          <w:sz w:val="23"/>
        </w:rPr>
        <w:t> </w:t>
      </w:r>
      <w:r>
        <w:rPr>
          <w:color w:val="231F20"/>
          <w:sz w:val="23"/>
        </w:rPr>
        <w:t>in </w:t>
      </w:r>
      <w:r>
        <w:rPr>
          <w:color w:val="231F20"/>
          <w:spacing w:val="-8"/>
          <w:sz w:val="23"/>
        </w:rPr>
        <w:t>2020.</w:t>
      </w:r>
    </w:p>
    <w:p>
      <w:pPr>
        <w:pStyle w:val="BodyText"/>
        <w:spacing w:before="9"/>
        <w:rPr>
          <w:sz w:val="28"/>
        </w:rPr>
      </w:pPr>
    </w:p>
    <w:p>
      <w:pPr>
        <w:pStyle w:val="ListParagraph"/>
        <w:numPr>
          <w:ilvl w:val="0"/>
          <w:numId w:val="2"/>
        </w:numPr>
        <w:tabs>
          <w:tab w:pos="954" w:val="left" w:leader="none"/>
        </w:tabs>
        <w:spacing w:line="302" w:lineRule="auto" w:before="0" w:after="0"/>
        <w:ind w:left="103" w:right="116" w:firstLine="87"/>
        <w:jc w:val="both"/>
        <w:rPr>
          <w:sz w:val="23"/>
        </w:rPr>
      </w:pPr>
      <w:r>
        <w:rPr>
          <w:color w:val="231F20"/>
          <w:sz w:val="23"/>
        </w:rPr>
        <w:t>In</w:t>
      </w:r>
      <w:r>
        <w:rPr>
          <w:color w:val="231F20"/>
          <w:spacing w:val="-31"/>
          <w:sz w:val="23"/>
        </w:rPr>
        <w:t> </w:t>
      </w:r>
      <w:r>
        <w:rPr>
          <w:color w:val="231F20"/>
          <w:sz w:val="23"/>
        </w:rPr>
        <w:t>addition,</w:t>
      </w:r>
      <w:r>
        <w:rPr>
          <w:color w:val="231F20"/>
          <w:spacing w:val="-31"/>
          <w:sz w:val="23"/>
        </w:rPr>
        <w:t> </w:t>
      </w:r>
      <w:r>
        <w:rPr>
          <w:color w:val="231F20"/>
          <w:sz w:val="23"/>
        </w:rPr>
        <w:t>Government</w:t>
      </w:r>
      <w:r>
        <w:rPr>
          <w:color w:val="231F20"/>
          <w:spacing w:val="-31"/>
          <w:sz w:val="23"/>
        </w:rPr>
        <w:t> </w:t>
      </w:r>
      <w:r>
        <w:rPr>
          <w:color w:val="231F20"/>
          <w:sz w:val="23"/>
        </w:rPr>
        <w:t>is</w:t>
      </w:r>
      <w:r>
        <w:rPr>
          <w:color w:val="231F20"/>
          <w:spacing w:val="-31"/>
          <w:sz w:val="23"/>
        </w:rPr>
        <w:t> </w:t>
      </w:r>
      <w:r>
        <w:rPr>
          <w:color w:val="231F20"/>
          <w:sz w:val="23"/>
        </w:rPr>
        <w:t>allocating</w:t>
      </w:r>
      <w:r>
        <w:rPr>
          <w:color w:val="231F20"/>
          <w:spacing w:val="-31"/>
          <w:sz w:val="23"/>
        </w:rPr>
        <w:t> </w:t>
      </w:r>
      <w:r>
        <w:rPr>
          <w:color w:val="231F20"/>
          <w:sz w:val="23"/>
        </w:rPr>
        <w:t>from</w:t>
      </w:r>
      <w:r>
        <w:rPr>
          <w:color w:val="231F20"/>
          <w:spacing w:val="-31"/>
          <w:sz w:val="23"/>
        </w:rPr>
        <w:t> </w:t>
      </w:r>
      <w:r>
        <w:rPr>
          <w:color w:val="231F20"/>
          <w:sz w:val="23"/>
        </w:rPr>
        <w:t>the</w:t>
      </w:r>
      <w:r>
        <w:rPr>
          <w:color w:val="231F20"/>
          <w:spacing w:val="-31"/>
          <w:sz w:val="23"/>
        </w:rPr>
        <w:t> </w:t>
      </w:r>
      <w:r>
        <w:rPr>
          <w:color w:val="231F20"/>
          <w:sz w:val="23"/>
        </w:rPr>
        <w:t>domestic</w:t>
      </w:r>
      <w:r>
        <w:rPr>
          <w:color w:val="231F20"/>
          <w:spacing w:val="-31"/>
          <w:sz w:val="23"/>
        </w:rPr>
        <w:t> </w:t>
      </w:r>
      <w:r>
        <w:rPr>
          <w:color w:val="231F20"/>
          <w:sz w:val="23"/>
        </w:rPr>
        <w:t>capital</w:t>
      </w:r>
      <w:r>
        <w:rPr>
          <w:color w:val="231F20"/>
          <w:spacing w:val="-31"/>
          <w:sz w:val="23"/>
        </w:rPr>
        <w:t> </w:t>
      </w:r>
      <w:r>
        <w:rPr>
          <w:color w:val="231F20"/>
          <w:sz w:val="23"/>
        </w:rPr>
        <w:t>budget,</w:t>
      </w:r>
      <w:r>
        <w:rPr>
          <w:color w:val="231F20"/>
          <w:spacing w:val="-31"/>
          <w:sz w:val="23"/>
        </w:rPr>
        <w:t> </w:t>
      </w:r>
      <w:r>
        <w:rPr>
          <w:color w:val="231F20"/>
          <w:sz w:val="23"/>
        </w:rPr>
        <w:t>Le89.6 billion</w:t>
      </w:r>
      <w:r>
        <w:rPr>
          <w:color w:val="231F20"/>
          <w:spacing w:val="-22"/>
          <w:sz w:val="23"/>
        </w:rPr>
        <w:t> </w:t>
      </w:r>
      <w:r>
        <w:rPr>
          <w:color w:val="231F20"/>
          <w:sz w:val="23"/>
        </w:rPr>
        <w:t>to</w:t>
      </w:r>
      <w:r>
        <w:rPr>
          <w:color w:val="231F20"/>
          <w:spacing w:val="-22"/>
          <w:sz w:val="23"/>
        </w:rPr>
        <w:t> </w:t>
      </w:r>
      <w:r>
        <w:rPr>
          <w:color w:val="231F20"/>
          <w:sz w:val="23"/>
        </w:rPr>
        <w:t>support</w:t>
      </w:r>
      <w:r>
        <w:rPr>
          <w:color w:val="231F20"/>
          <w:spacing w:val="-22"/>
          <w:sz w:val="23"/>
        </w:rPr>
        <w:t> </w:t>
      </w:r>
      <w:r>
        <w:rPr>
          <w:color w:val="231F20"/>
          <w:sz w:val="23"/>
        </w:rPr>
        <w:t>various</w:t>
      </w:r>
      <w:r>
        <w:rPr>
          <w:color w:val="231F20"/>
          <w:spacing w:val="-22"/>
          <w:sz w:val="23"/>
        </w:rPr>
        <w:t> </w:t>
      </w:r>
      <w:r>
        <w:rPr>
          <w:color w:val="231F20"/>
          <w:sz w:val="23"/>
        </w:rPr>
        <w:t>governance</w:t>
      </w:r>
      <w:r>
        <w:rPr>
          <w:color w:val="231F20"/>
          <w:spacing w:val="-22"/>
          <w:sz w:val="23"/>
        </w:rPr>
        <w:t> </w:t>
      </w:r>
      <w:r>
        <w:rPr>
          <w:color w:val="231F20"/>
          <w:sz w:val="23"/>
        </w:rPr>
        <w:t>related</w:t>
      </w:r>
      <w:r>
        <w:rPr>
          <w:color w:val="231F20"/>
          <w:spacing w:val="-22"/>
          <w:sz w:val="23"/>
        </w:rPr>
        <w:t> </w:t>
      </w:r>
      <w:r>
        <w:rPr>
          <w:color w:val="231F20"/>
          <w:sz w:val="23"/>
        </w:rPr>
        <w:t>activities</w:t>
      </w:r>
      <w:r>
        <w:rPr>
          <w:color w:val="231F20"/>
          <w:spacing w:val="-22"/>
          <w:sz w:val="23"/>
        </w:rPr>
        <w:t> </w:t>
      </w:r>
      <w:r>
        <w:rPr>
          <w:color w:val="231F20"/>
          <w:sz w:val="23"/>
        </w:rPr>
        <w:t>including</w:t>
      </w:r>
      <w:r>
        <w:rPr>
          <w:color w:val="231F20"/>
          <w:spacing w:val="-22"/>
          <w:sz w:val="23"/>
        </w:rPr>
        <w:t> </w:t>
      </w:r>
      <w:r>
        <w:rPr>
          <w:color w:val="231F20"/>
          <w:sz w:val="23"/>
        </w:rPr>
        <w:t>Le19.6</w:t>
      </w:r>
      <w:r>
        <w:rPr>
          <w:color w:val="231F20"/>
          <w:spacing w:val="-22"/>
          <w:sz w:val="23"/>
        </w:rPr>
        <w:t> </w:t>
      </w:r>
      <w:r>
        <w:rPr>
          <w:color w:val="231F20"/>
          <w:sz w:val="23"/>
        </w:rPr>
        <w:t>billion</w:t>
      </w:r>
      <w:r>
        <w:rPr>
          <w:color w:val="231F20"/>
          <w:spacing w:val="-22"/>
          <w:sz w:val="23"/>
        </w:rPr>
        <w:t> </w:t>
      </w:r>
      <w:r>
        <w:rPr>
          <w:color w:val="231F20"/>
          <w:sz w:val="23"/>
        </w:rPr>
        <w:t>for</w:t>
      </w:r>
      <w:r>
        <w:rPr>
          <w:color w:val="231F20"/>
          <w:spacing w:val="-22"/>
          <w:sz w:val="23"/>
        </w:rPr>
        <w:t> </w:t>
      </w:r>
      <w:r>
        <w:rPr>
          <w:color w:val="231F20"/>
          <w:sz w:val="23"/>
        </w:rPr>
        <w:t>the rehabilitation</w:t>
      </w:r>
      <w:r>
        <w:rPr>
          <w:color w:val="231F20"/>
          <w:spacing w:val="-32"/>
          <w:sz w:val="23"/>
        </w:rPr>
        <w:t> </w:t>
      </w:r>
      <w:r>
        <w:rPr>
          <w:color w:val="231F20"/>
          <w:sz w:val="23"/>
        </w:rPr>
        <w:t>of</w:t>
      </w:r>
      <w:r>
        <w:rPr>
          <w:color w:val="231F20"/>
          <w:spacing w:val="-32"/>
          <w:sz w:val="23"/>
        </w:rPr>
        <w:t> </w:t>
      </w:r>
      <w:r>
        <w:rPr>
          <w:color w:val="231F20"/>
          <w:sz w:val="23"/>
        </w:rPr>
        <w:t>foreign</w:t>
      </w:r>
      <w:r>
        <w:rPr>
          <w:color w:val="231F20"/>
          <w:spacing w:val="-32"/>
          <w:sz w:val="23"/>
        </w:rPr>
        <w:t> </w:t>
      </w:r>
      <w:r>
        <w:rPr>
          <w:color w:val="231F20"/>
          <w:sz w:val="23"/>
        </w:rPr>
        <w:t>missions;</w:t>
      </w:r>
      <w:r>
        <w:rPr>
          <w:color w:val="231F20"/>
          <w:spacing w:val="-32"/>
          <w:sz w:val="23"/>
        </w:rPr>
        <w:t> </w:t>
      </w:r>
      <w:r>
        <w:rPr>
          <w:color w:val="231F20"/>
          <w:sz w:val="23"/>
        </w:rPr>
        <w:t>Le6.0</w:t>
      </w:r>
      <w:r>
        <w:rPr>
          <w:color w:val="231F20"/>
          <w:spacing w:val="-32"/>
          <w:sz w:val="23"/>
        </w:rPr>
        <w:t> </w:t>
      </w:r>
      <w:r>
        <w:rPr>
          <w:color w:val="231F20"/>
          <w:sz w:val="23"/>
        </w:rPr>
        <w:t>billion</w:t>
      </w:r>
      <w:r>
        <w:rPr>
          <w:color w:val="231F20"/>
          <w:spacing w:val="-32"/>
          <w:sz w:val="23"/>
        </w:rPr>
        <w:t> </w:t>
      </w:r>
      <w:r>
        <w:rPr>
          <w:color w:val="231F20"/>
          <w:sz w:val="23"/>
        </w:rPr>
        <w:t>for</w:t>
      </w:r>
      <w:r>
        <w:rPr>
          <w:color w:val="231F20"/>
          <w:spacing w:val="-32"/>
          <w:sz w:val="23"/>
        </w:rPr>
        <w:t> </w:t>
      </w:r>
      <w:r>
        <w:rPr>
          <w:color w:val="231F20"/>
          <w:sz w:val="23"/>
        </w:rPr>
        <w:t>the</w:t>
      </w:r>
      <w:r>
        <w:rPr>
          <w:color w:val="231F20"/>
          <w:spacing w:val="-32"/>
          <w:sz w:val="23"/>
        </w:rPr>
        <w:t> </w:t>
      </w:r>
      <w:r>
        <w:rPr>
          <w:color w:val="231F20"/>
          <w:sz w:val="23"/>
        </w:rPr>
        <w:t>integrated</w:t>
      </w:r>
      <w:r>
        <w:rPr>
          <w:color w:val="231F20"/>
          <w:spacing w:val="-32"/>
          <w:sz w:val="23"/>
        </w:rPr>
        <w:t> </w:t>
      </w:r>
      <w:r>
        <w:rPr>
          <w:color w:val="231F20"/>
          <w:sz w:val="23"/>
        </w:rPr>
        <w:t>Civil</w:t>
      </w:r>
      <w:r>
        <w:rPr>
          <w:color w:val="231F20"/>
          <w:spacing w:val="-32"/>
          <w:sz w:val="23"/>
        </w:rPr>
        <w:t> </w:t>
      </w:r>
      <w:r>
        <w:rPr>
          <w:color w:val="231F20"/>
          <w:sz w:val="23"/>
        </w:rPr>
        <w:t>Registration</w:t>
      </w:r>
      <w:r>
        <w:rPr>
          <w:color w:val="231F20"/>
          <w:spacing w:val="-33"/>
          <w:sz w:val="23"/>
        </w:rPr>
        <w:t> </w:t>
      </w:r>
      <w:r>
        <w:rPr>
          <w:color w:val="231F20"/>
          <w:sz w:val="23"/>
        </w:rPr>
        <w:t>and Vital Statistics and ID Management systems; Le500 million for the establishment of the</w:t>
      </w:r>
      <w:r>
        <w:rPr>
          <w:color w:val="231F20"/>
          <w:spacing w:val="-19"/>
          <w:sz w:val="23"/>
        </w:rPr>
        <w:t> </w:t>
      </w:r>
      <w:r>
        <w:rPr>
          <w:color w:val="231F20"/>
          <w:sz w:val="23"/>
        </w:rPr>
        <w:t>Wages</w:t>
      </w:r>
      <w:r>
        <w:rPr>
          <w:color w:val="231F20"/>
          <w:spacing w:val="-19"/>
          <w:sz w:val="23"/>
        </w:rPr>
        <w:t> </w:t>
      </w:r>
      <w:r>
        <w:rPr>
          <w:color w:val="231F20"/>
          <w:sz w:val="23"/>
        </w:rPr>
        <w:t>and</w:t>
      </w:r>
      <w:r>
        <w:rPr>
          <w:color w:val="231F20"/>
          <w:spacing w:val="-19"/>
          <w:sz w:val="23"/>
        </w:rPr>
        <w:t> </w:t>
      </w:r>
      <w:r>
        <w:rPr>
          <w:color w:val="231F20"/>
          <w:sz w:val="23"/>
        </w:rPr>
        <w:t>Compensation</w:t>
      </w:r>
      <w:r>
        <w:rPr>
          <w:color w:val="231F20"/>
          <w:spacing w:val="-19"/>
          <w:sz w:val="23"/>
        </w:rPr>
        <w:t> </w:t>
      </w:r>
      <w:r>
        <w:rPr>
          <w:color w:val="231F20"/>
          <w:sz w:val="23"/>
        </w:rPr>
        <w:t>Commission;</w:t>
      </w:r>
      <w:r>
        <w:rPr>
          <w:color w:val="231F20"/>
          <w:spacing w:val="-19"/>
          <w:sz w:val="23"/>
        </w:rPr>
        <w:t> </w:t>
      </w:r>
      <w:r>
        <w:rPr>
          <w:color w:val="231F20"/>
          <w:sz w:val="23"/>
        </w:rPr>
        <w:t>Le10.0</w:t>
      </w:r>
      <w:r>
        <w:rPr>
          <w:color w:val="231F20"/>
          <w:spacing w:val="-19"/>
          <w:sz w:val="23"/>
        </w:rPr>
        <w:t> </w:t>
      </w:r>
      <w:r>
        <w:rPr>
          <w:color w:val="231F20"/>
          <w:sz w:val="23"/>
        </w:rPr>
        <w:t>billion</w:t>
      </w:r>
      <w:r>
        <w:rPr>
          <w:color w:val="231F20"/>
          <w:spacing w:val="-19"/>
          <w:sz w:val="23"/>
        </w:rPr>
        <w:t> </w:t>
      </w:r>
      <w:r>
        <w:rPr>
          <w:color w:val="231F20"/>
          <w:sz w:val="23"/>
        </w:rPr>
        <w:t>to</w:t>
      </w:r>
      <w:r>
        <w:rPr>
          <w:color w:val="231F20"/>
          <w:spacing w:val="-19"/>
          <w:sz w:val="23"/>
        </w:rPr>
        <w:t> </w:t>
      </w:r>
      <w:r>
        <w:rPr>
          <w:color w:val="231F20"/>
          <w:sz w:val="23"/>
        </w:rPr>
        <w:t>the</w:t>
      </w:r>
      <w:r>
        <w:rPr>
          <w:color w:val="231F20"/>
          <w:spacing w:val="-19"/>
          <w:sz w:val="23"/>
        </w:rPr>
        <w:t> </w:t>
      </w:r>
      <w:r>
        <w:rPr>
          <w:color w:val="231F20"/>
          <w:sz w:val="23"/>
        </w:rPr>
        <w:t>National</w:t>
      </w:r>
      <w:r>
        <w:rPr>
          <w:color w:val="231F20"/>
          <w:spacing w:val="-19"/>
          <w:sz w:val="23"/>
        </w:rPr>
        <w:t> </w:t>
      </w:r>
      <w:r>
        <w:rPr>
          <w:color w:val="231F20"/>
          <w:sz w:val="23"/>
        </w:rPr>
        <w:t>Council</w:t>
      </w:r>
      <w:r>
        <w:rPr>
          <w:color w:val="231F20"/>
          <w:spacing w:val="-19"/>
          <w:sz w:val="23"/>
        </w:rPr>
        <w:t> </w:t>
      </w:r>
      <w:r>
        <w:rPr>
          <w:color w:val="231F20"/>
          <w:sz w:val="23"/>
        </w:rPr>
        <w:t>For Civic Education and Development (NACCED) for strengthening community civic engagements; Le7.0 billion for the new construction and rehabilitation of police stations;</w:t>
      </w:r>
      <w:r>
        <w:rPr>
          <w:color w:val="231F20"/>
          <w:spacing w:val="-26"/>
          <w:sz w:val="23"/>
        </w:rPr>
        <w:t> </w:t>
      </w:r>
      <w:r>
        <w:rPr>
          <w:color w:val="231F20"/>
          <w:sz w:val="23"/>
        </w:rPr>
        <w:t>Le12.0</w:t>
      </w:r>
      <w:r>
        <w:rPr>
          <w:color w:val="231F20"/>
          <w:spacing w:val="-26"/>
          <w:sz w:val="23"/>
        </w:rPr>
        <w:t> </w:t>
      </w:r>
      <w:r>
        <w:rPr>
          <w:color w:val="231F20"/>
          <w:sz w:val="23"/>
        </w:rPr>
        <w:t>billion</w:t>
      </w:r>
      <w:r>
        <w:rPr>
          <w:color w:val="231F20"/>
          <w:spacing w:val="-26"/>
          <w:sz w:val="23"/>
        </w:rPr>
        <w:t> </w:t>
      </w:r>
      <w:r>
        <w:rPr>
          <w:color w:val="231F20"/>
          <w:sz w:val="23"/>
        </w:rPr>
        <w:t>as</w:t>
      </w:r>
      <w:r>
        <w:rPr>
          <w:color w:val="231F20"/>
          <w:spacing w:val="-26"/>
          <w:sz w:val="23"/>
        </w:rPr>
        <w:t> </w:t>
      </w:r>
      <w:r>
        <w:rPr>
          <w:color w:val="231F20"/>
          <w:sz w:val="23"/>
        </w:rPr>
        <w:t>support</w:t>
      </w:r>
      <w:r>
        <w:rPr>
          <w:color w:val="231F20"/>
          <w:spacing w:val="-26"/>
          <w:sz w:val="23"/>
        </w:rPr>
        <w:t> </w:t>
      </w:r>
      <w:r>
        <w:rPr>
          <w:color w:val="231F20"/>
          <w:sz w:val="23"/>
        </w:rPr>
        <w:t>to</w:t>
      </w:r>
      <w:r>
        <w:rPr>
          <w:color w:val="231F20"/>
          <w:spacing w:val="-25"/>
          <w:sz w:val="23"/>
        </w:rPr>
        <w:t> </w:t>
      </w:r>
      <w:r>
        <w:rPr>
          <w:color w:val="231F20"/>
          <w:sz w:val="23"/>
        </w:rPr>
        <w:t>the</w:t>
      </w:r>
      <w:r>
        <w:rPr>
          <w:color w:val="231F20"/>
          <w:spacing w:val="-25"/>
          <w:sz w:val="23"/>
        </w:rPr>
        <w:t> </w:t>
      </w:r>
      <w:r>
        <w:rPr>
          <w:color w:val="231F20"/>
          <w:sz w:val="23"/>
        </w:rPr>
        <w:t>Military</w:t>
      </w:r>
      <w:r>
        <w:rPr>
          <w:color w:val="231F20"/>
          <w:spacing w:val="-25"/>
          <w:sz w:val="23"/>
        </w:rPr>
        <w:t> </w:t>
      </w:r>
      <w:r>
        <w:rPr>
          <w:color w:val="231F20"/>
          <w:sz w:val="23"/>
        </w:rPr>
        <w:t>for</w:t>
      </w:r>
      <w:r>
        <w:rPr>
          <w:color w:val="231F20"/>
          <w:spacing w:val="-25"/>
          <w:sz w:val="23"/>
        </w:rPr>
        <w:t> </w:t>
      </w:r>
      <w:r>
        <w:rPr>
          <w:color w:val="231F20"/>
          <w:sz w:val="23"/>
        </w:rPr>
        <w:t>Food</w:t>
      </w:r>
      <w:r>
        <w:rPr>
          <w:color w:val="231F20"/>
          <w:spacing w:val="-26"/>
          <w:sz w:val="23"/>
        </w:rPr>
        <w:t> </w:t>
      </w:r>
      <w:r>
        <w:rPr>
          <w:color w:val="231F20"/>
          <w:sz w:val="23"/>
        </w:rPr>
        <w:t>Production;</w:t>
      </w:r>
      <w:r>
        <w:rPr>
          <w:color w:val="231F20"/>
          <w:spacing w:val="-26"/>
          <w:sz w:val="23"/>
        </w:rPr>
        <w:t> </w:t>
      </w:r>
      <w:r>
        <w:rPr>
          <w:color w:val="231F20"/>
          <w:sz w:val="23"/>
        </w:rPr>
        <w:t>Le3.0</w:t>
      </w:r>
      <w:r>
        <w:rPr>
          <w:color w:val="231F20"/>
          <w:spacing w:val="-26"/>
          <w:sz w:val="23"/>
        </w:rPr>
        <w:t> </w:t>
      </w:r>
      <w:r>
        <w:rPr>
          <w:color w:val="231F20"/>
          <w:sz w:val="23"/>
        </w:rPr>
        <w:t>billion</w:t>
      </w:r>
      <w:r>
        <w:rPr>
          <w:color w:val="231F20"/>
          <w:spacing w:val="-26"/>
          <w:sz w:val="23"/>
        </w:rPr>
        <w:t> </w:t>
      </w:r>
      <w:r>
        <w:rPr>
          <w:color w:val="231F20"/>
          <w:sz w:val="23"/>
        </w:rPr>
        <w:t>for construction of military barracks; Le5.0 billion for Audit Service Sierra Leone headquarters; Le5.0 billion for the construction of Anti Corruption Building; Le2.0 billion</w:t>
      </w:r>
      <w:r>
        <w:rPr>
          <w:color w:val="231F20"/>
          <w:spacing w:val="-5"/>
          <w:sz w:val="23"/>
        </w:rPr>
        <w:t> </w:t>
      </w:r>
      <w:r>
        <w:rPr>
          <w:color w:val="231F20"/>
          <w:sz w:val="23"/>
        </w:rPr>
        <w:t>for</w:t>
      </w:r>
      <w:r>
        <w:rPr>
          <w:color w:val="231F20"/>
          <w:spacing w:val="-5"/>
          <w:sz w:val="23"/>
        </w:rPr>
        <w:t> </w:t>
      </w:r>
      <w:r>
        <w:rPr>
          <w:color w:val="231F20"/>
          <w:sz w:val="23"/>
        </w:rPr>
        <w:t>the</w:t>
      </w:r>
      <w:r>
        <w:rPr>
          <w:color w:val="231F20"/>
          <w:spacing w:val="-5"/>
          <w:sz w:val="23"/>
        </w:rPr>
        <w:t> </w:t>
      </w:r>
      <w:r>
        <w:rPr>
          <w:color w:val="231F20"/>
          <w:sz w:val="23"/>
        </w:rPr>
        <w:t>rehabilitation</w:t>
      </w:r>
      <w:r>
        <w:rPr>
          <w:color w:val="231F20"/>
          <w:spacing w:val="-5"/>
          <w:sz w:val="23"/>
        </w:rPr>
        <w:t> </w:t>
      </w:r>
      <w:r>
        <w:rPr>
          <w:color w:val="231F20"/>
          <w:sz w:val="23"/>
        </w:rPr>
        <w:t>of</w:t>
      </w:r>
      <w:r>
        <w:rPr>
          <w:color w:val="231F20"/>
          <w:spacing w:val="-5"/>
          <w:sz w:val="23"/>
        </w:rPr>
        <w:t> </w:t>
      </w:r>
      <w:r>
        <w:rPr>
          <w:color w:val="231F20"/>
          <w:sz w:val="23"/>
        </w:rPr>
        <w:t>Correctional</w:t>
      </w:r>
      <w:r>
        <w:rPr>
          <w:color w:val="231F20"/>
          <w:spacing w:val="-5"/>
          <w:sz w:val="23"/>
        </w:rPr>
        <w:t> </w:t>
      </w:r>
      <w:r>
        <w:rPr>
          <w:color w:val="231F20"/>
          <w:sz w:val="23"/>
        </w:rPr>
        <w:t>Centres</w:t>
      </w:r>
      <w:r>
        <w:rPr>
          <w:color w:val="231F20"/>
          <w:spacing w:val="-5"/>
          <w:sz w:val="23"/>
        </w:rPr>
        <w:t> </w:t>
      </w:r>
      <w:r>
        <w:rPr>
          <w:color w:val="231F20"/>
          <w:sz w:val="23"/>
        </w:rPr>
        <w:t>and</w:t>
      </w:r>
      <w:r>
        <w:rPr>
          <w:color w:val="231F20"/>
          <w:spacing w:val="-5"/>
          <w:sz w:val="23"/>
        </w:rPr>
        <w:t> </w:t>
      </w:r>
      <w:r>
        <w:rPr>
          <w:color w:val="231F20"/>
          <w:sz w:val="23"/>
        </w:rPr>
        <w:t>facilities;</w:t>
      </w:r>
      <w:r>
        <w:rPr>
          <w:color w:val="231F20"/>
          <w:spacing w:val="-5"/>
          <w:sz w:val="23"/>
        </w:rPr>
        <w:t> </w:t>
      </w:r>
      <w:r>
        <w:rPr>
          <w:color w:val="231F20"/>
          <w:sz w:val="23"/>
        </w:rPr>
        <w:t>and</w:t>
      </w:r>
      <w:r>
        <w:rPr>
          <w:color w:val="231F20"/>
          <w:spacing w:val="-5"/>
          <w:sz w:val="23"/>
        </w:rPr>
        <w:t> </w:t>
      </w:r>
      <w:r>
        <w:rPr>
          <w:color w:val="231F20"/>
          <w:sz w:val="23"/>
        </w:rPr>
        <w:t>Le700</w:t>
      </w:r>
      <w:r>
        <w:rPr>
          <w:color w:val="231F20"/>
          <w:spacing w:val="-5"/>
          <w:sz w:val="23"/>
        </w:rPr>
        <w:t> </w:t>
      </w:r>
      <w:r>
        <w:rPr>
          <w:color w:val="231F20"/>
          <w:sz w:val="23"/>
        </w:rPr>
        <w:t>million for the rehabilitation of Statistics Sierra Leone</w:t>
      </w:r>
      <w:r>
        <w:rPr>
          <w:color w:val="231F20"/>
          <w:spacing w:val="28"/>
          <w:sz w:val="23"/>
        </w:rPr>
        <w:t> </w:t>
      </w:r>
      <w:r>
        <w:rPr>
          <w:color w:val="231F20"/>
          <w:sz w:val="23"/>
        </w:rPr>
        <w:t>Headquarters.</w:t>
      </w:r>
    </w:p>
    <w:p>
      <w:pPr>
        <w:pStyle w:val="BodyText"/>
        <w:spacing w:before="7"/>
        <w:rPr>
          <w:sz w:val="28"/>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In</w:t>
      </w:r>
      <w:r>
        <w:rPr>
          <w:color w:val="231F20"/>
          <w:spacing w:val="-18"/>
          <w:sz w:val="23"/>
        </w:rPr>
        <w:t> </w:t>
      </w:r>
      <w:r>
        <w:rPr>
          <w:color w:val="231F20"/>
          <w:sz w:val="23"/>
        </w:rPr>
        <w:t>addition,</w:t>
      </w:r>
      <w:r>
        <w:rPr>
          <w:color w:val="231F20"/>
          <w:spacing w:val="-19"/>
          <w:sz w:val="23"/>
        </w:rPr>
        <w:t> </w:t>
      </w:r>
      <w:r>
        <w:rPr>
          <w:color w:val="231F20"/>
          <w:sz w:val="23"/>
        </w:rPr>
        <w:t>the</w:t>
      </w:r>
      <w:r>
        <w:rPr>
          <w:color w:val="231F20"/>
          <w:spacing w:val="-18"/>
          <w:sz w:val="23"/>
        </w:rPr>
        <w:t> </w:t>
      </w:r>
      <w:r>
        <w:rPr>
          <w:color w:val="231F20"/>
          <w:sz w:val="23"/>
        </w:rPr>
        <w:t>World</w:t>
      </w:r>
      <w:r>
        <w:rPr>
          <w:color w:val="231F20"/>
          <w:spacing w:val="-18"/>
          <w:sz w:val="23"/>
        </w:rPr>
        <w:t> </w:t>
      </w:r>
      <w:r>
        <w:rPr>
          <w:color w:val="231F20"/>
          <w:sz w:val="23"/>
        </w:rPr>
        <w:t>Bank</w:t>
      </w:r>
      <w:r>
        <w:rPr>
          <w:color w:val="231F20"/>
          <w:spacing w:val="-18"/>
          <w:sz w:val="23"/>
        </w:rPr>
        <w:t> </w:t>
      </w:r>
      <w:r>
        <w:rPr>
          <w:color w:val="231F20"/>
          <w:sz w:val="23"/>
        </w:rPr>
        <w:t>and</w:t>
      </w:r>
      <w:r>
        <w:rPr>
          <w:color w:val="231F20"/>
          <w:spacing w:val="-19"/>
          <w:sz w:val="23"/>
        </w:rPr>
        <w:t> </w:t>
      </w:r>
      <w:r>
        <w:rPr>
          <w:color w:val="231F20"/>
          <w:sz w:val="23"/>
        </w:rPr>
        <w:t>FAO</w:t>
      </w:r>
      <w:r>
        <w:rPr>
          <w:color w:val="231F20"/>
          <w:spacing w:val="-19"/>
          <w:sz w:val="23"/>
        </w:rPr>
        <w:t> </w:t>
      </w:r>
      <w:r>
        <w:rPr>
          <w:color w:val="231F20"/>
          <w:sz w:val="23"/>
        </w:rPr>
        <w:t>are</w:t>
      </w:r>
      <w:r>
        <w:rPr>
          <w:color w:val="231F20"/>
          <w:spacing w:val="-19"/>
          <w:sz w:val="23"/>
        </w:rPr>
        <w:t> </w:t>
      </w:r>
      <w:r>
        <w:rPr>
          <w:color w:val="231F20"/>
          <w:sz w:val="23"/>
        </w:rPr>
        <w:t>disbursing</w:t>
      </w:r>
      <w:r>
        <w:rPr>
          <w:color w:val="231F20"/>
          <w:spacing w:val="-19"/>
          <w:sz w:val="23"/>
        </w:rPr>
        <w:t> </w:t>
      </w:r>
      <w:r>
        <w:rPr>
          <w:color w:val="231F20"/>
          <w:sz w:val="23"/>
        </w:rPr>
        <w:t>Le2.9</w:t>
      </w:r>
      <w:r>
        <w:rPr>
          <w:color w:val="231F20"/>
          <w:spacing w:val="-19"/>
          <w:sz w:val="23"/>
        </w:rPr>
        <w:t> </w:t>
      </w:r>
      <w:r>
        <w:rPr>
          <w:color w:val="231F20"/>
          <w:sz w:val="23"/>
        </w:rPr>
        <w:t>billion</w:t>
      </w:r>
      <w:r>
        <w:rPr>
          <w:color w:val="231F20"/>
          <w:spacing w:val="-19"/>
          <w:sz w:val="23"/>
        </w:rPr>
        <w:t> </w:t>
      </w:r>
      <w:r>
        <w:rPr>
          <w:color w:val="231F20"/>
          <w:sz w:val="23"/>
        </w:rPr>
        <w:t>to</w:t>
      </w:r>
      <w:r>
        <w:rPr>
          <w:color w:val="231F20"/>
          <w:spacing w:val="-18"/>
          <w:sz w:val="23"/>
        </w:rPr>
        <w:t> </w:t>
      </w:r>
      <w:r>
        <w:rPr>
          <w:color w:val="231F20"/>
          <w:sz w:val="23"/>
        </w:rPr>
        <w:t>Statistics Sierra Leone to support the conduct of various surveys. Government’s counterpart contribution to these surveys will amount to Le1.8</w:t>
      </w:r>
      <w:r>
        <w:rPr>
          <w:color w:val="231F20"/>
          <w:spacing w:val="-24"/>
          <w:sz w:val="23"/>
        </w:rPr>
        <w:t> </w:t>
      </w:r>
      <w:r>
        <w:rPr>
          <w:color w:val="231F20"/>
          <w:sz w:val="23"/>
        </w:rPr>
        <w:t>billion.</w:t>
      </w:r>
    </w:p>
    <w:p>
      <w:pPr>
        <w:pStyle w:val="BodyText"/>
        <w:spacing w:before="1"/>
        <w:rPr>
          <w:sz w:val="24"/>
        </w:rPr>
      </w:pPr>
    </w:p>
    <w:p>
      <w:pPr>
        <w:pStyle w:val="Heading1"/>
      </w:pPr>
      <w:r>
        <w:rPr>
          <w:color w:val="231F20"/>
        </w:rPr>
        <w:t>38</w:t>
      </w:r>
    </w:p>
    <w:p>
      <w:pPr>
        <w:spacing w:after="0"/>
        <w:sectPr>
          <w:pgSz w:w="11900" w:h="16840"/>
          <w:pgMar w:top="1180" w:bottom="280" w:left="1140" w:right="1120"/>
        </w:sectPr>
      </w:pPr>
    </w:p>
    <w:p>
      <w:pPr>
        <w:pStyle w:val="Heading2"/>
        <w:spacing w:before="77"/>
        <w:jc w:val="both"/>
      </w:pPr>
      <w:r>
        <w:rPr>
          <w:color w:val="231F20"/>
        </w:rPr>
        <w:t>Cluster Five: Infrastructure Development and Economic Competitiveness</w:t>
      </w:r>
    </w:p>
    <w:p>
      <w:pPr>
        <w:pStyle w:val="ListParagraph"/>
        <w:numPr>
          <w:ilvl w:val="0"/>
          <w:numId w:val="2"/>
        </w:numPr>
        <w:tabs>
          <w:tab w:pos="954" w:val="left" w:leader="none"/>
        </w:tabs>
        <w:spacing w:line="302" w:lineRule="auto" w:before="71" w:after="0"/>
        <w:ind w:left="103" w:right="119" w:firstLine="87"/>
        <w:jc w:val="both"/>
        <w:rPr>
          <w:sz w:val="23"/>
        </w:rPr>
      </w:pPr>
      <w:r>
        <w:rPr>
          <w:color w:val="231F20"/>
          <w:sz w:val="23"/>
        </w:rPr>
        <w:t>Mr.</w:t>
      </w:r>
      <w:r>
        <w:rPr>
          <w:color w:val="231F20"/>
          <w:spacing w:val="-37"/>
          <w:sz w:val="23"/>
        </w:rPr>
        <w:t> </w:t>
      </w:r>
      <w:r>
        <w:rPr>
          <w:color w:val="231F20"/>
          <w:sz w:val="23"/>
        </w:rPr>
        <w:t>Speaker,</w:t>
      </w:r>
      <w:r>
        <w:rPr>
          <w:color w:val="231F20"/>
          <w:spacing w:val="-37"/>
          <w:sz w:val="23"/>
        </w:rPr>
        <w:t> </w:t>
      </w:r>
      <w:r>
        <w:rPr>
          <w:color w:val="231F20"/>
          <w:sz w:val="23"/>
        </w:rPr>
        <w:t>Honourable</w:t>
      </w:r>
      <w:r>
        <w:rPr>
          <w:color w:val="231F20"/>
          <w:spacing w:val="-37"/>
          <w:sz w:val="23"/>
        </w:rPr>
        <w:t> </w:t>
      </w:r>
      <w:r>
        <w:rPr>
          <w:color w:val="231F20"/>
          <w:sz w:val="23"/>
        </w:rPr>
        <w:t>Members,</w:t>
      </w:r>
      <w:r>
        <w:rPr>
          <w:color w:val="231F20"/>
          <w:spacing w:val="-37"/>
          <w:sz w:val="23"/>
        </w:rPr>
        <w:t> </w:t>
      </w:r>
      <w:r>
        <w:rPr>
          <w:color w:val="231F20"/>
          <w:sz w:val="23"/>
        </w:rPr>
        <w:t>the</w:t>
      </w:r>
      <w:r>
        <w:rPr>
          <w:color w:val="231F20"/>
          <w:spacing w:val="-37"/>
          <w:sz w:val="23"/>
        </w:rPr>
        <w:t> </w:t>
      </w:r>
      <w:r>
        <w:rPr>
          <w:color w:val="231F20"/>
          <w:sz w:val="23"/>
        </w:rPr>
        <w:t>development</w:t>
      </w:r>
      <w:r>
        <w:rPr>
          <w:color w:val="231F20"/>
          <w:spacing w:val="-37"/>
          <w:sz w:val="23"/>
        </w:rPr>
        <w:t> </w:t>
      </w:r>
      <w:r>
        <w:rPr>
          <w:color w:val="231F20"/>
          <w:sz w:val="23"/>
        </w:rPr>
        <w:t>of</w:t>
      </w:r>
      <w:r>
        <w:rPr>
          <w:color w:val="231F20"/>
          <w:spacing w:val="-37"/>
          <w:sz w:val="23"/>
        </w:rPr>
        <w:t> </w:t>
      </w:r>
      <w:r>
        <w:rPr>
          <w:color w:val="231F20"/>
          <w:sz w:val="23"/>
        </w:rPr>
        <w:t>infrastructure</w:t>
      </w:r>
      <w:r>
        <w:rPr>
          <w:color w:val="231F20"/>
          <w:spacing w:val="-37"/>
          <w:sz w:val="23"/>
        </w:rPr>
        <w:t> </w:t>
      </w:r>
      <w:r>
        <w:rPr>
          <w:color w:val="231F20"/>
          <w:sz w:val="23"/>
        </w:rPr>
        <w:t>remains critical</w:t>
      </w:r>
      <w:r>
        <w:rPr>
          <w:color w:val="231F20"/>
          <w:spacing w:val="-12"/>
          <w:sz w:val="23"/>
        </w:rPr>
        <w:t> </w:t>
      </w:r>
      <w:r>
        <w:rPr>
          <w:color w:val="231F20"/>
          <w:sz w:val="23"/>
        </w:rPr>
        <w:t>in</w:t>
      </w:r>
      <w:r>
        <w:rPr>
          <w:color w:val="231F20"/>
          <w:spacing w:val="-12"/>
          <w:sz w:val="23"/>
        </w:rPr>
        <w:t> </w:t>
      </w:r>
      <w:r>
        <w:rPr>
          <w:color w:val="231F20"/>
          <w:sz w:val="23"/>
        </w:rPr>
        <w:t>improving</w:t>
      </w:r>
      <w:r>
        <w:rPr>
          <w:color w:val="231F20"/>
          <w:spacing w:val="-12"/>
          <w:sz w:val="23"/>
        </w:rPr>
        <w:t> </w:t>
      </w:r>
      <w:r>
        <w:rPr>
          <w:color w:val="231F20"/>
          <w:sz w:val="23"/>
        </w:rPr>
        <w:t>the</w:t>
      </w:r>
      <w:r>
        <w:rPr>
          <w:color w:val="231F20"/>
          <w:spacing w:val="-12"/>
          <w:sz w:val="23"/>
        </w:rPr>
        <w:t> </w:t>
      </w:r>
      <w:r>
        <w:rPr>
          <w:color w:val="231F20"/>
          <w:sz w:val="23"/>
        </w:rPr>
        <w:t>business</w:t>
      </w:r>
      <w:r>
        <w:rPr>
          <w:color w:val="231F20"/>
          <w:spacing w:val="-12"/>
          <w:sz w:val="23"/>
        </w:rPr>
        <w:t> </w:t>
      </w:r>
      <w:r>
        <w:rPr>
          <w:color w:val="231F20"/>
          <w:sz w:val="23"/>
        </w:rPr>
        <w:t>environment</w:t>
      </w:r>
      <w:r>
        <w:rPr>
          <w:color w:val="231F20"/>
          <w:spacing w:val="-12"/>
          <w:sz w:val="23"/>
        </w:rPr>
        <w:t> </w:t>
      </w:r>
      <w:r>
        <w:rPr>
          <w:color w:val="231F20"/>
          <w:sz w:val="23"/>
        </w:rPr>
        <w:t>to</w:t>
      </w:r>
      <w:r>
        <w:rPr>
          <w:color w:val="231F20"/>
          <w:spacing w:val="-12"/>
          <w:sz w:val="23"/>
        </w:rPr>
        <w:t> </w:t>
      </w:r>
      <w:r>
        <w:rPr>
          <w:color w:val="231F20"/>
          <w:sz w:val="23"/>
        </w:rPr>
        <w:t>attract</w:t>
      </w:r>
      <w:r>
        <w:rPr>
          <w:color w:val="231F20"/>
          <w:spacing w:val="-12"/>
          <w:sz w:val="23"/>
        </w:rPr>
        <w:t> </w:t>
      </w:r>
      <w:r>
        <w:rPr>
          <w:color w:val="231F20"/>
          <w:sz w:val="23"/>
        </w:rPr>
        <w:t>investment</w:t>
      </w:r>
      <w:r>
        <w:rPr>
          <w:color w:val="231F20"/>
          <w:spacing w:val="-12"/>
          <w:sz w:val="23"/>
        </w:rPr>
        <w:t> </w:t>
      </w:r>
      <w:r>
        <w:rPr>
          <w:color w:val="231F20"/>
          <w:sz w:val="23"/>
        </w:rPr>
        <w:t>for</w:t>
      </w:r>
      <w:r>
        <w:rPr>
          <w:color w:val="231F20"/>
          <w:spacing w:val="-12"/>
          <w:sz w:val="23"/>
        </w:rPr>
        <w:t> </w:t>
      </w:r>
      <w:r>
        <w:rPr>
          <w:color w:val="231F20"/>
          <w:sz w:val="23"/>
        </w:rPr>
        <w:t>job</w:t>
      </w:r>
      <w:r>
        <w:rPr>
          <w:color w:val="231F20"/>
          <w:spacing w:val="-12"/>
          <w:sz w:val="23"/>
        </w:rPr>
        <w:t> </w:t>
      </w:r>
      <w:r>
        <w:rPr>
          <w:color w:val="231F20"/>
          <w:sz w:val="23"/>
        </w:rPr>
        <w:t>creation.</w:t>
      </w:r>
    </w:p>
    <w:p>
      <w:pPr>
        <w:pStyle w:val="BodyText"/>
        <w:spacing w:before="11"/>
        <w:rPr>
          <w:sz w:val="28"/>
        </w:rPr>
      </w:pPr>
    </w:p>
    <w:p>
      <w:pPr>
        <w:pStyle w:val="Heading2"/>
        <w:jc w:val="both"/>
      </w:pPr>
      <w:r>
        <w:rPr>
          <w:color w:val="231F20"/>
        </w:rPr>
        <w:t>Improving Electricity Supply</w:t>
      </w:r>
    </w:p>
    <w:p>
      <w:pPr>
        <w:pStyle w:val="ListParagraph"/>
        <w:numPr>
          <w:ilvl w:val="0"/>
          <w:numId w:val="2"/>
        </w:numPr>
        <w:tabs>
          <w:tab w:pos="954" w:val="left" w:leader="none"/>
        </w:tabs>
        <w:spacing w:line="302" w:lineRule="auto" w:before="71" w:after="0"/>
        <w:ind w:left="103" w:right="119" w:firstLine="87"/>
        <w:jc w:val="both"/>
        <w:rPr>
          <w:sz w:val="23"/>
        </w:rPr>
      </w:pPr>
      <w:r>
        <w:rPr>
          <w:color w:val="231F20"/>
          <w:sz w:val="23"/>
        </w:rPr>
        <w:t>Given the critical importance of the energy sector to sustainable growth and job</w:t>
      </w:r>
      <w:r>
        <w:rPr>
          <w:color w:val="231F20"/>
          <w:spacing w:val="-30"/>
          <w:sz w:val="23"/>
        </w:rPr>
        <w:t> </w:t>
      </w:r>
      <w:r>
        <w:rPr>
          <w:color w:val="231F20"/>
          <w:sz w:val="23"/>
        </w:rPr>
        <w:t>creation,</w:t>
      </w:r>
      <w:r>
        <w:rPr>
          <w:color w:val="231F20"/>
          <w:spacing w:val="-30"/>
          <w:sz w:val="23"/>
        </w:rPr>
        <w:t> </w:t>
      </w:r>
      <w:r>
        <w:rPr>
          <w:color w:val="231F20"/>
          <w:sz w:val="23"/>
        </w:rPr>
        <w:t>Government</w:t>
      </w:r>
      <w:r>
        <w:rPr>
          <w:color w:val="231F20"/>
          <w:spacing w:val="-30"/>
          <w:sz w:val="23"/>
        </w:rPr>
        <w:t> </w:t>
      </w:r>
      <w:r>
        <w:rPr>
          <w:color w:val="231F20"/>
          <w:sz w:val="23"/>
        </w:rPr>
        <w:t>is</w:t>
      </w:r>
      <w:r>
        <w:rPr>
          <w:color w:val="231F20"/>
          <w:spacing w:val="-30"/>
          <w:sz w:val="23"/>
        </w:rPr>
        <w:t> </w:t>
      </w:r>
      <w:r>
        <w:rPr>
          <w:color w:val="231F20"/>
          <w:sz w:val="23"/>
        </w:rPr>
        <w:t>allocating</w:t>
      </w:r>
      <w:r>
        <w:rPr>
          <w:color w:val="231F20"/>
          <w:spacing w:val="-30"/>
          <w:sz w:val="23"/>
        </w:rPr>
        <w:t> </w:t>
      </w:r>
      <w:r>
        <w:rPr>
          <w:color w:val="231F20"/>
          <w:sz w:val="23"/>
        </w:rPr>
        <w:t>an</w:t>
      </w:r>
      <w:r>
        <w:rPr>
          <w:color w:val="231F20"/>
          <w:spacing w:val="-30"/>
          <w:sz w:val="23"/>
        </w:rPr>
        <w:t> </w:t>
      </w:r>
      <w:r>
        <w:rPr>
          <w:color w:val="231F20"/>
          <w:sz w:val="23"/>
        </w:rPr>
        <w:t>amount</w:t>
      </w:r>
      <w:r>
        <w:rPr>
          <w:color w:val="231F20"/>
          <w:spacing w:val="-30"/>
          <w:sz w:val="23"/>
        </w:rPr>
        <w:t> </w:t>
      </w:r>
      <w:r>
        <w:rPr>
          <w:color w:val="231F20"/>
          <w:sz w:val="23"/>
        </w:rPr>
        <w:t>of</w:t>
      </w:r>
      <w:r>
        <w:rPr>
          <w:color w:val="231F20"/>
          <w:spacing w:val="-30"/>
          <w:sz w:val="23"/>
        </w:rPr>
        <w:t> </w:t>
      </w:r>
      <w:r>
        <w:rPr>
          <w:color w:val="231F20"/>
          <w:sz w:val="23"/>
        </w:rPr>
        <w:t>Le127.5</w:t>
      </w:r>
      <w:r>
        <w:rPr>
          <w:color w:val="231F20"/>
          <w:spacing w:val="-30"/>
          <w:sz w:val="23"/>
        </w:rPr>
        <w:t> </w:t>
      </w:r>
      <w:r>
        <w:rPr>
          <w:color w:val="231F20"/>
          <w:sz w:val="23"/>
        </w:rPr>
        <w:t>billion</w:t>
      </w:r>
      <w:r>
        <w:rPr>
          <w:color w:val="231F20"/>
          <w:spacing w:val="-30"/>
          <w:sz w:val="23"/>
        </w:rPr>
        <w:t> </w:t>
      </w:r>
      <w:r>
        <w:rPr>
          <w:color w:val="231F20"/>
          <w:sz w:val="23"/>
        </w:rPr>
        <w:t>from</w:t>
      </w:r>
      <w:r>
        <w:rPr>
          <w:color w:val="231F20"/>
          <w:spacing w:val="-30"/>
          <w:sz w:val="23"/>
        </w:rPr>
        <w:t> </w:t>
      </w:r>
      <w:r>
        <w:rPr>
          <w:color w:val="231F20"/>
          <w:sz w:val="23"/>
        </w:rPr>
        <w:t>the</w:t>
      </w:r>
      <w:r>
        <w:rPr>
          <w:color w:val="231F20"/>
          <w:spacing w:val="-30"/>
          <w:sz w:val="23"/>
        </w:rPr>
        <w:t> </w:t>
      </w:r>
      <w:r>
        <w:rPr>
          <w:color w:val="231F20"/>
          <w:sz w:val="23"/>
        </w:rPr>
        <w:t>recurrent budget</w:t>
      </w:r>
      <w:r>
        <w:rPr>
          <w:color w:val="231F20"/>
          <w:spacing w:val="-8"/>
          <w:sz w:val="23"/>
        </w:rPr>
        <w:t> </w:t>
      </w:r>
      <w:r>
        <w:rPr>
          <w:color w:val="231F20"/>
          <w:sz w:val="23"/>
        </w:rPr>
        <w:t>to</w:t>
      </w:r>
      <w:r>
        <w:rPr>
          <w:color w:val="231F20"/>
          <w:spacing w:val="-8"/>
          <w:sz w:val="23"/>
        </w:rPr>
        <w:t> </w:t>
      </w:r>
      <w:r>
        <w:rPr>
          <w:color w:val="231F20"/>
          <w:sz w:val="23"/>
        </w:rPr>
        <w:t>the</w:t>
      </w:r>
      <w:r>
        <w:rPr>
          <w:color w:val="231F20"/>
          <w:spacing w:val="-8"/>
          <w:sz w:val="23"/>
        </w:rPr>
        <w:t> </w:t>
      </w:r>
      <w:r>
        <w:rPr>
          <w:color w:val="231F20"/>
          <w:sz w:val="23"/>
        </w:rPr>
        <w:t>Ministry</w:t>
      </w:r>
      <w:r>
        <w:rPr>
          <w:color w:val="231F20"/>
          <w:spacing w:val="-8"/>
          <w:sz w:val="23"/>
        </w:rPr>
        <w:t> </w:t>
      </w:r>
      <w:r>
        <w:rPr>
          <w:color w:val="231F20"/>
          <w:sz w:val="23"/>
        </w:rPr>
        <w:t>of</w:t>
      </w:r>
      <w:r>
        <w:rPr>
          <w:color w:val="231F20"/>
          <w:spacing w:val="-8"/>
          <w:sz w:val="23"/>
        </w:rPr>
        <w:t> </w:t>
      </w:r>
      <w:r>
        <w:rPr>
          <w:color w:val="231F20"/>
          <w:sz w:val="23"/>
        </w:rPr>
        <w:t>Energy.</w:t>
      </w:r>
      <w:r>
        <w:rPr>
          <w:color w:val="231F20"/>
          <w:spacing w:val="-9"/>
          <w:sz w:val="23"/>
        </w:rPr>
        <w:t> </w:t>
      </w:r>
      <w:r>
        <w:rPr>
          <w:color w:val="231F20"/>
          <w:sz w:val="23"/>
        </w:rPr>
        <w:t>Of</w:t>
      </w:r>
      <w:r>
        <w:rPr>
          <w:color w:val="231F20"/>
          <w:spacing w:val="-8"/>
          <w:sz w:val="23"/>
        </w:rPr>
        <w:t> </w:t>
      </w:r>
      <w:r>
        <w:rPr>
          <w:color w:val="231F20"/>
          <w:sz w:val="23"/>
        </w:rPr>
        <w:t>this</w:t>
      </w:r>
      <w:r>
        <w:rPr>
          <w:color w:val="231F20"/>
          <w:spacing w:val="-8"/>
          <w:sz w:val="23"/>
        </w:rPr>
        <w:t> </w:t>
      </w:r>
      <w:r>
        <w:rPr>
          <w:color w:val="231F20"/>
          <w:sz w:val="23"/>
        </w:rPr>
        <w:t>amount,</w:t>
      </w:r>
      <w:r>
        <w:rPr>
          <w:color w:val="231F20"/>
          <w:spacing w:val="-8"/>
          <w:sz w:val="23"/>
        </w:rPr>
        <w:t> </w:t>
      </w:r>
      <w:r>
        <w:rPr>
          <w:color w:val="231F20"/>
          <w:sz w:val="23"/>
        </w:rPr>
        <w:t>energy</w:t>
      </w:r>
      <w:r>
        <w:rPr>
          <w:color w:val="231F20"/>
          <w:spacing w:val="-8"/>
          <w:sz w:val="23"/>
        </w:rPr>
        <w:t> </w:t>
      </w:r>
      <w:r>
        <w:rPr>
          <w:color w:val="231F20"/>
          <w:sz w:val="23"/>
        </w:rPr>
        <w:t>subsidies</w:t>
      </w:r>
      <w:r>
        <w:rPr>
          <w:color w:val="231F20"/>
          <w:spacing w:val="-8"/>
          <w:sz w:val="23"/>
        </w:rPr>
        <w:t> </w:t>
      </w:r>
      <w:r>
        <w:rPr>
          <w:color w:val="231F20"/>
          <w:sz w:val="23"/>
        </w:rPr>
        <w:t>including</w:t>
      </w:r>
      <w:r>
        <w:rPr>
          <w:color w:val="231F20"/>
          <w:spacing w:val="-8"/>
          <w:sz w:val="23"/>
        </w:rPr>
        <w:t> </w:t>
      </w:r>
      <w:r>
        <w:rPr>
          <w:color w:val="231F20"/>
          <w:sz w:val="23"/>
        </w:rPr>
        <w:t>fuel</w:t>
      </w:r>
      <w:r>
        <w:rPr>
          <w:color w:val="231F20"/>
          <w:spacing w:val="-8"/>
          <w:sz w:val="23"/>
        </w:rPr>
        <w:t> </w:t>
      </w:r>
      <w:r>
        <w:rPr>
          <w:color w:val="231F20"/>
          <w:sz w:val="23"/>
        </w:rPr>
        <w:t>for Independent Power Providers, is Le124.1</w:t>
      </w:r>
      <w:r>
        <w:rPr>
          <w:color w:val="231F20"/>
          <w:spacing w:val="-25"/>
          <w:sz w:val="23"/>
        </w:rPr>
        <w:t> </w:t>
      </w:r>
      <w:r>
        <w:rPr>
          <w:color w:val="231F20"/>
          <w:sz w:val="23"/>
        </w:rPr>
        <w:t>billion.</w:t>
      </w:r>
    </w:p>
    <w:p>
      <w:pPr>
        <w:pStyle w:val="BodyText"/>
        <w:spacing w:before="10"/>
        <w:rPr>
          <w:sz w:val="28"/>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Government</w:t>
      </w:r>
      <w:r>
        <w:rPr>
          <w:color w:val="231F20"/>
          <w:spacing w:val="-12"/>
          <w:sz w:val="23"/>
        </w:rPr>
        <w:t> </w:t>
      </w:r>
      <w:r>
        <w:rPr>
          <w:color w:val="231F20"/>
          <w:sz w:val="23"/>
        </w:rPr>
        <w:t>is</w:t>
      </w:r>
      <w:r>
        <w:rPr>
          <w:color w:val="231F20"/>
          <w:spacing w:val="-12"/>
          <w:sz w:val="23"/>
        </w:rPr>
        <w:t> </w:t>
      </w:r>
      <w:r>
        <w:rPr>
          <w:color w:val="231F20"/>
          <w:sz w:val="23"/>
        </w:rPr>
        <w:t>also</w:t>
      </w:r>
      <w:r>
        <w:rPr>
          <w:color w:val="231F20"/>
          <w:spacing w:val="-12"/>
          <w:sz w:val="23"/>
        </w:rPr>
        <w:t> </w:t>
      </w:r>
      <w:r>
        <w:rPr>
          <w:color w:val="231F20"/>
          <w:sz w:val="23"/>
        </w:rPr>
        <w:t>allocating</w:t>
      </w:r>
      <w:r>
        <w:rPr>
          <w:color w:val="231F20"/>
          <w:spacing w:val="-12"/>
          <w:sz w:val="23"/>
        </w:rPr>
        <w:t> </w:t>
      </w:r>
      <w:r>
        <w:rPr>
          <w:color w:val="231F20"/>
          <w:sz w:val="23"/>
        </w:rPr>
        <w:t>from</w:t>
      </w:r>
      <w:r>
        <w:rPr>
          <w:color w:val="231F20"/>
          <w:spacing w:val="-12"/>
          <w:sz w:val="23"/>
        </w:rPr>
        <w:t> </w:t>
      </w:r>
      <w:r>
        <w:rPr>
          <w:color w:val="231F20"/>
          <w:sz w:val="23"/>
        </w:rPr>
        <w:t>the</w:t>
      </w:r>
      <w:r>
        <w:rPr>
          <w:color w:val="231F20"/>
          <w:spacing w:val="-12"/>
          <w:sz w:val="23"/>
        </w:rPr>
        <w:t> </w:t>
      </w:r>
      <w:r>
        <w:rPr>
          <w:color w:val="231F20"/>
          <w:sz w:val="23"/>
        </w:rPr>
        <w:t>domestic</w:t>
      </w:r>
      <w:r>
        <w:rPr>
          <w:color w:val="231F20"/>
          <w:spacing w:val="-12"/>
          <w:sz w:val="23"/>
        </w:rPr>
        <w:t> </w:t>
      </w:r>
      <w:r>
        <w:rPr>
          <w:color w:val="231F20"/>
          <w:sz w:val="23"/>
        </w:rPr>
        <w:t>capital</w:t>
      </w:r>
      <w:r>
        <w:rPr>
          <w:color w:val="231F20"/>
          <w:spacing w:val="-12"/>
          <w:sz w:val="23"/>
        </w:rPr>
        <w:t> </w:t>
      </w:r>
      <w:r>
        <w:rPr>
          <w:color w:val="231F20"/>
          <w:sz w:val="23"/>
        </w:rPr>
        <w:t>budget</w:t>
      </w:r>
      <w:r>
        <w:rPr>
          <w:color w:val="231F20"/>
          <w:spacing w:val="-12"/>
          <w:sz w:val="23"/>
        </w:rPr>
        <w:t> </w:t>
      </w:r>
      <w:r>
        <w:rPr>
          <w:color w:val="231F20"/>
          <w:sz w:val="23"/>
        </w:rPr>
        <w:t>an</w:t>
      </w:r>
      <w:r>
        <w:rPr>
          <w:color w:val="231F20"/>
          <w:spacing w:val="-12"/>
          <w:sz w:val="23"/>
        </w:rPr>
        <w:t> </w:t>
      </w:r>
      <w:r>
        <w:rPr>
          <w:color w:val="231F20"/>
          <w:sz w:val="23"/>
        </w:rPr>
        <w:t>amount</w:t>
      </w:r>
      <w:r>
        <w:rPr>
          <w:color w:val="231F20"/>
          <w:spacing w:val="-12"/>
          <w:sz w:val="23"/>
        </w:rPr>
        <w:t> </w:t>
      </w:r>
      <w:r>
        <w:rPr>
          <w:color w:val="231F20"/>
          <w:sz w:val="23"/>
        </w:rPr>
        <w:t>of Le42.1 billion to the energy sector including Le20.0 billion for electrification of six district</w:t>
      </w:r>
      <w:r>
        <w:rPr>
          <w:color w:val="231F20"/>
          <w:spacing w:val="-24"/>
          <w:sz w:val="23"/>
        </w:rPr>
        <w:t> </w:t>
      </w:r>
      <w:r>
        <w:rPr>
          <w:color w:val="231F20"/>
          <w:sz w:val="23"/>
        </w:rPr>
        <w:t>capital</w:t>
      </w:r>
      <w:r>
        <w:rPr>
          <w:color w:val="231F20"/>
          <w:spacing w:val="-24"/>
          <w:sz w:val="23"/>
        </w:rPr>
        <w:t> </w:t>
      </w:r>
      <w:r>
        <w:rPr>
          <w:color w:val="231F20"/>
          <w:sz w:val="23"/>
        </w:rPr>
        <w:t>towns;</w:t>
      </w:r>
      <w:r>
        <w:rPr>
          <w:color w:val="231F20"/>
          <w:spacing w:val="-24"/>
          <w:sz w:val="23"/>
        </w:rPr>
        <w:t> </w:t>
      </w:r>
      <w:r>
        <w:rPr>
          <w:color w:val="231F20"/>
          <w:sz w:val="23"/>
        </w:rPr>
        <w:t>Le5.0</w:t>
      </w:r>
      <w:r>
        <w:rPr>
          <w:color w:val="231F20"/>
          <w:spacing w:val="-24"/>
          <w:sz w:val="23"/>
        </w:rPr>
        <w:t> </w:t>
      </w:r>
      <w:r>
        <w:rPr>
          <w:color w:val="231F20"/>
          <w:sz w:val="23"/>
        </w:rPr>
        <w:t>billion</w:t>
      </w:r>
      <w:r>
        <w:rPr>
          <w:color w:val="231F20"/>
          <w:spacing w:val="-24"/>
          <w:sz w:val="23"/>
        </w:rPr>
        <w:t> </w:t>
      </w:r>
      <w:r>
        <w:rPr>
          <w:color w:val="231F20"/>
          <w:sz w:val="23"/>
        </w:rPr>
        <w:t>for</w:t>
      </w:r>
      <w:r>
        <w:rPr>
          <w:color w:val="231F20"/>
          <w:spacing w:val="-24"/>
          <w:sz w:val="23"/>
        </w:rPr>
        <w:t> </w:t>
      </w:r>
      <w:r>
        <w:rPr>
          <w:color w:val="231F20"/>
          <w:sz w:val="23"/>
        </w:rPr>
        <w:t>rehabilitation</w:t>
      </w:r>
      <w:r>
        <w:rPr>
          <w:color w:val="231F20"/>
          <w:spacing w:val="-24"/>
          <w:sz w:val="23"/>
        </w:rPr>
        <w:t> </w:t>
      </w:r>
      <w:r>
        <w:rPr>
          <w:color w:val="231F20"/>
          <w:sz w:val="23"/>
        </w:rPr>
        <w:t>of</w:t>
      </w:r>
      <w:r>
        <w:rPr>
          <w:color w:val="231F20"/>
          <w:spacing w:val="-24"/>
          <w:sz w:val="23"/>
        </w:rPr>
        <w:t> </w:t>
      </w:r>
      <w:r>
        <w:rPr>
          <w:color w:val="231F20"/>
          <w:sz w:val="23"/>
        </w:rPr>
        <w:t>Electricity</w:t>
      </w:r>
      <w:r>
        <w:rPr>
          <w:color w:val="231F20"/>
          <w:spacing w:val="-24"/>
          <w:sz w:val="23"/>
        </w:rPr>
        <w:t> </w:t>
      </w:r>
      <w:r>
        <w:rPr>
          <w:color w:val="231F20"/>
          <w:sz w:val="23"/>
        </w:rPr>
        <w:t>House,</w:t>
      </w:r>
      <w:r>
        <w:rPr>
          <w:color w:val="231F20"/>
          <w:spacing w:val="-24"/>
          <w:sz w:val="23"/>
        </w:rPr>
        <w:t> </w:t>
      </w:r>
      <w:r>
        <w:rPr>
          <w:color w:val="231F20"/>
          <w:sz w:val="23"/>
        </w:rPr>
        <w:t>Le5.0</w:t>
      </w:r>
      <w:r>
        <w:rPr>
          <w:color w:val="231F20"/>
          <w:spacing w:val="-24"/>
          <w:sz w:val="23"/>
        </w:rPr>
        <w:t> </w:t>
      </w:r>
      <w:r>
        <w:rPr>
          <w:color w:val="231F20"/>
          <w:sz w:val="23"/>
        </w:rPr>
        <w:t>billion for</w:t>
      </w:r>
      <w:r>
        <w:rPr>
          <w:color w:val="231F20"/>
          <w:spacing w:val="-29"/>
          <w:sz w:val="23"/>
        </w:rPr>
        <w:t> </w:t>
      </w:r>
      <w:r>
        <w:rPr>
          <w:color w:val="231F20"/>
          <w:sz w:val="23"/>
        </w:rPr>
        <w:t>rehabilitation</w:t>
      </w:r>
      <w:r>
        <w:rPr>
          <w:color w:val="231F20"/>
          <w:spacing w:val="-29"/>
          <w:sz w:val="23"/>
        </w:rPr>
        <w:t> </w:t>
      </w:r>
      <w:r>
        <w:rPr>
          <w:color w:val="231F20"/>
          <w:sz w:val="23"/>
        </w:rPr>
        <w:t>of</w:t>
      </w:r>
      <w:r>
        <w:rPr>
          <w:color w:val="231F20"/>
          <w:spacing w:val="-29"/>
          <w:sz w:val="23"/>
        </w:rPr>
        <w:t> </w:t>
      </w:r>
      <w:r>
        <w:rPr>
          <w:color w:val="231F20"/>
          <w:sz w:val="23"/>
        </w:rPr>
        <w:t>EGTC</w:t>
      </w:r>
      <w:r>
        <w:rPr>
          <w:color w:val="231F20"/>
          <w:spacing w:val="-29"/>
          <w:sz w:val="23"/>
        </w:rPr>
        <w:t> </w:t>
      </w:r>
      <w:r>
        <w:rPr>
          <w:color w:val="231F20"/>
          <w:sz w:val="23"/>
        </w:rPr>
        <w:t>thermal</w:t>
      </w:r>
      <w:r>
        <w:rPr>
          <w:color w:val="231F20"/>
          <w:spacing w:val="-29"/>
          <w:sz w:val="23"/>
        </w:rPr>
        <w:t> </w:t>
      </w:r>
      <w:r>
        <w:rPr>
          <w:color w:val="231F20"/>
          <w:sz w:val="23"/>
        </w:rPr>
        <w:t>plants,</w:t>
      </w:r>
      <w:r>
        <w:rPr>
          <w:color w:val="231F20"/>
          <w:spacing w:val="-29"/>
          <w:sz w:val="23"/>
        </w:rPr>
        <w:t> </w:t>
      </w:r>
      <w:r>
        <w:rPr>
          <w:color w:val="231F20"/>
          <w:sz w:val="23"/>
        </w:rPr>
        <w:t>and</w:t>
      </w:r>
      <w:r>
        <w:rPr>
          <w:color w:val="231F20"/>
          <w:spacing w:val="-29"/>
          <w:sz w:val="23"/>
        </w:rPr>
        <w:t> </w:t>
      </w:r>
      <w:r>
        <w:rPr>
          <w:color w:val="231F20"/>
          <w:sz w:val="23"/>
        </w:rPr>
        <w:t>Le2.0</w:t>
      </w:r>
      <w:r>
        <w:rPr>
          <w:color w:val="231F20"/>
          <w:spacing w:val="-29"/>
          <w:sz w:val="23"/>
        </w:rPr>
        <w:t> </w:t>
      </w:r>
      <w:r>
        <w:rPr>
          <w:color w:val="231F20"/>
          <w:sz w:val="23"/>
        </w:rPr>
        <w:t>billion</w:t>
      </w:r>
      <w:r>
        <w:rPr>
          <w:color w:val="231F20"/>
          <w:spacing w:val="-29"/>
          <w:sz w:val="23"/>
        </w:rPr>
        <w:t> </w:t>
      </w:r>
      <w:r>
        <w:rPr>
          <w:color w:val="231F20"/>
          <w:sz w:val="23"/>
        </w:rPr>
        <w:t>for</w:t>
      </w:r>
      <w:r>
        <w:rPr>
          <w:color w:val="231F20"/>
          <w:spacing w:val="-29"/>
          <w:sz w:val="23"/>
        </w:rPr>
        <w:t> </w:t>
      </w:r>
      <w:r>
        <w:rPr>
          <w:color w:val="231F20"/>
          <w:sz w:val="23"/>
        </w:rPr>
        <w:t>the</w:t>
      </w:r>
      <w:r>
        <w:rPr>
          <w:color w:val="231F20"/>
          <w:spacing w:val="-29"/>
          <w:sz w:val="23"/>
        </w:rPr>
        <w:t> </w:t>
      </w:r>
      <w:r>
        <w:rPr>
          <w:color w:val="231F20"/>
          <w:sz w:val="23"/>
        </w:rPr>
        <w:t>rehabilitation</w:t>
      </w:r>
      <w:r>
        <w:rPr>
          <w:color w:val="231F20"/>
          <w:spacing w:val="-29"/>
          <w:sz w:val="23"/>
        </w:rPr>
        <w:t> </w:t>
      </w:r>
      <w:r>
        <w:rPr>
          <w:color w:val="231F20"/>
          <w:sz w:val="23"/>
        </w:rPr>
        <w:t>of</w:t>
      </w:r>
      <w:r>
        <w:rPr>
          <w:color w:val="231F20"/>
          <w:spacing w:val="-29"/>
          <w:sz w:val="23"/>
        </w:rPr>
        <w:t> </w:t>
      </w:r>
      <w:r>
        <w:rPr>
          <w:color w:val="231F20"/>
          <w:sz w:val="23"/>
        </w:rPr>
        <w:t>the Dodo Hydro</w:t>
      </w:r>
      <w:r>
        <w:rPr>
          <w:color w:val="231F20"/>
          <w:spacing w:val="-60"/>
          <w:sz w:val="23"/>
        </w:rPr>
        <w:t> </w:t>
      </w:r>
      <w:r>
        <w:rPr>
          <w:color w:val="231F20"/>
          <w:sz w:val="23"/>
        </w:rPr>
        <w:t>dam.</w:t>
      </w:r>
    </w:p>
    <w:p>
      <w:pPr>
        <w:pStyle w:val="BodyText"/>
        <w:spacing w:before="10"/>
        <w:rPr>
          <w:sz w:val="28"/>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The</w:t>
      </w:r>
      <w:r>
        <w:rPr>
          <w:color w:val="231F20"/>
          <w:spacing w:val="-44"/>
          <w:sz w:val="23"/>
        </w:rPr>
        <w:t> </w:t>
      </w:r>
      <w:r>
        <w:rPr>
          <w:color w:val="231F20"/>
          <w:sz w:val="23"/>
        </w:rPr>
        <w:t>Abu</w:t>
      </w:r>
      <w:r>
        <w:rPr>
          <w:color w:val="231F20"/>
          <w:spacing w:val="-43"/>
          <w:sz w:val="23"/>
        </w:rPr>
        <w:t> </w:t>
      </w:r>
      <w:r>
        <w:rPr>
          <w:color w:val="231F20"/>
          <w:spacing w:val="-3"/>
          <w:sz w:val="23"/>
        </w:rPr>
        <w:t>Dhabi</w:t>
      </w:r>
      <w:r>
        <w:rPr>
          <w:color w:val="231F20"/>
          <w:spacing w:val="-43"/>
          <w:sz w:val="23"/>
        </w:rPr>
        <w:t> </w:t>
      </w:r>
      <w:r>
        <w:rPr>
          <w:color w:val="231F20"/>
          <w:spacing w:val="-3"/>
          <w:sz w:val="23"/>
        </w:rPr>
        <w:t>Fund,</w:t>
      </w:r>
      <w:r>
        <w:rPr>
          <w:color w:val="231F20"/>
          <w:spacing w:val="-44"/>
          <w:sz w:val="23"/>
        </w:rPr>
        <w:t> </w:t>
      </w:r>
      <w:r>
        <w:rPr>
          <w:color w:val="231F20"/>
          <w:spacing w:val="-3"/>
          <w:sz w:val="23"/>
        </w:rPr>
        <w:t>African</w:t>
      </w:r>
      <w:r>
        <w:rPr>
          <w:color w:val="231F20"/>
          <w:spacing w:val="-43"/>
          <w:sz w:val="23"/>
        </w:rPr>
        <w:t> </w:t>
      </w:r>
      <w:r>
        <w:rPr>
          <w:color w:val="231F20"/>
          <w:spacing w:val="-3"/>
          <w:sz w:val="23"/>
        </w:rPr>
        <w:t>Development</w:t>
      </w:r>
      <w:r>
        <w:rPr>
          <w:color w:val="231F20"/>
          <w:spacing w:val="-43"/>
          <w:sz w:val="23"/>
        </w:rPr>
        <w:t> </w:t>
      </w:r>
      <w:r>
        <w:rPr>
          <w:color w:val="231F20"/>
          <w:sz w:val="23"/>
        </w:rPr>
        <w:t>Bank,</w:t>
      </w:r>
      <w:r>
        <w:rPr>
          <w:color w:val="231F20"/>
          <w:spacing w:val="-43"/>
          <w:sz w:val="23"/>
        </w:rPr>
        <w:t> </w:t>
      </w:r>
      <w:r>
        <w:rPr>
          <w:color w:val="231F20"/>
          <w:spacing w:val="-3"/>
          <w:sz w:val="23"/>
        </w:rPr>
        <w:t>World</w:t>
      </w:r>
      <w:r>
        <w:rPr>
          <w:color w:val="231F20"/>
          <w:spacing w:val="-44"/>
          <w:sz w:val="23"/>
        </w:rPr>
        <w:t> </w:t>
      </w:r>
      <w:r>
        <w:rPr>
          <w:color w:val="231F20"/>
          <w:sz w:val="23"/>
        </w:rPr>
        <w:t>Bank,</w:t>
      </w:r>
      <w:r>
        <w:rPr>
          <w:color w:val="231F20"/>
          <w:spacing w:val="-43"/>
          <w:sz w:val="23"/>
        </w:rPr>
        <w:t> </w:t>
      </w:r>
      <w:r>
        <w:rPr>
          <w:color w:val="231F20"/>
          <w:spacing w:val="-3"/>
          <w:sz w:val="23"/>
        </w:rPr>
        <w:t>DFID,</w:t>
      </w:r>
      <w:r>
        <w:rPr>
          <w:color w:val="231F20"/>
          <w:spacing w:val="-43"/>
          <w:sz w:val="23"/>
        </w:rPr>
        <w:t> </w:t>
      </w:r>
      <w:r>
        <w:rPr>
          <w:color w:val="231F20"/>
          <w:sz w:val="23"/>
        </w:rPr>
        <w:t>and</w:t>
      </w:r>
      <w:r>
        <w:rPr>
          <w:color w:val="231F20"/>
          <w:spacing w:val="-43"/>
          <w:sz w:val="23"/>
        </w:rPr>
        <w:t> </w:t>
      </w:r>
      <w:r>
        <w:rPr>
          <w:color w:val="231F20"/>
          <w:spacing w:val="-3"/>
          <w:sz w:val="23"/>
        </w:rPr>
        <w:t>Indian </w:t>
      </w:r>
      <w:r>
        <w:rPr>
          <w:color w:val="231F20"/>
          <w:sz w:val="23"/>
        </w:rPr>
        <w:t>Exim</w:t>
      </w:r>
      <w:r>
        <w:rPr>
          <w:color w:val="231F20"/>
          <w:spacing w:val="-45"/>
          <w:sz w:val="23"/>
        </w:rPr>
        <w:t> </w:t>
      </w:r>
      <w:r>
        <w:rPr>
          <w:color w:val="231F20"/>
          <w:sz w:val="23"/>
        </w:rPr>
        <w:t>Bank</w:t>
      </w:r>
      <w:r>
        <w:rPr>
          <w:color w:val="231F20"/>
          <w:spacing w:val="-44"/>
          <w:sz w:val="23"/>
        </w:rPr>
        <w:t> </w:t>
      </w:r>
      <w:r>
        <w:rPr>
          <w:color w:val="231F20"/>
          <w:sz w:val="23"/>
        </w:rPr>
        <w:t>will</w:t>
      </w:r>
      <w:r>
        <w:rPr>
          <w:color w:val="231F20"/>
          <w:spacing w:val="-44"/>
          <w:sz w:val="23"/>
        </w:rPr>
        <w:t> </w:t>
      </w:r>
      <w:r>
        <w:rPr>
          <w:color w:val="231F20"/>
          <w:sz w:val="23"/>
        </w:rPr>
        <w:t>disburse</w:t>
      </w:r>
      <w:r>
        <w:rPr>
          <w:color w:val="231F20"/>
          <w:spacing w:val="-45"/>
          <w:sz w:val="23"/>
        </w:rPr>
        <w:t> </w:t>
      </w:r>
      <w:r>
        <w:rPr>
          <w:color w:val="231F20"/>
          <w:sz w:val="23"/>
        </w:rPr>
        <w:t>Le323.4</w:t>
      </w:r>
      <w:r>
        <w:rPr>
          <w:color w:val="231F20"/>
          <w:spacing w:val="-44"/>
          <w:sz w:val="23"/>
        </w:rPr>
        <w:t> </w:t>
      </w:r>
      <w:r>
        <w:rPr>
          <w:color w:val="231F20"/>
          <w:sz w:val="23"/>
        </w:rPr>
        <w:t>billion</w:t>
      </w:r>
      <w:r>
        <w:rPr>
          <w:color w:val="231F20"/>
          <w:spacing w:val="-44"/>
          <w:sz w:val="23"/>
        </w:rPr>
        <w:t> </w:t>
      </w:r>
      <w:r>
        <w:rPr>
          <w:color w:val="231F20"/>
          <w:sz w:val="23"/>
        </w:rPr>
        <w:t>towards</w:t>
      </w:r>
      <w:r>
        <w:rPr>
          <w:color w:val="231F20"/>
          <w:spacing w:val="-45"/>
          <w:sz w:val="23"/>
        </w:rPr>
        <w:t> </w:t>
      </w:r>
      <w:r>
        <w:rPr>
          <w:color w:val="231F20"/>
          <w:sz w:val="23"/>
        </w:rPr>
        <w:t>the</w:t>
      </w:r>
      <w:r>
        <w:rPr>
          <w:color w:val="231F20"/>
          <w:spacing w:val="-44"/>
          <w:sz w:val="23"/>
        </w:rPr>
        <w:t> </w:t>
      </w:r>
      <w:r>
        <w:rPr>
          <w:color w:val="231F20"/>
          <w:sz w:val="23"/>
        </w:rPr>
        <w:t>implementation</w:t>
      </w:r>
      <w:r>
        <w:rPr>
          <w:color w:val="231F20"/>
          <w:spacing w:val="-44"/>
          <w:sz w:val="23"/>
        </w:rPr>
        <w:t> </w:t>
      </w:r>
      <w:r>
        <w:rPr>
          <w:color w:val="231F20"/>
          <w:sz w:val="23"/>
        </w:rPr>
        <w:t>of</w:t>
      </w:r>
      <w:r>
        <w:rPr>
          <w:color w:val="231F20"/>
          <w:spacing w:val="-45"/>
          <w:sz w:val="23"/>
        </w:rPr>
        <w:t> </w:t>
      </w:r>
      <w:r>
        <w:rPr>
          <w:color w:val="231F20"/>
          <w:sz w:val="23"/>
        </w:rPr>
        <w:t>various</w:t>
      </w:r>
      <w:r>
        <w:rPr>
          <w:color w:val="231F20"/>
          <w:spacing w:val="-44"/>
          <w:sz w:val="23"/>
        </w:rPr>
        <w:t> </w:t>
      </w:r>
      <w:r>
        <w:rPr>
          <w:color w:val="231F20"/>
          <w:sz w:val="23"/>
        </w:rPr>
        <w:t>projects in</w:t>
      </w:r>
      <w:r>
        <w:rPr>
          <w:color w:val="231F20"/>
          <w:spacing w:val="-43"/>
          <w:sz w:val="23"/>
        </w:rPr>
        <w:t> </w:t>
      </w:r>
      <w:r>
        <w:rPr>
          <w:color w:val="231F20"/>
          <w:spacing w:val="-3"/>
          <w:sz w:val="23"/>
        </w:rPr>
        <w:t>the</w:t>
      </w:r>
      <w:r>
        <w:rPr>
          <w:color w:val="231F20"/>
          <w:spacing w:val="-42"/>
          <w:sz w:val="23"/>
        </w:rPr>
        <w:t> </w:t>
      </w:r>
      <w:r>
        <w:rPr>
          <w:color w:val="231F20"/>
          <w:spacing w:val="-4"/>
          <w:sz w:val="23"/>
        </w:rPr>
        <w:t>energy</w:t>
      </w:r>
      <w:r>
        <w:rPr>
          <w:color w:val="231F20"/>
          <w:spacing w:val="-42"/>
          <w:sz w:val="23"/>
        </w:rPr>
        <w:t> </w:t>
      </w:r>
      <w:r>
        <w:rPr>
          <w:color w:val="231F20"/>
          <w:spacing w:val="-4"/>
          <w:sz w:val="23"/>
        </w:rPr>
        <w:t>sector.</w:t>
      </w:r>
      <w:r>
        <w:rPr>
          <w:color w:val="231F20"/>
          <w:spacing w:val="-42"/>
          <w:sz w:val="23"/>
        </w:rPr>
        <w:t> </w:t>
      </w:r>
      <w:r>
        <w:rPr>
          <w:color w:val="231F20"/>
          <w:spacing w:val="-4"/>
          <w:sz w:val="23"/>
        </w:rPr>
        <w:t>Government’s</w:t>
      </w:r>
      <w:r>
        <w:rPr>
          <w:color w:val="231F20"/>
          <w:spacing w:val="-42"/>
          <w:sz w:val="23"/>
        </w:rPr>
        <w:t> </w:t>
      </w:r>
      <w:r>
        <w:rPr>
          <w:color w:val="231F20"/>
          <w:spacing w:val="-4"/>
          <w:sz w:val="23"/>
        </w:rPr>
        <w:t>counterpart</w:t>
      </w:r>
      <w:r>
        <w:rPr>
          <w:color w:val="231F20"/>
          <w:spacing w:val="-42"/>
          <w:sz w:val="23"/>
        </w:rPr>
        <w:t> </w:t>
      </w:r>
      <w:r>
        <w:rPr>
          <w:color w:val="231F20"/>
          <w:spacing w:val="-4"/>
          <w:sz w:val="23"/>
        </w:rPr>
        <w:t>contribution</w:t>
      </w:r>
      <w:r>
        <w:rPr>
          <w:color w:val="231F20"/>
          <w:spacing w:val="-42"/>
          <w:sz w:val="23"/>
        </w:rPr>
        <w:t> </w:t>
      </w:r>
      <w:r>
        <w:rPr>
          <w:color w:val="231F20"/>
          <w:spacing w:val="-4"/>
          <w:sz w:val="23"/>
        </w:rPr>
        <w:t>towards</w:t>
      </w:r>
      <w:r>
        <w:rPr>
          <w:color w:val="231F20"/>
          <w:spacing w:val="-42"/>
          <w:sz w:val="23"/>
        </w:rPr>
        <w:t> </w:t>
      </w:r>
      <w:r>
        <w:rPr>
          <w:color w:val="231F20"/>
          <w:spacing w:val="-3"/>
          <w:sz w:val="23"/>
        </w:rPr>
        <w:t>the</w:t>
      </w:r>
      <w:r>
        <w:rPr>
          <w:color w:val="231F20"/>
          <w:spacing w:val="-42"/>
          <w:sz w:val="23"/>
        </w:rPr>
        <w:t> </w:t>
      </w:r>
      <w:r>
        <w:rPr>
          <w:color w:val="231F20"/>
          <w:spacing w:val="-4"/>
          <w:sz w:val="23"/>
        </w:rPr>
        <w:t>implementation </w:t>
      </w:r>
      <w:r>
        <w:rPr>
          <w:color w:val="231F20"/>
          <w:sz w:val="23"/>
        </w:rPr>
        <w:t>of these projects will amount to Le10.2 billion.</w:t>
      </w:r>
    </w:p>
    <w:p>
      <w:pPr>
        <w:pStyle w:val="BodyText"/>
        <w:spacing w:before="10"/>
        <w:rPr>
          <w:sz w:val="28"/>
        </w:rPr>
      </w:pPr>
    </w:p>
    <w:p>
      <w:pPr>
        <w:pStyle w:val="Heading2"/>
        <w:jc w:val="both"/>
      </w:pPr>
      <w:r>
        <w:rPr>
          <w:color w:val="231F20"/>
        </w:rPr>
        <w:t>Improving Water</w:t>
      </w:r>
      <w:r>
        <w:rPr>
          <w:color w:val="231F20"/>
          <w:spacing w:val="-65"/>
        </w:rPr>
        <w:t> </w:t>
      </w:r>
      <w:r>
        <w:rPr>
          <w:color w:val="231F20"/>
        </w:rPr>
        <w:t>Supply</w:t>
      </w:r>
    </w:p>
    <w:p>
      <w:pPr>
        <w:pStyle w:val="ListParagraph"/>
        <w:numPr>
          <w:ilvl w:val="0"/>
          <w:numId w:val="2"/>
        </w:numPr>
        <w:tabs>
          <w:tab w:pos="954" w:val="left" w:leader="none"/>
        </w:tabs>
        <w:spacing w:line="302" w:lineRule="auto" w:before="71" w:after="0"/>
        <w:ind w:left="103" w:right="122" w:firstLine="87"/>
        <w:jc w:val="both"/>
        <w:rPr>
          <w:sz w:val="23"/>
        </w:rPr>
      </w:pPr>
      <w:r>
        <w:rPr>
          <w:color w:val="231F20"/>
          <w:sz w:val="23"/>
        </w:rPr>
        <w:t>An amount of Le11.3 billion is allocated from the recurrent budget to the Ministry</w:t>
      </w:r>
      <w:r>
        <w:rPr>
          <w:color w:val="231F20"/>
          <w:spacing w:val="-19"/>
          <w:sz w:val="23"/>
        </w:rPr>
        <w:t> </w:t>
      </w:r>
      <w:r>
        <w:rPr>
          <w:color w:val="231F20"/>
          <w:sz w:val="23"/>
        </w:rPr>
        <w:t>of</w:t>
      </w:r>
      <w:r>
        <w:rPr>
          <w:color w:val="231F20"/>
          <w:spacing w:val="-19"/>
          <w:sz w:val="23"/>
        </w:rPr>
        <w:t> </w:t>
      </w:r>
      <w:r>
        <w:rPr>
          <w:color w:val="231F20"/>
          <w:sz w:val="23"/>
        </w:rPr>
        <w:t>Water</w:t>
      </w:r>
      <w:r>
        <w:rPr>
          <w:color w:val="231F20"/>
          <w:spacing w:val="-19"/>
          <w:sz w:val="23"/>
        </w:rPr>
        <w:t> </w:t>
      </w:r>
      <w:r>
        <w:rPr>
          <w:color w:val="231F20"/>
          <w:sz w:val="23"/>
        </w:rPr>
        <w:t>Resources,</w:t>
      </w:r>
      <w:r>
        <w:rPr>
          <w:color w:val="231F20"/>
          <w:spacing w:val="-20"/>
          <w:sz w:val="23"/>
        </w:rPr>
        <w:t> </w:t>
      </w:r>
      <w:r>
        <w:rPr>
          <w:color w:val="231F20"/>
          <w:sz w:val="23"/>
        </w:rPr>
        <w:t>of</w:t>
      </w:r>
      <w:r>
        <w:rPr>
          <w:color w:val="231F20"/>
          <w:spacing w:val="-19"/>
          <w:sz w:val="23"/>
        </w:rPr>
        <w:t> </w:t>
      </w:r>
      <w:r>
        <w:rPr>
          <w:color w:val="231F20"/>
          <w:sz w:val="23"/>
        </w:rPr>
        <w:t>which,</w:t>
      </w:r>
      <w:r>
        <w:rPr>
          <w:color w:val="231F20"/>
          <w:spacing w:val="-19"/>
          <w:sz w:val="23"/>
        </w:rPr>
        <w:t> </w:t>
      </w:r>
      <w:r>
        <w:rPr>
          <w:color w:val="231F20"/>
          <w:sz w:val="23"/>
        </w:rPr>
        <w:t>Le5.2</w:t>
      </w:r>
      <w:r>
        <w:rPr>
          <w:color w:val="231F20"/>
          <w:spacing w:val="-19"/>
          <w:sz w:val="23"/>
        </w:rPr>
        <w:t> </w:t>
      </w:r>
      <w:r>
        <w:rPr>
          <w:color w:val="231F20"/>
          <w:sz w:val="23"/>
        </w:rPr>
        <w:t>billion</w:t>
      </w:r>
      <w:r>
        <w:rPr>
          <w:color w:val="231F20"/>
          <w:spacing w:val="-19"/>
          <w:sz w:val="23"/>
        </w:rPr>
        <w:t> </w:t>
      </w:r>
      <w:r>
        <w:rPr>
          <w:color w:val="231F20"/>
          <w:sz w:val="23"/>
        </w:rPr>
        <w:t>as</w:t>
      </w:r>
      <w:r>
        <w:rPr>
          <w:color w:val="231F20"/>
          <w:spacing w:val="-19"/>
          <w:sz w:val="23"/>
        </w:rPr>
        <w:t> </w:t>
      </w:r>
      <w:r>
        <w:rPr>
          <w:color w:val="231F20"/>
          <w:sz w:val="23"/>
        </w:rPr>
        <w:t>grants</w:t>
      </w:r>
      <w:r>
        <w:rPr>
          <w:color w:val="231F20"/>
          <w:spacing w:val="-19"/>
          <w:sz w:val="23"/>
        </w:rPr>
        <w:t> </w:t>
      </w:r>
      <w:r>
        <w:rPr>
          <w:color w:val="231F20"/>
          <w:sz w:val="23"/>
        </w:rPr>
        <w:t>to</w:t>
      </w:r>
      <w:r>
        <w:rPr>
          <w:color w:val="231F20"/>
          <w:spacing w:val="-19"/>
          <w:sz w:val="23"/>
        </w:rPr>
        <w:t> </w:t>
      </w:r>
      <w:r>
        <w:rPr>
          <w:color w:val="231F20"/>
          <w:sz w:val="23"/>
        </w:rPr>
        <w:t>SALWACO</w:t>
      </w:r>
      <w:r>
        <w:rPr>
          <w:color w:val="231F20"/>
          <w:spacing w:val="-19"/>
          <w:sz w:val="23"/>
        </w:rPr>
        <w:t> </w:t>
      </w:r>
      <w:r>
        <w:rPr>
          <w:color w:val="231F20"/>
          <w:sz w:val="23"/>
        </w:rPr>
        <w:t>and</w:t>
      </w:r>
      <w:r>
        <w:rPr>
          <w:color w:val="231F20"/>
          <w:spacing w:val="-19"/>
          <w:sz w:val="23"/>
        </w:rPr>
        <w:t> </w:t>
      </w:r>
      <w:r>
        <w:rPr>
          <w:color w:val="231F20"/>
          <w:sz w:val="23"/>
        </w:rPr>
        <w:t>Le2.1 billion to the Water Resource Management</w:t>
      </w:r>
      <w:r>
        <w:rPr>
          <w:color w:val="231F20"/>
          <w:spacing w:val="42"/>
          <w:sz w:val="23"/>
        </w:rPr>
        <w:t> </w:t>
      </w:r>
      <w:r>
        <w:rPr>
          <w:color w:val="231F20"/>
          <w:sz w:val="23"/>
        </w:rPr>
        <w:t>Agency.</w:t>
      </w:r>
    </w:p>
    <w:p>
      <w:pPr>
        <w:pStyle w:val="BodyText"/>
        <w:rPr>
          <w:sz w:val="29"/>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An amount of Le21.0 billion is allocated from the domestic capital budget to </w:t>
      </w:r>
      <w:r>
        <w:rPr>
          <w:color w:val="231F20"/>
          <w:spacing w:val="-3"/>
          <w:sz w:val="23"/>
        </w:rPr>
        <w:t>SALWACO</w:t>
      </w:r>
      <w:r>
        <w:rPr>
          <w:color w:val="231F20"/>
          <w:spacing w:val="-42"/>
          <w:sz w:val="23"/>
        </w:rPr>
        <w:t> </w:t>
      </w:r>
      <w:r>
        <w:rPr>
          <w:color w:val="231F20"/>
          <w:sz w:val="23"/>
        </w:rPr>
        <w:t>to</w:t>
      </w:r>
      <w:r>
        <w:rPr>
          <w:color w:val="231F20"/>
          <w:spacing w:val="-42"/>
          <w:sz w:val="23"/>
        </w:rPr>
        <w:t> </w:t>
      </w:r>
      <w:r>
        <w:rPr>
          <w:color w:val="231F20"/>
          <w:spacing w:val="-3"/>
          <w:sz w:val="23"/>
        </w:rPr>
        <w:t>finance</w:t>
      </w:r>
      <w:r>
        <w:rPr>
          <w:color w:val="231F20"/>
          <w:spacing w:val="-42"/>
          <w:sz w:val="23"/>
        </w:rPr>
        <w:t> </w:t>
      </w:r>
      <w:r>
        <w:rPr>
          <w:color w:val="231F20"/>
          <w:sz w:val="23"/>
        </w:rPr>
        <w:t>the</w:t>
      </w:r>
      <w:r>
        <w:rPr>
          <w:color w:val="231F20"/>
          <w:spacing w:val="-42"/>
          <w:sz w:val="23"/>
        </w:rPr>
        <w:t> </w:t>
      </w:r>
      <w:r>
        <w:rPr>
          <w:color w:val="231F20"/>
          <w:spacing w:val="-3"/>
          <w:sz w:val="23"/>
        </w:rPr>
        <w:t>completion</w:t>
      </w:r>
      <w:r>
        <w:rPr>
          <w:color w:val="231F20"/>
          <w:spacing w:val="-42"/>
          <w:sz w:val="23"/>
        </w:rPr>
        <w:t> </w:t>
      </w:r>
      <w:r>
        <w:rPr>
          <w:color w:val="231F20"/>
          <w:sz w:val="23"/>
        </w:rPr>
        <w:t>of</w:t>
      </w:r>
      <w:r>
        <w:rPr>
          <w:color w:val="231F20"/>
          <w:spacing w:val="-42"/>
          <w:sz w:val="23"/>
        </w:rPr>
        <w:t> </w:t>
      </w:r>
      <w:r>
        <w:rPr>
          <w:color w:val="231F20"/>
          <w:spacing w:val="-3"/>
          <w:sz w:val="23"/>
        </w:rPr>
        <w:t>water</w:t>
      </w:r>
      <w:r>
        <w:rPr>
          <w:color w:val="231F20"/>
          <w:spacing w:val="-42"/>
          <w:sz w:val="23"/>
        </w:rPr>
        <w:t> </w:t>
      </w:r>
      <w:r>
        <w:rPr>
          <w:color w:val="231F20"/>
          <w:spacing w:val="-3"/>
          <w:sz w:val="23"/>
        </w:rPr>
        <w:t>supply</w:t>
      </w:r>
      <w:r>
        <w:rPr>
          <w:color w:val="231F20"/>
          <w:spacing w:val="-42"/>
          <w:sz w:val="23"/>
        </w:rPr>
        <w:t> </w:t>
      </w:r>
      <w:r>
        <w:rPr>
          <w:color w:val="231F20"/>
          <w:spacing w:val="-3"/>
          <w:sz w:val="23"/>
        </w:rPr>
        <w:t>projects</w:t>
      </w:r>
      <w:r>
        <w:rPr>
          <w:color w:val="231F20"/>
          <w:spacing w:val="-42"/>
          <w:sz w:val="23"/>
        </w:rPr>
        <w:t> </w:t>
      </w:r>
      <w:r>
        <w:rPr>
          <w:color w:val="231F20"/>
          <w:sz w:val="23"/>
        </w:rPr>
        <w:t>in</w:t>
      </w:r>
      <w:r>
        <w:rPr>
          <w:color w:val="231F20"/>
          <w:spacing w:val="-42"/>
          <w:sz w:val="23"/>
        </w:rPr>
        <w:t> </w:t>
      </w:r>
      <w:r>
        <w:rPr>
          <w:color w:val="231F20"/>
          <w:sz w:val="23"/>
        </w:rPr>
        <w:t>all</w:t>
      </w:r>
      <w:r>
        <w:rPr>
          <w:color w:val="231F20"/>
          <w:spacing w:val="-42"/>
          <w:sz w:val="23"/>
        </w:rPr>
        <w:t> </w:t>
      </w:r>
      <w:r>
        <w:rPr>
          <w:color w:val="231F20"/>
          <w:spacing w:val="-3"/>
          <w:sz w:val="23"/>
        </w:rPr>
        <w:t>districts,</w:t>
      </w:r>
      <w:r>
        <w:rPr>
          <w:color w:val="231F20"/>
          <w:spacing w:val="-42"/>
          <w:sz w:val="23"/>
        </w:rPr>
        <w:t> </w:t>
      </w:r>
      <w:r>
        <w:rPr>
          <w:color w:val="231F20"/>
          <w:spacing w:val="-3"/>
          <w:sz w:val="23"/>
        </w:rPr>
        <w:t>construction </w:t>
      </w:r>
      <w:r>
        <w:rPr>
          <w:color w:val="231F20"/>
          <w:sz w:val="23"/>
        </w:rPr>
        <w:t>of solar-powered bore holes in 13 districts, construction of water supply systems in Bonthe Municipality and construction of industrial bore holes in urban areas; the procurement</w:t>
      </w:r>
      <w:r>
        <w:rPr>
          <w:color w:val="231F20"/>
          <w:spacing w:val="-31"/>
          <w:sz w:val="23"/>
        </w:rPr>
        <w:t> </w:t>
      </w:r>
      <w:r>
        <w:rPr>
          <w:color w:val="231F20"/>
          <w:sz w:val="23"/>
        </w:rPr>
        <w:t>and</w:t>
      </w:r>
      <w:r>
        <w:rPr>
          <w:color w:val="231F20"/>
          <w:spacing w:val="-31"/>
          <w:sz w:val="23"/>
        </w:rPr>
        <w:t> </w:t>
      </w:r>
      <w:r>
        <w:rPr>
          <w:color w:val="231F20"/>
          <w:sz w:val="23"/>
        </w:rPr>
        <w:t>installation</w:t>
      </w:r>
      <w:r>
        <w:rPr>
          <w:color w:val="231F20"/>
          <w:spacing w:val="-31"/>
          <w:sz w:val="23"/>
        </w:rPr>
        <w:t> </w:t>
      </w:r>
      <w:r>
        <w:rPr>
          <w:color w:val="231F20"/>
          <w:sz w:val="23"/>
        </w:rPr>
        <w:t>of</w:t>
      </w:r>
      <w:r>
        <w:rPr>
          <w:color w:val="231F20"/>
          <w:spacing w:val="-31"/>
          <w:sz w:val="23"/>
        </w:rPr>
        <w:t> </w:t>
      </w:r>
      <w:r>
        <w:rPr>
          <w:color w:val="231F20"/>
          <w:sz w:val="23"/>
        </w:rPr>
        <w:t>metres,</w:t>
      </w:r>
      <w:r>
        <w:rPr>
          <w:color w:val="231F20"/>
          <w:spacing w:val="-31"/>
          <w:sz w:val="23"/>
        </w:rPr>
        <w:t> </w:t>
      </w:r>
      <w:r>
        <w:rPr>
          <w:color w:val="231F20"/>
          <w:sz w:val="23"/>
        </w:rPr>
        <w:t>billing</w:t>
      </w:r>
      <w:r>
        <w:rPr>
          <w:color w:val="231F20"/>
          <w:spacing w:val="-31"/>
          <w:sz w:val="23"/>
        </w:rPr>
        <w:t> </w:t>
      </w:r>
      <w:r>
        <w:rPr>
          <w:color w:val="231F20"/>
          <w:sz w:val="23"/>
        </w:rPr>
        <w:t>software</w:t>
      </w:r>
      <w:r>
        <w:rPr>
          <w:color w:val="231F20"/>
          <w:spacing w:val="-31"/>
          <w:sz w:val="23"/>
        </w:rPr>
        <w:t> </w:t>
      </w:r>
      <w:r>
        <w:rPr>
          <w:color w:val="231F20"/>
          <w:sz w:val="23"/>
        </w:rPr>
        <w:t>and</w:t>
      </w:r>
      <w:r>
        <w:rPr>
          <w:color w:val="231F20"/>
          <w:spacing w:val="-31"/>
          <w:sz w:val="23"/>
        </w:rPr>
        <w:t> </w:t>
      </w:r>
      <w:r>
        <w:rPr>
          <w:color w:val="231F20"/>
          <w:sz w:val="23"/>
        </w:rPr>
        <w:t>laboratory</w:t>
      </w:r>
      <w:r>
        <w:rPr>
          <w:color w:val="231F20"/>
          <w:spacing w:val="-31"/>
          <w:sz w:val="23"/>
        </w:rPr>
        <w:t> </w:t>
      </w:r>
      <w:r>
        <w:rPr>
          <w:color w:val="231F20"/>
          <w:sz w:val="23"/>
        </w:rPr>
        <w:t>equipment.</w:t>
      </w:r>
      <w:r>
        <w:rPr>
          <w:color w:val="231F20"/>
          <w:spacing w:val="-31"/>
          <w:sz w:val="23"/>
        </w:rPr>
        <w:t> </w:t>
      </w:r>
      <w:r>
        <w:rPr>
          <w:color w:val="231F20"/>
          <w:sz w:val="23"/>
        </w:rPr>
        <w:t>An amount of Le6.0 billion is allocated to the National Water Resource Management Agency for the construction of 10 hydrological monitoring networks and 25 ground water</w:t>
      </w:r>
      <w:r>
        <w:rPr>
          <w:color w:val="231F20"/>
          <w:spacing w:val="-27"/>
          <w:sz w:val="23"/>
        </w:rPr>
        <w:t> </w:t>
      </w:r>
      <w:r>
        <w:rPr>
          <w:color w:val="231F20"/>
          <w:sz w:val="23"/>
        </w:rPr>
        <w:t>monitoring</w:t>
      </w:r>
      <w:r>
        <w:rPr>
          <w:color w:val="231F20"/>
          <w:spacing w:val="-27"/>
          <w:sz w:val="23"/>
        </w:rPr>
        <w:t> </w:t>
      </w:r>
      <w:r>
        <w:rPr>
          <w:color w:val="231F20"/>
          <w:sz w:val="23"/>
        </w:rPr>
        <w:t>stations.</w:t>
      </w:r>
      <w:r>
        <w:rPr>
          <w:color w:val="231F20"/>
          <w:spacing w:val="-27"/>
          <w:sz w:val="23"/>
        </w:rPr>
        <w:t> </w:t>
      </w:r>
      <w:r>
        <w:rPr>
          <w:color w:val="231F20"/>
          <w:sz w:val="23"/>
        </w:rPr>
        <w:t>In</w:t>
      </w:r>
      <w:r>
        <w:rPr>
          <w:color w:val="231F20"/>
          <w:spacing w:val="-27"/>
          <w:sz w:val="23"/>
        </w:rPr>
        <w:t> </w:t>
      </w:r>
      <w:r>
        <w:rPr>
          <w:color w:val="231F20"/>
          <w:sz w:val="23"/>
        </w:rPr>
        <w:t>addition,</w:t>
      </w:r>
      <w:r>
        <w:rPr>
          <w:color w:val="231F20"/>
          <w:spacing w:val="-27"/>
          <w:sz w:val="23"/>
        </w:rPr>
        <w:t> </w:t>
      </w:r>
      <w:r>
        <w:rPr>
          <w:color w:val="231F20"/>
          <w:sz w:val="23"/>
        </w:rPr>
        <w:t>Le3.0</w:t>
      </w:r>
      <w:r>
        <w:rPr>
          <w:color w:val="231F20"/>
          <w:spacing w:val="-27"/>
          <w:sz w:val="23"/>
        </w:rPr>
        <w:t> </w:t>
      </w:r>
      <w:r>
        <w:rPr>
          <w:color w:val="231F20"/>
          <w:sz w:val="23"/>
        </w:rPr>
        <w:t>billion</w:t>
      </w:r>
      <w:r>
        <w:rPr>
          <w:color w:val="231F20"/>
          <w:spacing w:val="-27"/>
          <w:sz w:val="23"/>
        </w:rPr>
        <w:t> </w:t>
      </w:r>
      <w:r>
        <w:rPr>
          <w:color w:val="231F20"/>
          <w:sz w:val="23"/>
        </w:rPr>
        <w:t>is</w:t>
      </w:r>
      <w:r>
        <w:rPr>
          <w:color w:val="231F20"/>
          <w:spacing w:val="-27"/>
          <w:sz w:val="23"/>
        </w:rPr>
        <w:t> </w:t>
      </w:r>
      <w:r>
        <w:rPr>
          <w:color w:val="231F20"/>
          <w:sz w:val="23"/>
        </w:rPr>
        <w:t>allocated</w:t>
      </w:r>
      <w:r>
        <w:rPr>
          <w:color w:val="231F20"/>
          <w:spacing w:val="-27"/>
          <w:sz w:val="23"/>
        </w:rPr>
        <w:t> </w:t>
      </w:r>
      <w:r>
        <w:rPr>
          <w:color w:val="231F20"/>
          <w:sz w:val="23"/>
        </w:rPr>
        <w:t>to</w:t>
      </w:r>
      <w:r>
        <w:rPr>
          <w:color w:val="231F20"/>
          <w:spacing w:val="-27"/>
          <w:sz w:val="23"/>
        </w:rPr>
        <w:t> </w:t>
      </w:r>
      <w:r>
        <w:rPr>
          <w:color w:val="231F20"/>
          <w:sz w:val="23"/>
        </w:rPr>
        <w:t>GUMA</w:t>
      </w:r>
      <w:r>
        <w:rPr>
          <w:color w:val="231F20"/>
          <w:spacing w:val="-27"/>
          <w:sz w:val="23"/>
        </w:rPr>
        <w:t> </w:t>
      </w:r>
      <w:r>
        <w:rPr>
          <w:color w:val="231F20"/>
          <w:sz w:val="23"/>
        </w:rPr>
        <w:t>Valley</w:t>
      </w:r>
      <w:r>
        <w:rPr>
          <w:color w:val="231F20"/>
          <w:spacing w:val="-27"/>
          <w:sz w:val="23"/>
        </w:rPr>
        <w:t> </w:t>
      </w:r>
      <w:r>
        <w:rPr>
          <w:color w:val="231F20"/>
          <w:sz w:val="23"/>
        </w:rPr>
        <w:t>Water Company for the emergency water supply project in the Western</w:t>
      </w:r>
      <w:r>
        <w:rPr>
          <w:color w:val="231F20"/>
          <w:spacing w:val="40"/>
          <w:sz w:val="23"/>
        </w:rPr>
        <w:t> </w:t>
      </w:r>
      <w:r>
        <w:rPr>
          <w:color w:val="231F20"/>
          <w:sz w:val="23"/>
        </w:rPr>
        <w:t>Area.</w:t>
      </w:r>
    </w:p>
    <w:p>
      <w:pPr>
        <w:pStyle w:val="BodyText"/>
        <w:spacing w:before="8"/>
        <w:rPr>
          <w:sz w:val="28"/>
        </w:rPr>
      </w:pPr>
    </w:p>
    <w:p>
      <w:pPr>
        <w:pStyle w:val="ListParagraph"/>
        <w:numPr>
          <w:ilvl w:val="0"/>
          <w:numId w:val="2"/>
        </w:numPr>
        <w:tabs>
          <w:tab w:pos="954" w:val="left" w:leader="none"/>
        </w:tabs>
        <w:spacing w:line="302" w:lineRule="auto" w:before="0" w:after="0"/>
        <w:ind w:left="103" w:right="121" w:firstLine="87"/>
        <w:jc w:val="both"/>
        <w:rPr>
          <w:sz w:val="23"/>
        </w:rPr>
      </w:pPr>
      <w:r>
        <w:rPr>
          <w:color w:val="231F20"/>
          <w:sz w:val="23"/>
        </w:rPr>
        <w:t>Development</w:t>
      </w:r>
      <w:r>
        <w:rPr>
          <w:color w:val="231F20"/>
          <w:spacing w:val="-26"/>
          <w:sz w:val="23"/>
        </w:rPr>
        <w:t> </w:t>
      </w:r>
      <w:r>
        <w:rPr>
          <w:color w:val="231F20"/>
          <w:sz w:val="23"/>
        </w:rPr>
        <w:t>partners,</w:t>
      </w:r>
      <w:r>
        <w:rPr>
          <w:color w:val="231F20"/>
          <w:spacing w:val="-26"/>
          <w:sz w:val="23"/>
        </w:rPr>
        <w:t> </w:t>
      </w:r>
      <w:r>
        <w:rPr>
          <w:color w:val="231F20"/>
          <w:sz w:val="23"/>
        </w:rPr>
        <w:t>including</w:t>
      </w:r>
      <w:r>
        <w:rPr>
          <w:color w:val="231F20"/>
          <w:spacing w:val="-26"/>
          <w:sz w:val="23"/>
        </w:rPr>
        <w:t> </w:t>
      </w:r>
      <w:r>
        <w:rPr>
          <w:color w:val="231F20"/>
          <w:sz w:val="23"/>
        </w:rPr>
        <w:t>the</w:t>
      </w:r>
      <w:r>
        <w:rPr>
          <w:color w:val="231F20"/>
          <w:spacing w:val="-26"/>
          <w:sz w:val="23"/>
        </w:rPr>
        <w:t> </w:t>
      </w:r>
      <w:r>
        <w:rPr>
          <w:color w:val="231F20"/>
          <w:sz w:val="23"/>
        </w:rPr>
        <w:t>African</w:t>
      </w:r>
      <w:r>
        <w:rPr>
          <w:color w:val="231F20"/>
          <w:spacing w:val="-26"/>
          <w:sz w:val="23"/>
        </w:rPr>
        <w:t> </w:t>
      </w:r>
      <w:r>
        <w:rPr>
          <w:color w:val="231F20"/>
          <w:sz w:val="23"/>
        </w:rPr>
        <w:t>Development</w:t>
      </w:r>
      <w:r>
        <w:rPr>
          <w:color w:val="231F20"/>
          <w:spacing w:val="-26"/>
          <w:sz w:val="23"/>
        </w:rPr>
        <w:t> </w:t>
      </w:r>
      <w:r>
        <w:rPr>
          <w:color w:val="231F20"/>
          <w:sz w:val="23"/>
        </w:rPr>
        <w:t>Bank,</w:t>
      </w:r>
      <w:r>
        <w:rPr>
          <w:color w:val="231F20"/>
          <w:spacing w:val="-26"/>
          <w:sz w:val="23"/>
        </w:rPr>
        <w:t> </w:t>
      </w:r>
      <w:r>
        <w:rPr>
          <w:color w:val="231F20"/>
          <w:sz w:val="23"/>
        </w:rPr>
        <w:t>World</w:t>
      </w:r>
      <w:r>
        <w:rPr>
          <w:color w:val="231F20"/>
          <w:spacing w:val="-26"/>
          <w:sz w:val="23"/>
        </w:rPr>
        <w:t> </w:t>
      </w:r>
      <w:r>
        <w:rPr>
          <w:color w:val="231F20"/>
          <w:sz w:val="23"/>
        </w:rPr>
        <w:t>Bank, DFID,</w:t>
      </w:r>
      <w:r>
        <w:rPr>
          <w:color w:val="231F20"/>
          <w:spacing w:val="-22"/>
          <w:sz w:val="23"/>
        </w:rPr>
        <w:t> </w:t>
      </w:r>
      <w:r>
        <w:rPr>
          <w:color w:val="231F20"/>
          <w:sz w:val="23"/>
        </w:rPr>
        <w:t>Kuwaiti</w:t>
      </w:r>
      <w:r>
        <w:rPr>
          <w:color w:val="231F20"/>
          <w:spacing w:val="-22"/>
          <w:sz w:val="23"/>
        </w:rPr>
        <w:t> </w:t>
      </w:r>
      <w:r>
        <w:rPr>
          <w:color w:val="231F20"/>
          <w:sz w:val="23"/>
        </w:rPr>
        <w:t>Fund,</w:t>
      </w:r>
      <w:r>
        <w:rPr>
          <w:color w:val="231F20"/>
          <w:spacing w:val="-22"/>
          <w:sz w:val="23"/>
        </w:rPr>
        <w:t> </w:t>
      </w:r>
      <w:r>
        <w:rPr>
          <w:color w:val="231F20"/>
          <w:sz w:val="23"/>
        </w:rPr>
        <w:t>Saudi</w:t>
      </w:r>
      <w:r>
        <w:rPr>
          <w:color w:val="231F20"/>
          <w:spacing w:val="-22"/>
          <w:sz w:val="23"/>
        </w:rPr>
        <w:t> </w:t>
      </w:r>
      <w:r>
        <w:rPr>
          <w:color w:val="231F20"/>
          <w:sz w:val="23"/>
        </w:rPr>
        <w:t>Fund</w:t>
      </w:r>
      <w:r>
        <w:rPr>
          <w:color w:val="231F20"/>
          <w:spacing w:val="-22"/>
          <w:sz w:val="23"/>
        </w:rPr>
        <w:t> </w:t>
      </w:r>
      <w:r>
        <w:rPr>
          <w:color w:val="231F20"/>
          <w:sz w:val="23"/>
        </w:rPr>
        <w:t>will</w:t>
      </w:r>
      <w:r>
        <w:rPr>
          <w:color w:val="231F20"/>
          <w:spacing w:val="-22"/>
          <w:sz w:val="23"/>
        </w:rPr>
        <w:t> </w:t>
      </w:r>
      <w:r>
        <w:rPr>
          <w:color w:val="231F20"/>
          <w:sz w:val="23"/>
        </w:rPr>
        <w:t>disburse</w:t>
      </w:r>
      <w:r>
        <w:rPr>
          <w:color w:val="231F20"/>
          <w:spacing w:val="-22"/>
          <w:sz w:val="23"/>
        </w:rPr>
        <w:t> </w:t>
      </w:r>
      <w:r>
        <w:rPr>
          <w:color w:val="231F20"/>
          <w:sz w:val="23"/>
        </w:rPr>
        <w:t>Le253.0</w:t>
      </w:r>
      <w:r>
        <w:rPr>
          <w:color w:val="231F20"/>
          <w:spacing w:val="-22"/>
          <w:sz w:val="23"/>
        </w:rPr>
        <w:t> </w:t>
      </w:r>
      <w:r>
        <w:rPr>
          <w:color w:val="231F20"/>
          <w:sz w:val="23"/>
        </w:rPr>
        <w:t>billion</w:t>
      </w:r>
      <w:r>
        <w:rPr>
          <w:color w:val="231F20"/>
          <w:spacing w:val="-22"/>
          <w:sz w:val="23"/>
        </w:rPr>
        <w:t> </w:t>
      </w:r>
      <w:r>
        <w:rPr>
          <w:color w:val="231F20"/>
          <w:sz w:val="23"/>
        </w:rPr>
        <w:t>for</w:t>
      </w:r>
      <w:r>
        <w:rPr>
          <w:color w:val="231F20"/>
          <w:spacing w:val="-22"/>
          <w:sz w:val="23"/>
        </w:rPr>
        <w:t> </w:t>
      </w:r>
      <w:r>
        <w:rPr>
          <w:color w:val="231F20"/>
          <w:sz w:val="23"/>
        </w:rPr>
        <w:t>the</w:t>
      </w:r>
      <w:r>
        <w:rPr>
          <w:color w:val="231F20"/>
          <w:spacing w:val="-22"/>
          <w:sz w:val="23"/>
        </w:rPr>
        <w:t> </w:t>
      </w:r>
      <w:r>
        <w:rPr>
          <w:color w:val="231F20"/>
          <w:sz w:val="23"/>
        </w:rPr>
        <w:t>implementation </w:t>
      </w:r>
      <w:r>
        <w:rPr>
          <w:color w:val="231F20"/>
          <w:spacing w:val="-3"/>
          <w:sz w:val="23"/>
        </w:rPr>
        <w:t>of</w:t>
      </w:r>
      <w:r>
        <w:rPr>
          <w:color w:val="231F20"/>
          <w:spacing w:val="-46"/>
          <w:sz w:val="23"/>
        </w:rPr>
        <w:t> </w:t>
      </w:r>
      <w:r>
        <w:rPr>
          <w:color w:val="231F20"/>
          <w:spacing w:val="-6"/>
          <w:sz w:val="23"/>
        </w:rPr>
        <w:t>various</w:t>
      </w:r>
      <w:r>
        <w:rPr>
          <w:color w:val="231F20"/>
          <w:spacing w:val="-45"/>
          <w:sz w:val="23"/>
        </w:rPr>
        <w:t> </w:t>
      </w:r>
      <w:r>
        <w:rPr>
          <w:color w:val="231F20"/>
          <w:spacing w:val="-5"/>
          <w:sz w:val="23"/>
        </w:rPr>
        <w:t>water</w:t>
      </w:r>
      <w:r>
        <w:rPr>
          <w:color w:val="231F20"/>
          <w:spacing w:val="-45"/>
          <w:sz w:val="23"/>
        </w:rPr>
        <w:t> </w:t>
      </w:r>
      <w:r>
        <w:rPr>
          <w:color w:val="231F20"/>
          <w:spacing w:val="-6"/>
          <w:sz w:val="23"/>
        </w:rPr>
        <w:t>projects</w:t>
      </w:r>
      <w:r>
        <w:rPr>
          <w:color w:val="231F20"/>
          <w:spacing w:val="-46"/>
          <w:sz w:val="23"/>
        </w:rPr>
        <w:t> </w:t>
      </w:r>
      <w:r>
        <w:rPr>
          <w:color w:val="231F20"/>
          <w:spacing w:val="-3"/>
          <w:sz w:val="23"/>
        </w:rPr>
        <w:t>by</w:t>
      </w:r>
      <w:r>
        <w:rPr>
          <w:color w:val="231F20"/>
          <w:spacing w:val="-45"/>
          <w:sz w:val="23"/>
        </w:rPr>
        <w:t> </w:t>
      </w:r>
      <w:r>
        <w:rPr>
          <w:color w:val="231F20"/>
          <w:spacing w:val="-5"/>
          <w:sz w:val="23"/>
        </w:rPr>
        <w:t>GUMA</w:t>
      </w:r>
      <w:r>
        <w:rPr>
          <w:color w:val="231F20"/>
          <w:spacing w:val="-45"/>
          <w:sz w:val="23"/>
        </w:rPr>
        <w:t> </w:t>
      </w:r>
      <w:r>
        <w:rPr>
          <w:color w:val="231F20"/>
          <w:spacing w:val="-4"/>
          <w:sz w:val="23"/>
        </w:rPr>
        <w:t>and</w:t>
      </w:r>
      <w:r>
        <w:rPr>
          <w:color w:val="231F20"/>
          <w:spacing w:val="-45"/>
          <w:sz w:val="23"/>
        </w:rPr>
        <w:t> </w:t>
      </w:r>
      <w:r>
        <w:rPr>
          <w:color w:val="231F20"/>
          <w:spacing w:val="-6"/>
          <w:sz w:val="23"/>
        </w:rPr>
        <w:t>SALWACO.</w:t>
      </w:r>
      <w:r>
        <w:rPr>
          <w:color w:val="231F20"/>
          <w:spacing w:val="-46"/>
          <w:sz w:val="23"/>
        </w:rPr>
        <w:t> </w:t>
      </w:r>
      <w:r>
        <w:rPr>
          <w:color w:val="231F20"/>
          <w:spacing w:val="-6"/>
          <w:sz w:val="23"/>
        </w:rPr>
        <w:t>Government’s</w:t>
      </w:r>
      <w:r>
        <w:rPr>
          <w:color w:val="231F20"/>
          <w:spacing w:val="-45"/>
          <w:sz w:val="23"/>
        </w:rPr>
        <w:t> </w:t>
      </w:r>
      <w:r>
        <w:rPr>
          <w:color w:val="231F20"/>
          <w:spacing w:val="-6"/>
          <w:sz w:val="23"/>
        </w:rPr>
        <w:t>counterpart</w:t>
      </w:r>
      <w:r>
        <w:rPr>
          <w:color w:val="231F20"/>
          <w:spacing w:val="-45"/>
          <w:sz w:val="23"/>
        </w:rPr>
        <w:t> </w:t>
      </w:r>
      <w:r>
        <w:rPr>
          <w:color w:val="231F20"/>
          <w:spacing w:val="-6"/>
          <w:sz w:val="23"/>
        </w:rPr>
        <w:t>contribution </w:t>
      </w:r>
      <w:r>
        <w:rPr>
          <w:color w:val="231F20"/>
          <w:sz w:val="23"/>
        </w:rPr>
        <w:t>to these projects will amount to Le34.7 billion.</w:t>
      </w:r>
    </w:p>
    <w:p>
      <w:pPr>
        <w:pStyle w:val="BodyText"/>
        <w:rPr>
          <w:sz w:val="20"/>
        </w:rPr>
      </w:pPr>
    </w:p>
    <w:p>
      <w:pPr>
        <w:pStyle w:val="BodyText"/>
        <w:rPr>
          <w:sz w:val="20"/>
        </w:rPr>
      </w:pPr>
    </w:p>
    <w:p>
      <w:pPr>
        <w:pStyle w:val="BodyText"/>
        <w:rPr>
          <w:sz w:val="20"/>
        </w:rPr>
      </w:pPr>
    </w:p>
    <w:p>
      <w:pPr>
        <w:pStyle w:val="BodyText"/>
        <w:spacing w:before="11"/>
        <w:rPr>
          <w:sz w:val="21"/>
        </w:rPr>
      </w:pPr>
    </w:p>
    <w:p>
      <w:pPr>
        <w:pStyle w:val="Heading1"/>
      </w:pPr>
      <w:r>
        <w:rPr>
          <w:color w:val="231F20"/>
        </w:rPr>
        <w:t>39</w:t>
      </w:r>
    </w:p>
    <w:p>
      <w:pPr>
        <w:spacing w:after="0"/>
        <w:sectPr>
          <w:pgSz w:w="11900" w:h="16840"/>
          <w:pgMar w:top="1180" w:bottom="280" w:left="1140" w:right="1120"/>
        </w:sectPr>
      </w:pPr>
    </w:p>
    <w:p>
      <w:pPr>
        <w:pStyle w:val="Heading2"/>
        <w:spacing w:before="77"/>
        <w:ind w:left="953"/>
      </w:pPr>
      <w:r>
        <w:rPr>
          <w:color w:val="231F20"/>
        </w:rPr>
        <w:t>Improving the Road Network</w:t>
      </w:r>
    </w:p>
    <w:p>
      <w:pPr>
        <w:pStyle w:val="ListParagraph"/>
        <w:numPr>
          <w:ilvl w:val="0"/>
          <w:numId w:val="2"/>
        </w:numPr>
        <w:tabs>
          <w:tab w:pos="954" w:val="left" w:leader="none"/>
        </w:tabs>
        <w:spacing w:line="302" w:lineRule="auto" w:before="71" w:after="0"/>
        <w:ind w:left="103" w:right="118" w:firstLine="87"/>
        <w:jc w:val="both"/>
        <w:rPr>
          <w:sz w:val="23"/>
        </w:rPr>
      </w:pPr>
      <w:r>
        <w:rPr>
          <w:color w:val="231F20"/>
          <w:sz w:val="23"/>
        </w:rPr>
        <w:t>Government is allocating from the domestic development budget the sum of Le217.0</w:t>
      </w:r>
      <w:r>
        <w:rPr>
          <w:color w:val="231F20"/>
          <w:spacing w:val="-6"/>
          <w:sz w:val="23"/>
        </w:rPr>
        <w:t> </w:t>
      </w:r>
      <w:r>
        <w:rPr>
          <w:color w:val="231F20"/>
          <w:sz w:val="23"/>
        </w:rPr>
        <w:t>billion</w:t>
      </w:r>
      <w:r>
        <w:rPr>
          <w:color w:val="231F20"/>
          <w:spacing w:val="-6"/>
          <w:sz w:val="23"/>
        </w:rPr>
        <w:t> </w:t>
      </w:r>
      <w:r>
        <w:rPr>
          <w:color w:val="231F20"/>
          <w:sz w:val="23"/>
        </w:rPr>
        <w:t>to</w:t>
      </w:r>
      <w:r>
        <w:rPr>
          <w:color w:val="231F20"/>
          <w:spacing w:val="-6"/>
          <w:sz w:val="23"/>
        </w:rPr>
        <w:t> </w:t>
      </w:r>
      <w:r>
        <w:rPr>
          <w:color w:val="231F20"/>
          <w:sz w:val="23"/>
        </w:rPr>
        <w:t>the</w:t>
      </w:r>
      <w:r>
        <w:rPr>
          <w:color w:val="231F20"/>
          <w:spacing w:val="-6"/>
          <w:sz w:val="23"/>
        </w:rPr>
        <w:t> </w:t>
      </w:r>
      <w:r>
        <w:rPr>
          <w:color w:val="231F20"/>
          <w:sz w:val="23"/>
        </w:rPr>
        <w:t>Sierra</w:t>
      </w:r>
      <w:r>
        <w:rPr>
          <w:color w:val="231F20"/>
          <w:spacing w:val="-6"/>
          <w:sz w:val="23"/>
        </w:rPr>
        <w:t> </w:t>
      </w:r>
      <w:r>
        <w:rPr>
          <w:color w:val="231F20"/>
          <w:sz w:val="23"/>
        </w:rPr>
        <w:t>Leone</w:t>
      </w:r>
      <w:r>
        <w:rPr>
          <w:color w:val="231F20"/>
          <w:spacing w:val="-6"/>
          <w:sz w:val="23"/>
        </w:rPr>
        <w:t> </w:t>
      </w:r>
      <w:r>
        <w:rPr>
          <w:color w:val="231F20"/>
          <w:sz w:val="23"/>
        </w:rPr>
        <w:t>Roads</w:t>
      </w:r>
      <w:r>
        <w:rPr>
          <w:color w:val="231F20"/>
          <w:spacing w:val="-6"/>
          <w:sz w:val="23"/>
        </w:rPr>
        <w:t> </w:t>
      </w:r>
      <w:r>
        <w:rPr>
          <w:color w:val="231F20"/>
          <w:sz w:val="23"/>
        </w:rPr>
        <w:t>Authority</w:t>
      </w:r>
      <w:r>
        <w:rPr>
          <w:color w:val="231F20"/>
          <w:spacing w:val="-6"/>
          <w:sz w:val="23"/>
        </w:rPr>
        <w:t> </w:t>
      </w:r>
      <w:r>
        <w:rPr>
          <w:color w:val="231F20"/>
          <w:sz w:val="23"/>
        </w:rPr>
        <w:t>(SLRA)</w:t>
      </w:r>
      <w:r>
        <w:rPr>
          <w:color w:val="231F20"/>
          <w:spacing w:val="-6"/>
          <w:sz w:val="23"/>
        </w:rPr>
        <w:t> </w:t>
      </w:r>
      <w:r>
        <w:rPr>
          <w:color w:val="231F20"/>
          <w:sz w:val="23"/>
        </w:rPr>
        <w:t>to</w:t>
      </w:r>
      <w:r>
        <w:rPr>
          <w:color w:val="231F20"/>
          <w:spacing w:val="-6"/>
          <w:sz w:val="23"/>
        </w:rPr>
        <w:t> </w:t>
      </w:r>
      <w:r>
        <w:rPr>
          <w:color w:val="231F20"/>
          <w:sz w:val="23"/>
        </w:rPr>
        <w:t>support</w:t>
      </w:r>
      <w:r>
        <w:rPr>
          <w:color w:val="231F20"/>
          <w:spacing w:val="-6"/>
          <w:sz w:val="23"/>
        </w:rPr>
        <w:t> </w:t>
      </w:r>
      <w:r>
        <w:rPr>
          <w:color w:val="231F20"/>
          <w:sz w:val="23"/>
        </w:rPr>
        <w:t>Labour</w:t>
      </w:r>
      <w:r>
        <w:rPr>
          <w:color w:val="231F20"/>
          <w:spacing w:val="-6"/>
          <w:sz w:val="23"/>
        </w:rPr>
        <w:t> </w:t>
      </w:r>
      <w:r>
        <w:rPr>
          <w:color w:val="231F20"/>
          <w:sz w:val="23"/>
        </w:rPr>
        <w:t>Based Public</w:t>
      </w:r>
      <w:r>
        <w:rPr>
          <w:color w:val="231F20"/>
          <w:spacing w:val="-51"/>
          <w:sz w:val="23"/>
        </w:rPr>
        <w:t> </w:t>
      </w:r>
      <w:r>
        <w:rPr>
          <w:color w:val="231F20"/>
          <w:sz w:val="23"/>
        </w:rPr>
        <w:t>Works</w:t>
      </w:r>
      <w:r>
        <w:rPr>
          <w:color w:val="231F20"/>
          <w:spacing w:val="-50"/>
          <w:sz w:val="23"/>
        </w:rPr>
        <w:t> </w:t>
      </w:r>
      <w:r>
        <w:rPr>
          <w:color w:val="231F20"/>
          <w:sz w:val="23"/>
        </w:rPr>
        <w:t>programmes</w:t>
      </w:r>
      <w:r>
        <w:rPr>
          <w:color w:val="231F20"/>
          <w:spacing w:val="-51"/>
          <w:sz w:val="23"/>
        </w:rPr>
        <w:t> </w:t>
      </w:r>
      <w:r>
        <w:rPr>
          <w:color w:val="231F20"/>
          <w:sz w:val="23"/>
        </w:rPr>
        <w:t>for</w:t>
      </w:r>
      <w:r>
        <w:rPr>
          <w:color w:val="231F20"/>
          <w:spacing w:val="-50"/>
          <w:sz w:val="23"/>
        </w:rPr>
        <w:t> </w:t>
      </w:r>
      <w:r>
        <w:rPr>
          <w:color w:val="231F20"/>
          <w:sz w:val="23"/>
        </w:rPr>
        <w:t>youths</w:t>
      </w:r>
      <w:r>
        <w:rPr>
          <w:color w:val="231F20"/>
          <w:spacing w:val="-51"/>
          <w:sz w:val="23"/>
        </w:rPr>
        <w:t> </w:t>
      </w:r>
      <w:r>
        <w:rPr>
          <w:color w:val="231F20"/>
          <w:sz w:val="23"/>
        </w:rPr>
        <w:t>at</w:t>
      </w:r>
      <w:r>
        <w:rPr>
          <w:color w:val="231F20"/>
          <w:spacing w:val="-50"/>
          <w:sz w:val="23"/>
        </w:rPr>
        <w:t> </w:t>
      </w:r>
      <w:r>
        <w:rPr>
          <w:color w:val="231F20"/>
          <w:sz w:val="23"/>
        </w:rPr>
        <w:t>the</w:t>
      </w:r>
      <w:r>
        <w:rPr>
          <w:color w:val="231F20"/>
          <w:spacing w:val="-51"/>
          <w:sz w:val="23"/>
        </w:rPr>
        <w:t> </w:t>
      </w:r>
      <w:r>
        <w:rPr>
          <w:color w:val="231F20"/>
          <w:sz w:val="23"/>
        </w:rPr>
        <w:t>district</w:t>
      </w:r>
      <w:r>
        <w:rPr>
          <w:color w:val="231F20"/>
          <w:spacing w:val="-50"/>
          <w:sz w:val="23"/>
        </w:rPr>
        <w:t> </w:t>
      </w:r>
      <w:r>
        <w:rPr>
          <w:color w:val="231F20"/>
          <w:sz w:val="23"/>
        </w:rPr>
        <w:t>level;</w:t>
      </w:r>
      <w:r>
        <w:rPr>
          <w:color w:val="231F20"/>
          <w:spacing w:val="-51"/>
          <w:sz w:val="23"/>
        </w:rPr>
        <w:t> </w:t>
      </w:r>
      <w:r>
        <w:rPr>
          <w:color w:val="231F20"/>
          <w:sz w:val="23"/>
        </w:rPr>
        <w:t>spot</w:t>
      </w:r>
      <w:r>
        <w:rPr>
          <w:color w:val="231F20"/>
          <w:spacing w:val="-50"/>
          <w:sz w:val="23"/>
        </w:rPr>
        <w:t> </w:t>
      </w:r>
      <w:r>
        <w:rPr>
          <w:color w:val="231F20"/>
          <w:sz w:val="23"/>
        </w:rPr>
        <w:t>improvement</w:t>
      </w:r>
      <w:r>
        <w:rPr>
          <w:color w:val="231F20"/>
          <w:spacing w:val="-51"/>
          <w:sz w:val="23"/>
        </w:rPr>
        <w:t> </w:t>
      </w:r>
      <w:r>
        <w:rPr>
          <w:color w:val="231F20"/>
          <w:sz w:val="23"/>
        </w:rPr>
        <w:t>of</w:t>
      </w:r>
      <w:r>
        <w:rPr>
          <w:color w:val="231F20"/>
          <w:spacing w:val="-50"/>
          <w:sz w:val="23"/>
        </w:rPr>
        <w:t> </w:t>
      </w:r>
      <w:r>
        <w:rPr>
          <w:color w:val="231F20"/>
          <w:sz w:val="23"/>
        </w:rPr>
        <w:t>highways; completion of township roads; construction of the Bo-Mattru Road, Bandajuma- Pujehun-Gbondapi</w:t>
      </w:r>
      <w:r>
        <w:rPr>
          <w:color w:val="231F20"/>
          <w:spacing w:val="-34"/>
          <w:sz w:val="23"/>
        </w:rPr>
        <w:t> </w:t>
      </w:r>
      <w:r>
        <w:rPr>
          <w:color w:val="231F20"/>
          <w:sz w:val="23"/>
        </w:rPr>
        <w:t>Road,</w:t>
      </w:r>
      <w:r>
        <w:rPr>
          <w:color w:val="231F20"/>
          <w:spacing w:val="-34"/>
          <w:sz w:val="23"/>
        </w:rPr>
        <w:t> </w:t>
      </w:r>
      <w:r>
        <w:rPr>
          <w:color w:val="231F20"/>
          <w:sz w:val="23"/>
        </w:rPr>
        <w:t>the</w:t>
      </w:r>
      <w:r>
        <w:rPr>
          <w:color w:val="231F20"/>
          <w:spacing w:val="-34"/>
          <w:sz w:val="23"/>
        </w:rPr>
        <w:t> </w:t>
      </w:r>
      <w:r>
        <w:rPr>
          <w:color w:val="231F20"/>
          <w:sz w:val="23"/>
        </w:rPr>
        <w:t>Hill-Side</w:t>
      </w:r>
      <w:r>
        <w:rPr>
          <w:color w:val="231F20"/>
          <w:spacing w:val="-34"/>
          <w:sz w:val="23"/>
        </w:rPr>
        <w:t> </w:t>
      </w:r>
      <w:r>
        <w:rPr>
          <w:color w:val="231F20"/>
          <w:sz w:val="23"/>
        </w:rPr>
        <w:t>Bye</w:t>
      </w:r>
      <w:r>
        <w:rPr>
          <w:color w:val="231F20"/>
          <w:spacing w:val="-34"/>
          <w:sz w:val="23"/>
        </w:rPr>
        <w:t> </w:t>
      </w:r>
      <w:r>
        <w:rPr>
          <w:color w:val="231F20"/>
          <w:sz w:val="23"/>
        </w:rPr>
        <w:t>Pass</w:t>
      </w:r>
      <w:r>
        <w:rPr>
          <w:color w:val="231F20"/>
          <w:spacing w:val="-34"/>
          <w:sz w:val="23"/>
        </w:rPr>
        <w:t> </w:t>
      </w:r>
      <w:r>
        <w:rPr>
          <w:color w:val="231F20"/>
          <w:sz w:val="23"/>
        </w:rPr>
        <w:t>Road</w:t>
      </w:r>
      <w:r>
        <w:rPr>
          <w:color w:val="231F20"/>
          <w:spacing w:val="-34"/>
          <w:sz w:val="23"/>
        </w:rPr>
        <w:t> </w:t>
      </w:r>
      <w:r>
        <w:rPr>
          <w:color w:val="231F20"/>
          <w:sz w:val="23"/>
        </w:rPr>
        <w:t>and</w:t>
      </w:r>
      <w:r>
        <w:rPr>
          <w:color w:val="231F20"/>
          <w:spacing w:val="5"/>
          <w:sz w:val="23"/>
        </w:rPr>
        <w:t> </w:t>
      </w:r>
      <w:r>
        <w:rPr>
          <w:color w:val="231F20"/>
          <w:sz w:val="23"/>
        </w:rPr>
        <w:t>for</w:t>
      </w:r>
      <w:r>
        <w:rPr>
          <w:color w:val="231F20"/>
          <w:spacing w:val="-34"/>
          <w:sz w:val="23"/>
        </w:rPr>
        <w:t> </w:t>
      </w:r>
      <w:r>
        <w:rPr>
          <w:color w:val="231F20"/>
          <w:sz w:val="23"/>
        </w:rPr>
        <w:t>feasibility</w:t>
      </w:r>
      <w:r>
        <w:rPr>
          <w:color w:val="231F20"/>
          <w:spacing w:val="-34"/>
          <w:sz w:val="23"/>
        </w:rPr>
        <w:t> </w:t>
      </w:r>
      <w:r>
        <w:rPr>
          <w:color w:val="231F20"/>
          <w:sz w:val="23"/>
        </w:rPr>
        <w:t>studies</w:t>
      </w:r>
      <w:r>
        <w:rPr>
          <w:color w:val="231F20"/>
          <w:spacing w:val="-34"/>
          <w:sz w:val="23"/>
        </w:rPr>
        <w:t> </w:t>
      </w:r>
      <w:r>
        <w:rPr>
          <w:color w:val="231F20"/>
          <w:sz w:val="23"/>
        </w:rPr>
        <w:t>for</w:t>
      </w:r>
      <w:r>
        <w:rPr>
          <w:color w:val="231F20"/>
          <w:spacing w:val="-34"/>
          <w:sz w:val="23"/>
        </w:rPr>
        <w:t> </w:t>
      </w:r>
      <w:r>
        <w:rPr>
          <w:color w:val="231F20"/>
          <w:sz w:val="23"/>
        </w:rPr>
        <w:t>the construction of major</w:t>
      </w:r>
      <w:r>
        <w:rPr>
          <w:color w:val="231F20"/>
          <w:spacing w:val="-24"/>
          <w:sz w:val="23"/>
        </w:rPr>
        <w:t> </w:t>
      </w:r>
      <w:r>
        <w:rPr>
          <w:color w:val="231F20"/>
          <w:sz w:val="23"/>
        </w:rPr>
        <w:t>highways.</w:t>
      </w:r>
    </w:p>
    <w:p>
      <w:pPr>
        <w:pStyle w:val="BodyText"/>
        <w:spacing w:before="11"/>
        <w:rPr>
          <w:sz w:val="28"/>
        </w:rPr>
      </w:pPr>
    </w:p>
    <w:p>
      <w:pPr>
        <w:pStyle w:val="ListParagraph"/>
        <w:numPr>
          <w:ilvl w:val="0"/>
          <w:numId w:val="2"/>
        </w:numPr>
        <w:tabs>
          <w:tab w:pos="954" w:val="left" w:leader="none"/>
        </w:tabs>
        <w:spacing w:line="302" w:lineRule="auto" w:before="0" w:after="0"/>
        <w:ind w:left="103" w:right="122" w:firstLine="87"/>
        <w:jc w:val="both"/>
        <w:rPr>
          <w:sz w:val="23"/>
        </w:rPr>
      </w:pPr>
      <w:r>
        <w:rPr>
          <w:color w:val="231F20"/>
          <w:sz w:val="23"/>
        </w:rPr>
        <w:t>Development partners including EU, AfDB, OFID, IDB, Kuwaiti Fund,</w:t>
      </w:r>
      <w:r>
        <w:rPr>
          <w:color w:val="231F20"/>
          <w:spacing w:val="-21"/>
          <w:sz w:val="23"/>
        </w:rPr>
        <w:t> </w:t>
      </w:r>
      <w:r>
        <w:rPr>
          <w:color w:val="231F20"/>
          <w:sz w:val="23"/>
        </w:rPr>
        <w:t>Saudi Fund,</w:t>
      </w:r>
      <w:r>
        <w:rPr>
          <w:color w:val="231F20"/>
          <w:spacing w:val="-32"/>
          <w:sz w:val="23"/>
        </w:rPr>
        <w:t> </w:t>
      </w:r>
      <w:r>
        <w:rPr>
          <w:color w:val="231F20"/>
          <w:sz w:val="23"/>
        </w:rPr>
        <w:t>and</w:t>
      </w:r>
      <w:r>
        <w:rPr>
          <w:color w:val="231F20"/>
          <w:spacing w:val="-32"/>
          <w:sz w:val="23"/>
        </w:rPr>
        <w:t> </w:t>
      </w:r>
      <w:r>
        <w:rPr>
          <w:color w:val="231F20"/>
          <w:sz w:val="23"/>
        </w:rPr>
        <w:t>Peoples</w:t>
      </w:r>
      <w:r>
        <w:rPr>
          <w:color w:val="231F20"/>
          <w:spacing w:val="-32"/>
          <w:sz w:val="23"/>
        </w:rPr>
        <w:t> </w:t>
      </w:r>
      <w:r>
        <w:rPr>
          <w:color w:val="231F20"/>
          <w:sz w:val="23"/>
        </w:rPr>
        <w:t>Republic</w:t>
      </w:r>
      <w:r>
        <w:rPr>
          <w:color w:val="231F20"/>
          <w:spacing w:val="10"/>
          <w:sz w:val="23"/>
        </w:rPr>
        <w:t> </w:t>
      </w:r>
      <w:r>
        <w:rPr>
          <w:color w:val="231F20"/>
          <w:sz w:val="23"/>
        </w:rPr>
        <w:t>of</w:t>
      </w:r>
      <w:r>
        <w:rPr>
          <w:color w:val="231F20"/>
          <w:spacing w:val="-32"/>
          <w:sz w:val="23"/>
        </w:rPr>
        <w:t> </w:t>
      </w:r>
      <w:r>
        <w:rPr>
          <w:color w:val="231F20"/>
          <w:sz w:val="23"/>
        </w:rPr>
        <w:t>China</w:t>
      </w:r>
      <w:r>
        <w:rPr>
          <w:color w:val="231F20"/>
          <w:spacing w:val="-32"/>
          <w:sz w:val="23"/>
        </w:rPr>
        <w:t> </w:t>
      </w:r>
      <w:r>
        <w:rPr>
          <w:color w:val="231F20"/>
          <w:sz w:val="23"/>
        </w:rPr>
        <w:t>are</w:t>
      </w:r>
      <w:r>
        <w:rPr>
          <w:color w:val="231F20"/>
          <w:spacing w:val="-32"/>
          <w:sz w:val="23"/>
        </w:rPr>
        <w:t> </w:t>
      </w:r>
      <w:r>
        <w:rPr>
          <w:color w:val="231F20"/>
          <w:sz w:val="23"/>
        </w:rPr>
        <w:t>disbursing</w:t>
      </w:r>
      <w:r>
        <w:rPr>
          <w:color w:val="231F20"/>
          <w:spacing w:val="-32"/>
          <w:sz w:val="23"/>
        </w:rPr>
        <w:t> </w:t>
      </w:r>
      <w:r>
        <w:rPr>
          <w:color w:val="231F20"/>
          <w:sz w:val="23"/>
        </w:rPr>
        <w:t>Le236.0</w:t>
      </w:r>
      <w:r>
        <w:rPr>
          <w:color w:val="231F20"/>
          <w:spacing w:val="-32"/>
          <w:sz w:val="23"/>
        </w:rPr>
        <w:t> </w:t>
      </w:r>
      <w:r>
        <w:rPr>
          <w:color w:val="231F20"/>
          <w:sz w:val="23"/>
        </w:rPr>
        <w:t>billion</w:t>
      </w:r>
      <w:r>
        <w:rPr>
          <w:color w:val="231F20"/>
          <w:spacing w:val="-32"/>
          <w:sz w:val="23"/>
        </w:rPr>
        <w:t> </w:t>
      </w:r>
      <w:r>
        <w:rPr>
          <w:color w:val="231F20"/>
          <w:sz w:val="23"/>
        </w:rPr>
        <w:t>for</w:t>
      </w:r>
      <w:r>
        <w:rPr>
          <w:color w:val="231F20"/>
          <w:spacing w:val="-32"/>
          <w:sz w:val="23"/>
        </w:rPr>
        <w:t> </w:t>
      </w:r>
      <w:r>
        <w:rPr>
          <w:color w:val="231F20"/>
          <w:sz w:val="23"/>
        </w:rPr>
        <w:t>the</w:t>
      </w:r>
      <w:r>
        <w:rPr>
          <w:color w:val="231F20"/>
          <w:spacing w:val="-32"/>
          <w:sz w:val="23"/>
        </w:rPr>
        <w:t> </w:t>
      </w:r>
      <w:r>
        <w:rPr>
          <w:color w:val="231F20"/>
          <w:sz w:val="23"/>
        </w:rPr>
        <w:t>completion of</w:t>
      </w:r>
      <w:r>
        <w:rPr>
          <w:color w:val="231F20"/>
          <w:spacing w:val="-54"/>
          <w:sz w:val="23"/>
        </w:rPr>
        <w:t> </w:t>
      </w:r>
      <w:r>
        <w:rPr>
          <w:color w:val="231F20"/>
          <w:sz w:val="23"/>
        </w:rPr>
        <w:t>Magbele,</w:t>
      </w:r>
      <w:r>
        <w:rPr>
          <w:color w:val="231F20"/>
          <w:spacing w:val="-53"/>
          <w:sz w:val="23"/>
        </w:rPr>
        <w:t> </w:t>
      </w:r>
      <w:r>
        <w:rPr>
          <w:color w:val="231F20"/>
          <w:sz w:val="23"/>
        </w:rPr>
        <w:t>Mabang</w:t>
      </w:r>
      <w:r>
        <w:rPr>
          <w:color w:val="231F20"/>
          <w:spacing w:val="-53"/>
          <w:sz w:val="23"/>
        </w:rPr>
        <w:t> </w:t>
      </w:r>
      <w:r>
        <w:rPr>
          <w:color w:val="231F20"/>
          <w:sz w:val="23"/>
        </w:rPr>
        <w:t>and</w:t>
      </w:r>
      <w:r>
        <w:rPr>
          <w:color w:val="231F20"/>
          <w:spacing w:val="-53"/>
          <w:sz w:val="23"/>
        </w:rPr>
        <w:t> </w:t>
      </w:r>
      <w:r>
        <w:rPr>
          <w:color w:val="231F20"/>
          <w:spacing w:val="-3"/>
          <w:sz w:val="23"/>
        </w:rPr>
        <w:t>Kpangbama</w:t>
      </w:r>
      <w:r>
        <w:rPr>
          <w:color w:val="231F20"/>
          <w:spacing w:val="-53"/>
          <w:sz w:val="23"/>
        </w:rPr>
        <w:t> </w:t>
      </w:r>
      <w:r>
        <w:rPr>
          <w:color w:val="231F20"/>
          <w:sz w:val="23"/>
        </w:rPr>
        <w:t>bridges</w:t>
      </w:r>
      <w:r>
        <w:rPr>
          <w:color w:val="231F20"/>
          <w:spacing w:val="-54"/>
          <w:sz w:val="23"/>
        </w:rPr>
        <w:t> </w:t>
      </w:r>
      <w:r>
        <w:rPr>
          <w:color w:val="231F20"/>
          <w:sz w:val="23"/>
        </w:rPr>
        <w:t>and</w:t>
      </w:r>
      <w:r>
        <w:rPr>
          <w:color w:val="231F20"/>
          <w:spacing w:val="-53"/>
          <w:sz w:val="23"/>
        </w:rPr>
        <w:t> </w:t>
      </w:r>
      <w:r>
        <w:rPr>
          <w:color w:val="231F20"/>
          <w:sz w:val="23"/>
        </w:rPr>
        <w:t>Bo-Bandajuma,</w:t>
      </w:r>
      <w:r>
        <w:rPr>
          <w:color w:val="231F20"/>
          <w:spacing w:val="-53"/>
          <w:sz w:val="23"/>
        </w:rPr>
        <w:t> </w:t>
      </w:r>
      <w:r>
        <w:rPr>
          <w:color w:val="231F20"/>
          <w:sz w:val="23"/>
        </w:rPr>
        <w:t>Pendembu-Kailahun, Lumley-Tokeh, Limkokwing-Regent Roads. Government counterpart contribution</w:t>
      </w:r>
      <w:r>
        <w:rPr>
          <w:color w:val="231F20"/>
          <w:spacing w:val="-23"/>
          <w:sz w:val="23"/>
        </w:rPr>
        <w:t> </w:t>
      </w:r>
      <w:r>
        <w:rPr>
          <w:color w:val="231F20"/>
          <w:sz w:val="23"/>
        </w:rPr>
        <w:t>to these roads and bridge projects will amount to Le45.0</w:t>
      </w:r>
      <w:r>
        <w:rPr>
          <w:color w:val="231F20"/>
          <w:spacing w:val="-18"/>
          <w:sz w:val="23"/>
        </w:rPr>
        <w:t> </w:t>
      </w:r>
      <w:r>
        <w:rPr>
          <w:color w:val="231F20"/>
          <w:sz w:val="23"/>
        </w:rPr>
        <w:t>billion.</w:t>
      </w:r>
    </w:p>
    <w:p>
      <w:pPr>
        <w:pStyle w:val="BodyText"/>
        <w:spacing w:before="11"/>
        <w:rPr>
          <w:sz w:val="28"/>
        </w:rPr>
      </w:pPr>
    </w:p>
    <w:p>
      <w:pPr>
        <w:pStyle w:val="Heading2"/>
        <w:jc w:val="both"/>
      </w:pPr>
      <w:r>
        <w:rPr>
          <w:color w:val="231F20"/>
        </w:rPr>
        <w:t>Cluster Six: Addressing Women, Children and Disability Issues</w:t>
      </w:r>
    </w:p>
    <w:p>
      <w:pPr>
        <w:pStyle w:val="ListParagraph"/>
        <w:numPr>
          <w:ilvl w:val="0"/>
          <w:numId w:val="2"/>
        </w:numPr>
        <w:tabs>
          <w:tab w:pos="954" w:val="left" w:leader="none"/>
        </w:tabs>
        <w:spacing w:line="302" w:lineRule="auto" w:before="68" w:after="0"/>
        <w:ind w:left="103" w:right="118" w:firstLine="87"/>
        <w:jc w:val="both"/>
        <w:rPr>
          <w:sz w:val="23"/>
        </w:rPr>
      </w:pPr>
      <w:r>
        <w:rPr>
          <w:color w:val="231F20"/>
          <w:sz w:val="23"/>
        </w:rPr>
        <w:t>Mr. Speaker, Honourable Members, to address some the challenges facing women</w:t>
      </w:r>
      <w:r>
        <w:rPr>
          <w:color w:val="231F20"/>
          <w:spacing w:val="-35"/>
          <w:sz w:val="23"/>
        </w:rPr>
        <w:t> </w:t>
      </w:r>
      <w:r>
        <w:rPr>
          <w:color w:val="231F20"/>
          <w:sz w:val="23"/>
        </w:rPr>
        <w:t>and</w:t>
      </w:r>
      <w:r>
        <w:rPr>
          <w:color w:val="231F20"/>
          <w:spacing w:val="-35"/>
          <w:sz w:val="23"/>
        </w:rPr>
        <w:t> </w:t>
      </w:r>
      <w:r>
        <w:rPr>
          <w:color w:val="231F20"/>
          <w:sz w:val="23"/>
        </w:rPr>
        <w:t>children,</w:t>
      </w:r>
      <w:r>
        <w:rPr>
          <w:color w:val="231F20"/>
          <w:spacing w:val="-35"/>
          <w:sz w:val="23"/>
        </w:rPr>
        <w:t> </w:t>
      </w:r>
      <w:r>
        <w:rPr>
          <w:color w:val="231F20"/>
          <w:sz w:val="23"/>
        </w:rPr>
        <w:t>Government</w:t>
      </w:r>
      <w:r>
        <w:rPr>
          <w:color w:val="231F20"/>
          <w:spacing w:val="-35"/>
          <w:sz w:val="23"/>
        </w:rPr>
        <w:t> </w:t>
      </w:r>
      <w:r>
        <w:rPr>
          <w:color w:val="231F20"/>
          <w:sz w:val="23"/>
        </w:rPr>
        <w:t>is</w:t>
      </w:r>
      <w:r>
        <w:rPr>
          <w:color w:val="231F20"/>
          <w:spacing w:val="-35"/>
          <w:sz w:val="23"/>
        </w:rPr>
        <w:t> </w:t>
      </w:r>
      <w:r>
        <w:rPr>
          <w:color w:val="231F20"/>
          <w:sz w:val="23"/>
        </w:rPr>
        <w:t>allocating</w:t>
      </w:r>
      <w:r>
        <w:rPr>
          <w:color w:val="231F20"/>
          <w:spacing w:val="-35"/>
          <w:sz w:val="23"/>
        </w:rPr>
        <w:t> </w:t>
      </w:r>
      <w:r>
        <w:rPr>
          <w:color w:val="231F20"/>
          <w:sz w:val="23"/>
        </w:rPr>
        <w:t>from</w:t>
      </w:r>
      <w:r>
        <w:rPr>
          <w:color w:val="231F20"/>
          <w:spacing w:val="-35"/>
          <w:sz w:val="23"/>
        </w:rPr>
        <w:t> </w:t>
      </w:r>
      <w:r>
        <w:rPr>
          <w:color w:val="231F20"/>
          <w:sz w:val="23"/>
        </w:rPr>
        <w:t>the</w:t>
      </w:r>
      <w:r>
        <w:rPr>
          <w:color w:val="231F20"/>
          <w:spacing w:val="-35"/>
          <w:sz w:val="23"/>
        </w:rPr>
        <w:t> </w:t>
      </w:r>
      <w:r>
        <w:rPr>
          <w:color w:val="231F20"/>
          <w:sz w:val="23"/>
        </w:rPr>
        <w:t>recurrent</w:t>
      </w:r>
      <w:r>
        <w:rPr>
          <w:color w:val="231F20"/>
          <w:spacing w:val="-35"/>
          <w:sz w:val="23"/>
        </w:rPr>
        <w:t> </w:t>
      </w:r>
      <w:r>
        <w:rPr>
          <w:color w:val="231F20"/>
          <w:sz w:val="23"/>
        </w:rPr>
        <w:t>budget,</w:t>
      </w:r>
      <w:r>
        <w:rPr>
          <w:color w:val="231F20"/>
          <w:spacing w:val="-35"/>
          <w:sz w:val="23"/>
        </w:rPr>
        <w:t> </w:t>
      </w:r>
      <w:r>
        <w:rPr>
          <w:color w:val="231F20"/>
          <w:sz w:val="23"/>
        </w:rPr>
        <w:t>Le3.3</w:t>
      </w:r>
      <w:r>
        <w:rPr>
          <w:color w:val="231F20"/>
          <w:spacing w:val="-35"/>
          <w:sz w:val="23"/>
        </w:rPr>
        <w:t> </w:t>
      </w:r>
      <w:r>
        <w:rPr>
          <w:color w:val="231F20"/>
          <w:sz w:val="23"/>
        </w:rPr>
        <w:t>billion for</w:t>
      </w:r>
      <w:r>
        <w:rPr>
          <w:color w:val="231F20"/>
          <w:spacing w:val="-13"/>
          <w:sz w:val="23"/>
        </w:rPr>
        <w:t> </w:t>
      </w:r>
      <w:r>
        <w:rPr>
          <w:color w:val="231F20"/>
          <w:sz w:val="23"/>
        </w:rPr>
        <w:t>Gender</w:t>
      </w:r>
      <w:r>
        <w:rPr>
          <w:color w:val="231F20"/>
          <w:spacing w:val="-13"/>
          <w:sz w:val="23"/>
        </w:rPr>
        <w:t> </w:t>
      </w:r>
      <w:r>
        <w:rPr>
          <w:color w:val="231F20"/>
          <w:sz w:val="23"/>
        </w:rPr>
        <w:t>and</w:t>
      </w:r>
      <w:r>
        <w:rPr>
          <w:color w:val="231F20"/>
          <w:spacing w:val="-13"/>
          <w:sz w:val="23"/>
        </w:rPr>
        <w:t> </w:t>
      </w:r>
      <w:r>
        <w:rPr>
          <w:color w:val="231F20"/>
          <w:sz w:val="23"/>
        </w:rPr>
        <w:t>Children’s</w:t>
      </w:r>
      <w:r>
        <w:rPr>
          <w:color w:val="231F20"/>
          <w:spacing w:val="48"/>
          <w:sz w:val="23"/>
        </w:rPr>
        <w:t> </w:t>
      </w:r>
      <w:r>
        <w:rPr>
          <w:color w:val="231F20"/>
          <w:sz w:val="23"/>
        </w:rPr>
        <w:t>programmes</w:t>
      </w:r>
      <w:r>
        <w:rPr>
          <w:color w:val="231F20"/>
          <w:spacing w:val="-13"/>
          <w:sz w:val="23"/>
        </w:rPr>
        <w:t> </w:t>
      </w:r>
      <w:r>
        <w:rPr>
          <w:color w:val="231F20"/>
          <w:sz w:val="23"/>
        </w:rPr>
        <w:t>under</w:t>
      </w:r>
      <w:r>
        <w:rPr>
          <w:color w:val="231F20"/>
          <w:spacing w:val="-13"/>
          <w:sz w:val="23"/>
        </w:rPr>
        <w:t> </w:t>
      </w:r>
      <w:r>
        <w:rPr>
          <w:color w:val="231F20"/>
          <w:sz w:val="23"/>
        </w:rPr>
        <w:t>the</w:t>
      </w:r>
      <w:r>
        <w:rPr>
          <w:color w:val="231F20"/>
          <w:spacing w:val="-13"/>
          <w:sz w:val="23"/>
        </w:rPr>
        <w:t> </w:t>
      </w:r>
      <w:r>
        <w:rPr>
          <w:color w:val="231F20"/>
          <w:sz w:val="23"/>
        </w:rPr>
        <w:t>Ministry</w:t>
      </w:r>
      <w:r>
        <w:rPr>
          <w:color w:val="231F20"/>
          <w:spacing w:val="-13"/>
          <w:sz w:val="23"/>
        </w:rPr>
        <w:t> </w:t>
      </w:r>
      <w:r>
        <w:rPr>
          <w:color w:val="231F20"/>
          <w:sz w:val="23"/>
        </w:rPr>
        <w:t>of</w:t>
      </w:r>
      <w:r>
        <w:rPr>
          <w:color w:val="231F20"/>
          <w:spacing w:val="-13"/>
          <w:sz w:val="23"/>
        </w:rPr>
        <w:t> </w:t>
      </w:r>
      <w:r>
        <w:rPr>
          <w:color w:val="231F20"/>
          <w:sz w:val="23"/>
        </w:rPr>
        <w:t>Social</w:t>
      </w:r>
      <w:r>
        <w:rPr>
          <w:color w:val="231F20"/>
          <w:spacing w:val="-13"/>
          <w:sz w:val="23"/>
        </w:rPr>
        <w:t> </w:t>
      </w:r>
      <w:r>
        <w:rPr>
          <w:color w:val="231F20"/>
          <w:sz w:val="23"/>
        </w:rPr>
        <w:t>Welfare,</w:t>
      </w:r>
      <w:r>
        <w:rPr>
          <w:color w:val="231F20"/>
          <w:spacing w:val="-13"/>
          <w:sz w:val="23"/>
        </w:rPr>
        <w:t> </w:t>
      </w:r>
      <w:r>
        <w:rPr>
          <w:color w:val="231F20"/>
          <w:sz w:val="23"/>
        </w:rPr>
        <w:t>Gender and Children’s Affairs and Le1.3 billion as support to the National</w:t>
      </w:r>
      <w:r>
        <w:rPr>
          <w:color w:val="231F20"/>
          <w:spacing w:val="18"/>
          <w:sz w:val="23"/>
        </w:rPr>
        <w:t> </w:t>
      </w:r>
      <w:r>
        <w:rPr>
          <w:color w:val="231F20"/>
          <w:sz w:val="23"/>
        </w:rPr>
        <w:t>Children’s Commission. In addition, an amount of Le1.0 billion is allocated from the domestic capital</w:t>
      </w:r>
      <w:r>
        <w:rPr>
          <w:color w:val="231F20"/>
          <w:spacing w:val="-31"/>
          <w:sz w:val="23"/>
        </w:rPr>
        <w:t> </w:t>
      </w:r>
      <w:r>
        <w:rPr>
          <w:color w:val="231F20"/>
          <w:sz w:val="23"/>
        </w:rPr>
        <w:t>budget</w:t>
      </w:r>
      <w:r>
        <w:rPr>
          <w:color w:val="231F20"/>
          <w:spacing w:val="-31"/>
          <w:sz w:val="23"/>
        </w:rPr>
        <w:t> </w:t>
      </w:r>
      <w:r>
        <w:rPr>
          <w:color w:val="231F20"/>
          <w:sz w:val="23"/>
        </w:rPr>
        <w:t>to</w:t>
      </w:r>
      <w:r>
        <w:rPr>
          <w:color w:val="231F20"/>
          <w:spacing w:val="-31"/>
          <w:sz w:val="23"/>
        </w:rPr>
        <w:t> </w:t>
      </w:r>
      <w:r>
        <w:rPr>
          <w:color w:val="231F20"/>
          <w:sz w:val="23"/>
        </w:rPr>
        <w:t>support</w:t>
      </w:r>
      <w:r>
        <w:rPr>
          <w:color w:val="231F20"/>
          <w:spacing w:val="-31"/>
          <w:sz w:val="23"/>
        </w:rPr>
        <w:t> </w:t>
      </w:r>
      <w:r>
        <w:rPr>
          <w:color w:val="231F20"/>
          <w:sz w:val="23"/>
        </w:rPr>
        <w:t>women’s</w:t>
      </w:r>
      <w:r>
        <w:rPr>
          <w:color w:val="231F20"/>
          <w:spacing w:val="-31"/>
          <w:sz w:val="23"/>
        </w:rPr>
        <w:t> </w:t>
      </w:r>
      <w:r>
        <w:rPr>
          <w:color w:val="231F20"/>
          <w:sz w:val="23"/>
        </w:rPr>
        <w:t>empowerment.</w:t>
      </w:r>
      <w:r>
        <w:rPr>
          <w:color w:val="231F20"/>
          <w:spacing w:val="-31"/>
          <w:sz w:val="23"/>
        </w:rPr>
        <w:t> </w:t>
      </w:r>
      <w:r>
        <w:rPr>
          <w:color w:val="231F20"/>
          <w:sz w:val="23"/>
        </w:rPr>
        <w:t>Transfers</w:t>
      </w:r>
      <w:r>
        <w:rPr>
          <w:color w:val="231F20"/>
          <w:spacing w:val="-31"/>
          <w:sz w:val="23"/>
        </w:rPr>
        <w:t> </w:t>
      </w:r>
      <w:r>
        <w:rPr>
          <w:color w:val="231F20"/>
          <w:sz w:val="23"/>
        </w:rPr>
        <w:t>for</w:t>
      </w:r>
      <w:r>
        <w:rPr>
          <w:color w:val="231F20"/>
          <w:spacing w:val="12"/>
          <w:sz w:val="23"/>
        </w:rPr>
        <w:t> </w:t>
      </w:r>
      <w:r>
        <w:rPr>
          <w:color w:val="231F20"/>
          <w:sz w:val="23"/>
        </w:rPr>
        <w:t>devolved</w:t>
      </w:r>
      <w:r>
        <w:rPr>
          <w:color w:val="231F20"/>
          <w:spacing w:val="-31"/>
          <w:sz w:val="23"/>
        </w:rPr>
        <w:t> </w:t>
      </w:r>
      <w:r>
        <w:rPr>
          <w:color w:val="231F20"/>
          <w:sz w:val="23"/>
        </w:rPr>
        <w:t>fucntions</w:t>
      </w:r>
      <w:r>
        <w:rPr>
          <w:color w:val="231F20"/>
          <w:spacing w:val="-31"/>
          <w:sz w:val="23"/>
        </w:rPr>
        <w:t> </w:t>
      </w:r>
      <w:r>
        <w:rPr>
          <w:color w:val="231F20"/>
          <w:sz w:val="23"/>
        </w:rPr>
        <w:t>for Gender and Children’s Affairs will amount to Le1.8</w:t>
      </w:r>
      <w:r>
        <w:rPr>
          <w:color w:val="231F20"/>
          <w:spacing w:val="19"/>
          <w:sz w:val="23"/>
        </w:rPr>
        <w:t> </w:t>
      </w:r>
      <w:r>
        <w:rPr>
          <w:color w:val="231F20"/>
          <w:sz w:val="23"/>
        </w:rPr>
        <w:t>billion.</w:t>
      </w:r>
    </w:p>
    <w:p>
      <w:pPr>
        <w:pStyle w:val="BodyText"/>
        <w:rPr>
          <w:sz w:val="29"/>
        </w:rPr>
      </w:pPr>
    </w:p>
    <w:p>
      <w:pPr>
        <w:pStyle w:val="Heading2"/>
        <w:spacing w:line="300" w:lineRule="auto"/>
        <w:ind w:right="123"/>
        <w:jc w:val="both"/>
      </w:pPr>
      <w:r>
        <w:rPr>
          <w:color w:val="231F20"/>
        </w:rPr>
        <w:t>Cluster</w:t>
      </w:r>
      <w:r>
        <w:rPr>
          <w:color w:val="231F20"/>
          <w:spacing w:val="-41"/>
        </w:rPr>
        <w:t> </w:t>
      </w:r>
      <w:r>
        <w:rPr>
          <w:color w:val="231F20"/>
        </w:rPr>
        <w:t>Seven:</w:t>
      </w:r>
      <w:r>
        <w:rPr>
          <w:color w:val="231F20"/>
          <w:spacing w:val="-41"/>
        </w:rPr>
        <w:t> </w:t>
      </w:r>
      <w:r>
        <w:rPr>
          <w:color w:val="231F20"/>
        </w:rPr>
        <w:t>Addressing</w:t>
      </w:r>
      <w:r>
        <w:rPr>
          <w:color w:val="231F20"/>
          <w:spacing w:val="-41"/>
        </w:rPr>
        <w:t> </w:t>
      </w:r>
      <w:r>
        <w:rPr>
          <w:color w:val="231F20"/>
        </w:rPr>
        <w:t>Vulnerabilities</w:t>
      </w:r>
      <w:r>
        <w:rPr>
          <w:color w:val="231F20"/>
          <w:spacing w:val="-41"/>
        </w:rPr>
        <w:t> </w:t>
      </w:r>
      <w:r>
        <w:rPr>
          <w:color w:val="231F20"/>
        </w:rPr>
        <w:t>and</w:t>
      </w:r>
      <w:r>
        <w:rPr>
          <w:color w:val="231F20"/>
          <w:spacing w:val="-41"/>
        </w:rPr>
        <w:t> </w:t>
      </w:r>
      <w:r>
        <w:rPr>
          <w:color w:val="231F20"/>
        </w:rPr>
        <w:t>Building</w:t>
      </w:r>
      <w:r>
        <w:rPr>
          <w:color w:val="231F20"/>
          <w:spacing w:val="-41"/>
        </w:rPr>
        <w:t> </w:t>
      </w:r>
      <w:r>
        <w:rPr>
          <w:color w:val="231F20"/>
        </w:rPr>
        <w:t>Resilience</w:t>
      </w:r>
      <w:r>
        <w:rPr>
          <w:color w:val="231F20"/>
          <w:spacing w:val="-40"/>
        </w:rPr>
        <w:t> </w:t>
      </w:r>
      <w:r>
        <w:rPr>
          <w:color w:val="231F20"/>
        </w:rPr>
        <w:t>(Environment, Climate</w:t>
      </w:r>
      <w:r>
        <w:rPr>
          <w:color w:val="231F20"/>
          <w:spacing w:val="-21"/>
        </w:rPr>
        <w:t> </w:t>
      </w:r>
      <w:r>
        <w:rPr>
          <w:color w:val="231F20"/>
        </w:rPr>
        <w:t>Change</w:t>
      </w:r>
      <w:r>
        <w:rPr>
          <w:color w:val="231F20"/>
          <w:spacing w:val="-20"/>
        </w:rPr>
        <w:t> </w:t>
      </w:r>
      <w:r>
        <w:rPr>
          <w:color w:val="231F20"/>
        </w:rPr>
        <w:t>and</w:t>
      </w:r>
      <w:r>
        <w:rPr>
          <w:color w:val="231F20"/>
          <w:spacing w:val="-21"/>
        </w:rPr>
        <w:t> </w:t>
      </w:r>
      <w:r>
        <w:rPr>
          <w:color w:val="231F20"/>
        </w:rPr>
        <w:t>Disaster</w:t>
      </w:r>
      <w:r>
        <w:rPr>
          <w:color w:val="231F20"/>
          <w:spacing w:val="-20"/>
        </w:rPr>
        <w:t> </w:t>
      </w:r>
      <w:r>
        <w:rPr>
          <w:color w:val="231F20"/>
        </w:rPr>
        <w:t>Management)</w:t>
      </w:r>
    </w:p>
    <w:p>
      <w:pPr>
        <w:pStyle w:val="ListParagraph"/>
        <w:numPr>
          <w:ilvl w:val="0"/>
          <w:numId w:val="2"/>
        </w:numPr>
        <w:tabs>
          <w:tab w:pos="954" w:val="left" w:leader="none"/>
        </w:tabs>
        <w:spacing w:line="302" w:lineRule="auto" w:before="4" w:after="0"/>
        <w:ind w:left="103" w:right="119" w:firstLine="87"/>
        <w:jc w:val="both"/>
        <w:rPr>
          <w:sz w:val="23"/>
        </w:rPr>
      </w:pPr>
      <w:r>
        <w:rPr>
          <w:color w:val="231F20"/>
          <w:sz w:val="23"/>
        </w:rPr>
        <w:t>Mr.</w:t>
      </w:r>
      <w:r>
        <w:rPr>
          <w:color w:val="231F20"/>
          <w:spacing w:val="-25"/>
          <w:sz w:val="23"/>
        </w:rPr>
        <w:t> </w:t>
      </w:r>
      <w:r>
        <w:rPr>
          <w:color w:val="231F20"/>
          <w:sz w:val="23"/>
        </w:rPr>
        <w:t>Speaker,</w:t>
      </w:r>
      <w:r>
        <w:rPr>
          <w:color w:val="231F20"/>
          <w:spacing w:val="-25"/>
          <w:sz w:val="23"/>
        </w:rPr>
        <w:t> </w:t>
      </w:r>
      <w:r>
        <w:rPr>
          <w:color w:val="231F20"/>
          <w:sz w:val="23"/>
        </w:rPr>
        <w:t>Honourable</w:t>
      </w:r>
      <w:r>
        <w:rPr>
          <w:color w:val="231F20"/>
          <w:spacing w:val="-25"/>
          <w:sz w:val="23"/>
        </w:rPr>
        <w:t> </w:t>
      </w:r>
      <w:r>
        <w:rPr>
          <w:color w:val="231F20"/>
          <w:sz w:val="23"/>
        </w:rPr>
        <w:t>Members,</w:t>
      </w:r>
      <w:r>
        <w:rPr>
          <w:color w:val="231F20"/>
          <w:spacing w:val="-25"/>
          <w:sz w:val="23"/>
        </w:rPr>
        <w:t> </w:t>
      </w:r>
      <w:r>
        <w:rPr>
          <w:color w:val="231F20"/>
          <w:sz w:val="23"/>
        </w:rPr>
        <w:t>as</w:t>
      </w:r>
      <w:r>
        <w:rPr>
          <w:color w:val="231F20"/>
          <w:spacing w:val="-25"/>
          <w:sz w:val="23"/>
        </w:rPr>
        <w:t> </w:t>
      </w:r>
      <w:r>
        <w:rPr>
          <w:color w:val="231F20"/>
          <w:sz w:val="23"/>
        </w:rPr>
        <w:t>part</w:t>
      </w:r>
      <w:r>
        <w:rPr>
          <w:color w:val="231F20"/>
          <w:spacing w:val="-25"/>
          <w:sz w:val="23"/>
        </w:rPr>
        <w:t> </w:t>
      </w:r>
      <w:r>
        <w:rPr>
          <w:color w:val="231F20"/>
          <w:sz w:val="23"/>
        </w:rPr>
        <w:t>of</w:t>
      </w:r>
      <w:r>
        <w:rPr>
          <w:color w:val="231F20"/>
          <w:spacing w:val="-25"/>
          <w:sz w:val="23"/>
        </w:rPr>
        <w:t> </w:t>
      </w:r>
      <w:r>
        <w:rPr>
          <w:color w:val="231F20"/>
          <w:sz w:val="23"/>
        </w:rPr>
        <w:t>Government’s</w:t>
      </w:r>
      <w:r>
        <w:rPr>
          <w:color w:val="231F20"/>
          <w:spacing w:val="-25"/>
          <w:sz w:val="23"/>
        </w:rPr>
        <w:t> </w:t>
      </w:r>
      <w:r>
        <w:rPr>
          <w:color w:val="231F20"/>
          <w:sz w:val="23"/>
        </w:rPr>
        <w:t>efforts</w:t>
      </w:r>
      <w:r>
        <w:rPr>
          <w:color w:val="231F20"/>
          <w:spacing w:val="-25"/>
          <w:sz w:val="23"/>
        </w:rPr>
        <w:t> </w:t>
      </w:r>
      <w:r>
        <w:rPr>
          <w:color w:val="231F20"/>
          <w:sz w:val="23"/>
        </w:rPr>
        <w:t>to</w:t>
      </w:r>
      <w:r>
        <w:rPr>
          <w:color w:val="231F20"/>
          <w:spacing w:val="-25"/>
          <w:sz w:val="23"/>
        </w:rPr>
        <w:t> </w:t>
      </w:r>
      <w:r>
        <w:rPr>
          <w:color w:val="231F20"/>
          <w:sz w:val="23"/>
        </w:rPr>
        <w:t>address environment and climate change challenges, Government is allocating from the recurrent</w:t>
      </w:r>
      <w:r>
        <w:rPr>
          <w:color w:val="231F20"/>
          <w:spacing w:val="-28"/>
          <w:sz w:val="23"/>
        </w:rPr>
        <w:t> </w:t>
      </w:r>
      <w:r>
        <w:rPr>
          <w:color w:val="231F20"/>
          <w:sz w:val="23"/>
        </w:rPr>
        <w:t>budget,</w:t>
      </w:r>
      <w:r>
        <w:rPr>
          <w:color w:val="231F20"/>
          <w:spacing w:val="-28"/>
          <w:sz w:val="23"/>
        </w:rPr>
        <w:t> </w:t>
      </w:r>
      <w:r>
        <w:rPr>
          <w:color w:val="231F20"/>
          <w:sz w:val="23"/>
        </w:rPr>
        <w:t>Le28.5</w:t>
      </w:r>
      <w:r>
        <w:rPr>
          <w:color w:val="231F20"/>
          <w:spacing w:val="-28"/>
          <w:sz w:val="23"/>
        </w:rPr>
        <w:t> </w:t>
      </w:r>
      <w:r>
        <w:rPr>
          <w:color w:val="231F20"/>
          <w:sz w:val="23"/>
        </w:rPr>
        <w:t>billion</w:t>
      </w:r>
      <w:r>
        <w:rPr>
          <w:color w:val="231F20"/>
          <w:spacing w:val="-28"/>
          <w:sz w:val="23"/>
        </w:rPr>
        <w:t> </w:t>
      </w:r>
      <w:r>
        <w:rPr>
          <w:color w:val="231F20"/>
          <w:sz w:val="23"/>
        </w:rPr>
        <w:t>to</w:t>
      </w:r>
      <w:r>
        <w:rPr>
          <w:color w:val="231F20"/>
          <w:spacing w:val="-28"/>
          <w:sz w:val="23"/>
        </w:rPr>
        <w:t> </w:t>
      </w:r>
      <w:r>
        <w:rPr>
          <w:color w:val="231F20"/>
          <w:sz w:val="23"/>
        </w:rPr>
        <w:t>the</w:t>
      </w:r>
      <w:r>
        <w:rPr>
          <w:color w:val="231F20"/>
          <w:spacing w:val="-28"/>
          <w:sz w:val="23"/>
        </w:rPr>
        <w:t> </w:t>
      </w:r>
      <w:r>
        <w:rPr>
          <w:color w:val="231F20"/>
          <w:sz w:val="23"/>
        </w:rPr>
        <w:t>Sierra</w:t>
      </w:r>
      <w:r>
        <w:rPr>
          <w:color w:val="231F20"/>
          <w:spacing w:val="-28"/>
          <w:sz w:val="23"/>
        </w:rPr>
        <w:t> </w:t>
      </w:r>
      <w:r>
        <w:rPr>
          <w:color w:val="231F20"/>
          <w:sz w:val="23"/>
        </w:rPr>
        <w:t>Leone</w:t>
      </w:r>
      <w:r>
        <w:rPr>
          <w:color w:val="231F20"/>
          <w:spacing w:val="-28"/>
          <w:sz w:val="23"/>
        </w:rPr>
        <w:t> </w:t>
      </w:r>
      <w:r>
        <w:rPr>
          <w:color w:val="231F20"/>
          <w:sz w:val="23"/>
        </w:rPr>
        <w:t>Environmental</w:t>
      </w:r>
      <w:r>
        <w:rPr>
          <w:color w:val="231F20"/>
          <w:spacing w:val="-28"/>
          <w:sz w:val="23"/>
        </w:rPr>
        <w:t> </w:t>
      </w:r>
      <w:r>
        <w:rPr>
          <w:color w:val="231F20"/>
          <w:sz w:val="23"/>
        </w:rPr>
        <w:t>Protection</w:t>
      </w:r>
      <w:r>
        <w:rPr>
          <w:color w:val="231F20"/>
          <w:spacing w:val="-28"/>
          <w:sz w:val="23"/>
        </w:rPr>
        <w:t> </w:t>
      </w:r>
      <w:r>
        <w:rPr>
          <w:color w:val="231F20"/>
          <w:sz w:val="23"/>
        </w:rPr>
        <w:t>Agency, Le1.9</w:t>
      </w:r>
      <w:r>
        <w:rPr>
          <w:color w:val="231F20"/>
          <w:spacing w:val="-10"/>
          <w:sz w:val="23"/>
        </w:rPr>
        <w:t> </w:t>
      </w:r>
      <w:r>
        <w:rPr>
          <w:color w:val="231F20"/>
          <w:sz w:val="23"/>
        </w:rPr>
        <w:t>billion</w:t>
      </w:r>
      <w:r>
        <w:rPr>
          <w:color w:val="231F20"/>
          <w:spacing w:val="-10"/>
          <w:sz w:val="23"/>
        </w:rPr>
        <w:t> </w:t>
      </w:r>
      <w:r>
        <w:rPr>
          <w:color w:val="231F20"/>
          <w:sz w:val="23"/>
        </w:rPr>
        <w:t>to</w:t>
      </w:r>
      <w:r>
        <w:rPr>
          <w:color w:val="231F20"/>
          <w:spacing w:val="-10"/>
          <w:sz w:val="23"/>
        </w:rPr>
        <w:t> </w:t>
      </w:r>
      <w:r>
        <w:rPr>
          <w:color w:val="231F20"/>
          <w:sz w:val="23"/>
        </w:rPr>
        <w:t>the</w:t>
      </w:r>
      <w:r>
        <w:rPr>
          <w:color w:val="231F20"/>
          <w:spacing w:val="-10"/>
          <w:sz w:val="23"/>
        </w:rPr>
        <w:t> </w:t>
      </w:r>
      <w:r>
        <w:rPr>
          <w:color w:val="231F20"/>
          <w:sz w:val="23"/>
        </w:rPr>
        <w:t>Nuclear</w:t>
      </w:r>
      <w:r>
        <w:rPr>
          <w:color w:val="231F20"/>
          <w:spacing w:val="-10"/>
          <w:sz w:val="23"/>
        </w:rPr>
        <w:t> </w:t>
      </w:r>
      <w:r>
        <w:rPr>
          <w:color w:val="231F20"/>
          <w:sz w:val="23"/>
        </w:rPr>
        <w:t>Safety</w:t>
      </w:r>
      <w:r>
        <w:rPr>
          <w:color w:val="231F20"/>
          <w:spacing w:val="-10"/>
          <w:sz w:val="23"/>
        </w:rPr>
        <w:t> </w:t>
      </w:r>
      <w:r>
        <w:rPr>
          <w:color w:val="231F20"/>
          <w:sz w:val="23"/>
        </w:rPr>
        <w:t>and</w:t>
      </w:r>
      <w:r>
        <w:rPr>
          <w:color w:val="231F20"/>
          <w:spacing w:val="-10"/>
          <w:sz w:val="23"/>
        </w:rPr>
        <w:t> </w:t>
      </w:r>
      <w:r>
        <w:rPr>
          <w:color w:val="231F20"/>
          <w:sz w:val="23"/>
        </w:rPr>
        <w:t>Radiation</w:t>
      </w:r>
      <w:r>
        <w:rPr>
          <w:color w:val="231F20"/>
          <w:spacing w:val="-10"/>
          <w:sz w:val="23"/>
        </w:rPr>
        <w:t> </w:t>
      </w:r>
      <w:r>
        <w:rPr>
          <w:color w:val="231F20"/>
          <w:sz w:val="23"/>
        </w:rPr>
        <w:t>Protection</w:t>
      </w:r>
      <w:r>
        <w:rPr>
          <w:color w:val="231F20"/>
          <w:spacing w:val="-10"/>
          <w:sz w:val="23"/>
        </w:rPr>
        <w:t> </w:t>
      </w:r>
      <w:r>
        <w:rPr>
          <w:color w:val="231F20"/>
          <w:sz w:val="23"/>
        </w:rPr>
        <w:t>Agency</w:t>
      </w:r>
      <w:r>
        <w:rPr>
          <w:color w:val="231F20"/>
          <w:spacing w:val="-10"/>
          <w:sz w:val="23"/>
        </w:rPr>
        <w:t> </w:t>
      </w:r>
      <w:r>
        <w:rPr>
          <w:color w:val="231F20"/>
          <w:sz w:val="23"/>
        </w:rPr>
        <w:t>and</w:t>
      </w:r>
      <w:r>
        <w:rPr>
          <w:color w:val="231F20"/>
          <w:spacing w:val="-10"/>
          <w:sz w:val="23"/>
        </w:rPr>
        <w:t> </w:t>
      </w:r>
      <w:r>
        <w:rPr>
          <w:color w:val="231F20"/>
          <w:sz w:val="23"/>
        </w:rPr>
        <w:t>Le1.4</w:t>
      </w:r>
      <w:r>
        <w:rPr>
          <w:color w:val="231F20"/>
          <w:spacing w:val="-10"/>
          <w:sz w:val="23"/>
        </w:rPr>
        <w:t> </w:t>
      </w:r>
      <w:r>
        <w:rPr>
          <w:color w:val="231F20"/>
          <w:sz w:val="23"/>
        </w:rPr>
        <w:t>billion to</w:t>
      </w:r>
      <w:r>
        <w:rPr>
          <w:color w:val="231F20"/>
          <w:spacing w:val="-18"/>
          <w:sz w:val="23"/>
        </w:rPr>
        <w:t> </w:t>
      </w:r>
      <w:r>
        <w:rPr>
          <w:color w:val="231F20"/>
          <w:sz w:val="23"/>
        </w:rPr>
        <w:t>the</w:t>
      </w:r>
      <w:r>
        <w:rPr>
          <w:color w:val="231F20"/>
          <w:spacing w:val="-18"/>
          <w:sz w:val="23"/>
        </w:rPr>
        <w:t> </w:t>
      </w:r>
      <w:r>
        <w:rPr>
          <w:color w:val="231F20"/>
          <w:sz w:val="23"/>
        </w:rPr>
        <w:t>Sierra</w:t>
      </w:r>
      <w:r>
        <w:rPr>
          <w:color w:val="231F20"/>
          <w:spacing w:val="-18"/>
          <w:sz w:val="23"/>
        </w:rPr>
        <w:t> </w:t>
      </w:r>
      <w:r>
        <w:rPr>
          <w:color w:val="231F20"/>
          <w:sz w:val="23"/>
        </w:rPr>
        <w:t>Leone</w:t>
      </w:r>
      <w:r>
        <w:rPr>
          <w:color w:val="231F20"/>
          <w:spacing w:val="-18"/>
          <w:sz w:val="23"/>
        </w:rPr>
        <w:t> </w:t>
      </w:r>
      <w:r>
        <w:rPr>
          <w:color w:val="231F20"/>
          <w:sz w:val="23"/>
        </w:rPr>
        <w:t>Meteorological</w:t>
      </w:r>
      <w:r>
        <w:rPr>
          <w:color w:val="231F20"/>
          <w:spacing w:val="-18"/>
          <w:sz w:val="23"/>
        </w:rPr>
        <w:t> </w:t>
      </w:r>
      <w:r>
        <w:rPr>
          <w:color w:val="231F20"/>
          <w:sz w:val="23"/>
        </w:rPr>
        <w:t>Agency.</w:t>
      </w:r>
      <w:r>
        <w:rPr>
          <w:color w:val="231F20"/>
          <w:spacing w:val="-18"/>
          <w:sz w:val="23"/>
        </w:rPr>
        <w:t> </w:t>
      </w:r>
      <w:r>
        <w:rPr>
          <w:color w:val="231F20"/>
          <w:sz w:val="23"/>
        </w:rPr>
        <w:t>In</w:t>
      </w:r>
      <w:r>
        <w:rPr>
          <w:color w:val="231F20"/>
          <w:spacing w:val="-18"/>
          <w:sz w:val="23"/>
        </w:rPr>
        <w:t> </w:t>
      </w:r>
      <w:r>
        <w:rPr>
          <w:color w:val="231F20"/>
          <w:sz w:val="23"/>
        </w:rPr>
        <w:t>addition,</w:t>
      </w:r>
      <w:r>
        <w:rPr>
          <w:color w:val="231F20"/>
          <w:spacing w:val="-18"/>
          <w:sz w:val="23"/>
        </w:rPr>
        <w:t> </w:t>
      </w:r>
      <w:r>
        <w:rPr>
          <w:color w:val="231F20"/>
          <w:sz w:val="23"/>
        </w:rPr>
        <w:t>Government</w:t>
      </w:r>
      <w:r>
        <w:rPr>
          <w:color w:val="231F20"/>
          <w:spacing w:val="-18"/>
          <w:sz w:val="23"/>
        </w:rPr>
        <w:t> </w:t>
      </w:r>
      <w:r>
        <w:rPr>
          <w:color w:val="231F20"/>
          <w:sz w:val="23"/>
        </w:rPr>
        <w:t>is</w:t>
      </w:r>
      <w:r>
        <w:rPr>
          <w:color w:val="231F20"/>
          <w:spacing w:val="-18"/>
          <w:sz w:val="23"/>
        </w:rPr>
        <w:t> </w:t>
      </w:r>
      <w:r>
        <w:rPr>
          <w:color w:val="231F20"/>
          <w:sz w:val="23"/>
        </w:rPr>
        <w:t>allocating</w:t>
      </w:r>
      <w:r>
        <w:rPr>
          <w:color w:val="231F20"/>
          <w:spacing w:val="-18"/>
          <w:sz w:val="23"/>
        </w:rPr>
        <w:t> </w:t>
      </w:r>
      <w:r>
        <w:rPr>
          <w:color w:val="231F20"/>
          <w:sz w:val="23"/>
        </w:rPr>
        <w:t>from the domestic capital budget Le2.2 billion to the National Protected Area</w:t>
      </w:r>
      <w:r>
        <w:rPr>
          <w:color w:val="231F20"/>
          <w:spacing w:val="19"/>
          <w:sz w:val="23"/>
        </w:rPr>
        <w:t> </w:t>
      </w:r>
      <w:r>
        <w:rPr>
          <w:color w:val="231F20"/>
          <w:sz w:val="23"/>
        </w:rPr>
        <w:t>Authority.</w:t>
      </w:r>
    </w:p>
    <w:p>
      <w:pPr>
        <w:pStyle w:val="BodyText"/>
        <w:spacing w:before="11"/>
        <w:rPr>
          <w:sz w:val="28"/>
        </w:rPr>
      </w:pPr>
    </w:p>
    <w:p>
      <w:pPr>
        <w:pStyle w:val="Heading2"/>
        <w:ind w:left="953"/>
      </w:pPr>
      <w:r>
        <w:rPr>
          <w:color w:val="231F20"/>
        </w:rPr>
        <w:t>Budget Deficit and Financing</w:t>
      </w:r>
    </w:p>
    <w:p>
      <w:pPr>
        <w:pStyle w:val="ListParagraph"/>
        <w:numPr>
          <w:ilvl w:val="0"/>
          <w:numId w:val="2"/>
        </w:numPr>
        <w:tabs>
          <w:tab w:pos="954" w:val="left" w:leader="none"/>
        </w:tabs>
        <w:spacing w:line="302" w:lineRule="auto" w:before="69" w:after="0"/>
        <w:ind w:left="103" w:right="120" w:firstLine="87"/>
        <w:jc w:val="both"/>
        <w:rPr>
          <w:sz w:val="23"/>
        </w:rPr>
      </w:pPr>
      <w:r>
        <w:rPr>
          <w:color w:val="231F20"/>
          <w:sz w:val="23"/>
        </w:rPr>
        <w:t>The overall deficit, including grants is projected at Le1.1 trillion (2.6 percent of</w:t>
      </w:r>
      <w:r>
        <w:rPr>
          <w:color w:val="231F20"/>
          <w:spacing w:val="-27"/>
          <w:sz w:val="23"/>
        </w:rPr>
        <w:t> </w:t>
      </w:r>
      <w:r>
        <w:rPr>
          <w:color w:val="231F20"/>
          <w:sz w:val="23"/>
        </w:rPr>
        <w:t>GDP).</w:t>
      </w:r>
      <w:r>
        <w:rPr>
          <w:color w:val="231F20"/>
          <w:spacing w:val="-27"/>
          <w:sz w:val="23"/>
        </w:rPr>
        <w:t> </w:t>
      </w:r>
      <w:r>
        <w:rPr>
          <w:color w:val="231F20"/>
          <w:sz w:val="23"/>
        </w:rPr>
        <w:t>Excluding</w:t>
      </w:r>
      <w:r>
        <w:rPr>
          <w:color w:val="231F20"/>
          <w:spacing w:val="-27"/>
          <w:sz w:val="23"/>
        </w:rPr>
        <w:t> </w:t>
      </w:r>
      <w:r>
        <w:rPr>
          <w:color w:val="231F20"/>
          <w:sz w:val="23"/>
        </w:rPr>
        <w:t>grants,</w:t>
      </w:r>
      <w:r>
        <w:rPr>
          <w:color w:val="231F20"/>
          <w:spacing w:val="-27"/>
          <w:sz w:val="23"/>
        </w:rPr>
        <w:t> </w:t>
      </w:r>
      <w:r>
        <w:rPr>
          <w:color w:val="231F20"/>
          <w:sz w:val="23"/>
        </w:rPr>
        <w:t>the</w:t>
      </w:r>
      <w:r>
        <w:rPr>
          <w:color w:val="231F20"/>
          <w:spacing w:val="-27"/>
          <w:sz w:val="23"/>
        </w:rPr>
        <w:t> </w:t>
      </w:r>
      <w:r>
        <w:rPr>
          <w:color w:val="231F20"/>
          <w:sz w:val="23"/>
        </w:rPr>
        <w:t>deficit</w:t>
      </w:r>
      <w:r>
        <w:rPr>
          <w:color w:val="231F20"/>
          <w:spacing w:val="-27"/>
          <w:sz w:val="23"/>
        </w:rPr>
        <w:t> </w:t>
      </w:r>
      <w:r>
        <w:rPr>
          <w:color w:val="231F20"/>
          <w:sz w:val="23"/>
        </w:rPr>
        <w:t>is</w:t>
      </w:r>
      <w:r>
        <w:rPr>
          <w:color w:val="231F20"/>
          <w:spacing w:val="-27"/>
          <w:sz w:val="23"/>
        </w:rPr>
        <w:t> </w:t>
      </w:r>
      <w:r>
        <w:rPr>
          <w:color w:val="231F20"/>
          <w:sz w:val="23"/>
        </w:rPr>
        <w:t>projected</w:t>
      </w:r>
      <w:r>
        <w:rPr>
          <w:color w:val="231F20"/>
          <w:spacing w:val="-27"/>
          <w:sz w:val="23"/>
        </w:rPr>
        <w:t> </w:t>
      </w:r>
      <w:r>
        <w:rPr>
          <w:color w:val="231F20"/>
          <w:sz w:val="23"/>
        </w:rPr>
        <w:t>at</w:t>
      </w:r>
      <w:r>
        <w:rPr>
          <w:color w:val="231F20"/>
          <w:spacing w:val="-27"/>
          <w:sz w:val="23"/>
        </w:rPr>
        <w:t> </w:t>
      </w:r>
      <w:r>
        <w:rPr>
          <w:color w:val="231F20"/>
          <w:sz w:val="23"/>
        </w:rPr>
        <w:t>Le2.9</w:t>
      </w:r>
      <w:r>
        <w:rPr>
          <w:color w:val="231F20"/>
          <w:spacing w:val="-27"/>
          <w:sz w:val="23"/>
        </w:rPr>
        <w:t> </w:t>
      </w:r>
      <w:r>
        <w:rPr>
          <w:color w:val="231F20"/>
          <w:sz w:val="23"/>
        </w:rPr>
        <w:t>trillion</w:t>
      </w:r>
      <w:r>
        <w:rPr>
          <w:color w:val="231F20"/>
          <w:spacing w:val="-27"/>
          <w:sz w:val="23"/>
        </w:rPr>
        <w:t> </w:t>
      </w:r>
      <w:r>
        <w:rPr>
          <w:color w:val="231F20"/>
          <w:sz w:val="23"/>
        </w:rPr>
        <w:t>(6.6</w:t>
      </w:r>
      <w:r>
        <w:rPr>
          <w:color w:val="231F20"/>
          <w:spacing w:val="-27"/>
          <w:sz w:val="23"/>
        </w:rPr>
        <w:t> </w:t>
      </w:r>
      <w:r>
        <w:rPr>
          <w:color w:val="231F20"/>
          <w:sz w:val="23"/>
        </w:rPr>
        <w:t>percent</w:t>
      </w:r>
      <w:r>
        <w:rPr>
          <w:color w:val="231F20"/>
          <w:spacing w:val="-27"/>
          <w:sz w:val="23"/>
        </w:rPr>
        <w:t> </w:t>
      </w:r>
      <w:r>
        <w:rPr>
          <w:color w:val="231F20"/>
          <w:sz w:val="23"/>
        </w:rPr>
        <w:t>of</w:t>
      </w:r>
      <w:r>
        <w:rPr>
          <w:color w:val="231F20"/>
          <w:spacing w:val="-27"/>
          <w:sz w:val="23"/>
        </w:rPr>
        <w:t> </w:t>
      </w:r>
      <w:r>
        <w:rPr>
          <w:color w:val="231F20"/>
          <w:sz w:val="23"/>
        </w:rPr>
        <w:t>GDP). The</w:t>
      </w:r>
      <w:r>
        <w:rPr>
          <w:color w:val="231F20"/>
          <w:spacing w:val="-19"/>
          <w:sz w:val="23"/>
        </w:rPr>
        <w:t> </w:t>
      </w:r>
      <w:r>
        <w:rPr>
          <w:color w:val="231F20"/>
          <w:sz w:val="23"/>
        </w:rPr>
        <w:t>primary</w:t>
      </w:r>
      <w:r>
        <w:rPr>
          <w:color w:val="231F20"/>
          <w:spacing w:val="-19"/>
          <w:sz w:val="23"/>
        </w:rPr>
        <w:t> </w:t>
      </w:r>
      <w:r>
        <w:rPr>
          <w:color w:val="231F20"/>
          <w:sz w:val="23"/>
        </w:rPr>
        <w:t>deficit</w:t>
      </w:r>
      <w:r>
        <w:rPr>
          <w:color w:val="231F20"/>
          <w:spacing w:val="-19"/>
          <w:sz w:val="23"/>
        </w:rPr>
        <w:t> </w:t>
      </w:r>
      <w:r>
        <w:rPr>
          <w:color w:val="231F20"/>
          <w:sz w:val="23"/>
        </w:rPr>
        <w:t>is</w:t>
      </w:r>
      <w:r>
        <w:rPr>
          <w:color w:val="231F20"/>
          <w:spacing w:val="-19"/>
          <w:sz w:val="23"/>
        </w:rPr>
        <w:t> </w:t>
      </w:r>
      <w:r>
        <w:rPr>
          <w:color w:val="231F20"/>
          <w:sz w:val="23"/>
        </w:rPr>
        <w:t>projected</w:t>
      </w:r>
      <w:r>
        <w:rPr>
          <w:color w:val="231F20"/>
          <w:spacing w:val="-19"/>
          <w:sz w:val="23"/>
        </w:rPr>
        <w:t> </w:t>
      </w:r>
      <w:r>
        <w:rPr>
          <w:color w:val="231F20"/>
          <w:sz w:val="23"/>
        </w:rPr>
        <w:t>at</w:t>
      </w:r>
      <w:r>
        <w:rPr>
          <w:color w:val="231F20"/>
          <w:spacing w:val="-19"/>
          <w:sz w:val="23"/>
        </w:rPr>
        <w:t> </w:t>
      </w:r>
      <w:r>
        <w:rPr>
          <w:color w:val="231F20"/>
          <w:sz w:val="23"/>
        </w:rPr>
        <w:t>Le156.7</w:t>
      </w:r>
      <w:r>
        <w:rPr>
          <w:color w:val="231F20"/>
          <w:spacing w:val="-19"/>
          <w:sz w:val="23"/>
        </w:rPr>
        <w:t> </w:t>
      </w:r>
      <w:r>
        <w:rPr>
          <w:color w:val="231F20"/>
          <w:sz w:val="23"/>
        </w:rPr>
        <w:t>billion</w:t>
      </w:r>
      <w:r>
        <w:rPr>
          <w:color w:val="231F20"/>
          <w:spacing w:val="-19"/>
          <w:sz w:val="23"/>
        </w:rPr>
        <w:t> </w:t>
      </w:r>
      <w:r>
        <w:rPr>
          <w:color w:val="231F20"/>
          <w:sz w:val="23"/>
        </w:rPr>
        <w:t>(0.4</w:t>
      </w:r>
      <w:r>
        <w:rPr>
          <w:color w:val="231F20"/>
          <w:spacing w:val="-19"/>
          <w:sz w:val="23"/>
        </w:rPr>
        <w:t> </w:t>
      </w:r>
      <w:r>
        <w:rPr>
          <w:color w:val="231F20"/>
          <w:sz w:val="23"/>
        </w:rPr>
        <w:t>percent</w:t>
      </w:r>
      <w:r>
        <w:rPr>
          <w:color w:val="231F20"/>
          <w:spacing w:val="-19"/>
          <w:sz w:val="23"/>
        </w:rPr>
        <w:t> </w:t>
      </w:r>
      <w:r>
        <w:rPr>
          <w:color w:val="231F20"/>
          <w:sz w:val="23"/>
        </w:rPr>
        <w:t>of</w:t>
      </w:r>
      <w:r>
        <w:rPr>
          <w:color w:val="231F20"/>
          <w:spacing w:val="-19"/>
          <w:sz w:val="23"/>
        </w:rPr>
        <w:t> </w:t>
      </w:r>
      <w:r>
        <w:rPr>
          <w:color w:val="231F20"/>
          <w:sz w:val="23"/>
        </w:rPr>
        <w:t>GDP).</w:t>
      </w:r>
      <w:r>
        <w:rPr>
          <w:color w:val="231F20"/>
          <w:spacing w:val="-19"/>
          <w:sz w:val="23"/>
        </w:rPr>
        <w:t> </w:t>
      </w:r>
      <w:r>
        <w:rPr>
          <w:color w:val="231F20"/>
          <w:sz w:val="23"/>
        </w:rPr>
        <w:t>The</w:t>
      </w:r>
      <w:r>
        <w:rPr>
          <w:color w:val="231F20"/>
          <w:spacing w:val="-19"/>
          <w:sz w:val="23"/>
        </w:rPr>
        <w:t> </w:t>
      </w:r>
      <w:r>
        <w:rPr>
          <w:color w:val="231F20"/>
          <w:sz w:val="23"/>
        </w:rPr>
        <w:t>deficit</w:t>
      </w:r>
      <w:r>
        <w:rPr>
          <w:color w:val="231F20"/>
          <w:spacing w:val="-19"/>
          <w:sz w:val="23"/>
        </w:rPr>
        <w:t> </w:t>
      </w:r>
      <w:r>
        <w:rPr>
          <w:color w:val="231F20"/>
          <w:sz w:val="23"/>
        </w:rPr>
        <w:t>will be financed by both domestic and foreign sources. Foreign financing in the form of project</w:t>
      </w:r>
      <w:r>
        <w:rPr>
          <w:color w:val="231F20"/>
          <w:spacing w:val="-31"/>
          <w:sz w:val="23"/>
        </w:rPr>
        <w:t> </w:t>
      </w:r>
      <w:r>
        <w:rPr>
          <w:color w:val="231F20"/>
          <w:sz w:val="23"/>
        </w:rPr>
        <w:t>loans</w:t>
      </w:r>
      <w:r>
        <w:rPr>
          <w:color w:val="231F20"/>
          <w:spacing w:val="-30"/>
          <w:sz w:val="23"/>
        </w:rPr>
        <w:t> </w:t>
      </w:r>
      <w:r>
        <w:rPr>
          <w:color w:val="231F20"/>
          <w:sz w:val="23"/>
        </w:rPr>
        <w:t>and</w:t>
      </w:r>
      <w:r>
        <w:rPr>
          <w:color w:val="231F20"/>
          <w:spacing w:val="-31"/>
          <w:sz w:val="23"/>
        </w:rPr>
        <w:t> </w:t>
      </w:r>
      <w:r>
        <w:rPr>
          <w:color w:val="231F20"/>
          <w:sz w:val="23"/>
        </w:rPr>
        <w:t>grants</w:t>
      </w:r>
      <w:r>
        <w:rPr>
          <w:color w:val="231F20"/>
          <w:spacing w:val="-30"/>
          <w:sz w:val="23"/>
        </w:rPr>
        <w:t> </w:t>
      </w:r>
      <w:r>
        <w:rPr>
          <w:color w:val="231F20"/>
          <w:sz w:val="23"/>
        </w:rPr>
        <w:t>is</w:t>
      </w:r>
      <w:r>
        <w:rPr>
          <w:color w:val="231F20"/>
          <w:spacing w:val="-30"/>
          <w:sz w:val="23"/>
        </w:rPr>
        <w:t> </w:t>
      </w:r>
      <w:r>
        <w:rPr>
          <w:color w:val="231F20"/>
          <w:sz w:val="23"/>
        </w:rPr>
        <w:t>projected</w:t>
      </w:r>
      <w:r>
        <w:rPr>
          <w:color w:val="231F20"/>
          <w:spacing w:val="-31"/>
          <w:sz w:val="23"/>
        </w:rPr>
        <w:t> </w:t>
      </w:r>
      <w:r>
        <w:rPr>
          <w:color w:val="231F20"/>
          <w:sz w:val="23"/>
        </w:rPr>
        <w:t>at</w:t>
      </w:r>
      <w:r>
        <w:rPr>
          <w:color w:val="231F20"/>
          <w:spacing w:val="-31"/>
          <w:sz w:val="23"/>
        </w:rPr>
        <w:t> </w:t>
      </w:r>
      <w:r>
        <w:rPr>
          <w:color w:val="231F20"/>
          <w:sz w:val="23"/>
        </w:rPr>
        <w:t>Le1.08</w:t>
      </w:r>
      <w:r>
        <w:rPr>
          <w:color w:val="231F20"/>
          <w:spacing w:val="-31"/>
          <w:sz w:val="23"/>
        </w:rPr>
        <w:t> </w:t>
      </w:r>
      <w:r>
        <w:rPr>
          <w:color w:val="231F20"/>
          <w:sz w:val="23"/>
        </w:rPr>
        <w:t>trillion.</w:t>
      </w:r>
      <w:r>
        <w:rPr>
          <w:color w:val="231F20"/>
          <w:spacing w:val="-30"/>
          <w:sz w:val="23"/>
        </w:rPr>
        <w:t> </w:t>
      </w:r>
      <w:r>
        <w:rPr>
          <w:color w:val="231F20"/>
          <w:sz w:val="23"/>
        </w:rPr>
        <w:t>Domestic</w:t>
      </w:r>
      <w:r>
        <w:rPr>
          <w:color w:val="231F20"/>
          <w:spacing w:val="-30"/>
          <w:sz w:val="23"/>
        </w:rPr>
        <w:t> </w:t>
      </w:r>
      <w:r>
        <w:rPr>
          <w:color w:val="231F20"/>
          <w:sz w:val="23"/>
        </w:rPr>
        <w:t>financing</w:t>
      </w:r>
      <w:r>
        <w:rPr>
          <w:color w:val="231F20"/>
          <w:spacing w:val="-30"/>
          <w:sz w:val="23"/>
        </w:rPr>
        <w:t> </w:t>
      </w:r>
      <w:r>
        <w:rPr>
          <w:color w:val="231F20"/>
          <w:sz w:val="23"/>
        </w:rPr>
        <w:t>will</w:t>
      </w:r>
      <w:r>
        <w:rPr>
          <w:color w:val="231F20"/>
          <w:spacing w:val="-30"/>
          <w:sz w:val="23"/>
        </w:rPr>
        <w:t> </w:t>
      </w:r>
      <w:r>
        <w:rPr>
          <w:color w:val="231F20"/>
          <w:sz w:val="23"/>
        </w:rPr>
        <w:t>amount to Le873.9</w:t>
      </w:r>
      <w:r>
        <w:rPr>
          <w:color w:val="231F20"/>
          <w:spacing w:val="-32"/>
          <w:sz w:val="23"/>
        </w:rPr>
        <w:t> </w:t>
      </w:r>
      <w:r>
        <w:rPr>
          <w:color w:val="231F20"/>
          <w:sz w:val="23"/>
        </w:rPr>
        <w:t>billion.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28"/>
      </w:pPr>
      <w:r>
        <w:rPr>
          <w:color w:val="231F20"/>
        </w:rPr>
        <w:t>40</w:t>
      </w:r>
    </w:p>
    <w:p>
      <w:pPr>
        <w:spacing w:after="0"/>
        <w:sectPr>
          <w:pgSz w:w="11900" w:h="16840"/>
          <w:pgMar w:top="1180" w:bottom="280" w:left="1140" w:right="1120"/>
        </w:sectPr>
      </w:pPr>
    </w:p>
    <w:p>
      <w:pPr>
        <w:pStyle w:val="Heading2"/>
        <w:numPr>
          <w:ilvl w:val="0"/>
          <w:numId w:val="8"/>
        </w:numPr>
        <w:tabs>
          <w:tab w:pos="953" w:val="left" w:leader="none"/>
          <w:tab w:pos="954" w:val="left" w:leader="none"/>
        </w:tabs>
        <w:spacing w:line="240" w:lineRule="auto" w:before="77" w:after="0"/>
        <w:ind w:left="953" w:right="0" w:hanging="703"/>
        <w:jc w:val="left"/>
      </w:pPr>
      <w:r>
        <w:rPr>
          <w:color w:val="231F20"/>
        </w:rPr>
        <w:t>Risks</w:t>
      </w:r>
      <w:r>
        <w:rPr>
          <w:color w:val="231F20"/>
          <w:spacing w:val="-20"/>
        </w:rPr>
        <w:t> </w:t>
      </w:r>
      <w:r>
        <w:rPr>
          <w:color w:val="231F20"/>
        </w:rPr>
        <w:t>to</w:t>
      </w:r>
      <w:r>
        <w:rPr>
          <w:color w:val="231F20"/>
          <w:spacing w:val="-20"/>
        </w:rPr>
        <w:t> </w:t>
      </w:r>
      <w:r>
        <w:rPr>
          <w:color w:val="231F20"/>
        </w:rPr>
        <w:t>the</w:t>
      </w:r>
      <w:r>
        <w:rPr>
          <w:color w:val="231F20"/>
          <w:spacing w:val="-21"/>
        </w:rPr>
        <w:t> </w:t>
      </w:r>
      <w:r>
        <w:rPr>
          <w:color w:val="231F20"/>
        </w:rPr>
        <w:t>Implementation</w:t>
      </w:r>
      <w:r>
        <w:rPr>
          <w:color w:val="231F20"/>
          <w:spacing w:val="-20"/>
        </w:rPr>
        <w:t> </w:t>
      </w:r>
      <w:r>
        <w:rPr>
          <w:color w:val="231F20"/>
        </w:rPr>
        <w:t>of</w:t>
      </w:r>
      <w:r>
        <w:rPr>
          <w:color w:val="231F20"/>
          <w:spacing w:val="-20"/>
        </w:rPr>
        <w:t> </w:t>
      </w:r>
      <w:r>
        <w:rPr>
          <w:color w:val="231F20"/>
        </w:rPr>
        <w:t>the</w:t>
      </w:r>
      <w:r>
        <w:rPr>
          <w:color w:val="231F20"/>
          <w:spacing w:val="-21"/>
        </w:rPr>
        <w:t> </w:t>
      </w:r>
      <w:r>
        <w:rPr>
          <w:color w:val="231F20"/>
        </w:rPr>
        <w:t>Budget</w:t>
      </w:r>
    </w:p>
    <w:p>
      <w:pPr>
        <w:pStyle w:val="ListParagraph"/>
        <w:numPr>
          <w:ilvl w:val="0"/>
          <w:numId w:val="2"/>
        </w:numPr>
        <w:tabs>
          <w:tab w:pos="954" w:val="left" w:leader="none"/>
        </w:tabs>
        <w:spacing w:line="302" w:lineRule="auto" w:before="71" w:after="0"/>
        <w:ind w:left="103" w:right="117" w:firstLine="87"/>
        <w:jc w:val="both"/>
        <w:rPr>
          <w:sz w:val="23"/>
        </w:rPr>
      </w:pPr>
      <w:r>
        <w:rPr>
          <w:color w:val="231F20"/>
          <w:sz w:val="23"/>
        </w:rPr>
        <w:t>Mr. Speaker, Honourable Members, the potential risks that could derail the implementation</w:t>
      </w:r>
      <w:r>
        <w:rPr>
          <w:color w:val="231F20"/>
          <w:spacing w:val="-28"/>
          <w:sz w:val="23"/>
        </w:rPr>
        <w:t> </w:t>
      </w:r>
      <w:r>
        <w:rPr>
          <w:color w:val="231F20"/>
          <w:sz w:val="23"/>
        </w:rPr>
        <w:t>of</w:t>
      </w:r>
      <w:r>
        <w:rPr>
          <w:color w:val="231F20"/>
          <w:spacing w:val="-28"/>
          <w:sz w:val="23"/>
        </w:rPr>
        <w:t> </w:t>
      </w:r>
      <w:r>
        <w:rPr>
          <w:color w:val="231F20"/>
          <w:sz w:val="23"/>
        </w:rPr>
        <w:t>the</w:t>
      </w:r>
      <w:r>
        <w:rPr>
          <w:color w:val="231F20"/>
          <w:spacing w:val="-28"/>
          <w:sz w:val="23"/>
        </w:rPr>
        <w:t> </w:t>
      </w:r>
      <w:r>
        <w:rPr>
          <w:color w:val="231F20"/>
          <w:sz w:val="23"/>
        </w:rPr>
        <w:t>Government’s</w:t>
      </w:r>
      <w:r>
        <w:rPr>
          <w:color w:val="231F20"/>
          <w:spacing w:val="-28"/>
          <w:sz w:val="23"/>
        </w:rPr>
        <w:t> </w:t>
      </w:r>
      <w:r>
        <w:rPr>
          <w:color w:val="231F20"/>
          <w:sz w:val="23"/>
        </w:rPr>
        <w:t>Budget</w:t>
      </w:r>
      <w:r>
        <w:rPr>
          <w:color w:val="231F20"/>
          <w:spacing w:val="-28"/>
          <w:sz w:val="23"/>
        </w:rPr>
        <w:t> </w:t>
      </w:r>
      <w:r>
        <w:rPr>
          <w:color w:val="231F20"/>
          <w:sz w:val="23"/>
        </w:rPr>
        <w:t>have</w:t>
      </w:r>
      <w:r>
        <w:rPr>
          <w:color w:val="231F20"/>
          <w:spacing w:val="-28"/>
          <w:sz w:val="23"/>
        </w:rPr>
        <w:t> </w:t>
      </w:r>
      <w:r>
        <w:rPr>
          <w:color w:val="231F20"/>
          <w:sz w:val="23"/>
        </w:rPr>
        <w:t>been</w:t>
      </w:r>
      <w:r>
        <w:rPr>
          <w:color w:val="231F20"/>
          <w:spacing w:val="-28"/>
          <w:sz w:val="23"/>
        </w:rPr>
        <w:t> </w:t>
      </w:r>
      <w:r>
        <w:rPr>
          <w:color w:val="231F20"/>
          <w:sz w:val="23"/>
        </w:rPr>
        <w:t>identified</w:t>
      </w:r>
      <w:r>
        <w:rPr>
          <w:color w:val="231F20"/>
          <w:spacing w:val="-28"/>
          <w:sz w:val="23"/>
        </w:rPr>
        <w:t> </w:t>
      </w:r>
      <w:r>
        <w:rPr>
          <w:color w:val="231F20"/>
          <w:sz w:val="23"/>
        </w:rPr>
        <w:t>and</w:t>
      </w:r>
      <w:r>
        <w:rPr>
          <w:color w:val="231F20"/>
          <w:spacing w:val="-28"/>
          <w:sz w:val="23"/>
        </w:rPr>
        <w:t> </w:t>
      </w:r>
      <w:r>
        <w:rPr>
          <w:color w:val="231F20"/>
          <w:sz w:val="23"/>
        </w:rPr>
        <w:t>discussed</w:t>
      </w:r>
      <w:r>
        <w:rPr>
          <w:color w:val="231F20"/>
          <w:spacing w:val="-28"/>
          <w:sz w:val="23"/>
        </w:rPr>
        <w:t> </w:t>
      </w:r>
      <w:r>
        <w:rPr>
          <w:color w:val="231F20"/>
          <w:sz w:val="23"/>
        </w:rPr>
        <w:t>in</w:t>
      </w:r>
      <w:r>
        <w:rPr>
          <w:color w:val="231F20"/>
          <w:spacing w:val="-28"/>
          <w:sz w:val="23"/>
        </w:rPr>
        <w:t> </w:t>
      </w:r>
      <w:r>
        <w:rPr>
          <w:color w:val="231F20"/>
          <w:sz w:val="23"/>
        </w:rPr>
        <w:t>the Government’s Fiscal Strategy Statement for 2020 to 2022. For the 2020 Budget,</w:t>
      </w:r>
      <w:r>
        <w:rPr>
          <w:color w:val="231F20"/>
          <w:spacing w:val="-48"/>
          <w:sz w:val="23"/>
        </w:rPr>
        <w:t> </w:t>
      </w:r>
      <w:r>
        <w:rPr>
          <w:color w:val="231F20"/>
          <w:sz w:val="23"/>
        </w:rPr>
        <w:t>the following risks have been</w:t>
      </w:r>
      <w:r>
        <w:rPr>
          <w:color w:val="231F20"/>
          <w:spacing w:val="42"/>
          <w:sz w:val="23"/>
        </w:rPr>
        <w:t> </w:t>
      </w:r>
      <w:r>
        <w:rPr>
          <w:color w:val="231F20"/>
          <w:sz w:val="23"/>
        </w:rPr>
        <w:t>identified:</w:t>
      </w:r>
    </w:p>
    <w:p>
      <w:pPr>
        <w:pStyle w:val="BodyText"/>
        <w:spacing w:before="10"/>
        <w:rPr>
          <w:sz w:val="28"/>
        </w:rPr>
      </w:pPr>
    </w:p>
    <w:p>
      <w:pPr>
        <w:pStyle w:val="ListParagraph"/>
        <w:numPr>
          <w:ilvl w:val="0"/>
          <w:numId w:val="9"/>
        </w:numPr>
        <w:tabs>
          <w:tab w:pos="1523" w:val="left" w:leader="none"/>
        </w:tabs>
        <w:spacing w:line="290" w:lineRule="auto" w:before="0" w:after="0"/>
        <w:ind w:left="1522" w:right="118" w:hanging="509"/>
        <w:jc w:val="both"/>
        <w:rPr>
          <w:sz w:val="23"/>
        </w:rPr>
      </w:pPr>
      <w:r>
        <w:rPr>
          <w:color w:val="231F20"/>
          <w:sz w:val="23"/>
        </w:rPr>
        <w:t>Continued</w:t>
      </w:r>
      <w:r>
        <w:rPr>
          <w:color w:val="231F20"/>
          <w:spacing w:val="-8"/>
          <w:sz w:val="23"/>
        </w:rPr>
        <w:t> </w:t>
      </w:r>
      <w:r>
        <w:rPr>
          <w:color w:val="231F20"/>
          <w:sz w:val="23"/>
        </w:rPr>
        <w:t>closure</w:t>
      </w:r>
      <w:r>
        <w:rPr>
          <w:color w:val="231F20"/>
          <w:spacing w:val="-8"/>
          <w:sz w:val="23"/>
        </w:rPr>
        <w:t> </w:t>
      </w:r>
      <w:r>
        <w:rPr>
          <w:color w:val="231F20"/>
          <w:sz w:val="23"/>
        </w:rPr>
        <w:t>of</w:t>
      </w:r>
      <w:r>
        <w:rPr>
          <w:color w:val="231F20"/>
          <w:spacing w:val="-8"/>
          <w:sz w:val="23"/>
        </w:rPr>
        <w:t> </w:t>
      </w:r>
      <w:r>
        <w:rPr>
          <w:color w:val="231F20"/>
          <w:sz w:val="23"/>
        </w:rPr>
        <w:t>the</w:t>
      </w:r>
      <w:r>
        <w:rPr>
          <w:color w:val="231F20"/>
          <w:spacing w:val="-8"/>
          <w:sz w:val="23"/>
        </w:rPr>
        <w:t> </w:t>
      </w:r>
      <w:r>
        <w:rPr>
          <w:color w:val="231F20"/>
          <w:sz w:val="23"/>
        </w:rPr>
        <w:t>iron</w:t>
      </w:r>
      <w:r>
        <w:rPr>
          <w:color w:val="231F20"/>
          <w:spacing w:val="-8"/>
          <w:sz w:val="23"/>
        </w:rPr>
        <w:t> </w:t>
      </w:r>
      <w:r>
        <w:rPr>
          <w:color w:val="231F20"/>
          <w:sz w:val="23"/>
        </w:rPr>
        <w:t>ore</w:t>
      </w:r>
      <w:r>
        <w:rPr>
          <w:color w:val="231F20"/>
          <w:spacing w:val="-8"/>
          <w:sz w:val="23"/>
        </w:rPr>
        <w:t> </w:t>
      </w:r>
      <w:r>
        <w:rPr>
          <w:color w:val="231F20"/>
          <w:sz w:val="23"/>
        </w:rPr>
        <w:t>mines</w:t>
      </w:r>
      <w:r>
        <w:rPr>
          <w:color w:val="231F20"/>
          <w:spacing w:val="-8"/>
          <w:sz w:val="23"/>
        </w:rPr>
        <w:t> </w:t>
      </w:r>
      <w:r>
        <w:rPr>
          <w:color w:val="231F20"/>
          <w:sz w:val="23"/>
        </w:rPr>
        <w:t>and</w:t>
      </w:r>
      <w:r>
        <w:rPr>
          <w:color w:val="231F20"/>
          <w:spacing w:val="-8"/>
          <w:sz w:val="23"/>
        </w:rPr>
        <w:t> </w:t>
      </w:r>
      <w:r>
        <w:rPr>
          <w:color w:val="231F20"/>
          <w:sz w:val="23"/>
        </w:rPr>
        <w:t>its</w:t>
      </w:r>
      <w:r>
        <w:rPr>
          <w:color w:val="231F20"/>
          <w:spacing w:val="-8"/>
          <w:sz w:val="23"/>
        </w:rPr>
        <w:t> </w:t>
      </w:r>
      <w:r>
        <w:rPr>
          <w:color w:val="231F20"/>
          <w:sz w:val="23"/>
        </w:rPr>
        <w:t>implications</w:t>
      </w:r>
      <w:r>
        <w:rPr>
          <w:color w:val="231F20"/>
          <w:spacing w:val="-8"/>
          <w:sz w:val="23"/>
        </w:rPr>
        <w:t> </w:t>
      </w:r>
      <w:r>
        <w:rPr>
          <w:color w:val="231F20"/>
          <w:sz w:val="23"/>
        </w:rPr>
        <w:t>for</w:t>
      </w:r>
      <w:r>
        <w:rPr>
          <w:color w:val="231F20"/>
          <w:spacing w:val="-8"/>
          <w:sz w:val="23"/>
        </w:rPr>
        <w:t> </w:t>
      </w:r>
      <w:r>
        <w:rPr>
          <w:color w:val="231F20"/>
          <w:sz w:val="23"/>
        </w:rPr>
        <w:t>growth, exports, domestic revenue and foreign exchange</w:t>
      </w:r>
      <w:r>
        <w:rPr>
          <w:color w:val="231F20"/>
          <w:spacing w:val="54"/>
          <w:sz w:val="23"/>
        </w:rPr>
        <w:t> </w:t>
      </w:r>
      <w:r>
        <w:rPr>
          <w:color w:val="231F20"/>
          <w:sz w:val="23"/>
        </w:rPr>
        <w:t>earnings;</w:t>
      </w:r>
    </w:p>
    <w:p>
      <w:pPr>
        <w:pStyle w:val="BodyText"/>
        <w:spacing w:before="9"/>
        <w:rPr>
          <w:sz w:val="26"/>
        </w:rPr>
      </w:pPr>
    </w:p>
    <w:p>
      <w:pPr>
        <w:pStyle w:val="ListParagraph"/>
        <w:numPr>
          <w:ilvl w:val="0"/>
          <w:numId w:val="9"/>
        </w:numPr>
        <w:tabs>
          <w:tab w:pos="1669" w:val="left" w:leader="none"/>
        </w:tabs>
        <w:spacing w:line="283" w:lineRule="auto" w:before="0" w:after="0"/>
        <w:ind w:left="1522" w:right="117" w:hanging="584"/>
        <w:jc w:val="both"/>
        <w:rPr>
          <w:sz w:val="23"/>
        </w:rPr>
      </w:pPr>
      <w:r>
        <w:rPr/>
        <w:tab/>
      </w:r>
      <w:r>
        <w:rPr>
          <w:color w:val="231F20"/>
          <w:sz w:val="23"/>
        </w:rPr>
        <w:t>Increase in the price of fuel in the international market and its implications</w:t>
      </w:r>
      <w:r>
        <w:rPr>
          <w:color w:val="231F20"/>
          <w:spacing w:val="-24"/>
          <w:sz w:val="23"/>
        </w:rPr>
        <w:t> </w:t>
      </w:r>
      <w:r>
        <w:rPr>
          <w:color w:val="231F20"/>
          <w:sz w:val="23"/>
        </w:rPr>
        <w:t>for</w:t>
      </w:r>
      <w:r>
        <w:rPr>
          <w:color w:val="231F20"/>
          <w:spacing w:val="-24"/>
          <w:sz w:val="23"/>
        </w:rPr>
        <w:t> </w:t>
      </w:r>
      <w:r>
        <w:rPr>
          <w:color w:val="231F20"/>
          <w:sz w:val="23"/>
        </w:rPr>
        <w:t>Government</w:t>
      </w:r>
      <w:r>
        <w:rPr>
          <w:color w:val="231F20"/>
          <w:spacing w:val="-24"/>
          <w:sz w:val="23"/>
        </w:rPr>
        <w:t> </w:t>
      </w:r>
      <w:r>
        <w:rPr>
          <w:color w:val="231F20"/>
          <w:sz w:val="23"/>
        </w:rPr>
        <w:t>expenditure,</w:t>
      </w:r>
      <w:r>
        <w:rPr>
          <w:color w:val="231F20"/>
          <w:spacing w:val="-24"/>
          <w:sz w:val="23"/>
        </w:rPr>
        <w:t> </w:t>
      </w:r>
      <w:r>
        <w:rPr>
          <w:color w:val="231F20"/>
          <w:sz w:val="23"/>
        </w:rPr>
        <w:t>foreign</w:t>
      </w:r>
      <w:r>
        <w:rPr>
          <w:color w:val="231F20"/>
          <w:spacing w:val="-24"/>
          <w:sz w:val="23"/>
        </w:rPr>
        <w:t> </w:t>
      </w:r>
      <w:r>
        <w:rPr>
          <w:color w:val="231F20"/>
          <w:sz w:val="23"/>
        </w:rPr>
        <w:t>exchange</w:t>
      </w:r>
      <w:r>
        <w:rPr>
          <w:color w:val="231F20"/>
          <w:spacing w:val="-24"/>
          <w:sz w:val="23"/>
        </w:rPr>
        <w:t> </w:t>
      </w:r>
      <w:r>
        <w:rPr>
          <w:color w:val="231F20"/>
          <w:sz w:val="23"/>
        </w:rPr>
        <w:t>reserves</w:t>
      </w:r>
      <w:r>
        <w:rPr>
          <w:color w:val="231F20"/>
          <w:spacing w:val="-24"/>
          <w:sz w:val="23"/>
        </w:rPr>
        <w:t> </w:t>
      </w:r>
      <w:r>
        <w:rPr>
          <w:color w:val="231F20"/>
          <w:sz w:val="23"/>
        </w:rPr>
        <w:t>and stability of the exchange</w:t>
      </w:r>
      <w:r>
        <w:rPr>
          <w:color w:val="231F20"/>
          <w:spacing w:val="49"/>
          <w:sz w:val="23"/>
        </w:rPr>
        <w:t> </w:t>
      </w:r>
      <w:r>
        <w:rPr>
          <w:color w:val="231F20"/>
          <w:sz w:val="23"/>
        </w:rPr>
        <w:t>rate;</w:t>
      </w:r>
    </w:p>
    <w:p>
      <w:pPr>
        <w:pStyle w:val="BodyText"/>
        <w:spacing w:before="6"/>
        <w:rPr>
          <w:sz w:val="27"/>
        </w:rPr>
      </w:pPr>
    </w:p>
    <w:p>
      <w:pPr>
        <w:pStyle w:val="ListParagraph"/>
        <w:numPr>
          <w:ilvl w:val="0"/>
          <w:numId w:val="9"/>
        </w:numPr>
        <w:tabs>
          <w:tab w:pos="1523" w:val="left" w:leader="none"/>
        </w:tabs>
        <w:spacing w:line="285" w:lineRule="auto" w:before="0" w:after="0"/>
        <w:ind w:left="1522" w:right="118" w:hanging="660"/>
        <w:jc w:val="both"/>
        <w:rPr>
          <w:sz w:val="23"/>
        </w:rPr>
      </w:pPr>
      <w:r>
        <w:rPr>
          <w:color w:val="231F20"/>
          <w:sz w:val="23"/>
        </w:rPr>
        <w:t>Rising inflation and domestic interest rates and its implications for Government</w:t>
      </w:r>
      <w:r>
        <w:rPr>
          <w:color w:val="231F20"/>
          <w:spacing w:val="-33"/>
          <w:sz w:val="23"/>
        </w:rPr>
        <w:t> </w:t>
      </w:r>
      <w:r>
        <w:rPr>
          <w:color w:val="231F20"/>
          <w:sz w:val="23"/>
        </w:rPr>
        <w:t>expenditure</w:t>
      </w:r>
      <w:r>
        <w:rPr>
          <w:color w:val="231F20"/>
          <w:spacing w:val="-33"/>
          <w:sz w:val="23"/>
        </w:rPr>
        <w:t> </w:t>
      </w:r>
      <w:r>
        <w:rPr>
          <w:color w:val="231F20"/>
          <w:sz w:val="23"/>
        </w:rPr>
        <w:t>on</w:t>
      </w:r>
      <w:r>
        <w:rPr>
          <w:color w:val="231F20"/>
          <w:spacing w:val="-33"/>
          <w:sz w:val="23"/>
        </w:rPr>
        <w:t> </w:t>
      </w:r>
      <w:r>
        <w:rPr>
          <w:color w:val="231F20"/>
          <w:sz w:val="23"/>
        </w:rPr>
        <w:t>the</w:t>
      </w:r>
      <w:r>
        <w:rPr>
          <w:color w:val="231F20"/>
          <w:spacing w:val="-33"/>
          <w:sz w:val="23"/>
        </w:rPr>
        <w:t> </w:t>
      </w:r>
      <w:r>
        <w:rPr>
          <w:color w:val="231F20"/>
          <w:sz w:val="23"/>
        </w:rPr>
        <w:t>wage</w:t>
      </w:r>
      <w:r>
        <w:rPr>
          <w:color w:val="231F20"/>
          <w:spacing w:val="-33"/>
          <w:sz w:val="23"/>
        </w:rPr>
        <w:t> </w:t>
      </w:r>
      <w:r>
        <w:rPr>
          <w:color w:val="231F20"/>
          <w:sz w:val="23"/>
        </w:rPr>
        <w:t>bill,</w:t>
      </w:r>
      <w:r>
        <w:rPr>
          <w:color w:val="231F20"/>
          <w:spacing w:val="-33"/>
          <w:sz w:val="23"/>
        </w:rPr>
        <w:t> </w:t>
      </w:r>
      <w:r>
        <w:rPr>
          <w:color w:val="231F20"/>
          <w:sz w:val="23"/>
        </w:rPr>
        <w:t>goods</w:t>
      </w:r>
      <w:r>
        <w:rPr>
          <w:color w:val="231F20"/>
          <w:spacing w:val="-33"/>
          <w:sz w:val="23"/>
        </w:rPr>
        <w:t> </w:t>
      </w:r>
      <w:r>
        <w:rPr>
          <w:color w:val="231F20"/>
          <w:sz w:val="23"/>
        </w:rPr>
        <w:t>and</w:t>
      </w:r>
      <w:r>
        <w:rPr>
          <w:color w:val="231F20"/>
          <w:spacing w:val="-33"/>
          <w:sz w:val="23"/>
        </w:rPr>
        <w:t> </w:t>
      </w:r>
      <w:r>
        <w:rPr>
          <w:color w:val="231F20"/>
          <w:sz w:val="23"/>
        </w:rPr>
        <w:t>services</w:t>
      </w:r>
      <w:r>
        <w:rPr>
          <w:color w:val="231F20"/>
          <w:spacing w:val="-33"/>
          <w:sz w:val="23"/>
        </w:rPr>
        <w:t> </w:t>
      </w:r>
      <w:r>
        <w:rPr>
          <w:color w:val="231F20"/>
          <w:sz w:val="23"/>
        </w:rPr>
        <w:t>and</w:t>
      </w:r>
      <w:r>
        <w:rPr>
          <w:color w:val="231F20"/>
          <w:spacing w:val="-33"/>
          <w:sz w:val="23"/>
        </w:rPr>
        <w:t> </w:t>
      </w:r>
      <w:r>
        <w:rPr>
          <w:color w:val="231F20"/>
          <w:sz w:val="23"/>
        </w:rPr>
        <w:t>interest payments on domestic</w:t>
      </w:r>
      <w:r>
        <w:rPr>
          <w:color w:val="231F20"/>
          <w:spacing w:val="-33"/>
          <w:sz w:val="23"/>
        </w:rPr>
        <w:t> </w:t>
      </w:r>
      <w:r>
        <w:rPr>
          <w:color w:val="231F20"/>
          <w:sz w:val="23"/>
        </w:rPr>
        <w:t>debt;</w:t>
      </w:r>
    </w:p>
    <w:p>
      <w:pPr>
        <w:pStyle w:val="BodyText"/>
        <w:spacing w:before="10"/>
        <w:rPr>
          <w:sz w:val="26"/>
        </w:rPr>
      </w:pPr>
    </w:p>
    <w:p>
      <w:pPr>
        <w:pStyle w:val="ListParagraph"/>
        <w:numPr>
          <w:ilvl w:val="0"/>
          <w:numId w:val="9"/>
        </w:numPr>
        <w:tabs>
          <w:tab w:pos="1520" w:val="left" w:leader="none"/>
          <w:tab w:pos="1521" w:val="left" w:leader="none"/>
        </w:tabs>
        <w:spacing w:line="240" w:lineRule="auto" w:before="0" w:after="0"/>
        <w:ind w:left="1520" w:right="0" w:hanging="613"/>
        <w:jc w:val="left"/>
        <w:rPr>
          <w:sz w:val="23"/>
        </w:rPr>
      </w:pPr>
      <w:r>
        <w:rPr>
          <w:color w:val="231F20"/>
          <w:sz w:val="23"/>
        </w:rPr>
        <w:t>Increase in subsidies to EDSA and other</w:t>
      </w:r>
      <w:r>
        <w:rPr>
          <w:color w:val="231F20"/>
          <w:spacing w:val="-21"/>
          <w:sz w:val="23"/>
        </w:rPr>
        <w:t> </w:t>
      </w:r>
      <w:r>
        <w:rPr>
          <w:color w:val="231F20"/>
          <w:sz w:val="23"/>
        </w:rPr>
        <w:t>SOEs;</w:t>
      </w:r>
    </w:p>
    <w:p>
      <w:pPr>
        <w:pStyle w:val="BodyText"/>
        <w:spacing w:before="7"/>
        <w:rPr>
          <w:sz w:val="31"/>
        </w:rPr>
      </w:pPr>
    </w:p>
    <w:p>
      <w:pPr>
        <w:pStyle w:val="ListParagraph"/>
        <w:numPr>
          <w:ilvl w:val="0"/>
          <w:numId w:val="9"/>
        </w:numPr>
        <w:tabs>
          <w:tab w:pos="1521" w:val="left" w:leader="none"/>
          <w:tab w:pos="1523" w:val="left" w:leader="none"/>
        </w:tabs>
        <w:spacing w:line="240" w:lineRule="auto" w:before="0" w:after="0"/>
        <w:ind w:left="1522" w:right="0" w:hanging="540"/>
        <w:jc w:val="left"/>
        <w:rPr>
          <w:sz w:val="23"/>
        </w:rPr>
      </w:pPr>
      <w:r>
        <w:rPr>
          <w:color w:val="231F20"/>
          <w:sz w:val="23"/>
        </w:rPr>
        <w:t>Unexpected shortfall in domestic revenue</w:t>
      </w:r>
      <w:r>
        <w:rPr>
          <w:color w:val="231F20"/>
          <w:spacing w:val="70"/>
          <w:sz w:val="23"/>
        </w:rPr>
        <w:t> </w:t>
      </w:r>
      <w:r>
        <w:rPr>
          <w:color w:val="231F20"/>
          <w:sz w:val="23"/>
        </w:rPr>
        <w:t>collection;</w:t>
      </w:r>
    </w:p>
    <w:p>
      <w:pPr>
        <w:pStyle w:val="BodyText"/>
        <w:spacing w:before="7"/>
        <w:rPr>
          <w:sz w:val="31"/>
        </w:rPr>
      </w:pPr>
    </w:p>
    <w:p>
      <w:pPr>
        <w:pStyle w:val="ListParagraph"/>
        <w:numPr>
          <w:ilvl w:val="0"/>
          <w:numId w:val="9"/>
        </w:numPr>
        <w:tabs>
          <w:tab w:pos="1520" w:val="left" w:leader="none"/>
          <w:tab w:pos="1521" w:val="left" w:leader="none"/>
        </w:tabs>
        <w:spacing w:line="240" w:lineRule="auto" w:before="0" w:after="0"/>
        <w:ind w:left="1520" w:right="0" w:hanging="613"/>
        <w:jc w:val="left"/>
        <w:rPr>
          <w:sz w:val="23"/>
        </w:rPr>
      </w:pPr>
      <w:r>
        <w:rPr>
          <w:color w:val="231F20"/>
          <w:sz w:val="23"/>
        </w:rPr>
        <w:t>Delays</w:t>
      </w:r>
      <w:r>
        <w:rPr>
          <w:color w:val="231F20"/>
          <w:spacing w:val="-13"/>
          <w:sz w:val="23"/>
        </w:rPr>
        <w:t> </w:t>
      </w:r>
      <w:r>
        <w:rPr>
          <w:color w:val="231F20"/>
          <w:sz w:val="23"/>
        </w:rPr>
        <w:t>in</w:t>
      </w:r>
      <w:r>
        <w:rPr>
          <w:color w:val="231F20"/>
          <w:spacing w:val="-13"/>
          <w:sz w:val="23"/>
        </w:rPr>
        <w:t> </w:t>
      </w:r>
      <w:r>
        <w:rPr>
          <w:color w:val="231F20"/>
          <w:sz w:val="23"/>
        </w:rPr>
        <w:t>the</w:t>
      </w:r>
      <w:r>
        <w:rPr>
          <w:color w:val="231F20"/>
          <w:spacing w:val="-13"/>
          <w:sz w:val="23"/>
        </w:rPr>
        <w:t> </w:t>
      </w:r>
      <w:r>
        <w:rPr>
          <w:color w:val="231F20"/>
          <w:sz w:val="23"/>
        </w:rPr>
        <w:t>disbursement</w:t>
      </w:r>
      <w:r>
        <w:rPr>
          <w:color w:val="231F20"/>
          <w:spacing w:val="-14"/>
          <w:sz w:val="23"/>
        </w:rPr>
        <w:t> </w:t>
      </w:r>
      <w:r>
        <w:rPr>
          <w:color w:val="231F20"/>
          <w:sz w:val="23"/>
        </w:rPr>
        <w:t>of</w:t>
      </w:r>
      <w:r>
        <w:rPr>
          <w:color w:val="231F20"/>
          <w:spacing w:val="-13"/>
          <w:sz w:val="23"/>
        </w:rPr>
        <w:t> </w:t>
      </w:r>
      <w:r>
        <w:rPr>
          <w:color w:val="231F20"/>
          <w:sz w:val="23"/>
        </w:rPr>
        <w:t>budget</w:t>
      </w:r>
      <w:r>
        <w:rPr>
          <w:color w:val="231F20"/>
          <w:spacing w:val="-14"/>
          <w:sz w:val="23"/>
        </w:rPr>
        <w:t> </w:t>
      </w:r>
      <w:r>
        <w:rPr>
          <w:color w:val="231F20"/>
          <w:sz w:val="23"/>
        </w:rPr>
        <w:t>support</w:t>
      </w:r>
      <w:r>
        <w:rPr>
          <w:color w:val="231F20"/>
          <w:spacing w:val="-13"/>
          <w:sz w:val="23"/>
        </w:rPr>
        <w:t> </w:t>
      </w:r>
      <w:r>
        <w:rPr>
          <w:color w:val="231F20"/>
          <w:sz w:val="23"/>
        </w:rPr>
        <w:t>by</w:t>
      </w:r>
      <w:r>
        <w:rPr>
          <w:color w:val="231F20"/>
          <w:spacing w:val="-14"/>
          <w:sz w:val="23"/>
        </w:rPr>
        <w:t> </w:t>
      </w:r>
      <w:r>
        <w:rPr>
          <w:color w:val="231F20"/>
          <w:sz w:val="23"/>
        </w:rPr>
        <w:t>development</w:t>
      </w:r>
      <w:r>
        <w:rPr>
          <w:color w:val="231F20"/>
          <w:spacing w:val="-14"/>
          <w:sz w:val="23"/>
        </w:rPr>
        <w:t> </w:t>
      </w:r>
      <w:r>
        <w:rPr>
          <w:color w:val="231F20"/>
          <w:sz w:val="23"/>
        </w:rPr>
        <w:t>partners;</w:t>
      </w:r>
    </w:p>
    <w:p>
      <w:pPr>
        <w:pStyle w:val="BodyText"/>
        <w:spacing w:before="5"/>
        <w:rPr>
          <w:sz w:val="31"/>
        </w:rPr>
      </w:pPr>
    </w:p>
    <w:p>
      <w:pPr>
        <w:pStyle w:val="ListParagraph"/>
        <w:numPr>
          <w:ilvl w:val="0"/>
          <w:numId w:val="9"/>
        </w:numPr>
        <w:tabs>
          <w:tab w:pos="1521" w:val="left" w:leader="none"/>
          <w:tab w:pos="1523" w:val="left" w:leader="none"/>
        </w:tabs>
        <w:spacing w:line="285" w:lineRule="auto" w:before="0" w:after="0"/>
        <w:ind w:left="1522" w:right="120" w:hanging="689"/>
        <w:jc w:val="left"/>
        <w:rPr>
          <w:sz w:val="23"/>
        </w:rPr>
      </w:pPr>
      <w:r>
        <w:rPr>
          <w:color w:val="231F20"/>
          <w:sz w:val="23"/>
        </w:rPr>
        <w:t>Weak</w:t>
      </w:r>
      <w:r>
        <w:rPr>
          <w:color w:val="231F20"/>
          <w:spacing w:val="-44"/>
          <w:sz w:val="23"/>
        </w:rPr>
        <w:t> </w:t>
      </w:r>
      <w:r>
        <w:rPr>
          <w:color w:val="231F20"/>
          <w:sz w:val="23"/>
        </w:rPr>
        <w:t>implementation</w:t>
      </w:r>
      <w:r>
        <w:rPr>
          <w:color w:val="231F20"/>
          <w:spacing w:val="-43"/>
          <w:sz w:val="23"/>
        </w:rPr>
        <w:t> </w:t>
      </w:r>
      <w:r>
        <w:rPr>
          <w:color w:val="231F20"/>
          <w:sz w:val="23"/>
        </w:rPr>
        <w:t>of</w:t>
      </w:r>
      <w:r>
        <w:rPr>
          <w:color w:val="231F20"/>
          <w:spacing w:val="-43"/>
          <w:sz w:val="23"/>
        </w:rPr>
        <w:t> </w:t>
      </w:r>
      <w:r>
        <w:rPr>
          <w:color w:val="231F20"/>
          <w:sz w:val="23"/>
        </w:rPr>
        <w:t>structural</w:t>
      </w:r>
      <w:r>
        <w:rPr>
          <w:color w:val="231F20"/>
          <w:spacing w:val="-43"/>
          <w:sz w:val="23"/>
        </w:rPr>
        <w:t> </w:t>
      </w:r>
      <w:r>
        <w:rPr>
          <w:color w:val="231F20"/>
          <w:sz w:val="23"/>
        </w:rPr>
        <w:t>reforms</w:t>
      </w:r>
      <w:r>
        <w:rPr>
          <w:color w:val="231F20"/>
          <w:spacing w:val="-44"/>
          <w:sz w:val="23"/>
        </w:rPr>
        <w:t> </w:t>
      </w:r>
      <w:r>
        <w:rPr>
          <w:color w:val="231F20"/>
          <w:sz w:val="23"/>
        </w:rPr>
        <w:t>and</w:t>
      </w:r>
      <w:r>
        <w:rPr>
          <w:color w:val="231F20"/>
          <w:spacing w:val="-43"/>
          <w:sz w:val="23"/>
        </w:rPr>
        <w:t> </w:t>
      </w:r>
      <w:r>
        <w:rPr>
          <w:color w:val="231F20"/>
          <w:sz w:val="23"/>
        </w:rPr>
        <w:t>non-adherence</w:t>
      </w:r>
      <w:r>
        <w:rPr>
          <w:color w:val="231F20"/>
          <w:spacing w:val="-43"/>
          <w:sz w:val="23"/>
        </w:rPr>
        <w:t> </w:t>
      </w:r>
      <w:r>
        <w:rPr>
          <w:color w:val="231F20"/>
          <w:sz w:val="23"/>
        </w:rPr>
        <w:t>to</w:t>
      </w:r>
      <w:r>
        <w:rPr>
          <w:color w:val="231F20"/>
          <w:spacing w:val="-43"/>
          <w:sz w:val="23"/>
        </w:rPr>
        <w:t> </w:t>
      </w:r>
      <w:r>
        <w:rPr>
          <w:color w:val="231F20"/>
          <w:sz w:val="23"/>
        </w:rPr>
        <w:t>the</w:t>
      </w:r>
      <w:r>
        <w:rPr>
          <w:color w:val="231F20"/>
          <w:spacing w:val="-43"/>
          <w:sz w:val="23"/>
        </w:rPr>
        <w:t> </w:t>
      </w:r>
      <w:r>
        <w:rPr>
          <w:color w:val="231F20"/>
          <w:sz w:val="23"/>
        </w:rPr>
        <w:t>IMF programme</w:t>
      </w:r>
      <w:r>
        <w:rPr>
          <w:color w:val="231F20"/>
          <w:spacing w:val="-43"/>
          <w:sz w:val="23"/>
        </w:rPr>
        <w:t> </w:t>
      </w:r>
      <w:r>
        <w:rPr>
          <w:color w:val="231F20"/>
          <w:sz w:val="23"/>
        </w:rPr>
        <w:t>targets,</w:t>
      </w:r>
      <w:r>
        <w:rPr>
          <w:color w:val="231F20"/>
          <w:spacing w:val="-42"/>
          <w:sz w:val="23"/>
        </w:rPr>
        <w:t> </w:t>
      </w:r>
      <w:r>
        <w:rPr>
          <w:color w:val="231F20"/>
          <w:sz w:val="23"/>
        </w:rPr>
        <w:t>which</w:t>
      </w:r>
      <w:r>
        <w:rPr>
          <w:color w:val="231F20"/>
          <w:spacing w:val="-43"/>
          <w:sz w:val="23"/>
        </w:rPr>
        <w:t> </w:t>
      </w:r>
      <w:r>
        <w:rPr>
          <w:color w:val="231F20"/>
          <w:sz w:val="23"/>
        </w:rPr>
        <w:t>could</w:t>
      </w:r>
      <w:r>
        <w:rPr>
          <w:color w:val="231F20"/>
          <w:spacing w:val="-42"/>
          <w:sz w:val="23"/>
        </w:rPr>
        <w:t> </w:t>
      </w:r>
      <w:r>
        <w:rPr>
          <w:color w:val="231F20"/>
          <w:sz w:val="23"/>
        </w:rPr>
        <w:t>derail</w:t>
      </w:r>
      <w:r>
        <w:rPr>
          <w:color w:val="231F20"/>
          <w:spacing w:val="-42"/>
          <w:sz w:val="23"/>
        </w:rPr>
        <w:t> </w:t>
      </w:r>
      <w:r>
        <w:rPr>
          <w:color w:val="231F20"/>
          <w:sz w:val="23"/>
        </w:rPr>
        <w:t>the</w:t>
      </w:r>
      <w:r>
        <w:rPr>
          <w:color w:val="231F20"/>
          <w:spacing w:val="-43"/>
          <w:sz w:val="23"/>
        </w:rPr>
        <w:t> </w:t>
      </w:r>
      <w:r>
        <w:rPr>
          <w:color w:val="231F20"/>
          <w:sz w:val="23"/>
        </w:rPr>
        <w:t>programme</w:t>
      </w:r>
      <w:r>
        <w:rPr>
          <w:color w:val="231F20"/>
          <w:spacing w:val="-42"/>
          <w:sz w:val="23"/>
        </w:rPr>
        <w:t> </w:t>
      </w:r>
      <w:r>
        <w:rPr>
          <w:color w:val="231F20"/>
          <w:sz w:val="23"/>
        </w:rPr>
        <w:t>with</w:t>
      </w:r>
      <w:r>
        <w:rPr>
          <w:color w:val="231F20"/>
          <w:spacing w:val="-42"/>
          <w:sz w:val="23"/>
        </w:rPr>
        <w:t> </w:t>
      </w:r>
      <w:r>
        <w:rPr>
          <w:color w:val="231F20"/>
          <w:sz w:val="23"/>
        </w:rPr>
        <w:t>the</w:t>
      </w:r>
      <w:r>
        <w:rPr>
          <w:color w:val="231F20"/>
          <w:spacing w:val="-43"/>
          <w:sz w:val="23"/>
        </w:rPr>
        <w:t> </w:t>
      </w:r>
      <w:r>
        <w:rPr>
          <w:color w:val="231F20"/>
          <w:sz w:val="23"/>
        </w:rPr>
        <w:t>Fund;</w:t>
      </w:r>
      <w:r>
        <w:rPr>
          <w:color w:val="231F20"/>
          <w:spacing w:val="-42"/>
          <w:sz w:val="23"/>
        </w:rPr>
        <w:t> </w:t>
      </w:r>
      <w:r>
        <w:rPr>
          <w:color w:val="231F20"/>
          <w:sz w:val="23"/>
        </w:rPr>
        <w:t>and</w:t>
      </w:r>
    </w:p>
    <w:p>
      <w:pPr>
        <w:pStyle w:val="BodyText"/>
        <w:rPr>
          <w:sz w:val="27"/>
        </w:rPr>
      </w:pPr>
    </w:p>
    <w:p>
      <w:pPr>
        <w:pStyle w:val="ListParagraph"/>
        <w:numPr>
          <w:ilvl w:val="0"/>
          <w:numId w:val="9"/>
        </w:numPr>
        <w:tabs>
          <w:tab w:pos="1521" w:val="left" w:leader="none"/>
          <w:tab w:pos="1523" w:val="left" w:leader="none"/>
        </w:tabs>
        <w:spacing w:line="285" w:lineRule="auto" w:before="0" w:after="0"/>
        <w:ind w:left="1522" w:right="123" w:hanging="764"/>
        <w:jc w:val="left"/>
        <w:rPr>
          <w:sz w:val="23"/>
        </w:rPr>
      </w:pPr>
      <w:r>
        <w:rPr>
          <w:color w:val="231F20"/>
          <w:sz w:val="23"/>
        </w:rPr>
        <w:t>The occurrence of natural disasters and associated expenditure, </w:t>
      </w:r>
      <w:r>
        <w:rPr>
          <w:color w:val="231F20"/>
          <w:spacing w:val="-3"/>
          <w:sz w:val="23"/>
        </w:rPr>
        <w:t>which </w:t>
      </w:r>
      <w:r>
        <w:rPr>
          <w:color w:val="231F20"/>
          <w:sz w:val="23"/>
        </w:rPr>
        <w:t>could derail the implementation of the</w:t>
      </w:r>
      <w:r>
        <w:rPr>
          <w:color w:val="231F20"/>
          <w:spacing w:val="24"/>
          <w:sz w:val="23"/>
        </w:rPr>
        <w:t> </w:t>
      </w:r>
      <w:r>
        <w:rPr>
          <w:color w:val="231F20"/>
          <w:sz w:val="23"/>
        </w:rPr>
        <w:t>budget.</w:t>
      </w:r>
    </w:p>
    <w:p>
      <w:pPr>
        <w:pStyle w:val="BodyText"/>
        <w:spacing w:before="1"/>
        <w:rPr>
          <w:sz w:val="27"/>
        </w:rPr>
      </w:pPr>
    </w:p>
    <w:p>
      <w:pPr>
        <w:pStyle w:val="Heading2"/>
        <w:numPr>
          <w:ilvl w:val="0"/>
          <w:numId w:val="8"/>
        </w:numPr>
        <w:tabs>
          <w:tab w:pos="953" w:val="left" w:leader="none"/>
          <w:tab w:pos="954" w:val="left" w:leader="none"/>
        </w:tabs>
        <w:spacing w:line="240" w:lineRule="auto" w:before="0" w:after="0"/>
        <w:ind w:left="953" w:right="0" w:hanging="792"/>
        <w:jc w:val="left"/>
      </w:pPr>
      <w:r>
        <w:rPr>
          <w:color w:val="231F20"/>
          <w:spacing w:val="-5"/>
        </w:rPr>
        <w:t>Conclusion</w:t>
      </w:r>
    </w:p>
    <w:p>
      <w:pPr>
        <w:pStyle w:val="ListParagraph"/>
        <w:numPr>
          <w:ilvl w:val="0"/>
          <w:numId w:val="2"/>
        </w:numPr>
        <w:tabs>
          <w:tab w:pos="954" w:val="left" w:leader="none"/>
        </w:tabs>
        <w:spacing w:line="285" w:lineRule="auto" w:before="52" w:after="0"/>
        <w:ind w:left="103" w:right="119" w:firstLine="87"/>
        <w:jc w:val="both"/>
        <w:rPr>
          <w:b/>
          <w:i/>
          <w:sz w:val="23"/>
        </w:rPr>
      </w:pPr>
      <w:r>
        <w:rPr>
          <w:color w:val="231F20"/>
          <w:sz w:val="23"/>
        </w:rPr>
        <w:t>Mr.</w:t>
      </w:r>
      <w:r>
        <w:rPr>
          <w:color w:val="231F20"/>
          <w:spacing w:val="-32"/>
          <w:sz w:val="23"/>
        </w:rPr>
        <w:t> </w:t>
      </w:r>
      <w:r>
        <w:rPr>
          <w:color w:val="231F20"/>
          <w:sz w:val="23"/>
        </w:rPr>
        <w:t>Speaker,</w:t>
      </w:r>
      <w:r>
        <w:rPr>
          <w:color w:val="231F20"/>
          <w:spacing w:val="-32"/>
          <w:sz w:val="23"/>
        </w:rPr>
        <w:t> </w:t>
      </w:r>
      <w:r>
        <w:rPr>
          <w:color w:val="231F20"/>
          <w:sz w:val="23"/>
        </w:rPr>
        <w:t>Honourable</w:t>
      </w:r>
      <w:r>
        <w:rPr>
          <w:color w:val="231F20"/>
          <w:spacing w:val="-32"/>
          <w:sz w:val="23"/>
        </w:rPr>
        <w:t> </w:t>
      </w:r>
      <w:r>
        <w:rPr>
          <w:color w:val="231F20"/>
          <w:sz w:val="23"/>
        </w:rPr>
        <w:t>Members,</w:t>
      </w:r>
      <w:r>
        <w:rPr>
          <w:color w:val="231F20"/>
          <w:spacing w:val="-32"/>
          <w:sz w:val="23"/>
        </w:rPr>
        <w:t> </w:t>
      </w:r>
      <w:r>
        <w:rPr>
          <w:color w:val="231F20"/>
          <w:sz w:val="23"/>
        </w:rPr>
        <w:t>the</w:t>
      </w:r>
      <w:r>
        <w:rPr>
          <w:color w:val="231F20"/>
          <w:spacing w:val="-32"/>
          <w:sz w:val="23"/>
        </w:rPr>
        <w:t> </w:t>
      </w:r>
      <w:r>
        <w:rPr>
          <w:color w:val="231F20"/>
          <w:sz w:val="23"/>
        </w:rPr>
        <w:t>2020</w:t>
      </w:r>
      <w:r>
        <w:rPr>
          <w:color w:val="231F20"/>
          <w:spacing w:val="-32"/>
          <w:sz w:val="23"/>
        </w:rPr>
        <w:t> </w:t>
      </w:r>
      <w:r>
        <w:rPr>
          <w:color w:val="231F20"/>
          <w:sz w:val="23"/>
        </w:rPr>
        <w:t>Budget</w:t>
      </w:r>
      <w:r>
        <w:rPr>
          <w:color w:val="231F20"/>
          <w:spacing w:val="10"/>
          <w:sz w:val="23"/>
        </w:rPr>
        <w:t> </w:t>
      </w:r>
      <w:r>
        <w:rPr>
          <w:color w:val="231F20"/>
          <w:sz w:val="23"/>
        </w:rPr>
        <w:t>focuses</w:t>
      </w:r>
      <w:r>
        <w:rPr>
          <w:color w:val="231F20"/>
          <w:spacing w:val="-32"/>
          <w:sz w:val="23"/>
        </w:rPr>
        <w:t> </w:t>
      </w:r>
      <w:r>
        <w:rPr>
          <w:color w:val="231F20"/>
          <w:sz w:val="23"/>
        </w:rPr>
        <w:t>on</w:t>
      </w:r>
      <w:r>
        <w:rPr>
          <w:color w:val="231F20"/>
          <w:spacing w:val="-32"/>
          <w:sz w:val="23"/>
        </w:rPr>
        <w:t> </w:t>
      </w:r>
      <w:r>
        <w:rPr>
          <w:color w:val="231F20"/>
          <w:sz w:val="23"/>
        </w:rPr>
        <w:t>consolidating human</w:t>
      </w:r>
      <w:r>
        <w:rPr>
          <w:color w:val="231F20"/>
          <w:spacing w:val="-19"/>
          <w:sz w:val="23"/>
        </w:rPr>
        <w:t> </w:t>
      </w:r>
      <w:r>
        <w:rPr>
          <w:color w:val="231F20"/>
          <w:sz w:val="23"/>
        </w:rPr>
        <w:t>capital</w:t>
      </w:r>
      <w:r>
        <w:rPr>
          <w:color w:val="231F20"/>
          <w:spacing w:val="-19"/>
          <w:sz w:val="23"/>
        </w:rPr>
        <w:t> </w:t>
      </w:r>
      <w:r>
        <w:rPr>
          <w:color w:val="231F20"/>
          <w:sz w:val="23"/>
        </w:rPr>
        <w:t>development</w:t>
      </w:r>
      <w:r>
        <w:rPr>
          <w:color w:val="231F20"/>
          <w:spacing w:val="-19"/>
          <w:sz w:val="23"/>
        </w:rPr>
        <w:t> </w:t>
      </w:r>
      <w:r>
        <w:rPr>
          <w:color w:val="231F20"/>
          <w:sz w:val="23"/>
        </w:rPr>
        <w:t>and</w:t>
      </w:r>
      <w:r>
        <w:rPr>
          <w:color w:val="231F20"/>
          <w:spacing w:val="-19"/>
          <w:sz w:val="23"/>
        </w:rPr>
        <w:t> </w:t>
      </w:r>
      <w:r>
        <w:rPr>
          <w:color w:val="231F20"/>
          <w:sz w:val="23"/>
        </w:rPr>
        <w:t>stimulating</w:t>
      </w:r>
      <w:r>
        <w:rPr>
          <w:color w:val="231F20"/>
          <w:spacing w:val="-19"/>
          <w:sz w:val="23"/>
        </w:rPr>
        <w:t> </w:t>
      </w:r>
      <w:r>
        <w:rPr>
          <w:color w:val="231F20"/>
          <w:sz w:val="23"/>
        </w:rPr>
        <w:t>the</w:t>
      </w:r>
      <w:r>
        <w:rPr>
          <w:color w:val="231F20"/>
          <w:spacing w:val="-19"/>
          <w:sz w:val="23"/>
        </w:rPr>
        <w:t> </w:t>
      </w:r>
      <w:r>
        <w:rPr>
          <w:color w:val="231F20"/>
          <w:sz w:val="23"/>
        </w:rPr>
        <w:t>economy</w:t>
      </w:r>
      <w:r>
        <w:rPr>
          <w:color w:val="231F20"/>
          <w:spacing w:val="-19"/>
          <w:sz w:val="23"/>
        </w:rPr>
        <w:t> </w:t>
      </w:r>
      <w:r>
        <w:rPr>
          <w:color w:val="231F20"/>
          <w:sz w:val="23"/>
        </w:rPr>
        <w:t>to</w:t>
      </w:r>
      <w:r>
        <w:rPr>
          <w:color w:val="231F20"/>
          <w:spacing w:val="-19"/>
          <w:sz w:val="23"/>
        </w:rPr>
        <w:t> </w:t>
      </w:r>
      <w:r>
        <w:rPr>
          <w:color w:val="231F20"/>
          <w:sz w:val="23"/>
        </w:rPr>
        <w:t>create</w:t>
      </w:r>
      <w:r>
        <w:rPr>
          <w:color w:val="231F20"/>
          <w:spacing w:val="-19"/>
          <w:sz w:val="23"/>
        </w:rPr>
        <w:t> </w:t>
      </w:r>
      <w:r>
        <w:rPr>
          <w:color w:val="231F20"/>
          <w:sz w:val="23"/>
        </w:rPr>
        <w:t>job</w:t>
      </w:r>
      <w:r>
        <w:rPr>
          <w:color w:val="231F20"/>
          <w:spacing w:val="-19"/>
          <w:sz w:val="23"/>
        </w:rPr>
        <w:t> </w:t>
      </w:r>
      <w:r>
        <w:rPr>
          <w:color w:val="231F20"/>
          <w:sz w:val="23"/>
        </w:rPr>
        <w:t>opportunities, especially</w:t>
      </w:r>
      <w:r>
        <w:rPr>
          <w:color w:val="231F20"/>
          <w:spacing w:val="-37"/>
          <w:sz w:val="23"/>
        </w:rPr>
        <w:t> </w:t>
      </w:r>
      <w:r>
        <w:rPr>
          <w:color w:val="231F20"/>
          <w:sz w:val="23"/>
        </w:rPr>
        <w:t>for</w:t>
      </w:r>
      <w:r>
        <w:rPr>
          <w:color w:val="231F20"/>
          <w:spacing w:val="-37"/>
          <w:sz w:val="23"/>
        </w:rPr>
        <w:t> </w:t>
      </w:r>
      <w:r>
        <w:rPr>
          <w:color w:val="231F20"/>
          <w:sz w:val="23"/>
        </w:rPr>
        <w:t>the</w:t>
      </w:r>
      <w:r>
        <w:rPr>
          <w:color w:val="231F20"/>
          <w:spacing w:val="-37"/>
          <w:sz w:val="23"/>
        </w:rPr>
        <w:t> </w:t>
      </w:r>
      <w:r>
        <w:rPr>
          <w:color w:val="231F20"/>
          <w:sz w:val="23"/>
        </w:rPr>
        <w:t>youths.</w:t>
      </w:r>
      <w:r>
        <w:rPr>
          <w:color w:val="231F20"/>
          <w:spacing w:val="-37"/>
          <w:sz w:val="23"/>
        </w:rPr>
        <w:t> </w:t>
      </w:r>
      <w:r>
        <w:rPr>
          <w:color w:val="231F20"/>
          <w:sz w:val="23"/>
        </w:rPr>
        <w:t>The</w:t>
      </w:r>
      <w:r>
        <w:rPr>
          <w:color w:val="231F20"/>
          <w:spacing w:val="-37"/>
          <w:sz w:val="23"/>
        </w:rPr>
        <w:t> </w:t>
      </w:r>
      <w:r>
        <w:rPr>
          <w:color w:val="231F20"/>
          <w:sz w:val="23"/>
        </w:rPr>
        <w:t>policy</w:t>
      </w:r>
      <w:r>
        <w:rPr>
          <w:color w:val="231F20"/>
          <w:spacing w:val="-37"/>
          <w:sz w:val="23"/>
        </w:rPr>
        <w:t> </w:t>
      </w:r>
      <w:r>
        <w:rPr>
          <w:color w:val="231F20"/>
          <w:sz w:val="23"/>
        </w:rPr>
        <w:t>measures</w:t>
      </w:r>
      <w:r>
        <w:rPr>
          <w:color w:val="231F20"/>
          <w:spacing w:val="-37"/>
          <w:sz w:val="23"/>
        </w:rPr>
        <w:t> </w:t>
      </w:r>
      <w:r>
        <w:rPr>
          <w:color w:val="231F20"/>
          <w:sz w:val="23"/>
        </w:rPr>
        <w:t>I</w:t>
      </w:r>
      <w:r>
        <w:rPr>
          <w:color w:val="231F20"/>
          <w:spacing w:val="-37"/>
          <w:sz w:val="23"/>
        </w:rPr>
        <w:t> </w:t>
      </w:r>
      <w:r>
        <w:rPr>
          <w:color w:val="231F20"/>
          <w:sz w:val="23"/>
        </w:rPr>
        <w:t>have</w:t>
      </w:r>
      <w:r>
        <w:rPr>
          <w:color w:val="231F20"/>
          <w:spacing w:val="-37"/>
          <w:sz w:val="23"/>
        </w:rPr>
        <w:t> </w:t>
      </w:r>
      <w:r>
        <w:rPr>
          <w:color w:val="231F20"/>
          <w:sz w:val="23"/>
        </w:rPr>
        <w:t>announced</w:t>
      </w:r>
      <w:r>
        <w:rPr>
          <w:color w:val="231F20"/>
          <w:spacing w:val="-37"/>
          <w:sz w:val="23"/>
        </w:rPr>
        <w:t> </w:t>
      </w:r>
      <w:r>
        <w:rPr>
          <w:color w:val="231F20"/>
          <w:sz w:val="23"/>
        </w:rPr>
        <w:t>are</w:t>
      </w:r>
      <w:r>
        <w:rPr>
          <w:color w:val="231F20"/>
          <w:spacing w:val="-37"/>
          <w:sz w:val="23"/>
        </w:rPr>
        <w:t> </w:t>
      </w:r>
      <w:r>
        <w:rPr>
          <w:color w:val="231F20"/>
          <w:sz w:val="23"/>
        </w:rPr>
        <w:t>deliberate,</w:t>
      </w:r>
      <w:r>
        <w:rPr>
          <w:color w:val="231F20"/>
          <w:spacing w:val="-37"/>
          <w:sz w:val="23"/>
        </w:rPr>
        <w:t> </w:t>
      </w:r>
      <w:r>
        <w:rPr>
          <w:color w:val="231F20"/>
          <w:sz w:val="23"/>
        </w:rPr>
        <w:t>specific and targeted. They will have immense impact on incomes, human development and social</w:t>
      </w:r>
      <w:r>
        <w:rPr>
          <w:color w:val="231F20"/>
          <w:spacing w:val="-26"/>
          <w:sz w:val="23"/>
        </w:rPr>
        <w:t> </w:t>
      </w:r>
      <w:r>
        <w:rPr>
          <w:color w:val="231F20"/>
          <w:sz w:val="23"/>
        </w:rPr>
        <w:t>security</w:t>
      </w:r>
      <w:r>
        <w:rPr>
          <w:color w:val="231F20"/>
          <w:spacing w:val="-25"/>
          <w:sz w:val="23"/>
        </w:rPr>
        <w:t> </w:t>
      </w:r>
      <w:r>
        <w:rPr>
          <w:color w:val="231F20"/>
          <w:sz w:val="23"/>
        </w:rPr>
        <w:t>of</w:t>
      </w:r>
      <w:r>
        <w:rPr>
          <w:color w:val="231F20"/>
          <w:spacing w:val="-25"/>
          <w:sz w:val="23"/>
        </w:rPr>
        <w:t> </w:t>
      </w:r>
      <w:r>
        <w:rPr>
          <w:color w:val="231F20"/>
          <w:sz w:val="23"/>
        </w:rPr>
        <w:t>our</w:t>
      </w:r>
      <w:r>
        <w:rPr>
          <w:color w:val="231F20"/>
          <w:spacing w:val="-25"/>
          <w:sz w:val="23"/>
        </w:rPr>
        <w:t> </w:t>
      </w:r>
      <w:r>
        <w:rPr>
          <w:color w:val="231F20"/>
          <w:sz w:val="23"/>
        </w:rPr>
        <w:t>people.</w:t>
      </w:r>
      <w:r>
        <w:rPr>
          <w:color w:val="231F20"/>
          <w:spacing w:val="22"/>
          <w:sz w:val="23"/>
        </w:rPr>
        <w:t> </w:t>
      </w:r>
      <w:r>
        <w:rPr>
          <w:color w:val="231F20"/>
          <w:sz w:val="23"/>
        </w:rPr>
        <w:t>Thus,</w:t>
      </w:r>
      <w:r>
        <w:rPr>
          <w:color w:val="231F20"/>
          <w:spacing w:val="-25"/>
          <w:sz w:val="23"/>
        </w:rPr>
        <w:t> </w:t>
      </w:r>
      <w:r>
        <w:rPr>
          <w:color w:val="231F20"/>
          <w:sz w:val="23"/>
        </w:rPr>
        <w:t>the</w:t>
      </w:r>
      <w:r>
        <w:rPr>
          <w:color w:val="231F20"/>
          <w:spacing w:val="-25"/>
          <w:sz w:val="23"/>
        </w:rPr>
        <w:t> </w:t>
      </w:r>
      <w:r>
        <w:rPr>
          <w:color w:val="231F20"/>
          <w:sz w:val="23"/>
        </w:rPr>
        <w:t>theme</w:t>
      </w:r>
      <w:r>
        <w:rPr>
          <w:color w:val="231F20"/>
          <w:spacing w:val="-26"/>
          <w:sz w:val="23"/>
        </w:rPr>
        <w:t> </w:t>
      </w:r>
      <w:r>
        <w:rPr>
          <w:color w:val="231F20"/>
          <w:sz w:val="23"/>
        </w:rPr>
        <w:t>of</w:t>
      </w:r>
      <w:r>
        <w:rPr>
          <w:color w:val="231F20"/>
          <w:spacing w:val="-25"/>
          <w:sz w:val="23"/>
        </w:rPr>
        <w:t> </w:t>
      </w:r>
      <w:r>
        <w:rPr>
          <w:color w:val="231F20"/>
          <w:sz w:val="23"/>
        </w:rPr>
        <w:t>this</w:t>
      </w:r>
      <w:r>
        <w:rPr>
          <w:color w:val="231F20"/>
          <w:spacing w:val="-25"/>
          <w:sz w:val="23"/>
        </w:rPr>
        <w:t> </w:t>
      </w:r>
      <w:r>
        <w:rPr>
          <w:color w:val="231F20"/>
          <w:sz w:val="23"/>
        </w:rPr>
        <w:t>Budget</w:t>
      </w:r>
      <w:r>
        <w:rPr>
          <w:color w:val="231F20"/>
          <w:spacing w:val="-25"/>
          <w:sz w:val="23"/>
        </w:rPr>
        <w:t> </w:t>
      </w:r>
      <w:r>
        <w:rPr>
          <w:color w:val="231F20"/>
          <w:sz w:val="23"/>
        </w:rPr>
        <w:t>is</w:t>
      </w:r>
      <w:r>
        <w:rPr>
          <w:color w:val="231F20"/>
          <w:spacing w:val="-26"/>
          <w:sz w:val="23"/>
        </w:rPr>
        <w:t> </w:t>
      </w:r>
      <w:r>
        <w:rPr>
          <w:color w:val="231F20"/>
          <w:sz w:val="23"/>
        </w:rPr>
        <w:t>‘</w:t>
      </w:r>
      <w:r>
        <w:rPr>
          <w:b/>
          <w:i/>
          <w:color w:val="231F20"/>
          <w:sz w:val="23"/>
        </w:rPr>
        <w:t>Fiscal</w:t>
      </w:r>
      <w:r>
        <w:rPr>
          <w:b/>
          <w:i/>
          <w:color w:val="231F20"/>
          <w:spacing w:val="-28"/>
          <w:sz w:val="23"/>
        </w:rPr>
        <w:t> </w:t>
      </w:r>
      <w:r>
        <w:rPr>
          <w:b/>
          <w:i/>
          <w:color w:val="231F20"/>
          <w:sz w:val="23"/>
        </w:rPr>
        <w:t>Consolidation </w:t>
      </w:r>
      <w:r>
        <w:rPr>
          <w:b/>
          <w:color w:val="231F20"/>
          <w:sz w:val="23"/>
        </w:rPr>
        <w:t>for</w:t>
      </w:r>
      <w:r>
        <w:rPr>
          <w:b/>
          <w:color w:val="231F20"/>
          <w:spacing w:val="-27"/>
          <w:sz w:val="23"/>
        </w:rPr>
        <w:t> </w:t>
      </w:r>
      <w:r>
        <w:rPr>
          <w:b/>
          <w:i/>
          <w:color w:val="231F20"/>
          <w:sz w:val="23"/>
        </w:rPr>
        <w:t>Human</w:t>
      </w:r>
      <w:r>
        <w:rPr>
          <w:b/>
          <w:i/>
          <w:color w:val="231F20"/>
          <w:spacing w:val="-27"/>
          <w:sz w:val="23"/>
        </w:rPr>
        <w:t> </w:t>
      </w:r>
      <w:r>
        <w:rPr>
          <w:b/>
          <w:i/>
          <w:color w:val="231F20"/>
          <w:sz w:val="23"/>
        </w:rPr>
        <w:t>Capital</w:t>
      </w:r>
      <w:r>
        <w:rPr>
          <w:b/>
          <w:i/>
          <w:color w:val="231F20"/>
          <w:spacing w:val="-27"/>
          <w:sz w:val="23"/>
        </w:rPr>
        <w:t> </w:t>
      </w:r>
      <w:r>
        <w:rPr>
          <w:b/>
          <w:i/>
          <w:color w:val="231F20"/>
          <w:sz w:val="23"/>
        </w:rPr>
        <w:t>Development</w:t>
      </w:r>
      <w:r>
        <w:rPr>
          <w:b/>
          <w:i/>
          <w:color w:val="231F20"/>
          <w:spacing w:val="-28"/>
          <w:sz w:val="23"/>
        </w:rPr>
        <w:t> </w:t>
      </w:r>
      <w:r>
        <w:rPr>
          <w:b/>
          <w:i/>
          <w:color w:val="231F20"/>
          <w:sz w:val="23"/>
        </w:rPr>
        <w:t>and</w:t>
      </w:r>
      <w:r>
        <w:rPr>
          <w:b/>
          <w:i/>
          <w:color w:val="231F20"/>
          <w:spacing w:val="-27"/>
          <w:sz w:val="23"/>
        </w:rPr>
        <w:t> </w:t>
      </w:r>
      <w:r>
        <w:rPr>
          <w:b/>
          <w:i/>
          <w:color w:val="231F20"/>
          <w:sz w:val="23"/>
        </w:rPr>
        <w:t>Job</w:t>
      </w:r>
      <w:r>
        <w:rPr>
          <w:b/>
          <w:i/>
          <w:color w:val="231F20"/>
          <w:spacing w:val="-27"/>
          <w:sz w:val="23"/>
        </w:rPr>
        <w:t> </w:t>
      </w:r>
      <w:r>
        <w:rPr>
          <w:b/>
          <w:i/>
          <w:color w:val="231F20"/>
          <w:sz w:val="23"/>
        </w:rPr>
        <w:t>Creation’.</w:t>
      </w:r>
    </w:p>
    <w:p>
      <w:pPr>
        <w:pStyle w:val="BodyText"/>
        <w:spacing w:before="2"/>
        <w:rPr>
          <w:b/>
          <w:i/>
          <w:sz w:val="31"/>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The economic policies articulated in this budget build on the progress made in</w:t>
      </w:r>
      <w:r>
        <w:rPr>
          <w:color w:val="231F20"/>
          <w:spacing w:val="-5"/>
          <w:sz w:val="23"/>
        </w:rPr>
        <w:t> </w:t>
      </w:r>
      <w:r>
        <w:rPr>
          <w:color w:val="231F20"/>
          <w:sz w:val="23"/>
        </w:rPr>
        <w:t>fiscal</w:t>
      </w:r>
      <w:r>
        <w:rPr>
          <w:color w:val="231F20"/>
          <w:spacing w:val="-5"/>
          <w:sz w:val="23"/>
        </w:rPr>
        <w:t> </w:t>
      </w:r>
      <w:r>
        <w:rPr>
          <w:color w:val="231F20"/>
          <w:sz w:val="23"/>
        </w:rPr>
        <w:t>consolidation</w:t>
      </w:r>
      <w:r>
        <w:rPr>
          <w:color w:val="231F20"/>
          <w:spacing w:val="-5"/>
          <w:sz w:val="23"/>
        </w:rPr>
        <w:t> </w:t>
      </w:r>
      <w:r>
        <w:rPr>
          <w:color w:val="231F20"/>
          <w:sz w:val="23"/>
        </w:rPr>
        <w:t>efforts</w:t>
      </w:r>
      <w:r>
        <w:rPr>
          <w:color w:val="231F20"/>
          <w:spacing w:val="-5"/>
          <w:sz w:val="23"/>
        </w:rPr>
        <w:t> </w:t>
      </w:r>
      <w:r>
        <w:rPr>
          <w:color w:val="231F20"/>
          <w:sz w:val="23"/>
        </w:rPr>
        <w:t>of</w:t>
      </w:r>
      <w:r>
        <w:rPr>
          <w:color w:val="231F20"/>
          <w:spacing w:val="-5"/>
          <w:sz w:val="23"/>
        </w:rPr>
        <w:t> </w:t>
      </w:r>
      <w:r>
        <w:rPr>
          <w:color w:val="231F20"/>
          <w:sz w:val="23"/>
        </w:rPr>
        <w:t>the</w:t>
      </w:r>
      <w:r>
        <w:rPr>
          <w:color w:val="231F20"/>
          <w:spacing w:val="-5"/>
          <w:sz w:val="23"/>
        </w:rPr>
        <w:t> </w:t>
      </w:r>
      <w:r>
        <w:rPr>
          <w:color w:val="231F20"/>
          <w:sz w:val="23"/>
        </w:rPr>
        <w:t>previous</w:t>
      </w:r>
      <w:r>
        <w:rPr>
          <w:color w:val="231F20"/>
          <w:spacing w:val="-5"/>
          <w:sz w:val="23"/>
        </w:rPr>
        <w:t> </w:t>
      </w:r>
      <w:r>
        <w:rPr>
          <w:color w:val="231F20"/>
          <w:sz w:val="23"/>
        </w:rPr>
        <w:t>year.</w:t>
      </w:r>
      <w:r>
        <w:rPr>
          <w:color w:val="231F20"/>
          <w:spacing w:val="-5"/>
          <w:sz w:val="23"/>
        </w:rPr>
        <w:t> </w:t>
      </w:r>
      <w:r>
        <w:rPr>
          <w:color w:val="231F20"/>
          <w:sz w:val="23"/>
        </w:rPr>
        <w:t>These</w:t>
      </w:r>
      <w:r>
        <w:rPr>
          <w:color w:val="231F20"/>
          <w:spacing w:val="-5"/>
          <w:sz w:val="23"/>
        </w:rPr>
        <w:t> </w:t>
      </w:r>
      <w:r>
        <w:rPr>
          <w:color w:val="231F20"/>
          <w:sz w:val="23"/>
        </w:rPr>
        <w:t>policies,</w:t>
      </w:r>
      <w:r>
        <w:rPr>
          <w:color w:val="231F20"/>
          <w:spacing w:val="-5"/>
          <w:sz w:val="23"/>
        </w:rPr>
        <w:t> </w:t>
      </w:r>
      <w:r>
        <w:rPr>
          <w:color w:val="231F20"/>
          <w:sz w:val="23"/>
        </w:rPr>
        <w:t>combined</w:t>
      </w:r>
      <w:r>
        <w:rPr>
          <w:color w:val="231F20"/>
          <w:spacing w:val="-5"/>
          <w:sz w:val="23"/>
        </w:rPr>
        <w:t> </w:t>
      </w:r>
      <w:r>
        <w:rPr>
          <w:color w:val="231F20"/>
          <w:sz w:val="23"/>
        </w:rPr>
        <w:t>with</w:t>
      </w:r>
      <w:r>
        <w:rPr>
          <w:color w:val="231F20"/>
          <w:spacing w:val="-5"/>
          <w:sz w:val="23"/>
        </w:rPr>
        <w:t> </w:t>
      </w:r>
      <w:r>
        <w:rPr>
          <w:color w:val="231F20"/>
          <w:sz w:val="23"/>
        </w:rPr>
        <w:t>the sectoral policies and programmes, will facilitate the scaling up of investments in human capital development, infrastructure and productive sectors supported by science,</w:t>
      </w:r>
      <w:r>
        <w:rPr>
          <w:color w:val="231F20"/>
          <w:spacing w:val="-9"/>
          <w:sz w:val="23"/>
        </w:rPr>
        <w:t> </w:t>
      </w:r>
      <w:r>
        <w:rPr>
          <w:color w:val="231F20"/>
          <w:sz w:val="23"/>
        </w:rPr>
        <w:t>technology</w:t>
      </w:r>
      <w:r>
        <w:rPr>
          <w:color w:val="231F20"/>
          <w:spacing w:val="-9"/>
          <w:sz w:val="23"/>
        </w:rPr>
        <w:t> </w:t>
      </w:r>
      <w:r>
        <w:rPr>
          <w:color w:val="231F20"/>
          <w:sz w:val="23"/>
        </w:rPr>
        <w:t>and</w:t>
      </w:r>
      <w:r>
        <w:rPr>
          <w:color w:val="231F20"/>
          <w:spacing w:val="-9"/>
          <w:sz w:val="23"/>
        </w:rPr>
        <w:t> </w:t>
      </w:r>
      <w:r>
        <w:rPr>
          <w:color w:val="231F20"/>
          <w:sz w:val="23"/>
        </w:rPr>
        <w:t>innovation.</w:t>
      </w:r>
      <w:r>
        <w:rPr>
          <w:color w:val="231F20"/>
          <w:spacing w:val="-9"/>
          <w:sz w:val="23"/>
        </w:rPr>
        <w:t> </w:t>
      </w:r>
      <w:r>
        <w:rPr>
          <w:color w:val="231F20"/>
          <w:sz w:val="23"/>
        </w:rPr>
        <w:t>The</w:t>
      </w:r>
      <w:r>
        <w:rPr>
          <w:color w:val="231F20"/>
          <w:spacing w:val="-9"/>
          <w:sz w:val="23"/>
        </w:rPr>
        <w:t> </w:t>
      </w:r>
      <w:r>
        <w:rPr>
          <w:color w:val="231F20"/>
          <w:sz w:val="23"/>
        </w:rPr>
        <w:t>ultimate</w:t>
      </w:r>
      <w:r>
        <w:rPr>
          <w:color w:val="231F20"/>
          <w:spacing w:val="-9"/>
          <w:sz w:val="23"/>
        </w:rPr>
        <w:t> </w:t>
      </w:r>
      <w:r>
        <w:rPr>
          <w:color w:val="231F20"/>
          <w:sz w:val="23"/>
        </w:rPr>
        <w:t>goal</w:t>
      </w:r>
      <w:r>
        <w:rPr>
          <w:color w:val="231F20"/>
          <w:spacing w:val="-9"/>
          <w:sz w:val="23"/>
        </w:rPr>
        <w:t> </w:t>
      </w:r>
      <w:r>
        <w:rPr>
          <w:color w:val="231F20"/>
          <w:sz w:val="23"/>
        </w:rPr>
        <w:t>is</w:t>
      </w:r>
      <w:r>
        <w:rPr>
          <w:color w:val="231F20"/>
          <w:spacing w:val="-9"/>
          <w:sz w:val="23"/>
        </w:rPr>
        <w:t> </w:t>
      </w:r>
      <w:r>
        <w:rPr>
          <w:color w:val="231F20"/>
          <w:sz w:val="23"/>
        </w:rPr>
        <w:t>to</w:t>
      </w:r>
      <w:r>
        <w:rPr>
          <w:color w:val="231F20"/>
          <w:spacing w:val="-9"/>
          <w:sz w:val="23"/>
        </w:rPr>
        <w:t> </w:t>
      </w:r>
      <w:r>
        <w:rPr>
          <w:color w:val="231F20"/>
          <w:sz w:val="23"/>
        </w:rPr>
        <w:t>create</w:t>
      </w:r>
      <w:r>
        <w:rPr>
          <w:color w:val="231F20"/>
          <w:spacing w:val="-9"/>
          <w:sz w:val="23"/>
        </w:rPr>
        <w:t> </w:t>
      </w:r>
      <w:r>
        <w:rPr>
          <w:color w:val="231F20"/>
          <w:sz w:val="23"/>
        </w:rPr>
        <w:t>jobs</w:t>
      </w:r>
      <w:r>
        <w:rPr>
          <w:color w:val="231F20"/>
          <w:spacing w:val="-9"/>
          <w:sz w:val="23"/>
        </w:rPr>
        <w:t> </w:t>
      </w:r>
      <w:r>
        <w:rPr>
          <w:color w:val="231F20"/>
          <w:sz w:val="23"/>
        </w:rPr>
        <w:t>for</w:t>
      </w:r>
      <w:r>
        <w:rPr>
          <w:color w:val="231F20"/>
          <w:spacing w:val="-9"/>
          <w:sz w:val="23"/>
        </w:rPr>
        <w:t> </w:t>
      </w:r>
      <w:r>
        <w:rPr>
          <w:color w:val="231F20"/>
          <w:sz w:val="23"/>
        </w:rPr>
        <w:t>our</w:t>
      </w:r>
      <w:r>
        <w:rPr>
          <w:color w:val="231F20"/>
          <w:spacing w:val="-9"/>
          <w:sz w:val="23"/>
        </w:rPr>
        <w:t> </w:t>
      </w:r>
      <w:r>
        <w:rPr>
          <w:color w:val="231F20"/>
          <w:sz w:val="23"/>
        </w:rPr>
        <w:t>youth. This</w:t>
      </w:r>
      <w:r>
        <w:rPr>
          <w:color w:val="231F20"/>
          <w:spacing w:val="-35"/>
          <w:sz w:val="23"/>
        </w:rPr>
        <w:t> </w:t>
      </w:r>
      <w:r>
        <w:rPr>
          <w:color w:val="231F20"/>
          <w:sz w:val="23"/>
        </w:rPr>
        <w:t>Budget</w:t>
      </w:r>
      <w:r>
        <w:rPr>
          <w:color w:val="231F20"/>
          <w:spacing w:val="-35"/>
          <w:sz w:val="23"/>
        </w:rPr>
        <w:t> </w:t>
      </w:r>
      <w:r>
        <w:rPr>
          <w:color w:val="231F20"/>
          <w:sz w:val="23"/>
        </w:rPr>
        <w:t>seeks</w:t>
      </w:r>
      <w:r>
        <w:rPr>
          <w:color w:val="231F20"/>
          <w:spacing w:val="-35"/>
          <w:sz w:val="23"/>
        </w:rPr>
        <w:t> </w:t>
      </w:r>
      <w:r>
        <w:rPr>
          <w:color w:val="231F20"/>
          <w:sz w:val="23"/>
        </w:rPr>
        <w:t>to</w:t>
      </w:r>
      <w:r>
        <w:rPr>
          <w:color w:val="231F20"/>
          <w:spacing w:val="-35"/>
          <w:sz w:val="23"/>
        </w:rPr>
        <w:t> </w:t>
      </w:r>
      <w:r>
        <w:rPr>
          <w:color w:val="231F20"/>
          <w:sz w:val="23"/>
        </w:rPr>
        <w:t>enable</w:t>
      </w:r>
      <w:r>
        <w:rPr>
          <w:color w:val="231F20"/>
          <w:spacing w:val="-35"/>
          <w:sz w:val="23"/>
        </w:rPr>
        <w:t> </w:t>
      </w:r>
      <w:r>
        <w:rPr>
          <w:color w:val="231F20"/>
          <w:sz w:val="23"/>
        </w:rPr>
        <w:t>the</w:t>
      </w:r>
      <w:r>
        <w:rPr>
          <w:color w:val="231F20"/>
          <w:spacing w:val="-35"/>
          <w:sz w:val="23"/>
        </w:rPr>
        <w:t> </w:t>
      </w:r>
      <w:r>
        <w:rPr>
          <w:color w:val="231F20"/>
          <w:sz w:val="23"/>
        </w:rPr>
        <w:t>youth,</w:t>
      </w:r>
      <w:r>
        <w:rPr>
          <w:color w:val="231F20"/>
          <w:spacing w:val="-35"/>
          <w:sz w:val="23"/>
        </w:rPr>
        <w:t> </w:t>
      </w:r>
      <w:r>
        <w:rPr>
          <w:color w:val="231F20"/>
          <w:sz w:val="23"/>
        </w:rPr>
        <w:t>who</w:t>
      </w:r>
      <w:r>
        <w:rPr>
          <w:color w:val="231F20"/>
          <w:spacing w:val="-35"/>
          <w:sz w:val="23"/>
        </w:rPr>
        <w:t> </w:t>
      </w:r>
      <w:r>
        <w:rPr>
          <w:color w:val="231F20"/>
          <w:sz w:val="23"/>
        </w:rPr>
        <w:t>are</w:t>
      </w:r>
      <w:r>
        <w:rPr>
          <w:color w:val="231F20"/>
          <w:spacing w:val="-35"/>
          <w:sz w:val="23"/>
        </w:rPr>
        <w:t> </w:t>
      </w:r>
      <w:r>
        <w:rPr>
          <w:color w:val="231F20"/>
          <w:sz w:val="23"/>
        </w:rPr>
        <w:t>our</w:t>
      </w:r>
      <w:r>
        <w:rPr>
          <w:color w:val="231F20"/>
          <w:spacing w:val="-35"/>
          <w:sz w:val="23"/>
        </w:rPr>
        <w:t> </w:t>
      </w:r>
      <w:r>
        <w:rPr>
          <w:color w:val="231F20"/>
          <w:sz w:val="23"/>
        </w:rPr>
        <w:t>most</w:t>
      </w:r>
      <w:r>
        <w:rPr>
          <w:color w:val="231F20"/>
          <w:spacing w:val="-35"/>
          <w:sz w:val="23"/>
        </w:rPr>
        <w:t> </w:t>
      </w:r>
      <w:r>
        <w:rPr>
          <w:color w:val="231F20"/>
          <w:sz w:val="23"/>
        </w:rPr>
        <w:t>valuable</w:t>
      </w:r>
      <w:r>
        <w:rPr>
          <w:color w:val="231F20"/>
          <w:spacing w:val="-35"/>
          <w:sz w:val="23"/>
        </w:rPr>
        <w:t> </w:t>
      </w:r>
      <w:r>
        <w:rPr>
          <w:color w:val="231F20"/>
          <w:sz w:val="23"/>
        </w:rPr>
        <w:t>resource</w:t>
      </w:r>
      <w:r>
        <w:rPr>
          <w:color w:val="231F20"/>
          <w:spacing w:val="-35"/>
          <w:sz w:val="23"/>
        </w:rPr>
        <w:t> </w:t>
      </w:r>
      <w:r>
        <w:rPr>
          <w:color w:val="231F20"/>
          <w:sz w:val="23"/>
        </w:rPr>
        <w:t>to</w:t>
      </w:r>
      <w:r>
        <w:rPr>
          <w:color w:val="231F20"/>
          <w:spacing w:val="-35"/>
          <w:sz w:val="23"/>
        </w:rPr>
        <w:t> </w:t>
      </w:r>
      <w:r>
        <w:rPr>
          <w:color w:val="231F20"/>
          <w:sz w:val="23"/>
        </w:rPr>
        <w:t>take</w:t>
      </w:r>
      <w:r>
        <w:rPr>
          <w:color w:val="231F20"/>
          <w:spacing w:val="-35"/>
          <w:sz w:val="23"/>
        </w:rPr>
        <w:t> </w:t>
      </w:r>
      <w:r>
        <w:rPr>
          <w:color w:val="231F20"/>
          <w:sz w:val="23"/>
        </w:rPr>
        <w:t>their rightful</w:t>
      </w:r>
      <w:r>
        <w:rPr>
          <w:color w:val="231F20"/>
          <w:spacing w:val="-18"/>
          <w:sz w:val="23"/>
        </w:rPr>
        <w:t> </w:t>
      </w:r>
      <w:r>
        <w:rPr>
          <w:color w:val="231F20"/>
          <w:sz w:val="23"/>
        </w:rPr>
        <w:t>place</w:t>
      </w:r>
      <w:r>
        <w:rPr>
          <w:color w:val="231F20"/>
          <w:spacing w:val="-18"/>
          <w:sz w:val="23"/>
        </w:rPr>
        <w:t> </w:t>
      </w:r>
      <w:r>
        <w:rPr>
          <w:color w:val="231F20"/>
          <w:sz w:val="23"/>
        </w:rPr>
        <w:t>in</w:t>
      </w:r>
      <w:r>
        <w:rPr>
          <w:color w:val="231F20"/>
          <w:spacing w:val="-18"/>
          <w:sz w:val="23"/>
        </w:rPr>
        <w:t> </w:t>
      </w:r>
      <w:r>
        <w:rPr>
          <w:color w:val="231F20"/>
          <w:sz w:val="23"/>
        </w:rPr>
        <w:t>society</w:t>
      </w:r>
      <w:r>
        <w:rPr>
          <w:color w:val="231F20"/>
          <w:spacing w:val="-18"/>
          <w:sz w:val="23"/>
        </w:rPr>
        <w:t> </w:t>
      </w:r>
      <w:r>
        <w:rPr>
          <w:color w:val="231F20"/>
          <w:sz w:val="23"/>
        </w:rPr>
        <w:t>by</w:t>
      </w:r>
      <w:r>
        <w:rPr>
          <w:color w:val="231F20"/>
          <w:spacing w:val="-18"/>
          <w:sz w:val="23"/>
        </w:rPr>
        <w:t> </w:t>
      </w:r>
      <w:r>
        <w:rPr>
          <w:color w:val="231F20"/>
          <w:sz w:val="23"/>
        </w:rPr>
        <w:t>equipping</w:t>
      </w:r>
      <w:r>
        <w:rPr>
          <w:color w:val="231F20"/>
          <w:spacing w:val="-18"/>
          <w:sz w:val="23"/>
        </w:rPr>
        <w:t> </w:t>
      </w:r>
      <w:r>
        <w:rPr>
          <w:color w:val="231F20"/>
          <w:sz w:val="23"/>
        </w:rPr>
        <w:t>them</w:t>
      </w:r>
      <w:r>
        <w:rPr>
          <w:color w:val="231F20"/>
          <w:spacing w:val="-18"/>
          <w:sz w:val="23"/>
        </w:rPr>
        <w:t> </w:t>
      </w:r>
      <w:r>
        <w:rPr>
          <w:color w:val="231F20"/>
          <w:sz w:val="23"/>
        </w:rPr>
        <w:t>with</w:t>
      </w:r>
      <w:r>
        <w:rPr>
          <w:color w:val="231F20"/>
          <w:spacing w:val="-18"/>
          <w:sz w:val="23"/>
        </w:rPr>
        <w:t> </w:t>
      </w:r>
      <w:r>
        <w:rPr>
          <w:color w:val="231F20"/>
          <w:sz w:val="23"/>
        </w:rPr>
        <w:t>the</w:t>
      </w:r>
      <w:r>
        <w:rPr>
          <w:color w:val="231F20"/>
          <w:spacing w:val="-18"/>
          <w:sz w:val="23"/>
        </w:rPr>
        <w:t> </w:t>
      </w:r>
      <w:r>
        <w:rPr>
          <w:color w:val="231F20"/>
          <w:sz w:val="23"/>
        </w:rPr>
        <w:t>right</w:t>
      </w:r>
      <w:r>
        <w:rPr>
          <w:color w:val="231F20"/>
          <w:spacing w:val="-18"/>
          <w:sz w:val="23"/>
        </w:rPr>
        <w:t> </w:t>
      </w:r>
      <w:r>
        <w:rPr>
          <w:color w:val="231F20"/>
          <w:sz w:val="23"/>
        </w:rPr>
        <w:t>skills</w:t>
      </w:r>
      <w:r>
        <w:rPr>
          <w:color w:val="231F20"/>
          <w:spacing w:val="-18"/>
          <w:sz w:val="23"/>
        </w:rPr>
        <w:t> </w:t>
      </w:r>
      <w:r>
        <w:rPr>
          <w:color w:val="231F20"/>
          <w:sz w:val="23"/>
        </w:rPr>
        <w:t>and</w:t>
      </w:r>
      <w:r>
        <w:rPr>
          <w:color w:val="231F20"/>
          <w:spacing w:val="-18"/>
          <w:sz w:val="23"/>
        </w:rPr>
        <w:t> </w:t>
      </w:r>
      <w:r>
        <w:rPr>
          <w:color w:val="231F20"/>
          <w:sz w:val="23"/>
        </w:rPr>
        <w:t>empowering</w:t>
      </w:r>
      <w:r>
        <w:rPr>
          <w:color w:val="231F20"/>
          <w:spacing w:val="-18"/>
          <w:sz w:val="23"/>
        </w:rPr>
        <w:t> </w:t>
      </w:r>
      <w:r>
        <w:rPr>
          <w:color w:val="231F20"/>
          <w:sz w:val="23"/>
        </w:rPr>
        <w:t>them</w:t>
      </w:r>
    </w:p>
    <w:p>
      <w:pPr>
        <w:pStyle w:val="BodyText"/>
        <w:spacing w:before="7"/>
        <w:rPr>
          <w:sz w:val="13"/>
        </w:rPr>
      </w:pPr>
    </w:p>
    <w:p>
      <w:pPr>
        <w:pStyle w:val="Heading1"/>
      </w:pPr>
      <w:r>
        <w:rPr>
          <w:color w:val="231F20"/>
        </w:rPr>
        <w:t>41</w:t>
      </w:r>
    </w:p>
    <w:p>
      <w:pPr>
        <w:spacing w:after="0"/>
        <w:sectPr>
          <w:pgSz w:w="11900" w:h="16840"/>
          <w:pgMar w:top="1180" w:bottom="280" w:left="1140" w:right="1120"/>
        </w:sectPr>
      </w:pPr>
    </w:p>
    <w:p>
      <w:pPr>
        <w:pStyle w:val="BodyText"/>
        <w:spacing w:line="302" w:lineRule="auto" w:before="77"/>
        <w:ind w:left="103" w:right="118"/>
        <w:jc w:val="both"/>
      </w:pPr>
      <w:r>
        <w:rPr>
          <w:color w:val="231F20"/>
        </w:rPr>
        <w:t>with financial resources to make their dreams come true. The time for using and abusing</w:t>
      </w:r>
      <w:r>
        <w:rPr>
          <w:color w:val="231F20"/>
          <w:spacing w:val="-28"/>
        </w:rPr>
        <w:t> </w:t>
      </w:r>
      <w:r>
        <w:rPr>
          <w:color w:val="231F20"/>
        </w:rPr>
        <w:t>the</w:t>
      </w:r>
      <w:r>
        <w:rPr>
          <w:color w:val="231F20"/>
          <w:spacing w:val="-28"/>
        </w:rPr>
        <w:t> </w:t>
      </w:r>
      <w:r>
        <w:rPr>
          <w:color w:val="231F20"/>
        </w:rPr>
        <w:t>youth</w:t>
      </w:r>
      <w:r>
        <w:rPr>
          <w:color w:val="231F20"/>
          <w:spacing w:val="-28"/>
        </w:rPr>
        <w:t> </w:t>
      </w:r>
      <w:r>
        <w:rPr>
          <w:color w:val="231F20"/>
        </w:rPr>
        <w:t>as</w:t>
      </w:r>
      <w:r>
        <w:rPr>
          <w:color w:val="231F20"/>
          <w:spacing w:val="-28"/>
        </w:rPr>
        <w:t> </w:t>
      </w:r>
      <w:r>
        <w:rPr>
          <w:color w:val="231F20"/>
        </w:rPr>
        <w:t>agents</w:t>
      </w:r>
      <w:r>
        <w:rPr>
          <w:color w:val="231F20"/>
          <w:spacing w:val="-28"/>
        </w:rPr>
        <w:t> </w:t>
      </w:r>
      <w:r>
        <w:rPr>
          <w:color w:val="231F20"/>
        </w:rPr>
        <w:t>of</w:t>
      </w:r>
      <w:r>
        <w:rPr>
          <w:color w:val="231F20"/>
          <w:spacing w:val="-28"/>
        </w:rPr>
        <w:t> </w:t>
      </w:r>
      <w:r>
        <w:rPr>
          <w:color w:val="231F20"/>
        </w:rPr>
        <w:t>crime</w:t>
      </w:r>
      <w:r>
        <w:rPr>
          <w:color w:val="231F20"/>
          <w:spacing w:val="-28"/>
        </w:rPr>
        <w:t> </w:t>
      </w:r>
      <w:r>
        <w:rPr>
          <w:color w:val="231F20"/>
        </w:rPr>
        <w:t>and</w:t>
      </w:r>
      <w:r>
        <w:rPr>
          <w:color w:val="231F20"/>
          <w:spacing w:val="-28"/>
        </w:rPr>
        <w:t> </w:t>
      </w:r>
      <w:r>
        <w:rPr>
          <w:color w:val="231F20"/>
        </w:rPr>
        <w:t>other</w:t>
      </w:r>
      <w:r>
        <w:rPr>
          <w:color w:val="231F20"/>
          <w:spacing w:val="-28"/>
        </w:rPr>
        <w:t> </w:t>
      </w:r>
      <w:r>
        <w:rPr>
          <w:color w:val="231F20"/>
        </w:rPr>
        <w:t>social</w:t>
      </w:r>
      <w:r>
        <w:rPr>
          <w:color w:val="231F20"/>
          <w:spacing w:val="-28"/>
        </w:rPr>
        <w:t> </w:t>
      </w:r>
      <w:r>
        <w:rPr>
          <w:color w:val="231F20"/>
        </w:rPr>
        <w:t>ills</w:t>
      </w:r>
      <w:r>
        <w:rPr>
          <w:color w:val="231F20"/>
          <w:spacing w:val="-27"/>
        </w:rPr>
        <w:t> </w:t>
      </w:r>
      <w:r>
        <w:rPr>
          <w:color w:val="231F20"/>
        </w:rPr>
        <w:t>is</w:t>
      </w:r>
      <w:r>
        <w:rPr>
          <w:color w:val="231F20"/>
          <w:spacing w:val="-27"/>
        </w:rPr>
        <w:t> </w:t>
      </w:r>
      <w:r>
        <w:rPr>
          <w:color w:val="231F20"/>
        </w:rPr>
        <w:t>over.</w:t>
      </w:r>
      <w:r>
        <w:rPr>
          <w:color w:val="231F20"/>
          <w:spacing w:val="-28"/>
        </w:rPr>
        <w:t> </w:t>
      </w:r>
      <w:r>
        <w:rPr>
          <w:color w:val="231F20"/>
        </w:rPr>
        <w:t>We</w:t>
      </w:r>
      <w:r>
        <w:rPr>
          <w:color w:val="231F20"/>
          <w:spacing w:val="-28"/>
        </w:rPr>
        <w:t> </w:t>
      </w:r>
      <w:r>
        <w:rPr>
          <w:color w:val="231F20"/>
        </w:rPr>
        <w:t>must,</w:t>
      </w:r>
      <w:r>
        <w:rPr>
          <w:color w:val="231F20"/>
          <w:spacing w:val="-28"/>
        </w:rPr>
        <w:t> </w:t>
      </w:r>
      <w:r>
        <w:rPr>
          <w:color w:val="231F20"/>
        </w:rPr>
        <w:t>and</w:t>
      </w:r>
      <w:r>
        <w:rPr>
          <w:color w:val="231F20"/>
          <w:spacing w:val="-28"/>
        </w:rPr>
        <w:t> </w:t>
      </w:r>
      <w:r>
        <w:rPr>
          <w:color w:val="231F20"/>
        </w:rPr>
        <w:t>we</w:t>
      </w:r>
      <w:r>
        <w:rPr>
          <w:color w:val="231F20"/>
          <w:spacing w:val="-27"/>
        </w:rPr>
        <w:t> </w:t>
      </w:r>
      <w:r>
        <w:rPr>
          <w:color w:val="231F20"/>
        </w:rPr>
        <w:t>will, increase their participation in the development process of this</w:t>
      </w:r>
      <w:r>
        <w:rPr>
          <w:color w:val="231F20"/>
          <w:spacing w:val="36"/>
        </w:rPr>
        <w:t> </w:t>
      </w:r>
      <w:r>
        <w:rPr>
          <w:color w:val="231F20"/>
        </w:rPr>
        <w:t>country.</w:t>
      </w:r>
    </w:p>
    <w:p>
      <w:pPr>
        <w:pStyle w:val="BodyText"/>
        <w:rPr>
          <w:sz w:val="29"/>
        </w:rPr>
      </w:pPr>
    </w:p>
    <w:p>
      <w:pPr>
        <w:pStyle w:val="ListParagraph"/>
        <w:numPr>
          <w:ilvl w:val="0"/>
          <w:numId w:val="2"/>
        </w:numPr>
        <w:tabs>
          <w:tab w:pos="954" w:val="left" w:leader="none"/>
        </w:tabs>
        <w:spacing w:line="302" w:lineRule="auto" w:before="0" w:after="0"/>
        <w:ind w:left="103" w:right="118" w:firstLine="87"/>
        <w:jc w:val="both"/>
        <w:rPr>
          <w:sz w:val="23"/>
        </w:rPr>
      </w:pPr>
      <w:r>
        <w:rPr>
          <w:color w:val="231F20"/>
          <w:sz w:val="23"/>
        </w:rPr>
        <w:t>Mr.</w:t>
      </w:r>
      <w:r>
        <w:rPr>
          <w:color w:val="231F20"/>
          <w:spacing w:val="-45"/>
          <w:sz w:val="23"/>
        </w:rPr>
        <w:t> </w:t>
      </w:r>
      <w:r>
        <w:rPr>
          <w:color w:val="231F20"/>
          <w:sz w:val="23"/>
        </w:rPr>
        <w:t>Speaker,</w:t>
      </w:r>
      <w:r>
        <w:rPr>
          <w:color w:val="231F20"/>
          <w:spacing w:val="-45"/>
          <w:sz w:val="23"/>
        </w:rPr>
        <w:t> </w:t>
      </w:r>
      <w:r>
        <w:rPr>
          <w:color w:val="231F20"/>
          <w:sz w:val="23"/>
        </w:rPr>
        <w:t>Honourable</w:t>
      </w:r>
      <w:r>
        <w:rPr>
          <w:color w:val="231F20"/>
          <w:spacing w:val="-44"/>
          <w:sz w:val="23"/>
        </w:rPr>
        <w:t> </w:t>
      </w:r>
      <w:r>
        <w:rPr>
          <w:color w:val="231F20"/>
          <w:sz w:val="23"/>
        </w:rPr>
        <w:t>Members,</w:t>
      </w:r>
      <w:r>
        <w:rPr>
          <w:color w:val="231F20"/>
          <w:spacing w:val="-44"/>
          <w:sz w:val="23"/>
        </w:rPr>
        <w:t> </w:t>
      </w:r>
      <w:r>
        <w:rPr>
          <w:color w:val="231F20"/>
          <w:sz w:val="23"/>
        </w:rPr>
        <w:t>as</w:t>
      </w:r>
      <w:r>
        <w:rPr>
          <w:color w:val="231F20"/>
          <w:spacing w:val="-44"/>
          <w:sz w:val="23"/>
        </w:rPr>
        <w:t> </w:t>
      </w:r>
      <w:r>
        <w:rPr>
          <w:color w:val="231F20"/>
          <w:sz w:val="23"/>
        </w:rPr>
        <w:t>a</w:t>
      </w:r>
      <w:r>
        <w:rPr>
          <w:color w:val="231F20"/>
          <w:spacing w:val="-44"/>
          <w:sz w:val="23"/>
        </w:rPr>
        <w:t> </w:t>
      </w:r>
      <w:r>
        <w:rPr>
          <w:color w:val="231F20"/>
          <w:sz w:val="23"/>
        </w:rPr>
        <w:t>‘Talk</w:t>
      </w:r>
      <w:r>
        <w:rPr>
          <w:color w:val="231F20"/>
          <w:spacing w:val="-45"/>
          <w:sz w:val="23"/>
        </w:rPr>
        <w:t> </w:t>
      </w:r>
      <w:r>
        <w:rPr>
          <w:color w:val="231F20"/>
          <w:sz w:val="23"/>
        </w:rPr>
        <w:t>and</w:t>
      </w:r>
      <w:r>
        <w:rPr>
          <w:color w:val="231F20"/>
          <w:spacing w:val="-44"/>
          <w:sz w:val="23"/>
        </w:rPr>
        <w:t> </w:t>
      </w:r>
      <w:r>
        <w:rPr>
          <w:color w:val="231F20"/>
          <w:sz w:val="23"/>
        </w:rPr>
        <w:t>Do’</w:t>
      </w:r>
      <w:r>
        <w:rPr>
          <w:color w:val="231F20"/>
          <w:spacing w:val="-44"/>
          <w:sz w:val="23"/>
        </w:rPr>
        <w:t> </w:t>
      </w:r>
      <w:r>
        <w:rPr>
          <w:color w:val="231F20"/>
          <w:sz w:val="23"/>
        </w:rPr>
        <w:t>Government,</w:t>
      </w:r>
      <w:r>
        <w:rPr>
          <w:color w:val="231F20"/>
          <w:spacing w:val="-45"/>
          <w:sz w:val="23"/>
        </w:rPr>
        <w:t> </w:t>
      </w:r>
      <w:r>
        <w:rPr>
          <w:color w:val="231F20"/>
          <w:sz w:val="23"/>
        </w:rPr>
        <w:t>we</w:t>
      </w:r>
      <w:r>
        <w:rPr>
          <w:color w:val="231F20"/>
          <w:spacing w:val="-44"/>
          <w:sz w:val="23"/>
        </w:rPr>
        <w:t> </w:t>
      </w:r>
      <w:r>
        <w:rPr>
          <w:color w:val="231F20"/>
          <w:sz w:val="23"/>
        </w:rPr>
        <w:t>will</w:t>
      </w:r>
      <w:r>
        <w:rPr>
          <w:color w:val="231F20"/>
          <w:spacing w:val="-44"/>
          <w:sz w:val="23"/>
        </w:rPr>
        <w:t> </w:t>
      </w:r>
      <w:r>
        <w:rPr>
          <w:color w:val="231F20"/>
          <w:sz w:val="23"/>
        </w:rPr>
        <w:t>work towards the delivery of these commitments. For this to happen , core interventions have been shifted from the recurrent to the capital budget to ensure effective implementation of projects as well as monitoring and evaluation of results. It is</w:t>
      </w:r>
      <w:r>
        <w:rPr>
          <w:color w:val="231F20"/>
          <w:spacing w:val="-25"/>
          <w:sz w:val="23"/>
        </w:rPr>
        <w:t> </w:t>
      </w:r>
      <w:r>
        <w:rPr>
          <w:color w:val="231F20"/>
          <w:sz w:val="23"/>
        </w:rPr>
        <w:t>also clear that achieving all these objectives will require investments from a range of different</w:t>
      </w:r>
      <w:r>
        <w:rPr>
          <w:color w:val="231F20"/>
          <w:spacing w:val="-6"/>
          <w:sz w:val="23"/>
        </w:rPr>
        <w:t> </w:t>
      </w:r>
      <w:r>
        <w:rPr>
          <w:color w:val="231F20"/>
          <w:sz w:val="23"/>
        </w:rPr>
        <w:t>resources.</w:t>
      </w:r>
      <w:r>
        <w:rPr>
          <w:color w:val="231F20"/>
          <w:spacing w:val="-5"/>
          <w:sz w:val="23"/>
        </w:rPr>
        <w:t> </w:t>
      </w:r>
      <w:r>
        <w:rPr>
          <w:color w:val="231F20"/>
          <w:sz w:val="23"/>
        </w:rPr>
        <w:t>To</w:t>
      </w:r>
      <w:r>
        <w:rPr>
          <w:color w:val="231F20"/>
          <w:spacing w:val="-6"/>
          <w:sz w:val="23"/>
        </w:rPr>
        <w:t> </w:t>
      </w:r>
      <w:r>
        <w:rPr>
          <w:color w:val="231F20"/>
          <w:sz w:val="23"/>
        </w:rPr>
        <w:t>this</w:t>
      </w:r>
      <w:r>
        <w:rPr>
          <w:color w:val="231F20"/>
          <w:spacing w:val="-5"/>
          <w:sz w:val="23"/>
        </w:rPr>
        <w:t> </w:t>
      </w:r>
      <w:r>
        <w:rPr>
          <w:color w:val="231F20"/>
          <w:sz w:val="23"/>
        </w:rPr>
        <w:t>end,</w:t>
      </w:r>
      <w:r>
        <w:rPr>
          <w:color w:val="231F20"/>
          <w:spacing w:val="-5"/>
          <w:sz w:val="23"/>
        </w:rPr>
        <w:t> </w:t>
      </w:r>
      <w:r>
        <w:rPr>
          <w:color w:val="231F20"/>
          <w:sz w:val="23"/>
        </w:rPr>
        <w:t>a</w:t>
      </w:r>
      <w:r>
        <w:rPr>
          <w:color w:val="231F20"/>
          <w:spacing w:val="-5"/>
          <w:sz w:val="23"/>
        </w:rPr>
        <w:t> </w:t>
      </w:r>
      <w:r>
        <w:rPr>
          <w:color w:val="231F20"/>
          <w:sz w:val="23"/>
        </w:rPr>
        <w:t>Consultative</w:t>
      </w:r>
      <w:r>
        <w:rPr>
          <w:color w:val="231F20"/>
          <w:spacing w:val="-5"/>
          <w:sz w:val="23"/>
        </w:rPr>
        <w:t> </w:t>
      </w:r>
      <w:r>
        <w:rPr>
          <w:color w:val="231F20"/>
          <w:sz w:val="23"/>
        </w:rPr>
        <w:t>Group</w:t>
      </w:r>
      <w:r>
        <w:rPr>
          <w:color w:val="231F20"/>
          <w:spacing w:val="-5"/>
          <w:sz w:val="23"/>
        </w:rPr>
        <w:t> </w:t>
      </w:r>
      <w:r>
        <w:rPr>
          <w:color w:val="231F20"/>
          <w:sz w:val="23"/>
        </w:rPr>
        <w:t>Meeting</w:t>
      </w:r>
      <w:r>
        <w:rPr>
          <w:color w:val="231F20"/>
          <w:spacing w:val="-5"/>
          <w:sz w:val="23"/>
        </w:rPr>
        <w:t> </w:t>
      </w:r>
      <w:r>
        <w:rPr>
          <w:color w:val="231F20"/>
          <w:sz w:val="23"/>
        </w:rPr>
        <w:t>for</w:t>
      </w:r>
      <w:r>
        <w:rPr>
          <w:color w:val="231F20"/>
          <w:spacing w:val="-5"/>
          <w:sz w:val="23"/>
        </w:rPr>
        <w:t> </w:t>
      </w:r>
      <w:r>
        <w:rPr>
          <w:color w:val="231F20"/>
          <w:sz w:val="23"/>
        </w:rPr>
        <w:t>the</w:t>
      </w:r>
      <w:r>
        <w:rPr>
          <w:color w:val="231F20"/>
          <w:spacing w:val="-5"/>
          <w:sz w:val="23"/>
        </w:rPr>
        <w:t> </w:t>
      </w:r>
      <w:r>
        <w:rPr>
          <w:color w:val="231F20"/>
          <w:sz w:val="23"/>
        </w:rPr>
        <w:t>Medium</w:t>
      </w:r>
      <w:r>
        <w:rPr>
          <w:color w:val="231F20"/>
          <w:spacing w:val="-5"/>
          <w:sz w:val="23"/>
        </w:rPr>
        <w:t> </w:t>
      </w:r>
      <w:r>
        <w:rPr>
          <w:color w:val="231F20"/>
          <w:sz w:val="23"/>
        </w:rPr>
        <w:t>Term National Development Plan is planned next year to mobilise resources for its implementation.</w:t>
      </w:r>
      <w:r>
        <w:rPr>
          <w:color w:val="231F20"/>
          <w:spacing w:val="-25"/>
          <w:sz w:val="23"/>
        </w:rPr>
        <w:t> </w:t>
      </w:r>
      <w:r>
        <w:rPr>
          <w:color w:val="231F20"/>
          <w:sz w:val="23"/>
        </w:rPr>
        <w:t>This</w:t>
      </w:r>
      <w:r>
        <w:rPr>
          <w:color w:val="231F20"/>
          <w:spacing w:val="-25"/>
          <w:sz w:val="23"/>
        </w:rPr>
        <w:t> </w:t>
      </w:r>
      <w:r>
        <w:rPr>
          <w:color w:val="231F20"/>
          <w:sz w:val="23"/>
        </w:rPr>
        <w:t>will</w:t>
      </w:r>
      <w:r>
        <w:rPr>
          <w:color w:val="231F20"/>
          <w:spacing w:val="-25"/>
          <w:sz w:val="23"/>
        </w:rPr>
        <w:t> </w:t>
      </w:r>
      <w:r>
        <w:rPr>
          <w:color w:val="231F20"/>
          <w:sz w:val="23"/>
        </w:rPr>
        <w:t>include</w:t>
      </w:r>
      <w:r>
        <w:rPr>
          <w:color w:val="231F20"/>
          <w:spacing w:val="-25"/>
          <w:sz w:val="23"/>
        </w:rPr>
        <w:t> </w:t>
      </w:r>
      <w:r>
        <w:rPr>
          <w:color w:val="231F20"/>
          <w:sz w:val="23"/>
        </w:rPr>
        <w:t>confirming</w:t>
      </w:r>
      <w:r>
        <w:rPr>
          <w:color w:val="231F20"/>
          <w:spacing w:val="-25"/>
          <w:sz w:val="23"/>
        </w:rPr>
        <w:t> </w:t>
      </w:r>
      <w:r>
        <w:rPr>
          <w:color w:val="231F20"/>
          <w:sz w:val="23"/>
        </w:rPr>
        <w:t>already</w:t>
      </w:r>
      <w:r>
        <w:rPr>
          <w:color w:val="231F20"/>
          <w:spacing w:val="-25"/>
          <w:sz w:val="23"/>
        </w:rPr>
        <w:t> </w:t>
      </w:r>
      <w:r>
        <w:rPr>
          <w:color w:val="231F20"/>
          <w:sz w:val="23"/>
        </w:rPr>
        <w:t>committed</w:t>
      </w:r>
      <w:r>
        <w:rPr>
          <w:color w:val="231F20"/>
          <w:spacing w:val="-25"/>
          <w:sz w:val="23"/>
        </w:rPr>
        <w:t> </w:t>
      </w:r>
      <w:r>
        <w:rPr>
          <w:color w:val="231F20"/>
          <w:sz w:val="23"/>
        </w:rPr>
        <w:t>internal</w:t>
      </w:r>
      <w:r>
        <w:rPr>
          <w:color w:val="231F20"/>
          <w:spacing w:val="-25"/>
          <w:sz w:val="23"/>
        </w:rPr>
        <w:t> </w:t>
      </w:r>
      <w:r>
        <w:rPr>
          <w:color w:val="231F20"/>
          <w:sz w:val="23"/>
        </w:rPr>
        <w:t>and</w:t>
      </w:r>
      <w:r>
        <w:rPr>
          <w:color w:val="231F20"/>
          <w:spacing w:val="-25"/>
          <w:sz w:val="23"/>
        </w:rPr>
        <w:t> </w:t>
      </w:r>
      <w:r>
        <w:rPr>
          <w:color w:val="231F20"/>
          <w:sz w:val="23"/>
        </w:rPr>
        <w:t>external resources; raising funds through the restructuring of existing public debt; and mobilising</w:t>
      </w:r>
      <w:r>
        <w:rPr>
          <w:color w:val="231F20"/>
          <w:spacing w:val="-30"/>
          <w:sz w:val="23"/>
        </w:rPr>
        <w:t> </w:t>
      </w:r>
      <w:r>
        <w:rPr>
          <w:color w:val="231F20"/>
          <w:sz w:val="23"/>
        </w:rPr>
        <w:t>additional</w:t>
      </w:r>
      <w:r>
        <w:rPr>
          <w:color w:val="231F20"/>
          <w:spacing w:val="-30"/>
          <w:sz w:val="23"/>
        </w:rPr>
        <w:t> </w:t>
      </w:r>
      <w:r>
        <w:rPr>
          <w:color w:val="231F20"/>
          <w:sz w:val="23"/>
        </w:rPr>
        <w:t>resources</w:t>
      </w:r>
      <w:r>
        <w:rPr>
          <w:color w:val="231F20"/>
          <w:spacing w:val="-30"/>
          <w:sz w:val="23"/>
        </w:rPr>
        <w:t> </w:t>
      </w:r>
      <w:r>
        <w:rPr>
          <w:color w:val="231F20"/>
          <w:sz w:val="23"/>
        </w:rPr>
        <w:t>through</w:t>
      </w:r>
      <w:r>
        <w:rPr>
          <w:color w:val="231F20"/>
          <w:spacing w:val="-30"/>
          <w:sz w:val="23"/>
        </w:rPr>
        <w:t> </w:t>
      </w:r>
      <w:r>
        <w:rPr>
          <w:color w:val="231F20"/>
          <w:sz w:val="23"/>
        </w:rPr>
        <w:t>private</w:t>
      </w:r>
      <w:r>
        <w:rPr>
          <w:color w:val="231F20"/>
          <w:spacing w:val="-30"/>
          <w:sz w:val="23"/>
        </w:rPr>
        <w:t> </w:t>
      </w:r>
      <w:r>
        <w:rPr>
          <w:color w:val="231F20"/>
          <w:sz w:val="23"/>
        </w:rPr>
        <w:t>sector</w:t>
      </w:r>
      <w:r>
        <w:rPr>
          <w:color w:val="231F20"/>
          <w:spacing w:val="-30"/>
          <w:sz w:val="23"/>
        </w:rPr>
        <w:t> </w:t>
      </w:r>
      <w:r>
        <w:rPr>
          <w:color w:val="231F20"/>
          <w:sz w:val="23"/>
        </w:rPr>
        <w:t>and</w:t>
      </w:r>
      <w:r>
        <w:rPr>
          <w:color w:val="231F20"/>
          <w:spacing w:val="-30"/>
          <w:sz w:val="23"/>
        </w:rPr>
        <w:t> </w:t>
      </w:r>
      <w:r>
        <w:rPr>
          <w:color w:val="231F20"/>
          <w:sz w:val="23"/>
        </w:rPr>
        <w:t>other</w:t>
      </w:r>
      <w:r>
        <w:rPr>
          <w:color w:val="231F20"/>
          <w:spacing w:val="-30"/>
          <w:sz w:val="23"/>
        </w:rPr>
        <w:t> </w:t>
      </w:r>
      <w:r>
        <w:rPr>
          <w:color w:val="231F20"/>
          <w:sz w:val="23"/>
        </w:rPr>
        <w:t>innovative</w:t>
      </w:r>
      <w:r>
        <w:rPr>
          <w:color w:val="231F20"/>
          <w:spacing w:val="-30"/>
          <w:sz w:val="23"/>
        </w:rPr>
        <w:t> </w:t>
      </w:r>
      <w:r>
        <w:rPr>
          <w:color w:val="231F20"/>
          <w:sz w:val="23"/>
        </w:rPr>
        <w:t>financing.</w:t>
      </w:r>
    </w:p>
    <w:p>
      <w:pPr>
        <w:pStyle w:val="BodyText"/>
        <w:spacing w:before="9"/>
        <w:rPr>
          <w:sz w:val="28"/>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Let</w:t>
      </w:r>
      <w:r>
        <w:rPr>
          <w:color w:val="231F20"/>
          <w:spacing w:val="-17"/>
          <w:sz w:val="23"/>
        </w:rPr>
        <w:t> </w:t>
      </w:r>
      <w:r>
        <w:rPr>
          <w:color w:val="231F20"/>
          <w:sz w:val="23"/>
        </w:rPr>
        <w:t>me</w:t>
      </w:r>
      <w:r>
        <w:rPr>
          <w:color w:val="231F20"/>
          <w:spacing w:val="-17"/>
          <w:sz w:val="23"/>
        </w:rPr>
        <w:t> </w:t>
      </w:r>
      <w:r>
        <w:rPr>
          <w:color w:val="231F20"/>
          <w:sz w:val="23"/>
        </w:rPr>
        <w:t>at</w:t>
      </w:r>
      <w:r>
        <w:rPr>
          <w:color w:val="231F20"/>
          <w:spacing w:val="-17"/>
          <w:sz w:val="23"/>
        </w:rPr>
        <w:t> </w:t>
      </w:r>
      <w:r>
        <w:rPr>
          <w:color w:val="231F20"/>
          <w:sz w:val="23"/>
        </w:rPr>
        <w:t>this</w:t>
      </w:r>
      <w:r>
        <w:rPr>
          <w:color w:val="231F20"/>
          <w:spacing w:val="-17"/>
          <w:sz w:val="23"/>
        </w:rPr>
        <w:t> </w:t>
      </w:r>
      <w:r>
        <w:rPr>
          <w:color w:val="231F20"/>
          <w:sz w:val="23"/>
        </w:rPr>
        <w:t>point</w:t>
      </w:r>
      <w:r>
        <w:rPr>
          <w:color w:val="231F20"/>
          <w:spacing w:val="-17"/>
          <w:sz w:val="23"/>
        </w:rPr>
        <w:t> </w:t>
      </w:r>
      <w:r>
        <w:rPr>
          <w:color w:val="231F20"/>
          <w:sz w:val="23"/>
        </w:rPr>
        <w:t>thank</w:t>
      </w:r>
      <w:r>
        <w:rPr>
          <w:color w:val="231F20"/>
          <w:spacing w:val="-17"/>
          <w:sz w:val="23"/>
        </w:rPr>
        <w:t> </w:t>
      </w:r>
      <w:r>
        <w:rPr>
          <w:color w:val="231F20"/>
          <w:sz w:val="23"/>
        </w:rPr>
        <w:t>His</w:t>
      </w:r>
      <w:r>
        <w:rPr>
          <w:color w:val="231F20"/>
          <w:spacing w:val="-17"/>
          <w:sz w:val="23"/>
        </w:rPr>
        <w:t> </w:t>
      </w:r>
      <w:r>
        <w:rPr>
          <w:color w:val="231F20"/>
          <w:sz w:val="23"/>
        </w:rPr>
        <w:t>Excellency,</w:t>
      </w:r>
      <w:r>
        <w:rPr>
          <w:color w:val="231F20"/>
          <w:spacing w:val="-17"/>
          <w:sz w:val="23"/>
        </w:rPr>
        <w:t> </w:t>
      </w:r>
      <w:r>
        <w:rPr>
          <w:color w:val="231F20"/>
          <w:sz w:val="23"/>
        </w:rPr>
        <w:t>the</w:t>
      </w:r>
      <w:r>
        <w:rPr>
          <w:color w:val="231F20"/>
          <w:spacing w:val="-17"/>
          <w:sz w:val="23"/>
        </w:rPr>
        <w:t> </w:t>
      </w:r>
      <w:r>
        <w:rPr>
          <w:color w:val="231F20"/>
          <w:sz w:val="23"/>
        </w:rPr>
        <w:t>President</w:t>
      </w:r>
      <w:r>
        <w:rPr>
          <w:color w:val="231F20"/>
          <w:spacing w:val="-17"/>
          <w:sz w:val="23"/>
        </w:rPr>
        <w:t> </w:t>
      </w:r>
      <w:r>
        <w:rPr>
          <w:color w:val="231F20"/>
          <w:sz w:val="23"/>
        </w:rPr>
        <w:t>Dr.</w:t>
      </w:r>
      <w:r>
        <w:rPr>
          <w:color w:val="231F20"/>
          <w:spacing w:val="-17"/>
          <w:sz w:val="23"/>
        </w:rPr>
        <w:t> </w:t>
      </w:r>
      <w:r>
        <w:rPr>
          <w:color w:val="231F20"/>
          <w:sz w:val="23"/>
        </w:rPr>
        <w:t>Julius</w:t>
      </w:r>
      <w:r>
        <w:rPr>
          <w:color w:val="231F20"/>
          <w:spacing w:val="-17"/>
          <w:sz w:val="23"/>
        </w:rPr>
        <w:t> </w:t>
      </w:r>
      <w:r>
        <w:rPr>
          <w:color w:val="231F20"/>
          <w:sz w:val="23"/>
        </w:rPr>
        <w:t>Maada</w:t>
      </w:r>
      <w:r>
        <w:rPr>
          <w:color w:val="231F20"/>
          <w:spacing w:val="-17"/>
          <w:sz w:val="23"/>
        </w:rPr>
        <w:t> </w:t>
      </w:r>
      <w:r>
        <w:rPr>
          <w:color w:val="231F20"/>
          <w:sz w:val="23"/>
        </w:rPr>
        <w:t>Bio for his vision set out in the Presidential Address to this Parliament; continuous guidance provided directly to the political leadership, and through the regular economic management</w:t>
      </w:r>
      <w:r>
        <w:rPr>
          <w:color w:val="231F20"/>
          <w:spacing w:val="18"/>
          <w:sz w:val="23"/>
        </w:rPr>
        <w:t> </w:t>
      </w:r>
      <w:r>
        <w:rPr>
          <w:color w:val="231F20"/>
          <w:sz w:val="23"/>
        </w:rPr>
        <w:t>briefing.</w:t>
      </w:r>
    </w:p>
    <w:p>
      <w:pPr>
        <w:pStyle w:val="BodyText"/>
        <w:rPr>
          <w:sz w:val="29"/>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To</w:t>
      </w:r>
      <w:r>
        <w:rPr>
          <w:color w:val="231F20"/>
          <w:spacing w:val="-14"/>
          <w:sz w:val="23"/>
        </w:rPr>
        <w:t> </w:t>
      </w:r>
      <w:r>
        <w:rPr>
          <w:color w:val="231F20"/>
          <w:sz w:val="23"/>
        </w:rPr>
        <w:t>the</w:t>
      </w:r>
      <w:r>
        <w:rPr>
          <w:color w:val="231F20"/>
          <w:spacing w:val="-14"/>
          <w:sz w:val="23"/>
        </w:rPr>
        <w:t> </w:t>
      </w:r>
      <w:r>
        <w:rPr>
          <w:color w:val="231F20"/>
          <w:sz w:val="23"/>
        </w:rPr>
        <w:t>Vice</w:t>
      </w:r>
      <w:r>
        <w:rPr>
          <w:color w:val="231F20"/>
          <w:spacing w:val="-14"/>
          <w:sz w:val="23"/>
        </w:rPr>
        <w:t> </w:t>
      </w:r>
      <w:r>
        <w:rPr>
          <w:color w:val="231F20"/>
          <w:sz w:val="23"/>
        </w:rPr>
        <w:t>President,</w:t>
      </w:r>
      <w:r>
        <w:rPr>
          <w:color w:val="231F20"/>
          <w:spacing w:val="-14"/>
          <w:sz w:val="23"/>
        </w:rPr>
        <w:t> </w:t>
      </w:r>
      <w:r>
        <w:rPr>
          <w:color w:val="231F20"/>
          <w:sz w:val="23"/>
        </w:rPr>
        <w:t>Dr.</w:t>
      </w:r>
      <w:r>
        <w:rPr>
          <w:color w:val="231F20"/>
          <w:spacing w:val="-14"/>
          <w:sz w:val="23"/>
        </w:rPr>
        <w:t> </w:t>
      </w:r>
      <w:r>
        <w:rPr>
          <w:color w:val="231F20"/>
          <w:sz w:val="23"/>
        </w:rPr>
        <w:t>Mohamed</w:t>
      </w:r>
      <w:r>
        <w:rPr>
          <w:color w:val="231F20"/>
          <w:spacing w:val="-14"/>
          <w:sz w:val="23"/>
        </w:rPr>
        <w:t> </w:t>
      </w:r>
      <w:r>
        <w:rPr>
          <w:color w:val="231F20"/>
          <w:sz w:val="23"/>
        </w:rPr>
        <w:t>Juldeh</w:t>
      </w:r>
      <w:r>
        <w:rPr>
          <w:color w:val="231F20"/>
          <w:spacing w:val="-14"/>
          <w:sz w:val="23"/>
        </w:rPr>
        <w:t> </w:t>
      </w:r>
      <w:r>
        <w:rPr>
          <w:color w:val="231F20"/>
          <w:sz w:val="23"/>
        </w:rPr>
        <w:t>Jalloh,</w:t>
      </w:r>
      <w:r>
        <w:rPr>
          <w:color w:val="231F20"/>
          <w:spacing w:val="-14"/>
          <w:sz w:val="23"/>
        </w:rPr>
        <w:t> </w:t>
      </w:r>
      <w:r>
        <w:rPr>
          <w:color w:val="231F20"/>
          <w:sz w:val="23"/>
        </w:rPr>
        <w:t>who</w:t>
      </w:r>
      <w:r>
        <w:rPr>
          <w:color w:val="231F20"/>
          <w:spacing w:val="-14"/>
          <w:sz w:val="23"/>
        </w:rPr>
        <w:t> </w:t>
      </w:r>
      <w:r>
        <w:rPr>
          <w:color w:val="231F20"/>
          <w:sz w:val="23"/>
        </w:rPr>
        <w:t>launched</w:t>
      </w:r>
      <w:r>
        <w:rPr>
          <w:color w:val="231F20"/>
          <w:spacing w:val="-14"/>
          <w:sz w:val="23"/>
        </w:rPr>
        <w:t> </w:t>
      </w:r>
      <w:r>
        <w:rPr>
          <w:color w:val="231F20"/>
          <w:sz w:val="23"/>
        </w:rPr>
        <w:t>the</w:t>
      </w:r>
      <w:r>
        <w:rPr>
          <w:color w:val="231F20"/>
          <w:spacing w:val="-14"/>
          <w:sz w:val="23"/>
        </w:rPr>
        <w:t> </w:t>
      </w:r>
      <w:r>
        <w:rPr>
          <w:color w:val="231F20"/>
          <w:sz w:val="23"/>
        </w:rPr>
        <w:t>Budget Hearing Meetings, and maintains regular contact with the Ministry of Finance on various issues, I say thank you very</w:t>
      </w:r>
      <w:r>
        <w:rPr>
          <w:color w:val="231F20"/>
          <w:spacing w:val="-42"/>
          <w:sz w:val="23"/>
        </w:rPr>
        <w:t> </w:t>
      </w:r>
      <w:r>
        <w:rPr>
          <w:color w:val="231F20"/>
          <w:sz w:val="23"/>
        </w:rPr>
        <w:t>much.</w:t>
      </w:r>
    </w:p>
    <w:p>
      <w:pPr>
        <w:pStyle w:val="BodyText"/>
        <w:spacing w:before="9"/>
        <w:rPr>
          <w:sz w:val="28"/>
        </w:rPr>
      </w:pPr>
    </w:p>
    <w:p>
      <w:pPr>
        <w:pStyle w:val="ListParagraph"/>
        <w:numPr>
          <w:ilvl w:val="0"/>
          <w:numId w:val="2"/>
        </w:numPr>
        <w:tabs>
          <w:tab w:pos="954" w:val="left" w:leader="none"/>
        </w:tabs>
        <w:spacing w:line="302" w:lineRule="auto" w:before="1" w:after="0"/>
        <w:ind w:left="103" w:right="121" w:firstLine="87"/>
        <w:jc w:val="both"/>
        <w:rPr>
          <w:sz w:val="23"/>
        </w:rPr>
      </w:pPr>
      <w:r>
        <w:rPr>
          <w:color w:val="231F20"/>
          <w:sz w:val="23"/>
        </w:rPr>
        <w:t>The</w:t>
      </w:r>
      <w:r>
        <w:rPr>
          <w:color w:val="231F20"/>
          <w:spacing w:val="-16"/>
          <w:sz w:val="23"/>
        </w:rPr>
        <w:t> </w:t>
      </w:r>
      <w:r>
        <w:rPr>
          <w:color w:val="231F20"/>
          <w:sz w:val="23"/>
        </w:rPr>
        <w:t>Chief</w:t>
      </w:r>
      <w:r>
        <w:rPr>
          <w:color w:val="231F20"/>
          <w:spacing w:val="-16"/>
          <w:sz w:val="23"/>
        </w:rPr>
        <w:t> </w:t>
      </w:r>
      <w:r>
        <w:rPr>
          <w:color w:val="231F20"/>
          <w:sz w:val="23"/>
        </w:rPr>
        <w:t>Minister,</w:t>
      </w:r>
      <w:r>
        <w:rPr>
          <w:color w:val="231F20"/>
          <w:spacing w:val="-16"/>
          <w:sz w:val="23"/>
        </w:rPr>
        <w:t> </w:t>
      </w:r>
      <w:r>
        <w:rPr>
          <w:color w:val="231F20"/>
          <w:sz w:val="23"/>
        </w:rPr>
        <w:t>other</w:t>
      </w:r>
      <w:r>
        <w:rPr>
          <w:color w:val="231F20"/>
          <w:spacing w:val="-16"/>
          <w:sz w:val="23"/>
        </w:rPr>
        <w:t> </w:t>
      </w:r>
      <w:r>
        <w:rPr>
          <w:color w:val="231F20"/>
          <w:sz w:val="23"/>
        </w:rPr>
        <w:t>Cabinet</w:t>
      </w:r>
      <w:r>
        <w:rPr>
          <w:color w:val="231F20"/>
          <w:spacing w:val="-16"/>
          <w:sz w:val="23"/>
        </w:rPr>
        <w:t> </w:t>
      </w:r>
      <w:r>
        <w:rPr>
          <w:color w:val="231F20"/>
          <w:sz w:val="23"/>
        </w:rPr>
        <w:t>colleagues,</w:t>
      </w:r>
      <w:r>
        <w:rPr>
          <w:color w:val="231F20"/>
          <w:spacing w:val="-16"/>
          <w:sz w:val="23"/>
        </w:rPr>
        <w:t> </w:t>
      </w:r>
      <w:r>
        <w:rPr>
          <w:color w:val="231F20"/>
          <w:sz w:val="23"/>
        </w:rPr>
        <w:t>you</w:t>
      </w:r>
      <w:r>
        <w:rPr>
          <w:color w:val="231F20"/>
          <w:spacing w:val="-16"/>
          <w:sz w:val="23"/>
        </w:rPr>
        <w:t> </w:t>
      </w:r>
      <w:r>
        <w:rPr>
          <w:color w:val="231F20"/>
          <w:sz w:val="23"/>
        </w:rPr>
        <w:t>have</w:t>
      </w:r>
      <w:r>
        <w:rPr>
          <w:color w:val="231F20"/>
          <w:spacing w:val="-16"/>
          <w:sz w:val="23"/>
        </w:rPr>
        <w:t> </w:t>
      </w:r>
      <w:r>
        <w:rPr>
          <w:color w:val="231F20"/>
          <w:sz w:val="23"/>
        </w:rPr>
        <w:t>been</w:t>
      </w:r>
      <w:r>
        <w:rPr>
          <w:color w:val="231F20"/>
          <w:spacing w:val="-16"/>
          <w:sz w:val="23"/>
        </w:rPr>
        <w:t> </w:t>
      </w:r>
      <w:r>
        <w:rPr>
          <w:color w:val="231F20"/>
          <w:sz w:val="23"/>
        </w:rPr>
        <w:t>very</w:t>
      </w:r>
      <w:r>
        <w:rPr>
          <w:color w:val="231F20"/>
          <w:spacing w:val="-16"/>
          <w:sz w:val="23"/>
        </w:rPr>
        <w:t> </w:t>
      </w:r>
      <w:r>
        <w:rPr>
          <w:color w:val="231F20"/>
          <w:sz w:val="23"/>
        </w:rPr>
        <w:t>helpful.</w:t>
      </w:r>
      <w:r>
        <w:rPr>
          <w:color w:val="231F20"/>
          <w:spacing w:val="-16"/>
          <w:sz w:val="23"/>
        </w:rPr>
        <w:t> </w:t>
      </w:r>
      <w:r>
        <w:rPr>
          <w:color w:val="231F20"/>
          <w:sz w:val="23"/>
        </w:rPr>
        <w:t>You have demonstrated understanding in the midst of scarce resources. You have been frank and sincere in all our bilateral engagements and have embraced the national agenda even at the expense of your sector priorities. From the bottom of my heart, I thank you and promise to allocate additional resources as the situation</w:t>
      </w:r>
      <w:r>
        <w:rPr>
          <w:color w:val="231F20"/>
          <w:spacing w:val="-1"/>
          <w:sz w:val="23"/>
        </w:rPr>
        <w:t> </w:t>
      </w:r>
      <w:r>
        <w:rPr>
          <w:color w:val="231F20"/>
          <w:sz w:val="23"/>
        </w:rPr>
        <w:t>improves.</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Mr.</w:t>
      </w:r>
      <w:r>
        <w:rPr>
          <w:color w:val="231F20"/>
          <w:spacing w:val="-9"/>
          <w:sz w:val="23"/>
        </w:rPr>
        <w:t> </w:t>
      </w:r>
      <w:r>
        <w:rPr>
          <w:color w:val="231F20"/>
          <w:sz w:val="23"/>
        </w:rPr>
        <w:t>Speaker,</w:t>
      </w:r>
      <w:r>
        <w:rPr>
          <w:color w:val="231F20"/>
          <w:spacing w:val="-9"/>
          <w:sz w:val="23"/>
        </w:rPr>
        <w:t> </w:t>
      </w:r>
      <w:r>
        <w:rPr>
          <w:color w:val="231F20"/>
          <w:sz w:val="23"/>
        </w:rPr>
        <w:t>Honourable</w:t>
      </w:r>
      <w:r>
        <w:rPr>
          <w:color w:val="231F20"/>
          <w:spacing w:val="-8"/>
          <w:sz w:val="23"/>
        </w:rPr>
        <w:t> </w:t>
      </w:r>
      <w:r>
        <w:rPr>
          <w:color w:val="231F20"/>
          <w:sz w:val="23"/>
        </w:rPr>
        <w:t>Members,</w:t>
      </w:r>
      <w:r>
        <w:rPr>
          <w:color w:val="231F20"/>
          <w:spacing w:val="-9"/>
          <w:sz w:val="23"/>
        </w:rPr>
        <w:t> </w:t>
      </w:r>
      <w:r>
        <w:rPr>
          <w:color w:val="231F20"/>
          <w:sz w:val="23"/>
        </w:rPr>
        <w:t>I</w:t>
      </w:r>
      <w:r>
        <w:rPr>
          <w:color w:val="231F20"/>
          <w:spacing w:val="-8"/>
          <w:sz w:val="23"/>
        </w:rPr>
        <w:t> </w:t>
      </w:r>
      <w:r>
        <w:rPr>
          <w:color w:val="231F20"/>
          <w:sz w:val="23"/>
        </w:rPr>
        <w:t>wish</w:t>
      </w:r>
      <w:r>
        <w:rPr>
          <w:color w:val="231F20"/>
          <w:spacing w:val="-8"/>
          <w:sz w:val="23"/>
        </w:rPr>
        <w:t> </w:t>
      </w:r>
      <w:r>
        <w:rPr>
          <w:color w:val="231F20"/>
          <w:sz w:val="23"/>
        </w:rPr>
        <w:t>to</w:t>
      </w:r>
      <w:r>
        <w:rPr>
          <w:color w:val="231F20"/>
          <w:spacing w:val="-8"/>
          <w:sz w:val="23"/>
        </w:rPr>
        <w:t> </w:t>
      </w:r>
      <w:r>
        <w:rPr>
          <w:color w:val="231F20"/>
          <w:sz w:val="23"/>
        </w:rPr>
        <w:t>express</w:t>
      </w:r>
      <w:r>
        <w:rPr>
          <w:color w:val="231F20"/>
          <w:spacing w:val="-9"/>
          <w:sz w:val="23"/>
        </w:rPr>
        <w:t> </w:t>
      </w:r>
      <w:r>
        <w:rPr>
          <w:color w:val="231F20"/>
          <w:sz w:val="23"/>
        </w:rPr>
        <w:t>my</w:t>
      </w:r>
      <w:r>
        <w:rPr>
          <w:color w:val="231F20"/>
          <w:spacing w:val="-9"/>
          <w:sz w:val="23"/>
        </w:rPr>
        <w:t> </w:t>
      </w:r>
      <w:r>
        <w:rPr>
          <w:color w:val="231F20"/>
          <w:sz w:val="23"/>
        </w:rPr>
        <w:t>sincere</w:t>
      </w:r>
      <w:r>
        <w:rPr>
          <w:color w:val="231F20"/>
          <w:spacing w:val="-9"/>
          <w:sz w:val="23"/>
        </w:rPr>
        <w:t> </w:t>
      </w:r>
      <w:r>
        <w:rPr>
          <w:color w:val="231F20"/>
          <w:sz w:val="23"/>
        </w:rPr>
        <w:t>gratitude</w:t>
      </w:r>
      <w:r>
        <w:rPr>
          <w:color w:val="231F20"/>
          <w:spacing w:val="-9"/>
          <w:sz w:val="23"/>
        </w:rPr>
        <w:t> </w:t>
      </w:r>
      <w:r>
        <w:rPr>
          <w:color w:val="231F20"/>
          <w:sz w:val="23"/>
        </w:rPr>
        <w:t>to the Deputy Minister of Finance, the Financial Secretary, the Principal</w:t>
      </w:r>
      <w:r>
        <w:rPr>
          <w:color w:val="231F20"/>
          <w:spacing w:val="24"/>
          <w:sz w:val="23"/>
        </w:rPr>
        <w:t> </w:t>
      </w:r>
      <w:r>
        <w:rPr>
          <w:color w:val="231F20"/>
          <w:sz w:val="23"/>
        </w:rPr>
        <w:t>Deputy Financial Secretary, the Chief Economist, all Directors and staff in the Ministry of Finance</w:t>
      </w:r>
      <w:r>
        <w:rPr>
          <w:color w:val="231F20"/>
          <w:spacing w:val="-15"/>
          <w:sz w:val="23"/>
        </w:rPr>
        <w:t> </w:t>
      </w:r>
      <w:r>
        <w:rPr>
          <w:color w:val="231F20"/>
          <w:sz w:val="23"/>
        </w:rPr>
        <w:t>for</w:t>
      </w:r>
      <w:r>
        <w:rPr>
          <w:color w:val="231F20"/>
          <w:spacing w:val="-15"/>
          <w:sz w:val="23"/>
        </w:rPr>
        <w:t> </w:t>
      </w:r>
      <w:r>
        <w:rPr>
          <w:color w:val="231F20"/>
          <w:sz w:val="23"/>
        </w:rPr>
        <w:t>their</w:t>
      </w:r>
      <w:r>
        <w:rPr>
          <w:color w:val="231F20"/>
          <w:spacing w:val="-15"/>
          <w:sz w:val="23"/>
        </w:rPr>
        <w:t> </w:t>
      </w:r>
      <w:r>
        <w:rPr>
          <w:color w:val="231F20"/>
          <w:sz w:val="23"/>
        </w:rPr>
        <w:t>support</w:t>
      </w:r>
      <w:r>
        <w:rPr>
          <w:color w:val="231F20"/>
          <w:spacing w:val="-15"/>
          <w:sz w:val="23"/>
        </w:rPr>
        <w:t> </w:t>
      </w:r>
      <w:r>
        <w:rPr>
          <w:color w:val="231F20"/>
          <w:sz w:val="23"/>
        </w:rPr>
        <w:t>in</w:t>
      </w:r>
      <w:r>
        <w:rPr>
          <w:color w:val="231F20"/>
          <w:spacing w:val="-15"/>
          <w:sz w:val="23"/>
        </w:rPr>
        <w:t> </w:t>
      </w:r>
      <w:r>
        <w:rPr>
          <w:color w:val="231F20"/>
          <w:sz w:val="23"/>
        </w:rPr>
        <w:t>the</w:t>
      </w:r>
      <w:r>
        <w:rPr>
          <w:color w:val="231F20"/>
          <w:spacing w:val="-15"/>
          <w:sz w:val="23"/>
        </w:rPr>
        <w:t> </w:t>
      </w:r>
      <w:r>
        <w:rPr>
          <w:color w:val="231F20"/>
          <w:sz w:val="23"/>
        </w:rPr>
        <w:t>design</w:t>
      </w:r>
      <w:r>
        <w:rPr>
          <w:color w:val="231F20"/>
          <w:spacing w:val="-15"/>
          <w:sz w:val="23"/>
        </w:rPr>
        <w:t> </w:t>
      </w:r>
      <w:r>
        <w:rPr>
          <w:color w:val="231F20"/>
          <w:sz w:val="23"/>
        </w:rPr>
        <w:t>and</w:t>
      </w:r>
      <w:r>
        <w:rPr>
          <w:color w:val="231F20"/>
          <w:spacing w:val="-15"/>
          <w:sz w:val="23"/>
        </w:rPr>
        <w:t> </w:t>
      </w:r>
      <w:r>
        <w:rPr>
          <w:color w:val="231F20"/>
          <w:sz w:val="23"/>
        </w:rPr>
        <w:t>implementation</w:t>
      </w:r>
      <w:r>
        <w:rPr>
          <w:color w:val="231F20"/>
          <w:spacing w:val="-15"/>
          <w:sz w:val="23"/>
        </w:rPr>
        <w:t> </w:t>
      </w:r>
      <w:r>
        <w:rPr>
          <w:color w:val="231F20"/>
          <w:sz w:val="23"/>
        </w:rPr>
        <w:t>of</w:t>
      </w:r>
      <w:r>
        <w:rPr>
          <w:color w:val="231F20"/>
          <w:spacing w:val="-15"/>
          <w:sz w:val="23"/>
        </w:rPr>
        <w:t> </w:t>
      </w:r>
      <w:r>
        <w:rPr>
          <w:color w:val="231F20"/>
          <w:sz w:val="23"/>
        </w:rPr>
        <w:t>policies,</w:t>
      </w:r>
      <w:r>
        <w:rPr>
          <w:color w:val="231F20"/>
          <w:spacing w:val="-15"/>
          <w:sz w:val="23"/>
        </w:rPr>
        <w:t> </w:t>
      </w:r>
      <w:r>
        <w:rPr>
          <w:color w:val="231F20"/>
          <w:sz w:val="23"/>
        </w:rPr>
        <w:t>including</w:t>
      </w:r>
      <w:r>
        <w:rPr>
          <w:color w:val="231F20"/>
          <w:spacing w:val="-15"/>
          <w:sz w:val="23"/>
        </w:rPr>
        <w:t> </w:t>
      </w:r>
      <w:r>
        <w:rPr>
          <w:color w:val="231F20"/>
          <w:sz w:val="23"/>
        </w:rPr>
        <w:t>this Budget</w:t>
      </w:r>
      <w:r>
        <w:rPr>
          <w:color w:val="231F20"/>
          <w:spacing w:val="-6"/>
          <w:sz w:val="23"/>
        </w:rPr>
        <w:t> </w:t>
      </w:r>
      <w:r>
        <w:rPr>
          <w:color w:val="231F20"/>
          <w:sz w:val="23"/>
        </w:rPr>
        <w:t>Policy</w:t>
      </w:r>
      <w:r>
        <w:rPr>
          <w:color w:val="231F20"/>
          <w:spacing w:val="-6"/>
          <w:sz w:val="23"/>
        </w:rPr>
        <w:t> </w:t>
      </w:r>
      <w:r>
        <w:rPr>
          <w:color w:val="231F20"/>
          <w:sz w:val="23"/>
        </w:rPr>
        <w:t>Statement.</w:t>
      </w:r>
      <w:r>
        <w:rPr>
          <w:color w:val="231F20"/>
          <w:spacing w:val="-6"/>
          <w:sz w:val="23"/>
        </w:rPr>
        <w:t> </w:t>
      </w:r>
      <w:r>
        <w:rPr>
          <w:color w:val="231F20"/>
          <w:sz w:val="23"/>
        </w:rPr>
        <w:t>We</w:t>
      </w:r>
      <w:r>
        <w:rPr>
          <w:color w:val="231F20"/>
          <w:spacing w:val="-6"/>
          <w:sz w:val="23"/>
        </w:rPr>
        <w:t> </w:t>
      </w:r>
      <w:r>
        <w:rPr>
          <w:color w:val="231F20"/>
          <w:sz w:val="23"/>
        </w:rPr>
        <w:t>also</w:t>
      </w:r>
      <w:r>
        <w:rPr>
          <w:color w:val="231F20"/>
          <w:spacing w:val="-6"/>
          <w:sz w:val="23"/>
        </w:rPr>
        <w:t> </w:t>
      </w:r>
      <w:r>
        <w:rPr>
          <w:color w:val="231F20"/>
          <w:sz w:val="23"/>
        </w:rPr>
        <w:t>appreciate</w:t>
      </w:r>
      <w:r>
        <w:rPr>
          <w:color w:val="231F20"/>
          <w:spacing w:val="-6"/>
          <w:sz w:val="23"/>
        </w:rPr>
        <w:t> </w:t>
      </w:r>
      <w:r>
        <w:rPr>
          <w:color w:val="231F20"/>
          <w:sz w:val="23"/>
        </w:rPr>
        <w:t>the</w:t>
      </w:r>
      <w:r>
        <w:rPr>
          <w:color w:val="231F20"/>
          <w:spacing w:val="-6"/>
          <w:sz w:val="23"/>
        </w:rPr>
        <w:t> </w:t>
      </w:r>
      <w:r>
        <w:rPr>
          <w:color w:val="231F20"/>
          <w:sz w:val="23"/>
        </w:rPr>
        <w:t>Minister</w:t>
      </w:r>
      <w:r>
        <w:rPr>
          <w:color w:val="231F20"/>
          <w:spacing w:val="-6"/>
          <w:sz w:val="23"/>
        </w:rPr>
        <w:t> </w:t>
      </w:r>
      <w:r>
        <w:rPr>
          <w:color w:val="231F20"/>
          <w:sz w:val="23"/>
        </w:rPr>
        <w:t>of</w:t>
      </w:r>
      <w:r>
        <w:rPr>
          <w:color w:val="231F20"/>
          <w:spacing w:val="-6"/>
          <w:sz w:val="23"/>
        </w:rPr>
        <w:t> </w:t>
      </w:r>
      <w:r>
        <w:rPr>
          <w:color w:val="231F20"/>
          <w:sz w:val="23"/>
        </w:rPr>
        <w:t>Planning</w:t>
      </w:r>
      <w:r>
        <w:rPr>
          <w:color w:val="231F20"/>
          <w:spacing w:val="-6"/>
          <w:sz w:val="23"/>
        </w:rPr>
        <w:t> </w:t>
      </w:r>
      <w:r>
        <w:rPr>
          <w:color w:val="231F20"/>
          <w:sz w:val="23"/>
        </w:rPr>
        <w:t>and</w:t>
      </w:r>
      <w:r>
        <w:rPr>
          <w:color w:val="231F20"/>
          <w:spacing w:val="-6"/>
          <w:sz w:val="23"/>
        </w:rPr>
        <w:t> </w:t>
      </w:r>
      <w:r>
        <w:rPr>
          <w:color w:val="231F20"/>
          <w:sz w:val="23"/>
        </w:rPr>
        <w:t>Economic Development, the Development Secretary and staff of Ministry of Planning and Economic</w:t>
      </w:r>
      <w:r>
        <w:rPr>
          <w:color w:val="231F20"/>
          <w:spacing w:val="-22"/>
          <w:sz w:val="23"/>
        </w:rPr>
        <w:t> </w:t>
      </w:r>
      <w:r>
        <w:rPr>
          <w:color w:val="231F20"/>
          <w:sz w:val="23"/>
        </w:rPr>
        <w:t>Development</w:t>
      </w:r>
      <w:r>
        <w:rPr>
          <w:color w:val="231F20"/>
          <w:spacing w:val="-22"/>
          <w:sz w:val="23"/>
        </w:rPr>
        <w:t> </w:t>
      </w:r>
      <w:r>
        <w:rPr>
          <w:color w:val="231F20"/>
          <w:sz w:val="23"/>
        </w:rPr>
        <w:t>for</w:t>
      </w:r>
      <w:r>
        <w:rPr>
          <w:color w:val="231F20"/>
          <w:spacing w:val="-22"/>
          <w:sz w:val="23"/>
        </w:rPr>
        <w:t> </w:t>
      </w:r>
      <w:r>
        <w:rPr>
          <w:color w:val="231F20"/>
          <w:sz w:val="23"/>
        </w:rPr>
        <w:t>their</w:t>
      </w:r>
      <w:r>
        <w:rPr>
          <w:color w:val="231F20"/>
          <w:spacing w:val="-22"/>
          <w:sz w:val="23"/>
        </w:rPr>
        <w:t> </w:t>
      </w:r>
      <w:r>
        <w:rPr>
          <w:color w:val="231F20"/>
          <w:sz w:val="23"/>
        </w:rPr>
        <w:t>contribution</w:t>
      </w:r>
      <w:r>
        <w:rPr>
          <w:color w:val="231F20"/>
          <w:spacing w:val="-22"/>
          <w:sz w:val="23"/>
        </w:rPr>
        <w:t> </w:t>
      </w:r>
      <w:r>
        <w:rPr>
          <w:color w:val="231F20"/>
          <w:sz w:val="23"/>
        </w:rPr>
        <w:t>to</w:t>
      </w:r>
      <w:r>
        <w:rPr>
          <w:color w:val="231F20"/>
          <w:spacing w:val="-22"/>
          <w:sz w:val="23"/>
        </w:rPr>
        <w:t> </w:t>
      </w:r>
      <w:r>
        <w:rPr>
          <w:color w:val="231F20"/>
          <w:sz w:val="23"/>
        </w:rPr>
        <w:t>the</w:t>
      </w:r>
      <w:r>
        <w:rPr>
          <w:color w:val="231F20"/>
          <w:spacing w:val="-22"/>
          <w:sz w:val="23"/>
        </w:rPr>
        <w:t> </w:t>
      </w:r>
      <w:r>
        <w:rPr>
          <w:color w:val="231F20"/>
          <w:sz w:val="23"/>
        </w:rPr>
        <w:t>preparation</w:t>
      </w:r>
      <w:r>
        <w:rPr>
          <w:color w:val="231F20"/>
          <w:spacing w:val="-22"/>
          <w:sz w:val="23"/>
        </w:rPr>
        <w:t> </w:t>
      </w:r>
      <w:r>
        <w:rPr>
          <w:color w:val="231F20"/>
          <w:sz w:val="23"/>
        </w:rPr>
        <w:t>of</w:t>
      </w:r>
      <w:r>
        <w:rPr>
          <w:color w:val="231F20"/>
          <w:spacing w:val="-22"/>
          <w:sz w:val="23"/>
        </w:rPr>
        <w:t> </w:t>
      </w:r>
      <w:r>
        <w:rPr>
          <w:color w:val="231F20"/>
          <w:sz w:val="23"/>
        </w:rPr>
        <w:t>the</w:t>
      </w:r>
      <w:r>
        <w:rPr>
          <w:color w:val="231F20"/>
          <w:spacing w:val="-22"/>
          <w:sz w:val="23"/>
        </w:rPr>
        <w:t> </w:t>
      </w:r>
      <w:r>
        <w:rPr>
          <w:color w:val="231F20"/>
          <w:sz w:val="23"/>
        </w:rPr>
        <w:t>capital</w:t>
      </w:r>
      <w:r>
        <w:rPr>
          <w:color w:val="231F20"/>
          <w:spacing w:val="-22"/>
          <w:sz w:val="23"/>
        </w:rPr>
        <w:t> </w:t>
      </w:r>
      <w:r>
        <w:rPr>
          <w:color w:val="231F20"/>
          <w:sz w:val="23"/>
        </w:rPr>
        <w:t>budget.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pStyle w:val="Heading1"/>
      </w:pPr>
      <w:r>
        <w:rPr>
          <w:color w:val="231F20"/>
        </w:rPr>
        <w:t>42</w:t>
      </w:r>
    </w:p>
    <w:p>
      <w:pPr>
        <w:spacing w:after="0"/>
        <w:sectPr>
          <w:pgSz w:w="11900" w:h="16840"/>
          <w:pgMar w:top="1180" w:bottom="280" w:left="1140" w:right="1120"/>
        </w:sectPr>
      </w:pPr>
    </w:p>
    <w:p>
      <w:pPr>
        <w:pStyle w:val="ListParagraph"/>
        <w:numPr>
          <w:ilvl w:val="0"/>
          <w:numId w:val="2"/>
        </w:numPr>
        <w:tabs>
          <w:tab w:pos="954" w:val="left" w:leader="none"/>
        </w:tabs>
        <w:spacing w:line="302" w:lineRule="auto" w:before="77" w:after="0"/>
        <w:ind w:left="103" w:right="120" w:firstLine="87"/>
        <w:jc w:val="both"/>
        <w:rPr>
          <w:sz w:val="23"/>
        </w:rPr>
      </w:pPr>
      <w:r>
        <w:rPr>
          <w:color w:val="231F20"/>
          <w:sz w:val="23"/>
        </w:rPr>
        <w:t>The</w:t>
      </w:r>
      <w:r>
        <w:rPr>
          <w:color w:val="231F20"/>
          <w:spacing w:val="-10"/>
          <w:sz w:val="23"/>
        </w:rPr>
        <w:t> </w:t>
      </w:r>
      <w:r>
        <w:rPr>
          <w:color w:val="231F20"/>
          <w:sz w:val="23"/>
        </w:rPr>
        <w:t>Governor,</w:t>
      </w:r>
      <w:r>
        <w:rPr>
          <w:color w:val="231F20"/>
          <w:spacing w:val="-10"/>
          <w:sz w:val="23"/>
        </w:rPr>
        <w:t> </w:t>
      </w:r>
      <w:r>
        <w:rPr>
          <w:color w:val="231F20"/>
          <w:sz w:val="23"/>
        </w:rPr>
        <w:t>Deputy</w:t>
      </w:r>
      <w:r>
        <w:rPr>
          <w:color w:val="231F20"/>
          <w:spacing w:val="-10"/>
          <w:sz w:val="23"/>
        </w:rPr>
        <w:t> </w:t>
      </w:r>
      <w:r>
        <w:rPr>
          <w:color w:val="231F20"/>
          <w:sz w:val="23"/>
        </w:rPr>
        <w:t>Governor,</w:t>
      </w:r>
      <w:r>
        <w:rPr>
          <w:color w:val="231F20"/>
          <w:spacing w:val="-10"/>
          <w:sz w:val="23"/>
        </w:rPr>
        <w:t> </w:t>
      </w:r>
      <w:r>
        <w:rPr>
          <w:color w:val="231F20"/>
          <w:sz w:val="23"/>
        </w:rPr>
        <w:t>management</w:t>
      </w:r>
      <w:r>
        <w:rPr>
          <w:color w:val="231F20"/>
          <w:spacing w:val="-10"/>
          <w:sz w:val="23"/>
        </w:rPr>
        <w:t> </w:t>
      </w:r>
      <w:r>
        <w:rPr>
          <w:color w:val="231F20"/>
          <w:sz w:val="23"/>
        </w:rPr>
        <w:t>and</w:t>
      </w:r>
      <w:r>
        <w:rPr>
          <w:color w:val="231F20"/>
          <w:spacing w:val="-10"/>
          <w:sz w:val="23"/>
        </w:rPr>
        <w:t> </w:t>
      </w:r>
      <w:r>
        <w:rPr>
          <w:color w:val="231F20"/>
          <w:sz w:val="23"/>
        </w:rPr>
        <w:t>staff</w:t>
      </w:r>
      <w:r>
        <w:rPr>
          <w:color w:val="231F20"/>
          <w:spacing w:val="-10"/>
          <w:sz w:val="23"/>
        </w:rPr>
        <w:t> </w:t>
      </w:r>
      <w:r>
        <w:rPr>
          <w:color w:val="231F20"/>
          <w:sz w:val="23"/>
        </w:rPr>
        <w:t>of</w:t>
      </w:r>
      <w:r>
        <w:rPr>
          <w:color w:val="231F20"/>
          <w:spacing w:val="-10"/>
          <w:sz w:val="23"/>
        </w:rPr>
        <w:t> </w:t>
      </w:r>
      <w:r>
        <w:rPr>
          <w:color w:val="231F20"/>
          <w:sz w:val="23"/>
        </w:rPr>
        <w:t>the</w:t>
      </w:r>
      <w:r>
        <w:rPr>
          <w:color w:val="231F20"/>
          <w:spacing w:val="-10"/>
          <w:sz w:val="23"/>
        </w:rPr>
        <w:t> </w:t>
      </w:r>
      <w:r>
        <w:rPr>
          <w:color w:val="231F20"/>
          <w:sz w:val="23"/>
        </w:rPr>
        <w:t>Bank</w:t>
      </w:r>
      <w:r>
        <w:rPr>
          <w:color w:val="231F20"/>
          <w:spacing w:val="-10"/>
          <w:sz w:val="23"/>
        </w:rPr>
        <w:t> </w:t>
      </w:r>
      <w:r>
        <w:rPr>
          <w:color w:val="231F20"/>
          <w:sz w:val="23"/>
        </w:rPr>
        <w:t>of</w:t>
      </w:r>
      <w:r>
        <w:rPr>
          <w:color w:val="231F20"/>
          <w:spacing w:val="-10"/>
          <w:sz w:val="23"/>
        </w:rPr>
        <w:t> </w:t>
      </w:r>
      <w:r>
        <w:rPr>
          <w:color w:val="231F20"/>
          <w:sz w:val="23"/>
        </w:rPr>
        <w:t>Sierra Leone are appreciated for their cooperation in further enhancing the coordination</w:t>
      </w:r>
      <w:r>
        <w:rPr>
          <w:color w:val="231F20"/>
          <w:spacing w:val="-33"/>
          <w:sz w:val="23"/>
        </w:rPr>
        <w:t> </w:t>
      </w:r>
      <w:r>
        <w:rPr>
          <w:color w:val="231F20"/>
          <w:sz w:val="23"/>
        </w:rPr>
        <w:t>of fiscal</w:t>
      </w:r>
      <w:r>
        <w:rPr>
          <w:color w:val="231F20"/>
          <w:spacing w:val="-49"/>
          <w:sz w:val="23"/>
        </w:rPr>
        <w:t> </w:t>
      </w:r>
      <w:r>
        <w:rPr>
          <w:color w:val="231F20"/>
          <w:sz w:val="23"/>
        </w:rPr>
        <w:t>and</w:t>
      </w:r>
      <w:r>
        <w:rPr>
          <w:color w:val="231F20"/>
          <w:spacing w:val="-49"/>
          <w:sz w:val="23"/>
        </w:rPr>
        <w:t> </w:t>
      </w:r>
      <w:r>
        <w:rPr>
          <w:color w:val="231F20"/>
          <w:sz w:val="23"/>
        </w:rPr>
        <w:t>monetary</w:t>
      </w:r>
      <w:r>
        <w:rPr>
          <w:color w:val="231F20"/>
          <w:spacing w:val="-49"/>
          <w:sz w:val="23"/>
        </w:rPr>
        <w:t> </w:t>
      </w:r>
      <w:r>
        <w:rPr>
          <w:color w:val="231F20"/>
          <w:sz w:val="23"/>
        </w:rPr>
        <w:t>policies</w:t>
      </w:r>
      <w:r>
        <w:rPr>
          <w:color w:val="231F20"/>
          <w:spacing w:val="-49"/>
          <w:sz w:val="23"/>
        </w:rPr>
        <w:t> </w:t>
      </w:r>
      <w:r>
        <w:rPr>
          <w:color w:val="231F20"/>
          <w:sz w:val="23"/>
        </w:rPr>
        <w:t>for</w:t>
      </w:r>
      <w:r>
        <w:rPr>
          <w:color w:val="231F20"/>
          <w:spacing w:val="-49"/>
          <w:sz w:val="23"/>
        </w:rPr>
        <w:t> </w:t>
      </w:r>
      <w:r>
        <w:rPr>
          <w:color w:val="231F20"/>
          <w:sz w:val="23"/>
        </w:rPr>
        <w:t>the</w:t>
      </w:r>
      <w:r>
        <w:rPr>
          <w:color w:val="231F20"/>
          <w:spacing w:val="-49"/>
          <w:sz w:val="23"/>
        </w:rPr>
        <w:t> </w:t>
      </w:r>
      <w:r>
        <w:rPr>
          <w:color w:val="231F20"/>
          <w:sz w:val="23"/>
        </w:rPr>
        <w:t>betterment</w:t>
      </w:r>
      <w:r>
        <w:rPr>
          <w:color w:val="231F20"/>
          <w:spacing w:val="-49"/>
          <w:sz w:val="23"/>
        </w:rPr>
        <w:t> </w:t>
      </w:r>
      <w:r>
        <w:rPr>
          <w:color w:val="231F20"/>
          <w:sz w:val="23"/>
        </w:rPr>
        <w:t>of</w:t>
      </w:r>
      <w:r>
        <w:rPr>
          <w:color w:val="231F20"/>
          <w:spacing w:val="-49"/>
          <w:sz w:val="23"/>
        </w:rPr>
        <w:t> </w:t>
      </w:r>
      <w:r>
        <w:rPr>
          <w:color w:val="231F20"/>
          <w:sz w:val="23"/>
        </w:rPr>
        <w:t>all</w:t>
      </w:r>
      <w:r>
        <w:rPr>
          <w:color w:val="231F20"/>
          <w:spacing w:val="-49"/>
          <w:sz w:val="23"/>
        </w:rPr>
        <w:t> </w:t>
      </w:r>
      <w:r>
        <w:rPr>
          <w:color w:val="231F20"/>
          <w:sz w:val="23"/>
        </w:rPr>
        <w:t>Sierra</w:t>
      </w:r>
      <w:r>
        <w:rPr>
          <w:color w:val="231F20"/>
          <w:spacing w:val="-49"/>
          <w:sz w:val="23"/>
        </w:rPr>
        <w:t> </w:t>
      </w:r>
      <w:r>
        <w:rPr>
          <w:color w:val="231F20"/>
          <w:sz w:val="23"/>
        </w:rPr>
        <w:t>Leoneans.</w:t>
      </w:r>
      <w:r>
        <w:rPr>
          <w:color w:val="231F20"/>
          <w:spacing w:val="-49"/>
          <w:sz w:val="23"/>
        </w:rPr>
        <w:t> </w:t>
      </w:r>
      <w:r>
        <w:rPr>
          <w:color w:val="231F20"/>
          <w:sz w:val="23"/>
        </w:rPr>
        <w:t>The</w:t>
      </w:r>
      <w:r>
        <w:rPr>
          <w:color w:val="231F20"/>
          <w:spacing w:val="-48"/>
          <w:sz w:val="23"/>
        </w:rPr>
        <w:t> </w:t>
      </w:r>
      <w:r>
        <w:rPr>
          <w:color w:val="231F20"/>
          <w:spacing w:val="-2"/>
          <w:sz w:val="23"/>
        </w:rPr>
        <w:t>Commissioner </w:t>
      </w:r>
      <w:r>
        <w:rPr>
          <w:color w:val="231F20"/>
          <w:sz w:val="23"/>
        </w:rPr>
        <w:t>General, management and staff of the National Revenue Authority deserve special commendation for their tireless efforts in the mobilisation of domestic revenue and preparation of the</w:t>
      </w:r>
      <w:r>
        <w:rPr>
          <w:color w:val="231F20"/>
          <w:spacing w:val="-33"/>
          <w:sz w:val="23"/>
        </w:rPr>
        <w:t> </w:t>
      </w:r>
      <w:r>
        <w:rPr>
          <w:color w:val="231F20"/>
          <w:sz w:val="23"/>
        </w:rPr>
        <w:t>budget.</w:t>
      </w:r>
    </w:p>
    <w:p>
      <w:pPr>
        <w:pStyle w:val="BodyText"/>
        <w:rPr>
          <w:sz w:val="29"/>
        </w:rPr>
      </w:pPr>
    </w:p>
    <w:p>
      <w:pPr>
        <w:pStyle w:val="ListParagraph"/>
        <w:numPr>
          <w:ilvl w:val="0"/>
          <w:numId w:val="2"/>
        </w:numPr>
        <w:tabs>
          <w:tab w:pos="954" w:val="left" w:leader="none"/>
        </w:tabs>
        <w:spacing w:line="302" w:lineRule="auto" w:before="0" w:after="0"/>
        <w:ind w:left="103" w:right="118" w:firstLine="87"/>
        <w:jc w:val="both"/>
        <w:rPr>
          <w:sz w:val="23"/>
        </w:rPr>
      </w:pPr>
      <w:r>
        <w:rPr>
          <w:color w:val="231F20"/>
          <w:sz w:val="23"/>
        </w:rPr>
        <w:t>Mr. Speaker, Honourable Members, I would like to reiterate my</w:t>
      </w:r>
      <w:r>
        <w:rPr>
          <w:color w:val="231F20"/>
          <w:spacing w:val="-20"/>
          <w:sz w:val="23"/>
        </w:rPr>
        <w:t> </w:t>
      </w:r>
      <w:r>
        <w:rPr>
          <w:color w:val="231F20"/>
          <w:sz w:val="23"/>
        </w:rPr>
        <w:t>appreciation for the effective bipartisan role played by this Noble House of Parliament under the leadership</w:t>
      </w:r>
      <w:r>
        <w:rPr>
          <w:color w:val="231F20"/>
          <w:spacing w:val="-18"/>
          <w:sz w:val="23"/>
        </w:rPr>
        <w:t> </w:t>
      </w:r>
      <w:r>
        <w:rPr>
          <w:color w:val="231F20"/>
          <w:sz w:val="23"/>
        </w:rPr>
        <w:t>of</w:t>
      </w:r>
      <w:r>
        <w:rPr>
          <w:color w:val="231F20"/>
          <w:spacing w:val="-18"/>
          <w:sz w:val="23"/>
        </w:rPr>
        <w:t> </w:t>
      </w:r>
      <w:r>
        <w:rPr>
          <w:color w:val="231F20"/>
          <w:sz w:val="23"/>
        </w:rPr>
        <w:t>the</w:t>
      </w:r>
      <w:r>
        <w:rPr>
          <w:color w:val="231F20"/>
          <w:spacing w:val="-18"/>
          <w:sz w:val="23"/>
        </w:rPr>
        <w:t> </w:t>
      </w:r>
      <w:r>
        <w:rPr>
          <w:color w:val="231F20"/>
          <w:sz w:val="23"/>
        </w:rPr>
        <w:t>Honourable</w:t>
      </w:r>
      <w:r>
        <w:rPr>
          <w:color w:val="231F20"/>
          <w:spacing w:val="-18"/>
          <w:sz w:val="23"/>
        </w:rPr>
        <w:t> </w:t>
      </w:r>
      <w:r>
        <w:rPr>
          <w:color w:val="231F20"/>
          <w:sz w:val="23"/>
        </w:rPr>
        <w:t>Speaker,</w:t>
      </w:r>
      <w:r>
        <w:rPr>
          <w:color w:val="231F20"/>
          <w:spacing w:val="-18"/>
          <w:sz w:val="23"/>
        </w:rPr>
        <w:t> </w:t>
      </w:r>
      <w:r>
        <w:rPr>
          <w:color w:val="231F20"/>
          <w:sz w:val="23"/>
        </w:rPr>
        <w:t>in</w:t>
      </w:r>
      <w:r>
        <w:rPr>
          <w:color w:val="231F20"/>
          <w:spacing w:val="-18"/>
          <w:sz w:val="23"/>
        </w:rPr>
        <w:t> </w:t>
      </w:r>
      <w:r>
        <w:rPr>
          <w:color w:val="231F20"/>
          <w:sz w:val="23"/>
        </w:rPr>
        <w:t>passing</w:t>
      </w:r>
      <w:r>
        <w:rPr>
          <w:color w:val="231F20"/>
          <w:spacing w:val="-18"/>
          <w:sz w:val="23"/>
        </w:rPr>
        <w:t> </w:t>
      </w:r>
      <w:r>
        <w:rPr>
          <w:color w:val="231F20"/>
          <w:sz w:val="23"/>
        </w:rPr>
        <w:t>legislations</w:t>
      </w:r>
      <w:r>
        <w:rPr>
          <w:color w:val="231F20"/>
          <w:spacing w:val="-18"/>
          <w:sz w:val="23"/>
        </w:rPr>
        <w:t> </w:t>
      </w:r>
      <w:r>
        <w:rPr>
          <w:color w:val="231F20"/>
          <w:sz w:val="23"/>
        </w:rPr>
        <w:t>that</w:t>
      </w:r>
      <w:r>
        <w:rPr>
          <w:color w:val="231F20"/>
          <w:spacing w:val="-18"/>
          <w:sz w:val="23"/>
        </w:rPr>
        <w:t> </w:t>
      </w:r>
      <w:r>
        <w:rPr>
          <w:color w:val="231F20"/>
          <w:sz w:val="23"/>
        </w:rPr>
        <w:t>are</w:t>
      </w:r>
      <w:r>
        <w:rPr>
          <w:color w:val="231F20"/>
          <w:spacing w:val="-18"/>
          <w:sz w:val="23"/>
        </w:rPr>
        <w:t> </w:t>
      </w:r>
      <w:r>
        <w:rPr>
          <w:color w:val="231F20"/>
          <w:sz w:val="23"/>
        </w:rPr>
        <w:t>contributing</w:t>
      </w:r>
      <w:r>
        <w:rPr>
          <w:color w:val="231F20"/>
          <w:spacing w:val="-18"/>
          <w:sz w:val="23"/>
        </w:rPr>
        <w:t> </w:t>
      </w:r>
      <w:r>
        <w:rPr>
          <w:color w:val="231F20"/>
          <w:sz w:val="23"/>
        </w:rPr>
        <w:t>to the</w:t>
      </w:r>
      <w:r>
        <w:rPr>
          <w:color w:val="231F20"/>
          <w:spacing w:val="-30"/>
          <w:sz w:val="23"/>
        </w:rPr>
        <w:t> </w:t>
      </w:r>
      <w:r>
        <w:rPr>
          <w:color w:val="231F20"/>
          <w:sz w:val="23"/>
        </w:rPr>
        <w:t>restoration</w:t>
      </w:r>
      <w:r>
        <w:rPr>
          <w:color w:val="231F20"/>
          <w:spacing w:val="-30"/>
          <w:sz w:val="23"/>
        </w:rPr>
        <w:t> </w:t>
      </w:r>
      <w:r>
        <w:rPr>
          <w:color w:val="231F20"/>
          <w:sz w:val="23"/>
        </w:rPr>
        <w:t>of</w:t>
      </w:r>
      <w:r>
        <w:rPr>
          <w:color w:val="231F20"/>
          <w:spacing w:val="-30"/>
          <w:sz w:val="23"/>
        </w:rPr>
        <w:t> </w:t>
      </w:r>
      <w:r>
        <w:rPr>
          <w:color w:val="231F20"/>
          <w:sz w:val="23"/>
        </w:rPr>
        <w:t>fiscal</w:t>
      </w:r>
      <w:r>
        <w:rPr>
          <w:color w:val="231F20"/>
          <w:spacing w:val="-30"/>
          <w:sz w:val="23"/>
        </w:rPr>
        <w:t> </w:t>
      </w:r>
      <w:r>
        <w:rPr>
          <w:color w:val="231F20"/>
          <w:sz w:val="23"/>
        </w:rPr>
        <w:t>discipline</w:t>
      </w:r>
      <w:r>
        <w:rPr>
          <w:color w:val="231F20"/>
          <w:spacing w:val="-30"/>
          <w:sz w:val="23"/>
        </w:rPr>
        <w:t> </w:t>
      </w:r>
      <w:r>
        <w:rPr>
          <w:color w:val="231F20"/>
          <w:sz w:val="23"/>
        </w:rPr>
        <w:t>and</w:t>
      </w:r>
      <w:r>
        <w:rPr>
          <w:color w:val="231F20"/>
          <w:spacing w:val="-30"/>
          <w:sz w:val="23"/>
        </w:rPr>
        <w:t> </w:t>
      </w:r>
      <w:r>
        <w:rPr>
          <w:color w:val="231F20"/>
          <w:sz w:val="23"/>
        </w:rPr>
        <w:t>improving</w:t>
      </w:r>
      <w:r>
        <w:rPr>
          <w:color w:val="231F20"/>
          <w:spacing w:val="-30"/>
          <w:sz w:val="23"/>
        </w:rPr>
        <w:t> </w:t>
      </w:r>
      <w:r>
        <w:rPr>
          <w:color w:val="231F20"/>
          <w:sz w:val="23"/>
        </w:rPr>
        <w:t>economic</w:t>
      </w:r>
      <w:r>
        <w:rPr>
          <w:color w:val="231F20"/>
          <w:spacing w:val="-30"/>
          <w:sz w:val="23"/>
        </w:rPr>
        <w:t> </w:t>
      </w:r>
      <w:r>
        <w:rPr>
          <w:color w:val="231F20"/>
          <w:sz w:val="23"/>
        </w:rPr>
        <w:t>governance.</w:t>
      </w:r>
      <w:r>
        <w:rPr>
          <w:color w:val="231F20"/>
          <w:spacing w:val="-30"/>
          <w:sz w:val="23"/>
        </w:rPr>
        <w:t> </w:t>
      </w:r>
      <w:r>
        <w:rPr>
          <w:color w:val="231F20"/>
          <w:sz w:val="23"/>
        </w:rPr>
        <w:t>In</w:t>
      </w:r>
      <w:r>
        <w:rPr>
          <w:color w:val="231F20"/>
          <w:spacing w:val="-30"/>
          <w:sz w:val="23"/>
        </w:rPr>
        <w:t> </w:t>
      </w:r>
      <w:r>
        <w:rPr>
          <w:color w:val="231F20"/>
          <w:sz w:val="23"/>
        </w:rPr>
        <w:t>addition,</w:t>
      </w:r>
      <w:r>
        <w:rPr>
          <w:color w:val="231F20"/>
          <w:spacing w:val="-30"/>
          <w:sz w:val="23"/>
        </w:rPr>
        <w:t> </w:t>
      </w:r>
      <w:r>
        <w:rPr>
          <w:color w:val="231F20"/>
          <w:sz w:val="23"/>
        </w:rPr>
        <w:t>we also wish to acknowledge the invaluable role played by the Attorney General and Minister</w:t>
      </w:r>
      <w:r>
        <w:rPr>
          <w:color w:val="231F20"/>
          <w:spacing w:val="-14"/>
          <w:sz w:val="23"/>
        </w:rPr>
        <w:t> </w:t>
      </w:r>
      <w:r>
        <w:rPr>
          <w:color w:val="231F20"/>
          <w:sz w:val="23"/>
        </w:rPr>
        <w:t>of</w:t>
      </w:r>
      <w:r>
        <w:rPr>
          <w:color w:val="231F20"/>
          <w:spacing w:val="-14"/>
          <w:sz w:val="23"/>
        </w:rPr>
        <w:t> </w:t>
      </w:r>
      <w:r>
        <w:rPr>
          <w:color w:val="231F20"/>
          <w:sz w:val="23"/>
        </w:rPr>
        <w:t>Justice,</w:t>
      </w:r>
      <w:r>
        <w:rPr>
          <w:color w:val="231F20"/>
          <w:spacing w:val="-14"/>
          <w:sz w:val="23"/>
        </w:rPr>
        <w:t> </w:t>
      </w:r>
      <w:r>
        <w:rPr>
          <w:color w:val="231F20"/>
          <w:sz w:val="23"/>
        </w:rPr>
        <w:t>the</w:t>
      </w:r>
      <w:r>
        <w:rPr>
          <w:color w:val="231F20"/>
          <w:spacing w:val="-14"/>
          <w:sz w:val="23"/>
        </w:rPr>
        <w:t> </w:t>
      </w:r>
      <w:r>
        <w:rPr>
          <w:color w:val="231F20"/>
          <w:sz w:val="23"/>
        </w:rPr>
        <w:t>Solicitor</w:t>
      </w:r>
      <w:r>
        <w:rPr>
          <w:color w:val="231F20"/>
          <w:spacing w:val="-14"/>
          <w:sz w:val="23"/>
        </w:rPr>
        <w:t> </w:t>
      </w:r>
      <w:r>
        <w:rPr>
          <w:color w:val="231F20"/>
          <w:sz w:val="23"/>
        </w:rPr>
        <w:t>General</w:t>
      </w:r>
      <w:r>
        <w:rPr>
          <w:color w:val="231F20"/>
          <w:spacing w:val="-14"/>
          <w:sz w:val="23"/>
        </w:rPr>
        <w:t> </w:t>
      </w:r>
      <w:r>
        <w:rPr>
          <w:color w:val="231F20"/>
          <w:sz w:val="23"/>
        </w:rPr>
        <w:t>and</w:t>
      </w:r>
      <w:r>
        <w:rPr>
          <w:color w:val="231F20"/>
          <w:spacing w:val="-14"/>
          <w:sz w:val="23"/>
        </w:rPr>
        <w:t> </w:t>
      </w:r>
      <w:r>
        <w:rPr>
          <w:color w:val="231F20"/>
          <w:sz w:val="23"/>
        </w:rPr>
        <w:t>staff</w:t>
      </w:r>
      <w:r>
        <w:rPr>
          <w:color w:val="231F20"/>
          <w:spacing w:val="-14"/>
          <w:sz w:val="23"/>
        </w:rPr>
        <w:t> </w:t>
      </w:r>
      <w:r>
        <w:rPr>
          <w:color w:val="231F20"/>
          <w:sz w:val="23"/>
        </w:rPr>
        <w:t>in</w:t>
      </w:r>
      <w:r>
        <w:rPr>
          <w:color w:val="231F20"/>
          <w:spacing w:val="-14"/>
          <w:sz w:val="23"/>
        </w:rPr>
        <w:t> </w:t>
      </w:r>
      <w:r>
        <w:rPr>
          <w:color w:val="231F20"/>
          <w:sz w:val="23"/>
        </w:rPr>
        <w:t>the</w:t>
      </w:r>
      <w:r>
        <w:rPr>
          <w:color w:val="231F20"/>
          <w:spacing w:val="-14"/>
          <w:sz w:val="23"/>
        </w:rPr>
        <w:t> </w:t>
      </w:r>
      <w:r>
        <w:rPr>
          <w:color w:val="231F20"/>
          <w:sz w:val="23"/>
        </w:rPr>
        <w:t>Law</w:t>
      </w:r>
      <w:r>
        <w:rPr>
          <w:color w:val="231F20"/>
          <w:spacing w:val="-14"/>
          <w:sz w:val="23"/>
        </w:rPr>
        <w:t> </w:t>
      </w:r>
      <w:r>
        <w:rPr>
          <w:color w:val="231F20"/>
          <w:sz w:val="23"/>
        </w:rPr>
        <w:t>Officers</w:t>
      </w:r>
      <w:r>
        <w:rPr>
          <w:color w:val="231F20"/>
          <w:spacing w:val="-14"/>
          <w:sz w:val="23"/>
        </w:rPr>
        <w:t> </w:t>
      </w:r>
      <w:r>
        <w:rPr>
          <w:color w:val="231F20"/>
          <w:sz w:val="23"/>
        </w:rPr>
        <w:t>Department</w:t>
      </w:r>
      <w:r>
        <w:rPr>
          <w:color w:val="231F20"/>
          <w:spacing w:val="-14"/>
          <w:sz w:val="23"/>
        </w:rPr>
        <w:t> </w:t>
      </w:r>
      <w:r>
        <w:rPr>
          <w:color w:val="231F20"/>
          <w:sz w:val="23"/>
        </w:rPr>
        <w:t>for their facilitation and finalisation of the various bills and statutory</w:t>
      </w:r>
      <w:r>
        <w:rPr>
          <w:color w:val="231F20"/>
          <w:spacing w:val="60"/>
          <w:sz w:val="23"/>
        </w:rPr>
        <w:t> </w:t>
      </w:r>
      <w:r>
        <w:rPr>
          <w:color w:val="231F20"/>
          <w:sz w:val="23"/>
        </w:rPr>
        <w:t>instruments.</w:t>
      </w:r>
    </w:p>
    <w:p>
      <w:pPr>
        <w:pStyle w:val="BodyText"/>
        <w:spacing w:before="9"/>
        <w:rPr>
          <w:sz w:val="28"/>
        </w:rPr>
      </w:pPr>
    </w:p>
    <w:p>
      <w:pPr>
        <w:pStyle w:val="ListParagraph"/>
        <w:numPr>
          <w:ilvl w:val="0"/>
          <w:numId w:val="2"/>
        </w:numPr>
        <w:tabs>
          <w:tab w:pos="954" w:val="left" w:leader="none"/>
        </w:tabs>
        <w:spacing w:line="302" w:lineRule="auto" w:before="0" w:after="0"/>
        <w:ind w:left="103" w:right="122" w:firstLine="87"/>
        <w:jc w:val="both"/>
        <w:rPr>
          <w:sz w:val="23"/>
        </w:rPr>
      </w:pPr>
      <w:r>
        <w:rPr>
          <w:color w:val="231F20"/>
          <w:sz w:val="23"/>
        </w:rPr>
        <w:t>I would also like to recognise our development partners, who in addition to providing</w:t>
      </w:r>
      <w:r>
        <w:rPr>
          <w:color w:val="231F20"/>
          <w:spacing w:val="-37"/>
          <w:sz w:val="23"/>
        </w:rPr>
        <w:t> </w:t>
      </w:r>
      <w:r>
        <w:rPr>
          <w:color w:val="231F20"/>
          <w:sz w:val="23"/>
        </w:rPr>
        <w:t>direct</w:t>
      </w:r>
      <w:r>
        <w:rPr>
          <w:color w:val="231F20"/>
          <w:spacing w:val="-37"/>
          <w:sz w:val="23"/>
        </w:rPr>
        <w:t> </w:t>
      </w:r>
      <w:r>
        <w:rPr>
          <w:color w:val="231F20"/>
          <w:sz w:val="23"/>
        </w:rPr>
        <w:t>budget</w:t>
      </w:r>
      <w:r>
        <w:rPr>
          <w:color w:val="231F20"/>
          <w:spacing w:val="-37"/>
          <w:sz w:val="23"/>
        </w:rPr>
        <w:t> </w:t>
      </w:r>
      <w:r>
        <w:rPr>
          <w:color w:val="231F20"/>
          <w:sz w:val="23"/>
        </w:rPr>
        <w:t>support.</w:t>
      </w:r>
      <w:r>
        <w:rPr>
          <w:color w:val="231F20"/>
          <w:spacing w:val="-37"/>
          <w:sz w:val="23"/>
        </w:rPr>
        <w:t> </w:t>
      </w:r>
      <w:r>
        <w:rPr>
          <w:color w:val="231F20"/>
          <w:sz w:val="23"/>
        </w:rPr>
        <w:t>That</w:t>
      </w:r>
      <w:r>
        <w:rPr>
          <w:color w:val="231F20"/>
          <w:spacing w:val="-1"/>
          <w:sz w:val="23"/>
        </w:rPr>
        <w:t> </w:t>
      </w:r>
      <w:r>
        <w:rPr>
          <w:color w:val="231F20"/>
          <w:sz w:val="23"/>
        </w:rPr>
        <w:t>have</w:t>
      </w:r>
      <w:r>
        <w:rPr>
          <w:color w:val="231F20"/>
          <w:spacing w:val="-37"/>
          <w:sz w:val="23"/>
        </w:rPr>
        <w:t> </w:t>
      </w:r>
      <w:r>
        <w:rPr>
          <w:color w:val="231F20"/>
          <w:sz w:val="23"/>
        </w:rPr>
        <w:t>contributed</w:t>
      </w:r>
      <w:r>
        <w:rPr>
          <w:color w:val="231F20"/>
          <w:spacing w:val="-37"/>
          <w:sz w:val="23"/>
        </w:rPr>
        <w:t> </w:t>
      </w:r>
      <w:r>
        <w:rPr>
          <w:color w:val="231F20"/>
          <w:sz w:val="23"/>
        </w:rPr>
        <w:t>immensely</w:t>
      </w:r>
      <w:r>
        <w:rPr>
          <w:color w:val="231F20"/>
          <w:spacing w:val="-37"/>
          <w:sz w:val="23"/>
        </w:rPr>
        <w:t> </w:t>
      </w:r>
      <w:r>
        <w:rPr>
          <w:color w:val="231F20"/>
          <w:sz w:val="23"/>
        </w:rPr>
        <w:t>in</w:t>
      </w:r>
      <w:r>
        <w:rPr>
          <w:color w:val="231F20"/>
          <w:spacing w:val="-37"/>
          <w:sz w:val="23"/>
        </w:rPr>
        <w:t> </w:t>
      </w:r>
      <w:r>
        <w:rPr>
          <w:color w:val="231F20"/>
          <w:sz w:val="23"/>
        </w:rPr>
        <w:t>providing</w:t>
      </w:r>
      <w:r>
        <w:rPr>
          <w:color w:val="231F20"/>
          <w:spacing w:val="-37"/>
          <w:sz w:val="23"/>
        </w:rPr>
        <w:t> </w:t>
      </w:r>
      <w:r>
        <w:rPr>
          <w:color w:val="231F20"/>
          <w:sz w:val="23"/>
        </w:rPr>
        <w:t>project support as well as technical assistance and advisory</w:t>
      </w:r>
      <w:r>
        <w:rPr>
          <w:color w:val="231F20"/>
          <w:spacing w:val="32"/>
          <w:sz w:val="23"/>
        </w:rPr>
        <w:t> </w:t>
      </w:r>
      <w:r>
        <w:rPr>
          <w:color w:val="231F20"/>
          <w:sz w:val="23"/>
        </w:rPr>
        <w:t>services.</w:t>
      </w:r>
    </w:p>
    <w:p>
      <w:pPr>
        <w:pStyle w:val="BodyText"/>
        <w:rPr>
          <w:sz w:val="29"/>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My</w:t>
      </w:r>
      <w:r>
        <w:rPr>
          <w:color w:val="231F20"/>
          <w:spacing w:val="-10"/>
          <w:sz w:val="23"/>
        </w:rPr>
        <w:t> </w:t>
      </w:r>
      <w:r>
        <w:rPr>
          <w:color w:val="231F20"/>
          <w:sz w:val="23"/>
        </w:rPr>
        <w:t>appreciation</w:t>
      </w:r>
      <w:r>
        <w:rPr>
          <w:color w:val="231F20"/>
          <w:spacing w:val="-10"/>
          <w:sz w:val="23"/>
        </w:rPr>
        <w:t> </w:t>
      </w:r>
      <w:r>
        <w:rPr>
          <w:color w:val="231F20"/>
          <w:sz w:val="23"/>
        </w:rPr>
        <w:t>also</w:t>
      </w:r>
      <w:r>
        <w:rPr>
          <w:color w:val="231F20"/>
          <w:spacing w:val="-10"/>
          <w:sz w:val="23"/>
        </w:rPr>
        <w:t> </w:t>
      </w:r>
      <w:r>
        <w:rPr>
          <w:color w:val="231F20"/>
          <w:sz w:val="23"/>
        </w:rPr>
        <w:t>goes</w:t>
      </w:r>
      <w:r>
        <w:rPr>
          <w:color w:val="231F20"/>
          <w:spacing w:val="-10"/>
          <w:sz w:val="23"/>
        </w:rPr>
        <w:t> </w:t>
      </w:r>
      <w:r>
        <w:rPr>
          <w:color w:val="231F20"/>
          <w:sz w:val="23"/>
        </w:rPr>
        <w:t>to</w:t>
      </w:r>
      <w:r>
        <w:rPr>
          <w:color w:val="231F20"/>
          <w:spacing w:val="-10"/>
          <w:sz w:val="23"/>
        </w:rPr>
        <w:t> </w:t>
      </w:r>
      <w:r>
        <w:rPr>
          <w:color w:val="231F20"/>
          <w:sz w:val="23"/>
        </w:rPr>
        <w:t>the</w:t>
      </w:r>
      <w:r>
        <w:rPr>
          <w:color w:val="231F20"/>
          <w:spacing w:val="-10"/>
          <w:sz w:val="23"/>
        </w:rPr>
        <w:t> </w:t>
      </w:r>
      <w:r>
        <w:rPr>
          <w:color w:val="231F20"/>
          <w:sz w:val="23"/>
        </w:rPr>
        <w:t>District</w:t>
      </w:r>
      <w:r>
        <w:rPr>
          <w:color w:val="231F20"/>
          <w:spacing w:val="-10"/>
          <w:sz w:val="23"/>
        </w:rPr>
        <w:t> </w:t>
      </w:r>
      <w:r>
        <w:rPr>
          <w:color w:val="231F20"/>
          <w:sz w:val="23"/>
        </w:rPr>
        <w:t>Budget</w:t>
      </w:r>
      <w:r>
        <w:rPr>
          <w:color w:val="231F20"/>
          <w:spacing w:val="-10"/>
          <w:sz w:val="23"/>
        </w:rPr>
        <w:t> </w:t>
      </w:r>
      <w:r>
        <w:rPr>
          <w:color w:val="231F20"/>
          <w:sz w:val="23"/>
        </w:rPr>
        <w:t>Oversight</w:t>
      </w:r>
      <w:r>
        <w:rPr>
          <w:color w:val="231F20"/>
          <w:spacing w:val="-10"/>
          <w:sz w:val="23"/>
        </w:rPr>
        <w:t> </w:t>
      </w:r>
      <w:r>
        <w:rPr>
          <w:color w:val="231F20"/>
          <w:sz w:val="23"/>
        </w:rPr>
        <w:t>Committees,</w:t>
      </w:r>
      <w:r>
        <w:rPr>
          <w:color w:val="231F20"/>
          <w:spacing w:val="-10"/>
          <w:sz w:val="23"/>
        </w:rPr>
        <w:t> </w:t>
      </w:r>
      <w:r>
        <w:rPr>
          <w:color w:val="231F20"/>
          <w:sz w:val="23"/>
        </w:rPr>
        <w:t>Non- State</w:t>
      </w:r>
      <w:r>
        <w:rPr>
          <w:color w:val="231F20"/>
          <w:spacing w:val="-8"/>
          <w:sz w:val="23"/>
        </w:rPr>
        <w:t> </w:t>
      </w:r>
      <w:r>
        <w:rPr>
          <w:color w:val="231F20"/>
          <w:sz w:val="23"/>
        </w:rPr>
        <w:t>Actors,</w:t>
      </w:r>
      <w:r>
        <w:rPr>
          <w:color w:val="231F20"/>
          <w:spacing w:val="-8"/>
          <w:sz w:val="23"/>
        </w:rPr>
        <w:t> </w:t>
      </w:r>
      <w:r>
        <w:rPr>
          <w:color w:val="231F20"/>
          <w:sz w:val="23"/>
        </w:rPr>
        <w:t>and</w:t>
      </w:r>
      <w:r>
        <w:rPr>
          <w:color w:val="231F20"/>
          <w:spacing w:val="-8"/>
          <w:sz w:val="23"/>
        </w:rPr>
        <w:t> </w:t>
      </w:r>
      <w:r>
        <w:rPr>
          <w:color w:val="231F20"/>
          <w:sz w:val="23"/>
        </w:rPr>
        <w:t>members</w:t>
      </w:r>
      <w:r>
        <w:rPr>
          <w:color w:val="231F20"/>
          <w:spacing w:val="-8"/>
          <w:sz w:val="23"/>
        </w:rPr>
        <w:t> </w:t>
      </w:r>
      <w:r>
        <w:rPr>
          <w:color w:val="231F20"/>
          <w:sz w:val="23"/>
        </w:rPr>
        <w:t>of</w:t>
      </w:r>
      <w:r>
        <w:rPr>
          <w:color w:val="231F20"/>
          <w:spacing w:val="-8"/>
          <w:sz w:val="23"/>
        </w:rPr>
        <w:t> </w:t>
      </w:r>
      <w:r>
        <w:rPr>
          <w:color w:val="231F20"/>
          <w:sz w:val="23"/>
        </w:rPr>
        <w:t>the</w:t>
      </w:r>
      <w:r>
        <w:rPr>
          <w:color w:val="231F20"/>
          <w:spacing w:val="-8"/>
          <w:sz w:val="23"/>
        </w:rPr>
        <w:t> </w:t>
      </w:r>
      <w:r>
        <w:rPr>
          <w:color w:val="231F20"/>
          <w:sz w:val="23"/>
        </w:rPr>
        <w:t>electronic</w:t>
      </w:r>
      <w:r>
        <w:rPr>
          <w:color w:val="231F20"/>
          <w:spacing w:val="-8"/>
          <w:sz w:val="23"/>
        </w:rPr>
        <w:t> </w:t>
      </w:r>
      <w:r>
        <w:rPr>
          <w:color w:val="231F20"/>
          <w:sz w:val="23"/>
        </w:rPr>
        <w:t>and</w:t>
      </w:r>
      <w:r>
        <w:rPr>
          <w:color w:val="231F20"/>
          <w:spacing w:val="-8"/>
          <w:sz w:val="23"/>
        </w:rPr>
        <w:t> </w:t>
      </w:r>
      <w:r>
        <w:rPr>
          <w:color w:val="231F20"/>
          <w:sz w:val="23"/>
        </w:rPr>
        <w:t>print</w:t>
      </w:r>
      <w:r>
        <w:rPr>
          <w:color w:val="231F20"/>
          <w:spacing w:val="-8"/>
          <w:sz w:val="23"/>
        </w:rPr>
        <w:t> </w:t>
      </w:r>
      <w:r>
        <w:rPr>
          <w:color w:val="231F20"/>
          <w:sz w:val="23"/>
        </w:rPr>
        <w:t>media</w:t>
      </w:r>
      <w:r>
        <w:rPr>
          <w:color w:val="231F20"/>
          <w:spacing w:val="-8"/>
          <w:sz w:val="23"/>
        </w:rPr>
        <w:t> </w:t>
      </w:r>
      <w:r>
        <w:rPr>
          <w:color w:val="231F20"/>
          <w:sz w:val="23"/>
        </w:rPr>
        <w:t>who</w:t>
      </w:r>
      <w:r>
        <w:rPr>
          <w:color w:val="231F20"/>
          <w:spacing w:val="-8"/>
          <w:sz w:val="23"/>
        </w:rPr>
        <w:t> </w:t>
      </w:r>
      <w:r>
        <w:rPr>
          <w:color w:val="231F20"/>
          <w:sz w:val="23"/>
        </w:rPr>
        <w:t>participated</w:t>
      </w:r>
      <w:r>
        <w:rPr>
          <w:color w:val="231F20"/>
          <w:spacing w:val="-8"/>
          <w:sz w:val="23"/>
        </w:rPr>
        <w:t> </w:t>
      </w:r>
      <w:r>
        <w:rPr>
          <w:color w:val="231F20"/>
          <w:sz w:val="23"/>
        </w:rPr>
        <w:t>in</w:t>
      </w:r>
      <w:r>
        <w:rPr>
          <w:color w:val="231F20"/>
          <w:spacing w:val="-8"/>
          <w:sz w:val="23"/>
        </w:rPr>
        <w:t> </w:t>
      </w:r>
      <w:r>
        <w:rPr>
          <w:color w:val="231F20"/>
          <w:sz w:val="23"/>
        </w:rPr>
        <w:t>our open</w:t>
      </w:r>
      <w:r>
        <w:rPr>
          <w:color w:val="231F20"/>
          <w:spacing w:val="-45"/>
          <w:sz w:val="23"/>
        </w:rPr>
        <w:t> </w:t>
      </w:r>
      <w:r>
        <w:rPr>
          <w:color w:val="231F20"/>
          <w:sz w:val="23"/>
        </w:rPr>
        <w:t>Budget</w:t>
      </w:r>
      <w:r>
        <w:rPr>
          <w:color w:val="231F20"/>
          <w:spacing w:val="-44"/>
          <w:sz w:val="23"/>
        </w:rPr>
        <w:t> </w:t>
      </w:r>
      <w:r>
        <w:rPr>
          <w:color w:val="231F20"/>
          <w:sz w:val="23"/>
        </w:rPr>
        <w:t>Policy</w:t>
      </w:r>
      <w:r>
        <w:rPr>
          <w:color w:val="231F20"/>
          <w:spacing w:val="-44"/>
          <w:sz w:val="23"/>
        </w:rPr>
        <w:t> </w:t>
      </w:r>
      <w:r>
        <w:rPr>
          <w:color w:val="231F20"/>
          <w:sz w:val="23"/>
        </w:rPr>
        <w:t>Discussions</w:t>
      </w:r>
      <w:r>
        <w:rPr>
          <w:color w:val="231F20"/>
          <w:spacing w:val="-44"/>
          <w:sz w:val="23"/>
        </w:rPr>
        <w:t> </w:t>
      </w:r>
      <w:r>
        <w:rPr>
          <w:color w:val="231F20"/>
          <w:sz w:val="23"/>
        </w:rPr>
        <w:t>and</w:t>
      </w:r>
      <w:r>
        <w:rPr>
          <w:color w:val="231F20"/>
          <w:spacing w:val="-44"/>
          <w:sz w:val="23"/>
        </w:rPr>
        <w:t> </w:t>
      </w:r>
      <w:r>
        <w:rPr>
          <w:color w:val="231F20"/>
          <w:sz w:val="23"/>
        </w:rPr>
        <w:t>regularly</w:t>
      </w:r>
      <w:r>
        <w:rPr>
          <w:color w:val="231F20"/>
          <w:spacing w:val="-44"/>
          <w:sz w:val="23"/>
        </w:rPr>
        <w:t> </w:t>
      </w:r>
      <w:r>
        <w:rPr>
          <w:color w:val="231F20"/>
          <w:sz w:val="23"/>
        </w:rPr>
        <w:t>report</w:t>
      </w:r>
      <w:r>
        <w:rPr>
          <w:color w:val="231F20"/>
          <w:spacing w:val="-44"/>
          <w:sz w:val="23"/>
        </w:rPr>
        <w:t> </w:t>
      </w:r>
      <w:r>
        <w:rPr>
          <w:color w:val="231F20"/>
          <w:sz w:val="23"/>
        </w:rPr>
        <w:t>on</w:t>
      </w:r>
      <w:r>
        <w:rPr>
          <w:color w:val="231F20"/>
          <w:spacing w:val="-44"/>
          <w:sz w:val="23"/>
        </w:rPr>
        <w:t> </w:t>
      </w:r>
      <w:r>
        <w:rPr>
          <w:color w:val="231F20"/>
          <w:sz w:val="23"/>
        </w:rPr>
        <w:t>activities</w:t>
      </w:r>
      <w:r>
        <w:rPr>
          <w:color w:val="231F20"/>
          <w:spacing w:val="-44"/>
          <w:sz w:val="23"/>
        </w:rPr>
        <w:t> </w:t>
      </w:r>
      <w:r>
        <w:rPr>
          <w:color w:val="231F20"/>
          <w:sz w:val="23"/>
        </w:rPr>
        <w:t>of</w:t>
      </w:r>
      <w:r>
        <w:rPr>
          <w:color w:val="231F20"/>
          <w:spacing w:val="-44"/>
          <w:sz w:val="23"/>
        </w:rPr>
        <w:t> </w:t>
      </w:r>
      <w:r>
        <w:rPr>
          <w:color w:val="231F20"/>
          <w:sz w:val="23"/>
        </w:rPr>
        <w:t>Ministry</w:t>
      </w:r>
      <w:r>
        <w:rPr>
          <w:color w:val="231F20"/>
          <w:spacing w:val="-44"/>
          <w:sz w:val="23"/>
        </w:rPr>
        <w:t> </w:t>
      </w:r>
      <w:r>
        <w:rPr>
          <w:color w:val="231F20"/>
          <w:sz w:val="23"/>
        </w:rPr>
        <w:t>of</w:t>
      </w:r>
      <w:r>
        <w:rPr>
          <w:color w:val="231F20"/>
          <w:spacing w:val="-44"/>
          <w:sz w:val="23"/>
        </w:rPr>
        <w:t> </w:t>
      </w:r>
      <w:r>
        <w:rPr>
          <w:color w:val="231F20"/>
          <w:sz w:val="23"/>
        </w:rPr>
        <w:t>Finance. As usual, the Government Printer and staff rose to the occasion and produced the printed Budget Statement and estimates on</w:t>
      </w:r>
      <w:r>
        <w:rPr>
          <w:color w:val="231F20"/>
          <w:spacing w:val="65"/>
          <w:sz w:val="23"/>
        </w:rPr>
        <w:t> </w:t>
      </w:r>
      <w:r>
        <w:rPr>
          <w:color w:val="231F20"/>
          <w:sz w:val="23"/>
        </w:rPr>
        <w:t>time.</w:t>
      </w:r>
    </w:p>
    <w:p>
      <w:pPr>
        <w:pStyle w:val="BodyText"/>
        <w:spacing w:before="10"/>
        <w:rPr>
          <w:sz w:val="28"/>
        </w:rPr>
      </w:pPr>
    </w:p>
    <w:p>
      <w:pPr>
        <w:pStyle w:val="ListParagraph"/>
        <w:numPr>
          <w:ilvl w:val="0"/>
          <w:numId w:val="2"/>
        </w:numPr>
        <w:tabs>
          <w:tab w:pos="954" w:val="left" w:leader="none"/>
        </w:tabs>
        <w:spacing w:line="302" w:lineRule="auto" w:before="0" w:after="0"/>
        <w:ind w:left="103" w:right="119" w:firstLine="87"/>
        <w:jc w:val="both"/>
        <w:rPr>
          <w:sz w:val="23"/>
        </w:rPr>
      </w:pPr>
      <w:r>
        <w:rPr>
          <w:color w:val="231F20"/>
          <w:sz w:val="23"/>
        </w:rPr>
        <w:t>On this note, Mr. Speaker, Honourable Members, let me reiterate that this Budget is a continuation of a series of Budget Policy Statements that will sustain economic growth, promote human capital development and increase private sector participation</w:t>
      </w:r>
      <w:r>
        <w:rPr>
          <w:color w:val="231F20"/>
          <w:spacing w:val="-8"/>
          <w:sz w:val="23"/>
        </w:rPr>
        <w:t> </w:t>
      </w:r>
      <w:r>
        <w:rPr>
          <w:color w:val="231F20"/>
          <w:sz w:val="23"/>
        </w:rPr>
        <w:t>to</w:t>
      </w:r>
      <w:r>
        <w:rPr>
          <w:color w:val="231F20"/>
          <w:spacing w:val="-8"/>
          <w:sz w:val="23"/>
        </w:rPr>
        <w:t> </w:t>
      </w:r>
      <w:r>
        <w:rPr>
          <w:color w:val="231F20"/>
          <w:sz w:val="23"/>
        </w:rPr>
        <w:t>create</w:t>
      </w:r>
      <w:r>
        <w:rPr>
          <w:color w:val="231F20"/>
          <w:spacing w:val="-8"/>
          <w:sz w:val="23"/>
        </w:rPr>
        <w:t> </w:t>
      </w:r>
      <w:r>
        <w:rPr>
          <w:color w:val="231F20"/>
          <w:sz w:val="23"/>
        </w:rPr>
        <w:t>jobs</w:t>
      </w:r>
      <w:r>
        <w:rPr>
          <w:color w:val="231F20"/>
          <w:spacing w:val="-8"/>
          <w:sz w:val="23"/>
        </w:rPr>
        <w:t> </w:t>
      </w:r>
      <w:r>
        <w:rPr>
          <w:color w:val="231F20"/>
          <w:sz w:val="23"/>
        </w:rPr>
        <w:t>and</w:t>
      </w:r>
      <w:r>
        <w:rPr>
          <w:color w:val="231F20"/>
          <w:spacing w:val="-8"/>
          <w:sz w:val="23"/>
        </w:rPr>
        <w:t> </w:t>
      </w:r>
      <w:r>
        <w:rPr>
          <w:color w:val="231F20"/>
          <w:sz w:val="23"/>
        </w:rPr>
        <w:t>lift</w:t>
      </w:r>
      <w:r>
        <w:rPr>
          <w:color w:val="231F20"/>
          <w:spacing w:val="-8"/>
          <w:sz w:val="23"/>
        </w:rPr>
        <w:t> </w:t>
      </w:r>
      <w:r>
        <w:rPr>
          <w:color w:val="231F20"/>
          <w:sz w:val="23"/>
        </w:rPr>
        <w:t>our</w:t>
      </w:r>
      <w:r>
        <w:rPr>
          <w:color w:val="231F20"/>
          <w:spacing w:val="-8"/>
          <w:sz w:val="23"/>
        </w:rPr>
        <w:t> </w:t>
      </w:r>
      <w:r>
        <w:rPr>
          <w:color w:val="231F20"/>
          <w:sz w:val="23"/>
        </w:rPr>
        <w:t>people</w:t>
      </w:r>
      <w:r>
        <w:rPr>
          <w:color w:val="231F20"/>
          <w:spacing w:val="-8"/>
          <w:sz w:val="23"/>
        </w:rPr>
        <w:t> </w:t>
      </w:r>
      <w:r>
        <w:rPr>
          <w:color w:val="231F20"/>
          <w:sz w:val="23"/>
        </w:rPr>
        <w:t>out</w:t>
      </w:r>
      <w:r>
        <w:rPr>
          <w:color w:val="231F20"/>
          <w:spacing w:val="-8"/>
          <w:sz w:val="23"/>
        </w:rPr>
        <w:t> </w:t>
      </w:r>
      <w:r>
        <w:rPr>
          <w:color w:val="231F20"/>
          <w:sz w:val="23"/>
        </w:rPr>
        <w:t>of</w:t>
      </w:r>
      <w:r>
        <w:rPr>
          <w:color w:val="231F20"/>
          <w:spacing w:val="-8"/>
          <w:sz w:val="23"/>
        </w:rPr>
        <w:t> </w:t>
      </w:r>
      <w:r>
        <w:rPr>
          <w:color w:val="231F20"/>
          <w:sz w:val="23"/>
        </w:rPr>
        <w:t>poverty.</w:t>
      </w:r>
    </w:p>
    <w:p>
      <w:pPr>
        <w:pStyle w:val="BodyText"/>
        <w:spacing w:before="10"/>
        <w:rPr>
          <w:sz w:val="28"/>
        </w:rPr>
      </w:pPr>
    </w:p>
    <w:p>
      <w:pPr>
        <w:pStyle w:val="ListParagraph"/>
        <w:numPr>
          <w:ilvl w:val="0"/>
          <w:numId w:val="2"/>
        </w:numPr>
        <w:tabs>
          <w:tab w:pos="954" w:val="left" w:leader="none"/>
        </w:tabs>
        <w:spacing w:line="302" w:lineRule="auto" w:before="0" w:after="0"/>
        <w:ind w:left="103" w:right="120" w:firstLine="87"/>
        <w:jc w:val="both"/>
        <w:rPr>
          <w:sz w:val="23"/>
        </w:rPr>
      </w:pPr>
      <w:r>
        <w:rPr>
          <w:color w:val="231F20"/>
          <w:sz w:val="23"/>
        </w:rPr>
        <w:t>Mr. Speaker, Honourable Members, this is a </w:t>
      </w:r>
      <w:r>
        <w:rPr>
          <w:b/>
          <w:color w:val="231F20"/>
          <w:sz w:val="23"/>
        </w:rPr>
        <w:t>Bread and Butter Budget. </w:t>
      </w:r>
      <w:r>
        <w:rPr>
          <w:color w:val="231F20"/>
          <w:sz w:val="23"/>
        </w:rPr>
        <w:t>I, therefore, commend it to this</w:t>
      </w:r>
      <w:r>
        <w:rPr>
          <w:color w:val="231F20"/>
          <w:spacing w:val="41"/>
          <w:sz w:val="23"/>
        </w:rPr>
        <w:t> </w:t>
      </w:r>
      <w:r>
        <w:rPr>
          <w:color w:val="231F20"/>
          <w:sz w:val="23"/>
        </w:rPr>
        <w:t>House.</w:t>
      </w:r>
    </w:p>
    <w:p>
      <w:pPr>
        <w:pStyle w:val="BodyText"/>
        <w:spacing w:before="11"/>
        <w:rPr>
          <w:sz w:val="28"/>
        </w:rPr>
      </w:pPr>
    </w:p>
    <w:p>
      <w:pPr>
        <w:pStyle w:val="ListParagraph"/>
        <w:numPr>
          <w:ilvl w:val="0"/>
          <w:numId w:val="2"/>
        </w:numPr>
        <w:tabs>
          <w:tab w:pos="954" w:val="left" w:leader="none"/>
        </w:tabs>
        <w:spacing w:line="240" w:lineRule="auto" w:before="0" w:after="0"/>
        <w:ind w:left="953" w:right="0" w:hanging="763"/>
        <w:jc w:val="both"/>
        <w:rPr>
          <w:sz w:val="23"/>
        </w:rPr>
      </w:pPr>
      <w:r>
        <w:rPr>
          <w:color w:val="231F20"/>
          <w:sz w:val="23"/>
        </w:rPr>
        <w:t>I thank you ALL and God Bless Us</w:t>
      </w:r>
      <w:r>
        <w:rPr>
          <w:color w:val="231F20"/>
          <w:spacing w:val="-40"/>
          <w:sz w:val="23"/>
        </w:rPr>
        <w:t> </w:t>
      </w:r>
      <w:r>
        <w:rPr>
          <w:color w:val="231F20"/>
          <w:sz w:val="23"/>
        </w:rPr>
        <w:t>All.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1"/>
        </w:rPr>
      </w:pPr>
    </w:p>
    <w:p>
      <w:pPr>
        <w:pStyle w:val="Heading1"/>
      </w:pPr>
      <w:r>
        <w:rPr>
          <w:color w:val="231F20"/>
        </w:rPr>
        <w:t>43</w:t>
      </w:r>
    </w:p>
    <w:p>
      <w:pPr>
        <w:spacing w:after="0"/>
        <w:sectPr>
          <w:pgSz w:w="11900" w:h="16840"/>
          <w:pgMar w:top="1180" w:bottom="280" w:left="1140" w:right="1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tabs>
          <w:tab w:pos="4975" w:val="left" w:leader="none"/>
        </w:tabs>
        <w:spacing w:before="100"/>
        <w:ind w:left="1277" w:right="0" w:firstLine="0"/>
        <w:jc w:val="left"/>
        <w:rPr>
          <w:b/>
          <w:sz w:val="72"/>
        </w:rPr>
      </w:pPr>
      <w:r>
        <w:rPr>
          <w:b/>
          <w:color w:val="231F20"/>
          <w:sz w:val="72"/>
        </w:rPr>
        <w:t>BUDGET</w:t>
        <w:tab/>
        <w:t>PROFILE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Heading1"/>
        <w:spacing w:before="240"/>
      </w:pPr>
      <w:r>
        <w:rPr>
          <w:color w:val="231F20"/>
        </w:rPr>
        <w:t>44</w:t>
      </w:r>
    </w:p>
    <w:p>
      <w:pPr>
        <w:spacing w:after="0"/>
        <w:sectPr>
          <w:pgSz w:w="11900" w:h="16840"/>
          <w:pgMar w:top="1600" w:bottom="280" w:left="1140" w:right="1120"/>
        </w:sectPr>
      </w:pPr>
    </w:p>
    <w:p>
      <w:pPr>
        <w:pStyle w:val="BodyText"/>
        <w:rPr>
          <w:sz w:val="12"/>
        </w:rPr>
      </w:pPr>
      <w:r>
        <w:rPr/>
        <w:pict>
          <v:shape style="position:absolute;margin-left:27.140491pt;margin-top:294.03891pt;width:14.35pt;height:4.5pt;mso-position-horizontal-relative:page;mso-position-vertical-relative:page;z-index:1072" type="#_x0000_t202" filled="false" stroked="false">
            <v:textbox inset="0,0,0,0" style="layout-flow:vertical">
              <w:txbxContent>
                <w:p>
                  <w:pPr>
                    <w:spacing w:before="13"/>
                    <w:ind w:left="20" w:right="0" w:firstLine="0"/>
                    <w:jc w:val="left"/>
                    <w:rPr>
                      <w:rFonts w:ascii="Arial"/>
                      <w:sz w:val="22"/>
                    </w:rPr>
                  </w:pPr>
                  <w:r>
                    <w:rPr>
                      <w:rFonts w:ascii="Arial"/>
                      <w:w w:val="100"/>
                      <w:sz w:val="22"/>
                    </w:rPr>
                    <w:t>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99"/>
        <w:gridCol w:w="1013"/>
        <w:gridCol w:w="1032"/>
        <w:gridCol w:w="1002"/>
        <w:gridCol w:w="1140"/>
        <w:gridCol w:w="1044"/>
        <w:gridCol w:w="1048"/>
        <w:gridCol w:w="910"/>
        <w:gridCol w:w="1054"/>
        <w:gridCol w:w="1054"/>
      </w:tblGrid>
      <w:tr>
        <w:trPr>
          <w:trHeight w:val="387" w:hRule="atLeast"/>
        </w:trPr>
        <w:tc>
          <w:tcPr>
            <w:tcW w:w="5499" w:type="dxa"/>
            <w:tcBorders>
              <w:top w:val="single" w:sz="18" w:space="0" w:color="000000"/>
            </w:tcBorders>
          </w:tcPr>
          <w:p>
            <w:pPr>
              <w:pStyle w:val="TableParagraph"/>
              <w:spacing w:before="35"/>
              <w:ind w:right="272"/>
              <w:jc w:val="right"/>
              <w:rPr>
                <w:b/>
                <w:sz w:val="14"/>
              </w:rPr>
            </w:pPr>
            <w:r>
              <w:rPr>
                <w:b/>
                <w:spacing w:val="3"/>
                <w:sz w:val="14"/>
              </w:rPr>
              <w:t>FY2018</w:t>
            </w:r>
          </w:p>
          <w:p>
            <w:pPr>
              <w:pStyle w:val="TableParagraph"/>
              <w:tabs>
                <w:tab w:pos="4670" w:val="left" w:leader="none"/>
              </w:tabs>
              <w:spacing w:line="154" w:lineRule="exact" w:before="17"/>
              <w:ind w:right="235"/>
              <w:jc w:val="right"/>
              <w:rPr>
                <w:b/>
                <w:i/>
                <w:sz w:val="14"/>
              </w:rPr>
            </w:pPr>
            <w:r>
              <w:rPr>
                <w:b/>
                <w:spacing w:val="3"/>
                <w:sz w:val="14"/>
              </w:rPr>
              <w:t>PARTICULARS</w:t>
              <w:tab/>
            </w:r>
            <w:r>
              <w:rPr>
                <w:b/>
                <w:i/>
                <w:spacing w:val="-1"/>
                <w:w w:val="95"/>
                <w:sz w:val="14"/>
              </w:rPr>
              <w:t>Estimate</w:t>
            </w:r>
          </w:p>
        </w:tc>
        <w:tc>
          <w:tcPr>
            <w:tcW w:w="1013" w:type="dxa"/>
            <w:tcBorders>
              <w:top w:val="single" w:sz="18" w:space="0" w:color="000000"/>
            </w:tcBorders>
          </w:tcPr>
          <w:p>
            <w:pPr>
              <w:pStyle w:val="TableParagraph"/>
              <w:spacing w:before="35"/>
              <w:ind w:left="232" w:right="250"/>
              <w:jc w:val="center"/>
              <w:rPr>
                <w:sz w:val="14"/>
              </w:rPr>
            </w:pPr>
            <w:r>
              <w:rPr>
                <w:sz w:val="14"/>
              </w:rPr>
              <w:t>FY2018</w:t>
            </w:r>
          </w:p>
          <w:p>
            <w:pPr>
              <w:pStyle w:val="TableParagraph"/>
              <w:spacing w:line="154" w:lineRule="exact" w:before="17"/>
              <w:ind w:left="232" w:right="236"/>
              <w:jc w:val="center"/>
              <w:rPr>
                <w:b/>
                <w:i/>
                <w:sz w:val="14"/>
              </w:rPr>
            </w:pPr>
            <w:r>
              <w:rPr>
                <w:b/>
                <w:i/>
                <w:sz w:val="14"/>
              </w:rPr>
              <w:t>% of</w:t>
            </w:r>
          </w:p>
        </w:tc>
        <w:tc>
          <w:tcPr>
            <w:tcW w:w="1032" w:type="dxa"/>
            <w:tcBorders>
              <w:top w:val="single" w:sz="18" w:space="0" w:color="000000"/>
            </w:tcBorders>
          </w:tcPr>
          <w:p>
            <w:pPr>
              <w:pStyle w:val="TableParagraph"/>
              <w:spacing w:before="35"/>
              <w:ind w:left="295"/>
              <w:rPr>
                <w:b/>
                <w:sz w:val="14"/>
              </w:rPr>
            </w:pPr>
            <w:r>
              <w:rPr>
                <w:b/>
                <w:sz w:val="14"/>
              </w:rPr>
              <w:t>FY2019</w:t>
            </w:r>
          </w:p>
          <w:p>
            <w:pPr>
              <w:pStyle w:val="TableParagraph"/>
              <w:spacing w:line="154" w:lineRule="exact" w:before="17"/>
              <w:ind w:left="256"/>
              <w:rPr>
                <w:b/>
                <w:i/>
                <w:sz w:val="14"/>
              </w:rPr>
            </w:pPr>
            <w:r>
              <w:rPr>
                <w:b/>
                <w:i/>
                <w:sz w:val="14"/>
              </w:rPr>
              <w:t>Program</w:t>
            </w:r>
          </w:p>
        </w:tc>
        <w:tc>
          <w:tcPr>
            <w:tcW w:w="1002" w:type="dxa"/>
            <w:tcBorders>
              <w:top w:val="single" w:sz="18" w:space="0" w:color="000000"/>
            </w:tcBorders>
          </w:tcPr>
          <w:p>
            <w:pPr>
              <w:pStyle w:val="TableParagraph"/>
              <w:spacing w:before="35"/>
              <w:ind w:left="174" w:right="296"/>
              <w:jc w:val="center"/>
              <w:rPr>
                <w:sz w:val="14"/>
              </w:rPr>
            </w:pPr>
            <w:r>
              <w:rPr>
                <w:sz w:val="14"/>
              </w:rPr>
              <w:t>FY2019</w:t>
            </w:r>
          </w:p>
          <w:p>
            <w:pPr>
              <w:pStyle w:val="TableParagraph"/>
              <w:spacing w:line="154" w:lineRule="exact" w:before="17"/>
              <w:ind w:left="174" w:right="296"/>
              <w:jc w:val="center"/>
              <w:rPr>
                <w:i/>
                <w:sz w:val="14"/>
              </w:rPr>
            </w:pPr>
            <w:r>
              <w:rPr>
                <w:i/>
                <w:sz w:val="14"/>
              </w:rPr>
              <w:t>% of</w:t>
            </w:r>
          </w:p>
        </w:tc>
        <w:tc>
          <w:tcPr>
            <w:tcW w:w="1140" w:type="dxa"/>
            <w:tcBorders>
              <w:top w:val="single" w:sz="18" w:space="0" w:color="000000"/>
            </w:tcBorders>
          </w:tcPr>
          <w:p>
            <w:pPr>
              <w:pStyle w:val="TableParagraph"/>
              <w:spacing w:before="35"/>
              <w:ind w:left="301"/>
              <w:rPr>
                <w:b/>
                <w:sz w:val="14"/>
              </w:rPr>
            </w:pPr>
            <w:r>
              <w:rPr>
                <w:b/>
                <w:spacing w:val="4"/>
                <w:sz w:val="14"/>
              </w:rPr>
              <w:t>FY2020</w:t>
            </w:r>
          </w:p>
          <w:p>
            <w:pPr>
              <w:pStyle w:val="TableParagraph"/>
              <w:spacing w:line="154" w:lineRule="exact" w:before="17"/>
              <w:ind w:left="324"/>
              <w:rPr>
                <w:b/>
                <w:i/>
                <w:sz w:val="14"/>
              </w:rPr>
            </w:pPr>
            <w:r>
              <w:rPr>
                <w:b/>
                <w:i/>
                <w:sz w:val="14"/>
              </w:rPr>
              <w:t>Budget</w:t>
            </w:r>
          </w:p>
        </w:tc>
        <w:tc>
          <w:tcPr>
            <w:tcW w:w="1044" w:type="dxa"/>
            <w:tcBorders>
              <w:top w:val="single" w:sz="18" w:space="0" w:color="000000"/>
            </w:tcBorders>
          </w:tcPr>
          <w:p>
            <w:pPr>
              <w:pStyle w:val="TableParagraph"/>
              <w:spacing w:before="35"/>
              <w:ind w:left="296" w:right="216"/>
              <w:jc w:val="center"/>
              <w:rPr>
                <w:sz w:val="14"/>
              </w:rPr>
            </w:pPr>
            <w:r>
              <w:rPr>
                <w:sz w:val="14"/>
              </w:rPr>
              <w:t>FY2020</w:t>
            </w:r>
          </w:p>
          <w:p>
            <w:pPr>
              <w:pStyle w:val="TableParagraph"/>
              <w:spacing w:line="154" w:lineRule="exact" w:before="17"/>
              <w:ind w:left="296" w:right="216"/>
              <w:jc w:val="center"/>
              <w:rPr>
                <w:i/>
                <w:sz w:val="14"/>
              </w:rPr>
            </w:pPr>
            <w:r>
              <w:rPr>
                <w:i/>
                <w:sz w:val="14"/>
              </w:rPr>
              <w:t>% of</w:t>
            </w:r>
          </w:p>
        </w:tc>
        <w:tc>
          <w:tcPr>
            <w:tcW w:w="1048" w:type="dxa"/>
            <w:tcBorders>
              <w:top w:val="single" w:sz="18" w:space="0" w:color="000000"/>
            </w:tcBorders>
          </w:tcPr>
          <w:p>
            <w:pPr>
              <w:pStyle w:val="TableParagraph"/>
              <w:spacing w:before="35"/>
              <w:ind w:left="272"/>
              <w:rPr>
                <w:b/>
                <w:sz w:val="14"/>
              </w:rPr>
            </w:pPr>
            <w:r>
              <w:rPr>
                <w:b/>
                <w:sz w:val="14"/>
              </w:rPr>
              <w:t>FY2021</w:t>
            </w:r>
          </w:p>
          <w:p>
            <w:pPr>
              <w:pStyle w:val="TableParagraph"/>
              <w:spacing w:line="154" w:lineRule="exact" w:before="17"/>
              <w:ind w:left="219"/>
              <w:rPr>
                <w:i/>
                <w:sz w:val="14"/>
              </w:rPr>
            </w:pPr>
            <w:r>
              <w:rPr>
                <w:i/>
                <w:sz w:val="14"/>
              </w:rPr>
              <w:t>Indicative</w:t>
            </w:r>
          </w:p>
        </w:tc>
        <w:tc>
          <w:tcPr>
            <w:tcW w:w="910" w:type="dxa"/>
            <w:tcBorders>
              <w:top w:val="single" w:sz="18" w:space="0" w:color="000000"/>
            </w:tcBorders>
          </w:tcPr>
          <w:p>
            <w:pPr>
              <w:pStyle w:val="TableParagraph"/>
              <w:spacing w:before="35"/>
              <w:ind w:left="153" w:right="149"/>
              <w:jc w:val="center"/>
              <w:rPr>
                <w:sz w:val="14"/>
              </w:rPr>
            </w:pPr>
            <w:r>
              <w:rPr>
                <w:sz w:val="14"/>
              </w:rPr>
              <w:t>FY2021</w:t>
            </w:r>
          </w:p>
          <w:p>
            <w:pPr>
              <w:pStyle w:val="TableParagraph"/>
              <w:spacing w:line="154" w:lineRule="exact" w:before="17"/>
              <w:ind w:left="154" w:right="149"/>
              <w:jc w:val="center"/>
              <w:rPr>
                <w:i/>
                <w:sz w:val="14"/>
              </w:rPr>
            </w:pPr>
            <w:r>
              <w:rPr>
                <w:i/>
                <w:sz w:val="14"/>
              </w:rPr>
              <w:t>% of</w:t>
            </w:r>
          </w:p>
        </w:tc>
        <w:tc>
          <w:tcPr>
            <w:tcW w:w="1054" w:type="dxa"/>
            <w:tcBorders>
              <w:top w:val="single" w:sz="18" w:space="0" w:color="000000"/>
            </w:tcBorders>
          </w:tcPr>
          <w:p>
            <w:pPr>
              <w:pStyle w:val="TableParagraph"/>
              <w:spacing w:before="35"/>
              <w:ind w:left="243"/>
              <w:rPr>
                <w:b/>
                <w:sz w:val="14"/>
              </w:rPr>
            </w:pPr>
            <w:r>
              <w:rPr>
                <w:b/>
                <w:sz w:val="14"/>
              </w:rPr>
              <w:t>FY2022</w:t>
            </w:r>
          </w:p>
          <w:p>
            <w:pPr>
              <w:pStyle w:val="TableParagraph"/>
              <w:spacing w:line="154" w:lineRule="exact" w:before="17"/>
              <w:ind w:left="190"/>
              <w:rPr>
                <w:i/>
                <w:sz w:val="14"/>
              </w:rPr>
            </w:pPr>
            <w:r>
              <w:rPr>
                <w:i/>
                <w:sz w:val="14"/>
              </w:rPr>
              <w:t>Indicative</w:t>
            </w:r>
          </w:p>
        </w:tc>
        <w:tc>
          <w:tcPr>
            <w:tcW w:w="1054" w:type="dxa"/>
            <w:tcBorders>
              <w:top w:val="single" w:sz="18" w:space="0" w:color="000000"/>
            </w:tcBorders>
          </w:tcPr>
          <w:p>
            <w:pPr>
              <w:pStyle w:val="TableParagraph"/>
              <w:spacing w:before="35"/>
              <w:ind w:left="232"/>
              <w:rPr>
                <w:sz w:val="14"/>
              </w:rPr>
            </w:pPr>
            <w:r>
              <w:rPr>
                <w:sz w:val="14"/>
              </w:rPr>
              <w:t>FY2022</w:t>
            </w:r>
          </w:p>
          <w:p>
            <w:pPr>
              <w:pStyle w:val="TableParagraph"/>
              <w:spacing w:line="154" w:lineRule="exact" w:before="17"/>
              <w:ind w:left="283"/>
              <w:rPr>
                <w:i/>
                <w:sz w:val="14"/>
              </w:rPr>
            </w:pPr>
            <w:r>
              <w:rPr>
                <w:i/>
                <w:sz w:val="14"/>
              </w:rPr>
              <w:t>% of</w:t>
            </w:r>
          </w:p>
        </w:tc>
      </w:tr>
      <w:tr>
        <w:trPr>
          <w:trHeight w:val="469" w:hRule="atLeast"/>
        </w:trPr>
        <w:tc>
          <w:tcPr>
            <w:tcW w:w="5499" w:type="dxa"/>
            <w:tcBorders>
              <w:bottom w:val="single" w:sz="18" w:space="0" w:color="000000"/>
            </w:tcBorders>
          </w:tcPr>
          <w:p>
            <w:pPr>
              <w:pStyle w:val="TableParagraph"/>
              <w:spacing w:before="8"/>
              <w:ind w:right="351"/>
              <w:jc w:val="right"/>
              <w:rPr>
                <w:sz w:val="14"/>
              </w:rPr>
            </w:pPr>
            <w:r>
              <w:rPr>
                <w:sz w:val="14"/>
              </w:rPr>
              <w:t>Q1 -4</w:t>
            </w:r>
          </w:p>
          <w:p>
            <w:pPr>
              <w:pStyle w:val="TableParagraph"/>
              <w:spacing w:before="16"/>
              <w:ind w:right="259"/>
              <w:jc w:val="right"/>
              <w:rPr>
                <w:sz w:val="14"/>
              </w:rPr>
            </w:pPr>
            <w:r>
              <w:rPr>
                <w:sz w:val="14"/>
              </w:rPr>
              <w:t>Jan-Dec</w:t>
            </w:r>
          </w:p>
        </w:tc>
        <w:tc>
          <w:tcPr>
            <w:tcW w:w="1013" w:type="dxa"/>
            <w:tcBorders>
              <w:bottom w:val="single" w:sz="18" w:space="0" w:color="000000"/>
            </w:tcBorders>
          </w:tcPr>
          <w:p>
            <w:pPr>
              <w:pStyle w:val="TableParagraph"/>
              <w:spacing w:before="8"/>
              <w:ind w:left="232" w:right="237"/>
              <w:jc w:val="center"/>
              <w:rPr>
                <w:sz w:val="14"/>
              </w:rPr>
            </w:pPr>
            <w:r>
              <w:rPr>
                <w:sz w:val="14"/>
              </w:rPr>
              <w:t>GPD</w:t>
            </w:r>
          </w:p>
        </w:tc>
        <w:tc>
          <w:tcPr>
            <w:tcW w:w="1032" w:type="dxa"/>
            <w:tcBorders>
              <w:bottom w:val="single" w:sz="18" w:space="0" w:color="000000"/>
            </w:tcBorders>
          </w:tcPr>
          <w:p>
            <w:pPr>
              <w:pStyle w:val="TableParagraph"/>
              <w:spacing w:before="8"/>
              <w:ind w:left="269" w:right="174"/>
              <w:jc w:val="center"/>
              <w:rPr>
                <w:b/>
                <w:sz w:val="14"/>
              </w:rPr>
            </w:pPr>
            <w:r>
              <w:rPr>
                <w:b/>
                <w:sz w:val="14"/>
              </w:rPr>
              <w:t>Q1-4</w:t>
            </w:r>
          </w:p>
          <w:p>
            <w:pPr>
              <w:pStyle w:val="TableParagraph"/>
              <w:spacing w:before="16"/>
              <w:ind w:left="269" w:right="178"/>
              <w:jc w:val="center"/>
              <w:rPr>
                <w:b/>
                <w:sz w:val="14"/>
              </w:rPr>
            </w:pPr>
            <w:r>
              <w:rPr>
                <w:b/>
                <w:sz w:val="14"/>
              </w:rPr>
              <w:t>Jan-Dec</w:t>
            </w:r>
          </w:p>
        </w:tc>
        <w:tc>
          <w:tcPr>
            <w:tcW w:w="1002" w:type="dxa"/>
            <w:tcBorders>
              <w:bottom w:val="single" w:sz="18" w:space="0" w:color="000000"/>
            </w:tcBorders>
          </w:tcPr>
          <w:p>
            <w:pPr>
              <w:pStyle w:val="TableParagraph"/>
              <w:spacing w:before="8"/>
              <w:ind w:left="299"/>
              <w:rPr>
                <w:sz w:val="14"/>
              </w:rPr>
            </w:pPr>
            <w:r>
              <w:rPr>
                <w:sz w:val="14"/>
              </w:rPr>
              <w:t>GPD</w:t>
            </w:r>
          </w:p>
        </w:tc>
        <w:tc>
          <w:tcPr>
            <w:tcW w:w="1140" w:type="dxa"/>
            <w:tcBorders>
              <w:bottom w:val="single" w:sz="18" w:space="0" w:color="000000"/>
            </w:tcBorders>
          </w:tcPr>
          <w:p>
            <w:pPr>
              <w:pStyle w:val="TableParagraph"/>
              <w:spacing w:before="8"/>
              <w:ind w:left="276" w:right="276"/>
              <w:jc w:val="center"/>
              <w:rPr>
                <w:b/>
                <w:sz w:val="14"/>
              </w:rPr>
            </w:pPr>
            <w:r>
              <w:rPr>
                <w:b/>
                <w:sz w:val="14"/>
              </w:rPr>
              <w:t>Q1-4</w:t>
            </w:r>
          </w:p>
          <w:p>
            <w:pPr>
              <w:pStyle w:val="TableParagraph"/>
              <w:spacing w:before="16"/>
              <w:ind w:left="276" w:right="278"/>
              <w:jc w:val="center"/>
              <w:rPr>
                <w:b/>
                <w:sz w:val="14"/>
              </w:rPr>
            </w:pPr>
            <w:r>
              <w:rPr>
                <w:b/>
                <w:sz w:val="14"/>
              </w:rPr>
              <w:t>Jan-Dec</w:t>
            </w:r>
          </w:p>
        </w:tc>
        <w:tc>
          <w:tcPr>
            <w:tcW w:w="1044" w:type="dxa"/>
            <w:tcBorders>
              <w:bottom w:val="single" w:sz="18" w:space="0" w:color="000000"/>
            </w:tcBorders>
          </w:tcPr>
          <w:p>
            <w:pPr>
              <w:pStyle w:val="TableParagraph"/>
              <w:spacing w:before="8"/>
              <w:ind w:left="423"/>
              <w:rPr>
                <w:sz w:val="14"/>
              </w:rPr>
            </w:pPr>
            <w:r>
              <w:rPr>
                <w:sz w:val="14"/>
              </w:rPr>
              <w:t>GPD</w:t>
            </w:r>
          </w:p>
        </w:tc>
        <w:tc>
          <w:tcPr>
            <w:tcW w:w="1048" w:type="dxa"/>
            <w:tcBorders>
              <w:bottom w:val="single" w:sz="18" w:space="0" w:color="000000"/>
            </w:tcBorders>
          </w:tcPr>
          <w:p>
            <w:pPr>
              <w:pStyle w:val="TableParagraph"/>
              <w:spacing w:before="8"/>
              <w:ind w:left="367"/>
              <w:rPr>
                <w:sz w:val="14"/>
              </w:rPr>
            </w:pPr>
            <w:r>
              <w:rPr>
                <w:sz w:val="14"/>
              </w:rPr>
              <w:t>Q1 -4</w:t>
            </w:r>
          </w:p>
          <w:p>
            <w:pPr>
              <w:pStyle w:val="TableParagraph"/>
              <w:spacing w:before="16"/>
              <w:ind w:left="272"/>
              <w:rPr>
                <w:sz w:val="14"/>
              </w:rPr>
            </w:pPr>
            <w:r>
              <w:rPr>
                <w:sz w:val="14"/>
              </w:rPr>
              <w:t>Jan-Dec</w:t>
            </w:r>
          </w:p>
        </w:tc>
        <w:tc>
          <w:tcPr>
            <w:tcW w:w="910" w:type="dxa"/>
            <w:tcBorders>
              <w:bottom w:val="single" w:sz="18" w:space="0" w:color="000000"/>
            </w:tcBorders>
          </w:tcPr>
          <w:p>
            <w:pPr>
              <w:pStyle w:val="TableParagraph"/>
              <w:spacing w:before="8"/>
              <w:ind w:left="318"/>
              <w:rPr>
                <w:sz w:val="14"/>
              </w:rPr>
            </w:pPr>
            <w:r>
              <w:rPr>
                <w:sz w:val="14"/>
              </w:rPr>
              <w:t>GPD</w:t>
            </w:r>
          </w:p>
        </w:tc>
        <w:tc>
          <w:tcPr>
            <w:tcW w:w="1054" w:type="dxa"/>
            <w:tcBorders>
              <w:bottom w:val="single" w:sz="18" w:space="0" w:color="000000"/>
            </w:tcBorders>
          </w:tcPr>
          <w:p>
            <w:pPr>
              <w:pStyle w:val="TableParagraph"/>
              <w:spacing w:before="8"/>
              <w:ind w:left="339"/>
              <w:rPr>
                <w:sz w:val="14"/>
              </w:rPr>
            </w:pPr>
            <w:r>
              <w:rPr>
                <w:sz w:val="14"/>
              </w:rPr>
              <w:t>Q1 -4</w:t>
            </w:r>
          </w:p>
          <w:p>
            <w:pPr>
              <w:pStyle w:val="TableParagraph"/>
              <w:spacing w:before="16"/>
              <w:ind w:left="244"/>
              <w:rPr>
                <w:sz w:val="14"/>
              </w:rPr>
            </w:pPr>
            <w:r>
              <w:rPr>
                <w:sz w:val="14"/>
              </w:rPr>
              <w:t>Jan-Dec</w:t>
            </w:r>
          </w:p>
        </w:tc>
        <w:tc>
          <w:tcPr>
            <w:tcW w:w="1054" w:type="dxa"/>
            <w:tcBorders>
              <w:bottom w:val="single" w:sz="18" w:space="0" w:color="000000"/>
            </w:tcBorders>
          </w:tcPr>
          <w:p>
            <w:pPr>
              <w:pStyle w:val="TableParagraph"/>
              <w:spacing w:before="8"/>
              <w:ind w:left="279"/>
              <w:rPr>
                <w:sz w:val="14"/>
              </w:rPr>
            </w:pPr>
            <w:r>
              <w:rPr>
                <w:sz w:val="14"/>
              </w:rPr>
              <w:t>GPD</w:t>
            </w:r>
          </w:p>
        </w:tc>
      </w:tr>
    </w:tbl>
    <w:p>
      <w:pPr>
        <w:pStyle w:val="BodyText"/>
        <w:spacing w:before="5"/>
      </w:pPr>
    </w:p>
    <w:p>
      <w:pPr>
        <w:tabs>
          <w:tab w:pos="4478" w:val="left" w:leader="none"/>
          <w:tab w:pos="5760" w:val="left" w:leader="none"/>
          <w:tab w:pos="6609" w:val="left" w:leader="none"/>
          <w:tab w:pos="7684" w:val="left" w:leader="none"/>
          <w:tab w:pos="8649" w:val="left" w:leader="none"/>
          <w:tab w:pos="9897" w:val="left" w:leader="none"/>
          <w:tab w:pos="10747" w:val="left" w:leader="none"/>
          <w:tab w:pos="11879" w:val="left" w:leader="none"/>
          <w:tab w:pos="12643" w:val="left" w:leader="none"/>
          <w:tab w:pos="13866" w:val="left" w:leader="none"/>
        </w:tabs>
        <w:spacing w:before="95"/>
        <w:ind w:left="0" w:right="154" w:firstLine="0"/>
        <w:jc w:val="center"/>
        <w:rPr>
          <w:rFonts w:ascii="Arial"/>
          <w:i/>
          <w:sz w:val="14"/>
        </w:rPr>
      </w:pPr>
      <w:r>
        <w:rPr>
          <w:rFonts w:ascii="Arial"/>
          <w:b/>
          <w:spacing w:val="2"/>
          <w:sz w:val="14"/>
        </w:rPr>
        <w:t>Total Revenue</w:t>
      </w:r>
      <w:r>
        <w:rPr>
          <w:rFonts w:ascii="Arial"/>
          <w:b/>
          <w:spacing w:val="-4"/>
          <w:sz w:val="14"/>
        </w:rPr>
        <w:t> </w:t>
      </w:r>
      <w:r>
        <w:rPr>
          <w:rFonts w:ascii="Arial"/>
          <w:b/>
          <w:spacing w:val="2"/>
          <w:sz w:val="14"/>
        </w:rPr>
        <w:t>and </w:t>
      </w:r>
      <w:r>
        <w:rPr>
          <w:rFonts w:ascii="Arial"/>
          <w:b/>
          <w:spacing w:val="3"/>
          <w:sz w:val="14"/>
        </w:rPr>
        <w:t>Grants</w:t>
        <w:tab/>
      </w:r>
      <w:r>
        <w:rPr>
          <w:rFonts w:ascii="Arial"/>
          <w:b/>
          <w:i/>
          <w:spacing w:val="3"/>
          <w:sz w:val="14"/>
        </w:rPr>
        <w:t>5,108,751</w:t>
        <w:tab/>
      </w:r>
      <w:r>
        <w:rPr>
          <w:rFonts w:ascii="Arial"/>
          <w:b/>
          <w:sz w:val="14"/>
        </w:rPr>
        <w:t>15.8%</w:t>
        <w:tab/>
        <w:t>6,658,628</w:t>
        <w:tab/>
      </w:r>
      <w:r>
        <w:rPr>
          <w:rFonts w:ascii="Arial"/>
          <w:i/>
          <w:spacing w:val="4"/>
          <w:sz w:val="14"/>
        </w:rPr>
        <w:t>17.7%</w:t>
        <w:tab/>
      </w:r>
      <w:r>
        <w:rPr>
          <w:rFonts w:ascii="Arial"/>
          <w:b/>
          <w:sz w:val="14"/>
        </w:rPr>
        <w:t>8,235,596</w:t>
        <w:tab/>
      </w:r>
      <w:r>
        <w:rPr>
          <w:rFonts w:ascii="Arial"/>
          <w:i/>
          <w:spacing w:val="4"/>
          <w:sz w:val="14"/>
        </w:rPr>
        <w:t>18.9%</w:t>
        <w:tab/>
      </w:r>
      <w:r>
        <w:rPr>
          <w:rFonts w:ascii="Arial"/>
          <w:b/>
          <w:sz w:val="14"/>
        </w:rPr>
        <w:t>8,943,424</w:t>
        <w:tab/>
      </w:r>
      <w:r>
        <w:rPr>
          <w:rFonts w:ascii="Arial"/>
          <w:i/>
          <w:spacing w:val="4"/>
          <w:sz w:val="14"/>
        </w:rPr>
        <w:t>17.7%</w:t>
        <w:tab/>
      </w:r>
      <w:r>
        <w:rPr>
          <w:rFonts w:ascii="Arial"/>
          <w:b/>
          <w:spacing w:val="2"/>
          <w:sz w:val="14"/>
        </w:rPr>
        <w:t>10,481,474</w:t>
        <w:tab/>
      </w:r>
      <w:r>
        <w:rPr>
          <w:rFonts w:ascii="Arial"/>
          <w:i/>
          <w:spacing w:val="4"/>
          <w:sz w:val="14"/>
        </w:rPr>
        <w:t>18.2%</w:t>
      </w:r>
    </w:p>
    <w:p>
      <w:pPr>
        <w:pStyle w:val="BodyText"/>
        <w:spacing w:before="3"/>
        <w:rPr>
          <w:rFonts w:ascii="Arial"/>
          <w:i/>
          <w:sz w:val="17"/>
        </w:rPr>
      </w:pPr>
    </w:p>
    <w:p>
      <w:pPr>
        <w:tabs>
          <w:tab w:pos="4321" w:val="left" w:leader="none"/>
          <w:tab w:pos="5603" w:val="left" w:leader="none"/>
          <w:tab w:pos="6419" w:val="left" w:leader="none"/>
          <w:tab w:pos="7528" w:val="left" w:leader="none"/>
          <w:tab w:pos="8493" w:val="left" w:leader="none"/>
          <w:tab w:pos="9741" w:val="left" w:leader="none"/>
          <w:tab w:pos="10591" w:val="left" w:leader="none"/>
          <w:tab w:pos="11723" w:val="left" w:leader="none"/>
          <w:tab w:pos="12573" w:val="left" w:leader="none"/>
          <w:tab w:pos="13710" w:val="left" w:leader="none"/>
        </w:tabs>
        <w:spacing w:before="1"/>
        <w:ind w:left="11" w:right="0" w:firstLine="0"/>
        <w:jc w:val="center"/>
        <w:rPr>
          <w:rFonts w:ascii="Arial"/>
          <w:i/>
          <w:sz w:val="14"/>
        </w:rPr>
      </w:pPr>
      <w:r>
        <w:rPr>
          <w:rFonts w:ascii="Arial"/>
          <w:b/>
          <w:sz w:val="14"/>
        </w:rPr>
        <w:t>Domestic</w:t>
      </w:r>
      <w:r>
        <w:rPr>
          <w:rFonts w:ascii="Arial"/>
          <w:b/>
          <w:spacing w:val="1"/>
          <w:sz w:val="14"/>
        </w:rPr>
        <w:t> </w:t>
      </w:r>
      <w:r>
        <w:rPr>
          <w:rFonts w:ascii="Arial"/>
          <w:b/>
          <w:sz w:val="14"/>
        </w:rPr>
        <w:t>Revenue</w:t>
        <w:tab/>
      </w:r>
      <w:r>
        <w:rPr>
          <w:rFonts w:ascii="Arial"/>
          <w:i/>
          <w:spacing w:val="6"/>
          <w:sz w:val="14"/>
        </w:rPr>
        <w:t>4,428</w:t>
      </w:r>
      <w:r>
        <w:rPr>
          <w:rFonts w:ascii="Arial"/>
          <w:i/>
          <w:spacing w:val="-25"/>
          <w:sz w:val="14"/>
        </w:rPr>
        <w:t> </w:t>
      </w:r>
      <w:r>
        <w:rPr>
          <w:rFonts w:ascii="Arial"/>
          <w:i/>
          <w:spacing w:val="6"/>
          <w:sz w:val="14"/>
        </w:rPr>
        <w:t>,458</w:t>
        <w:tab/>
      </w:r>
      <w:r>
        <w:rPr>
          <w:rFonts w:ascii="Arial"/>
          <w:b/>
          <w:sz w:val="14"/>
        </w:rPr>
        <w:t>13.7%</w:t>
        <w:tab/>
      </w:r>
      <w:r>
        <w:rPr>
          <w:rFonts w:ascii="Arial"/>
          <w:spacing w:val="6"/>
          <w:sz w:val="14"/>
        </w:rPr>
        <w:t>5,378</w:t>
      </w:r>
      <w:r>
        <w:rPr>
          <w:rFonts w:ascii="Arial"/>
          <w:spacing w:val="-26"/>
          <w:sz w:val="14"/>
        </w:rPr>
        <w:t> </w:t>
      </w:r>
      <w:r>
        <w:rPr>
          <w:rFonts w:ascii="Arial"/>
          <w:spacing w:val="6"/>
          <w:sz w:val="14"/>
        </w:rPr>
        <w:t>,990</w:t>
        <w:tab/>
      </w:r>
      <w:r>
        <w:rPr>
          <w:rFonts w:ascii="Arial"/>
          <w:i/>
          <w:spacing w:val="4"/>
          <w:sz w:val="14"/>
        </w:rPr>
        <w:t>14.3%</w:t>
        <w:tab/>
      </w:r>
      <w:r>
        <w:rPr>
          <w:rFonts w:ascii="Arial"/>
          <w:b/>
          <w:sz w:val="14"/>
        </w:rPr>
        <w:t>6,470,436</w:t>
        <w:tab/>
      </w:r>
      <w:r>
        <w:rPr>
          <w:rFonts w:ascii="Arial"/>
          <w:i/>
          <w:spacing w:val="4"/>
          <w:sz w:val="14"/>
        </w:rPr>
        <w:t>14.9%</w:t>
        <w:tab/>
      </w:r>
      <w:r>
        <w:rPr>
          <w:rFonts w:ascii="Arial"/>
          <w:b/>
          <w:sz w:val="14"/>
        </w:rPr>
        <w:t>7,748,109</w:t>
        <w:tab/>
      </w:r>
      <w:r>
        <w:rPr>
          <w:rFonts w:ascii="Arial"/>
          <w:i/>
          <w:spacing w:val="4"/>
          <w:sz w:val="14"/>
        </w:rPr>
        <w:t>15.3%</w:t>
        <w:tab/>
      </w:r>
      <w:r>
        <w:rPr>
          <w:rFonts w:ascii="Arial"/>
          <w:b/>
          <w:sz w:val="14"/>
        </w:rPr>
        <w:t>9,180,374</w:t>
        <w:tab/>
      </w:r>
      <w:r>
        <w:rPr>
          <w:rFonts w:ascii="Arial"/>
          <w:i/>
          <w:spacing w:val="4"/>
          <w:sz w:val="14"/>
        </w:rPr>
        <w:t>15.9%</w:t>
      </w:r>
    </w:p>
    <w:p>
      <w:pPr>
        <w:pStyle w:val="BodyText"/>
        <w:spacing w:before="8"/>
        <w:rPr>
          <w:rFonts w:ascii="Arial"/>
          <w:i/>
          <w:sz w:val="14"/>
        </w:rPr>
      </w:pPr>
    </w:p>
    <w:tbl>
      <w:tblPr>
        <w:tblW w:w="0" w:type="auto"/>
        <w:jc w:val="lef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1"/>
        <w:gridCol w:w="1221"/>
        <w:gridCol w:w="874"/>
        <w:gridCol w:w="1171"/>
        <w:gridCol w:w="831"/>
        <w:gridCol w:w="1305"/>
        <w:gridCol w:w="836"/>
        <w:gridCol w:w="1205"/>
        <w:gridCol w:w="779"/>
        <w:gridCol w:w="1208"/>
        <w:gridCol w:w="610"/>
      </w:tblGrid>
      <w:tr>
        <w:trPr>
          <w:trHeight w:val="203" w:hRule="atLeast"/>
        </w:trPr>
        <w:tc>
          <w:tcPr>
            <w:tcW w:w="4311" w:type="dxa"/>
          </w:tcPr>
          <w:p>
            <w:pPr>
              <w:pStyle w:val="TableParagraph"/>
              <w:spacing w:line="154" w:lineRule="exact" w:before="29"/>
              <w:ind w:left="376"/>
              <w:rPr>
                <w:b/>
                <w:sz w:val="14"/>
              </w:rPr>
            </w:pPr>
            <w:r>
              <w:rPr>
                <w:b/>
                <w:sz w:val="14"/>
              </w:rPr>
              <w:t>Income Tax Revenue</w:t>
            </w:r>
          </w:p>
        </w:tc>
        <w:tc>
          <w:tcPr>
            <w:tcW w:w="1221" w:type="dxa"/>
          </w:tcPr>
          <w:p>
            <w:pPr>
              <w:pStyle w:val="TableParagraph"/>
              <w:spacing w:line="154" w:lineRule="exact" w:before="29"/>
              <w:ind w:right="359"/>
              <w:jc w:val="right"/>
              <w:rPr>
                <w:b/>
                <w:i/>
                <w:sz w:val="14"/>
              </w:rPr>
            </w:pPr>
            <w:r>
              <w:rPr>
                <w:b/>
                <w:i/>
                <w:sz w:val="14"/>
              </w:rPr>
              <w:t>1,595,946</w:t>
            </w:r>
          </w:p>
        </w:tc>
        <w:tc>
          <w:tcPr>
            <w:tcW w:w="874" w:type="dxa"/>
          </w:tcPr>
          <w:p>
            <w:pPr>
              <w:pStyle w:val="TableParagraph"/>
              <w:spacing w:line="154" w:lineRule="exact" w:before="29"/>
              <w:ind w:right="210"/>
              <w:jc w:val="right"/>
              <w:rPr>
                <w:b/>
                <w:sz w:val="14"/>
              </w:rPr>
            </w:pPr>
            <w:r>
              <w:rPr>
                <w:b/>
                <w:sz w:val="14"/>
              </w:rPr>
              <w:t>4.9%</w:t>
            </w:r>
          </w:p>
        </w:tc>
        <w:tc>
          <w:tcPr>
            <w:tcW w:w="1171" w:type="dxa"/>
          </w:tcPr>
          <w:p>
            <w:pPr>
              <w:pStyle w:val="TableParagraph"/>
              <w:spacing w:line="154" w:lineRule="exact" w:before="29"/>
              <w:ind w:right="289"/>
              <w:jc w:val="right"/>
              <w:rPr>
                <w:b/>
                <w:sz w:val="14"/>
              </w:rPr>
            </w:pPr>
            <w:r>
              <w:rPr>
                <w:b/>
                <w:sz w:val="14"/>
              </w:rPr>
              <w:t>1,930,198</w:t>
            </w:r>
          </w:p>
        </w:tc>
        <w:tc>
          <w:tcPr>
            <w:tcW w:w="831" w:type="dxa"/>
          </w:tcPr>
          <w:p>
            <w:pPr>
              <w:pStyle w:val="TableParagraph"/>
              <w:spacing w:line="154" w:lineRule="exact" w:before="29"/>
              <w:ind w:left="214" w:right="256"/>
              <w:jc w:val="center"/>
              <w:rPr>
                <w:i/>
                <w:sz w:val="14"/>
              </w:rPr>
            </w:pPr>
            <w:r>
              <w:rPr>
                <w:i/>
                <w:sz w:val="14"/>
              </w:rPr>
              <w:t>5.1%</w:t>
            </w:r>
          </w:p>
        </w:tc>
        <w:tc>
          <w:tcPr>
            <w:tcW w:w="1305" w:type="dxa"/>
          </w:tcPr>
          <w:p>
            <w:pPr>
              <w:pStyle w:val="TableParagraph"/>
              <w:spacing w:line="154" w:lineRule="exact" w:before="29"/>
              <w:ind w:right="385"/>
              <w:jc w:val="right"/>
              <w:rPr>
                <w:b/>
                <w:sz w:val="14"/>
              </w:rPr>
            </w:pPr>
            <w:r>
              <w:rPr>
                <w:b/>
                <w:sz w:val="14"/>
              </w:rPr>
              <w:t>2,274,303</w:t>
            </w:r>
          </w:p>
        </w:tc>
        <w:tc>
          <w:tcPr>
            <w:tcW w:w="836" w:type="dxa"/>
          </w:tcPr>
          <w:p>
            <w:pPr>
              <w:pStyle w:val="TableParagraph"/>
              <w:spacing w:line="154" w:lineRule="exact" w:before="29"/>
              <w:ind w:right="205"/>
              <w:jc w:val="right"/>
              <w:rPr>
                <w:i/>
                <w:sz w:val="14"/>
              </w:rPr>
            </w:pPr>
            <w:r>
              <w:rPr>
                <w:i/>
                <w:w w:val="95"/>
                <w:sz w:val="14"/>
              </w:rPr>
              <w:t>5.2%</w:t>
            </w:r>
          </w:p>
        </w:tc>
        <w:tc>
          <w:tcPr>
            <w:tcW w:w="1205" w:type="dxa"/>
          </w:tcPr>
          <w:p>
            <w:pPr>
              <w:pStyle w:val="TableParagraph"/>
              <w:spacing w:line="154" w:lineRule="exact" w:before="29"/>
              <w:ind w:right="328"/>
              <w:jc w:val="right"/>
              <w:rPr>
                <w:b/>
                <w:sz w:val="14"/>
              </w:rPr>
            </w:pPr>
            <w:r>
              <w:rPr>
                <w:b/>
                <w:sz w:val="14"/>
              </w:rPr>
              <w:t>2,914,352</w:t>
            </w:r>
          </w:p>
        </w:tc>
        <w:tc>
          <w:tcPr>
            <w:tcW w:w="779" w:type="dxa"/>
          </w:tcPr>
          <w:p>
            <w:pPr>
              <w:pStyle w:val="TableParagraph"/>
              <w:spacing w:line="154" w:lineRule="exact" w:before="29"/>
              <w:ind w:left="231" w:right="188"/>
              <w:jc w:val="center"/>
              <w:rPr>
                <w:i/>
                <w:sz w:val="14"/>
              </w:rPr>
            </w:pPr>
            <w:r>
              <w:rPr>
                <w:i/>
                <w:sz w:val="14"/>
              </w:rPr>
              <w:t>5.8%</w:t>
            </w:r>
          </w:p>
        </w:tc>
        <w:tc>
          <w:tcPr>
            <w:tcW w:w="1208" w:type="dxa"/>
          </w:tcPr>
          <w:p>
            <w:pPr>
              <w:pStyle w:val="TableParagraph"/>
              <w:spacing w:line="154" w:lineRule="exact" w:before="29"/>
              <w:ind w:right="333"/>
              <w:jc w:val="right"/>
              <w:rPr>
                <w:b/>
                <w:sz w:val="14"/>
              </w:rPr>
            </w:pPr>
            <w:r>
              <w:rPr>
                <w:b/>
                <w:sz w:val="14"/>
              </w:rPr>
              <w:t>3,256,521</w:t>
            </w:r>
          </w:p>
        </w:tc>
        <w:tc>
          <w:tcPr>
            <w:tcW w:w="610" w:type="dxa"/>
          </w:tcPr>
          <w:p>
            <w:pPr>
              <w:pStyle w:val="TableParagraph"/>
              <w:spacing w:line="154" w:lineRule="exact" w:before="29"/>
              <w:ind w:right="37"/>
              <w:jc w:val="right"/>
              <w:rPr>
                <w:i/>
                <w:sz w:val="14"/>
              </w:rPr>
            </w:pPr>
            <w:r>
              <w:rPr>
                <w:i/>
                <w:w w:val="95"/>
                <w:sz w:val="14"/>
              </w:rPr>
              <w:t>5.6%</w:t>
            </w:r>
          </w:p>
        </w:tc>
      </w:tr>
      <w:tr>
        <w:trPr>
          <w:trHeight w:val="180" w:hRule="atLeast"/>
        </w:trPr>
        <w:tc>
          <w:tcPr>
            <w:tcW w:w="4311" w:type="dxa"/>
          </w:tcPr>
          <w:p>
            <w:pPr>
              <w:pStyle w:val="TableParagraph"/>
              <w:spacing w:line="152" w:lineRule="exact" w:before="8"/>
              <w:ind w:left="543"/>
              <w:rPr>
                <w:sz w:val="14"/>
              </w:rPr>
            </w:pPr>
            <w:r>
              <w:rPr>
                <w:sz w:val="14"/>
              </w:rPr>
              <w:t>Corporate Tax</w:t>
            </w:r>
          </w:p>
        </w:tc>
        <w:tc>
          <w:tcPr>
            <w:tcW w:w="1221" w:type="dxa"/>
          </w:tcPr>
          <w:p>
            <w:pPr>
              <w:pStyle w:val="TableParagraph"/>
              <w:spacing w:line="152" w:lineRule="exact" w:before="8"/>
              <w:ind w:right="309"/>
              <w:jc w:val="right"/>
              <w:rPr>
                <w:i/>
                <w:sz w:val="14"/>
              </w:rPr>
            </w:pPr>
            <w:r>
              <w:rPr>
                <w:i/>
                <w:sz w:val="14"/>
              </w:rPr>
              <w:t>438,331</w:t>
            </w:r>
          </w:p>
        </w:tc>
        <w:tc>
          <w:tcPr>
            <w:tcW w:w="874" w:type="dxa"/>
          </w:tcPr>
          <w:p>
            <w:pPr>
              <w:pStyle w:val="TableParagraph"/>
              <w:spacing w:line="152" w:lineRule="exact" w:before="8"/>
              <w:ind w:right="204"/>
              <w:jc w:val="right"/>
              <w:rPr>
                <w:sz w:val="14"/>
              </w:rPr>
            </w:pPr>
            <w:r>
              <w:rPr>
                <w:sz w:val="14"/>
              </w:rPr>
              <w:t>1 . 4 %</w:t>
            </w:r>
          </w:p>
        </w:tc>
        <w:tc>
          <w:tcPr>
            <w:tcW w:w="1171" w:type="dxa"/>
          </w:tcPr>
          <w:p>
            <w:pPr>
              <w:pStyle w:val="TableParagraph"/>
              <w:spacing w:line="152" w:lineRule="exact" w:before="8"/>
              <w:ind w:right="263"/>
              <w:jc w:val="right"/>
              <w:rPr>
                <w:sz w:val="14"/>
              </w:rPr>
            </w:pPr>
            <w:r>
              <w:rPr>
                <w:sz w:val="14"/>
              </w:rPr>
              <w:t>384,223</w:t>
            </w:r>
          </w:p>
        </w:tc>
        <w:tc>
          <w:tcPr>
            <w:tcW w:w="831" w:type="dxa"/>
          </w:tcPr>
          <w:p>
            <w:pPr>
              <w:pStyle w:val="TableParagraph"/>
              <w:spacing w:line="152" w:lineRule="exact" w:before="8"/>
              <w:ind w:left="214" w:right="256"/>
              <w:jc w:val="center"/>
              <w:rPr>
                <w:i/>
                <w:sz w:val="14"/>
              </w:rPr>
            </w:pPr>
            <w:r>
              <w:rPr>
                <w:i/>
                <w:sz w:val="14"/>
              </w:rPr>
              <w:t>1.0%</w:t>
            </w:r>
          </w:p>
        </w:tc>
        <w:tc>
          <w:tcPr>
            <w:tcW w:w="1305" w:type="dxa"/>
          </w:tcPr>
          <w:p>
            <w:pPr>
              <w:pStyle w:val="TableParagraph"/>
              <w:spacing w:line="152" w:lineRule="exact" w:before="8"/>
              <w:ind w:right="373"/>
              <w:jc w:val="right"/>
              <w:rPr>
                <w:b/>
                <w:sz w:val="14"/>
              </w:rPr>
            </w:pPr>
            <w:r>
              <w:rPr>
                <w:b/>
                <w:sz w:val="14"/>
              </w:rPr>
              <w:t>591,141</w:t>
            </w:r>
          </w:p>
        </w:tc>
        <w:tc>
          <w:tcPr>
            <w:tcW w:w="836" w:type="dxa"/>
          </w:tcPr>
          <w:p>
            <w:pPr>
              <w:pStyle w:val="TableParagraph"/>
              <w:spacing w:line="152" w:lineRule="exact" w:before="8"/>
              <w:ind w:right="205"/>
              <w:jc w:val="right"/>
              <w:rPr>
                <w:i/>
                <w:sz w:val="14"/>
              </w:rPr>
            </w:pPr>
            <w:r>
              <w:rPr>
                <w:i/>
                <w:w w:val="95"/>
                <w:sz w:val="14"/>
              </w:rPr>
              <w:t>1.4%</w:t>
            </w:r>
          </w:p>
        </w:tc>
        <w:tc>
          <w:tcPr>
            <w:tcW w:w="1205" w:type="dxa"/>
          </w:tcPr>
          <w:p>
            <w:pPr>
              <w:pStyle w:val="TableParagraph"/>
              <w:spacing w:line="152" w:lineRule="exact" w:before="8"/>
              <w:ind w:right="298"/>
              <w:jc w:val="right"/>
              <w:rPr>
                <w:sz w:val="14"/>
              </w:rPr>
            </w:pPr>
            <w:r>
              <w:rPr>
                <w:sz w:val="14"/>
              </w:rPr>
              <w:t>737,482</w:t>
            </w:r>
          </w:p>
        </w:tc>
        <w:tc>
          <w:tcPr>
            <w:tcW w:w="779" w:type="dxa"/>
          </w:tcPr>
          <w:p>
            <w:pPr>
              <w:pStyle w:val="TableParagraph"/>
              <w:spacing w:line="152" w:lineRule="exact" w:before="8"/>
              <w:ind w:left="231" w:right="188"/>
              <w:jc w:val="center"/>
              <w:rPr>
                <w:i/>
                <w:sz w:val="14"/>
              </w:rPr>
            </w:pPr>
            <w:r>
              <w:rPr>
                <w:i/>
                <w:sz w:val="14"/>
              </w:rPr>
              <w:t>1.5%</w:t>
            </w:r>
          </w:p>
        </w:tc>
        <w:tc>
          <w:tcPr>
            <w:tcW w:w="1208" w:type="dxa"/>
          </w:tcPr>
          <w:p>
            <w:pPr>
              <w:pStyle w:val="TableParagraph"/>
              <w:spacing w:line="152" w:lineRule="exact" w:before="8"/>
              <w:ind w:right="302"/>
              <w:jc w:val="right"/>
              <w:rPr>
                <w:sz w:val="14"/>
              </w:rPr>
            </w:pPr>
            <w:r>
              <w:rPr>
                <w:sz w:val="14"/>
              </w:rPr>
              <w:t>839,294</w:t>
            </w:r>
          </w:p>
        </w:tc>
        <w:tc>
          <w:tcPr>
            <w:tcW w:w="610" w:type="dxa"/>
          </w:tcPr>
          <w:p>
            <w:pPr>
              <w:pStyle w:val="TableParagraph"/>
              <w:spacing w:line="152" w:lineRule="exact" w:before="8"/>
              <w:ind w:right="37"/>
              <w:jc w:val="right"/>
              <w:rPr>
                <w:i/>
                <w:sz w:val="14"/>
              </w:rPr>
            </w:pPr>
            <w:r>
              <w:rPr>
                <w:i/>
                <w:w w:val="95"/>
                <w:sz w:val="14"/>
              </w:rPr>
              <w:t>1.5%</w:t>
            </w:r>
          </w:p>
        </w:tc>
      </w:tr>
      <w:tr>
        <w:trPr>
          <w:trHeight w:val="180" w:hRule="atLeast"/>
        </w:trPr>
        <w:tc>
          <w:tcPr>
            <w:tcW w:w="4311" w:type="dxa"/>
          </w:tcPr>
          <w:p>
            <w:pPr>
              <w:pStyle w:val="TableParagraph"/>
              <w:spacing w:line="154" w:lineRule="exact" w:before="5"/>
              <w:ind w:left="543"/>
              <w:rPr>
                <w:sz w:val="14"/>
              </w:rPr>
            </w:pPr>
            <w:r>
              <w:rPr>
                <w:sz w:val="14"/>
              </w:rPr>
              <w:t>Personal Income Tax - incl. Govt PAYE</w:t>
            </w:r>
          </w:p>
        </w:tc>
        <w:tc>
          <w:tcPr>
            <w:tcW w:w="1221" w:type="dxa"/>
          </w:tcPr>
          <w:p>
            <w:pPr>
              <w:pStyle w:val="TableParagraph"/>
              <w:spacing w:line="154" w:lineRule="exact" w:before="5"/>
              <w:ind w:right="320"/>
              <w:jc w:val="right"/>
              <w:rPr>
                <w:i/>
                <w:sz w:val="14"/>
              </w:rPr>
            </w:pPr>
            <w:r>
              <w:rPr>
                <w:i/>
                <w:sz w:val="14"/>
              </w:rPr>
              <w:t>1,157 ,614</w:t>
            </w:r>
          </w:p>
        </w:tc>
        <w:tc>
          <w:tcPr>
            <w:tcW w:w="874" w:type="dxa"/>
          </w:tcPr>
          <w:p>
            <w:pPr>
              <w:pStyle w:val="TableParagraph"/>
              <w:spacing w:line="154" w:lineRule="exact" w:before="5"/>
              <w:ind w:right="204"/>
              <w:jc w:val="right"/>
              <w:rPr>
                <w:sz w:val="14"/>
              </w:rPr>
            </w:pPr>
            <w:r>
              <w:rPr>
                <w:sz w:val="14"/>
              </w:rPr>
              <w:t>3 . 6 %</w:t>
            </w:r>
          </w:p>
        </w:tc>
        <w:tc>
          <w:tcPr>
            <w:tcW w:w="1171" w:type="dxa"/>
          </w:tcPr>
          <w:p>
            <w:pPr>
              <w:pStyle w:val="TableParagraph"/>
              <w:spacing w:line="154" w:lineRule="exact" w:before="5"/>
              <w:ind w:right="272"/>
              <w:jc w:val="right"/>
              <w:rPr>
                <w:sz w:val="14"/>
              </w:rPr>
            </w:pPr>
            <w:r>
              <w:rPr>
                <w:sz w:val="14"/>
              </w:rPr>
              <w:t>1,508 ,207</w:t>
            </w:r>
          </w:p>
        </w:tc>
        <w:tc>
          <w:tcPr>
            <w:tcW w:w="831" w:type="dxa"/>
          </w:tcPr>
          <w:p>
            <w:pPr>
              <w:pStyle w:val="TableParagraph"/>
              <w:spacing w:line="154" w:lineRule="exact" w:before="5"/>
              <w:ind w:left="214" w:right="256"/>
              <w:jc w:val="center"/>
              <w:rPr>
                <w:i/>
                <w:sz w:val="14"/>
              </w:rPr>
            </w:pPr>
            <w:r>
              <w:rPr>
                <w:i/>
                <w:sz w:val="14"/>
              </w:rPr>
              <w:t>4.0%</w:t>
            </w:r>
          </w:p>
        </w:tc>
        <w:tc>
          <w:tcPr>
            <w:tcW w:w="1305" w:type="dxa"/>
          </w:tcPr>
          <w:p>
            <w:pPr>
              <w:pStyle w:val="TableParagraph"/>
              <w:spacing w:line="154" w:lineRule="exact" w:before="5"/>
              <w:ind w:right="385"/>
              <w:jc w:val="right"/>
              <w:rPr>
                <w:b/>
                <w:sz w:val="14"/>
              </w:rPr>
            </w:pPr>
            <w:r>
              <w:rPr>
                <w:b/>
                <w:sz w:val="14"/>
              </w:rPr>
              <w:t>1,683,162</w:t>
            </w:r>
          </w:p>
        </w:tc>
        <w:tc>
          <w:tcPr>
            <w:tcW w:w="836" w:type="dxa"/>
          </w:tcPr>
          <w:p>
            <w:pPr>
              <w:pStyle w:val="TableParagraph"/>
              <w:spacing w:line="154" w:lineRule="exact" w:before="5"/>
              <w:ind w:right="205"/>
              <w:jc w:val="right"/>
              <w:rPr>
                <w:i/>
                <w:sz w:val="14"/>
              </w:rPr>
            </w:pPr>
            <w:r>
              <w:rPr>
                <w:i/>
                <w:w w:val="95"/>
                <w:sz w:val="14"/>
              </w:rPr>
              <w:t>3.9%</w:t>
            </w:r>
          </w:p>
        </w:tc>
        <w:tc>
          <w:tcPr>
            <w:tcW w:w="1205" w:type="dxa"/>
          </w:tcPr>
          <w:p>
            <w:pPr>
              <w:pStyle w:val="TableParagraph"/>
              <w:spacing w:line="154" w:lineRule="exact" w:before="5"/>
              <w:ind w:right="305"/>
              <w:jc w:val="right"/>
              <w:rPr>
                <w:sz w:val="14"/>
              </w:rPr>
            </w:pPr>
            <w:r>
              <w:rPr>
                <w:sz w:val="14"/>
              </w:rPr>
              <w:t>2,176 ,870</w:t>
            </w:r>
          </w:p>
        </w:tc>
        <w:tc>
          <w:tcPr>
            <w:tcW w:w="779" w:type="dxa"/>
          </w:tcPr>
          <w:p>
            <w:pPr>
              <w:pStyle w:val="TableParagraph"/>
              <w:spacing w:line="154" w:lineRule="exact" w:before="5"/>
              <w:ind w:left="231" w:right="188"/>
              <w:jc w:val="center"/>
              <w:rPr>
                <w:i/>
                <w:sz w:val="14"/>
              </w:rPr>
            </w:pPr>
            <w:r>
              <w:rPr>
                <w:i/>
                <w:sz w:val="14"/>
              </w:rPr>
              <w:t>4.3%</w:t>
            </w:r>
          </w:p>
        </w:tc>
        <w:tc>
          <w:tcPr>
            <w:tcW w:w="1208" w:type="dxa"/>
          </w:tcPr>
          <w:p>
            <w:pPr>
              <w:pStyle w:val="TableParagraph"/>
              <w:spacing w:line="154" w:lineRule="exact" w:before="5"/>
              <w:ind w:right="310"/>
              <w:jc w:val="right"/>
              <w:rPr>
                <w:sz w:val="14"/>
              </w:rPr>
            </w:pPr>
            <w:r>
              <w:rPr>
                <w:sz w:val="14"/>
              </w:rPr>
              <w:t>2,417 ,228</w:t>
            </w:r>
          </w:p>
        </w:tc>
        <w:tc>
          <w:tcPr>
            <w:tcW w:w="610" w:type="dxa"/>
          </w:tcPr>
          <w:p>
            <w:pPr>
              <w:pStyle w:val="TableParagraph"/>
              <w:spacing w:line="154" w:lineRule="exact" w:before="5"/>
              <w:ind w:right="37"/>
              <w:jc w:val="right"/>
              <w:rPr>
                <w:i/>
                <w:sz w:val="14"/>
              </w:rPr>
            </w:pPr>
            <w:r>
              <w:rPr>
                <w:i/>
                <w:w w:val="95"/>
                <w:sz w:val="14"/>
              </w:rPr>
              <w:t>4.2%</w:t>
            </w:r>
          </w:p>
        </w:tc>
      </w:tr>
      <w:tr>
        <w:trPr>
          <w:trHeight w:val="180" w:hRule="atLeast"/>
        </w:trPr>
        <w:tc>
          <w:tcPr>
            <w:tcW w:w="4311" w:type="dxa"/>
          </w:tcPr>
          <w:p>
            <w:pPr>
              <w:pStyle w:val="TableParagraph"/>
              <w:spacing w:line="152" w:lineRule="exact" w:before="8"/>
              <w:ind w:left="543"/>
              <w:rPr>
                <w:sz w:val="14"/>
              </w:rPr>
            </w:pPr>
            <w:r>
              <w:rPr>
                <w:sz w:val="14"/>
              </w:rPr>
              <w:t>Other Taxes</w:t>
            </w:r>
          </w:p>
        </w:tc>
        <w:tc>
          <w:tcPr>
            <w:tcW w:w="1221" w:type="dxa"/>
          </w:tcPr>
          <w:p>
            <w:pPr>
              <w:pStyle w:val="TableParagraph"/>
              <w:spacing w:line="152" w:lineRule="exact" w:before="8"/>
              <w:ind w:right="290"/>
              <w:jc w:val="right"/>
              <w:rPr>
                <w:i/>
                <w:sz w:val="14"/>
              </w:rPr>
            </w:pPr>
            <w:r>
              <w:rPr>
                <w:i/>
                <w:w w:val="99"/>
                <w:sz w:val="14"/>
              </w:rPr>
              <w:t>0</w:t>
            </w:r>
          </w:p>
        </w:tc>
        <w:tc>
          <w:tcPr>
            <w:tcW w:w="874" w:type="dxa"/>
          </w:tcPr>
          <w:p>
            <w:pPr>
              <w:pStyle w:val="TableParagraph"/>
              <w:spacing w:line="152" w:lineRule="exact" w:before="8"/>
              <w:ind w:right="204"/>
              <w:jc w:val="right"/>
              <w:rPr>
                <w:sz w:val="14"/>
              </w:rPr>
            </w:pPr>
            <w:r>
              <w:rPr>
                <w:sz w:val="14"/>
              </w:rPr>
              <w:t>0 . 0 %</w:t>
            </w:r>
          </w:p>
        </w:tc>
        <w:tc>
          <w:tcPr>
            <w:tcW w:w="1171" w:type="dxa"/>
          </w:tcPr>
          <w:p>
            <w:pPr>
              <w:pStyle w:val="TableParagraph"/>
              <w:spacing w:line="152" w:lineRule="exact" w:before="8"/>
              <w:ind w:right="259"/>
              <w:jc w:val="right"/>
              <w:rPr>
                <w:sz w:val="14"/>
              </w:rPr>
            </w:pPr>
            <w:r>
              <w:rPr>
                <w:sz w:val="14"/>
              </w:rPr>
              <w:t>37 ,768</w:t>
            </w:r>
          </w:p>
        </w:tc>
        <w:tc>
          <w:tcPr>
            <w:tcW w:w="831" w:type="dxa"/>
          </w:tcPr>
          <w:p>
            <w:pPr>
              <w:pStyle w:val="TableParagraph"/>
              <w:spacing w:line="152" w:lineRule="exact" w:before="8"/>
              <w:ind w:left="214" w:right="256"/>
              <w:jc w:val="center"/>
              <w:rPr>
                <w:i/>
                <w:sz w:val="14"/>
              </w:rPr>
            </w:pPr>
            <w:r>
              <w:rPr>
                <w:i/>
                <w:sz w:val="14"/>
              </w:rPr>
              <w:t>0.1%</w:t>
            </w:r>
          </w:p>
        </w:tc>
        <w:tc>
          <w:tcPr>
            <w:tcW w:w="1305" w:type="dxa"/>
          </w:tcPr>
          <w:p>
            <w:pPr>
              <w:pStyle w:val="TableParagraph"/>
              <w:spacing w:line="152" w:lineRule="exact" w:before="8"/>
              <w:ind w:right="333"/>
              <w:jc w:val="right"/>
              <w:rPr>
                <w:b/>
                <w:sz w:val="14"/>
              </w:rPr>
            </w:pPr>
            <w:r>
              <w:rPr>
                <w:b/>
                <w:w w:val="99"/>
                <w:sz w:val="14"/>
              </w:rPr>
              <w:t>0</w:t>
            </w:r>
          </w:p>
        </w:tc>
        <w:tc>
          <w:tcPr>
            <w:tcW w:w="836" w:type="dxa"/>
          </w:tcPr>
          <w:p>
            <w:pPr>
              <w:pStyle w:val="TableParagraph"/>
              <w:spacing w:line="152" w:lineRule="exact" w:before="8"/>
              <w:ind w:right="205"/>
              <w:jc w:val="right"/>
              <w:rPr>
                <w:i/>
                <w:sz w:val="14"/>
              </w:rPr>
            </w:pPr>
            <w:r>
              <w:rPr>
                <w:i/>
                <w:w w:val="95"/>
                <w:sz w:val="14"/>
              </w:rPr>
              <w:t>0.0%</w:t>
            </w:r>
          </w:p>
        </w:tc>
        <w:tc>
          <w:tcPr>
            <w:tcW w:w="1205" w:type="dxa"/>
          </w:tcPr>
          <w:p>
            <w:pPr>
              <w:pStyle w:val="TableParagraph"/>
              <w:spacing w:line="152" w:lineRule="exact" w:before="8"/>
              <w:ind w:right="277"/>
              <w:jc w:val="right"/>
              <w:rPr>
                <w:sz w:val="14"/>
              </w:rPr>
            </w:pPr>
            <w:r>
              <w:rPr>
                <w:w w:val="99"/>
                <w:sz w:val="14"/>
              </w:rPr>
              <w:t>0</w:t>
            </w:r>
          </w:p>
        </w:tc>
        <w:tc>
          <w:tcPr>
            <w:tcW w:w="779" w:type="dxa"/>
          </w:tcPr>
          <w:p>
            <w:pPr>
              <w:pStyle w:val="TableParagraph"/>
              <w:spacing w:line="152" w:lineRule="exact" w:before="8"/>
              <w:ind w:left="231" w:right="188"/>
              <w:jc w:val="center"/>
              <w:rPr>
                <w:i/>
                <w:sz w:val="14"/>
              </w:rPr>
            </w:pPr>
            <w:r>
              <w:rPr>
                <w:i/>
                <w:sz w:val="14"/>
              </w:rPr>
              <w:t>0.0%</w:t>
            </w:r>
          </w:p>
        </w:tc>
        <w:tc>
          <w:tcPr>
            <w:tcW w:w="1208" w:type="dxa"/>
          </w:tcPr>
          <w:p>
            <w:pPr>
              <w:pStyle w:val="TableParagraph"/>
              <w:spacing w:line="152" w:lineRule="exact" w:before="8"/>
              <w:ind w:right="282"/>
              <w:jc w:val="right"/>
              <w:rPr>
                <w:sz w:val="14"/>
              </w:rPr>
            </w:pPr>
            <w:r>
              <w:rPr>
                <w:w w:val="99"/>
                <w:sz w:val="14"/>
              </w:rPr>
              <w:t>0</w:t>
            </w:r>
          </w:p>
        </w:tc>
        <w:tc>
          <w:tcPr>
            <w:tcW w:w="610" w:type="dxa"/>
          </w:tcPr>
          <w:p>
            <w:pPr>
              <w:pStyle w:val="TableParagraph"/>
              <w:spacing w:line="152" w:lineRule="exact" w:before="8"/>
              <w:ind w:right="37"/>
              <w:jc w:val="right"/>
              <w:rPr>
                <w:i/>
                <w:sz w:val="14"/>
              </w:rPr>
            </w:pPr>
            <w:r>
              <w:rPr>
                <w:i/>
                <w:w w:val="95"/>
                <w:sz w:val="14"/>
              </w:rPr>
              <w:t>0.0%</w:t>
            </w:r>
          </w:p>
        </w:tc>
      </w:tr>
      <w:tr>
        <w:trPr>
          <w:trHeight w:val="180" w:hRule="atLeast"/>
        </w:trPr>
        <w:tc>
          <w:tcPr>
            <w:tcW w:w="4311" w:type="dxa"/>
          </w:tcPr>
          <w:p>
            <w:pPr>
              <w:pStyle w:val="TableParagraph"/>
              <w:spacing w:line="154" w:lineRule="exact" w:before="5"/>
              <w:ind w:left="375"/>
              <w:rPr>
                <w:b/>
                <w:sz w:val="14"/>
              </w:rPr>
            </w:pPr>
            <w:r>
              <w:rPr>
                <w:b/>
                <w:sz w:val="14"/>
              </w:rPr>
              <w:t>Goods and Services Tax</w:t>
            </w:r>
          </w:p>
        </w:tc>
        <w:tc>
          <w:tcPr>
            <w:tcW w:w="1221" w:type="dxa"/>
          </w:tcPr>
          <w:p>
            <w:pPr>
              <w:pStyle w:val="TableParagraph"/>
              <w:spacing w:line="154" w:lineRule="exact" w:before="5"/>
              <w:ind w:right="341"/>
              <w:jc w:val="right"/>
              <w:rPr>
                <w:b/>
                <w:i/>
                <w:sz w:val="14"/>
              </w:rPr>
            </w:pPr>
            <w:r>
              <w:rPr>
                <w:b/>
                <w:i/>
                <w:w w:val="95"/>
                <w:sz w:val="14"/>
              </w:rPr>
              <w:t>886,384</w:t>
            </w:r>
          </w:p>
        </w:tc>
        <w:tc>
          <w:tcPr>
            <w:tcW w:w="874" w:type="dxa"/>
          </w:tcPr>
          <w:p>
            <w:pPr>
              <w:pStyle w:val="TableParagraph"/>
              <w:spacing w:line="154" w:lineRule="exact" w:before="5"/>
              <w:ind w:right="210"/>
              <w:jc w:val="right"/>
              <w:rPr>
                <w:b/>
                <w:sz w:val="14"/>
              </w:rPr>
            </w:pPr>
            <w:r>
              <w:rPr>
                <w:b/>
                <w:sz w:val="14"/>
              </w:rPr>
              <w:t>2.7%</w:t>
            </w:r>
          </w:p>
        </w:tc>
        <w:tc>
          <w:tcPr>
            <w:tcW w:w="1171" w:type="dxa"/>
          </w:tcPr>
          <w:p>
            <w:pPr>
              <w:pStyle w:val="TableParagraph"/>
              <w:spacing w:line="154" w:lineRule="exact" w:before="5"/>
              <w:ind w:right="277"/>
              <w:jc w:val="right"/>
              <w:rPr>
                <w:b/>
                <w:sz w:val="14"/>
              </w:rPr>
            </w:pPr>
            <w:r>
              <w:rPr>
                <w:b/>
                <w:sz w:val="14"/>
              </w:rPr>
              <w:t>984,000</w:t>
            </w:r>
          </w:p>
        </w:tc>
        <w:tc>
          <w:tcPr>
            <w:tcW w:w="831" w:type="dxa"/>
          </w:tcPr>
          <w:p>
            <w:pPr>
              <w:pStyle w:val="TableParagraph"/>
              <w:spacing w:line="154" w:lineRule="exact" w:before="5"/>
              <w:ind w:left="214" w:right="256"/>
              <w:jc w:val="center"/>
              <w:rPr>
                <w:i/>
                <w:sz w:val="14"/>
              </w:rPr>
            </w:pPr>
            <w:r>
              <w:rPr>
                <w:i/>
                <w:sz w:val="14"/>
              </w:rPr>
              <w:t>2.6%</w:t>
            </w:r>
          </w:p>
        </w:tc>
        <w:tc>
          <w:tcPr>
            <w:tcW w:w="1305" w:type="dxa"/>
          </w:tcPr>
          <w:p>
            <w:pPr>
              <w:pStyle w:val="TableParagraph"/>
              <w:spacing w:line="154" w:lineRule="exact" w:before="5"/>
              <w:ind w:right="385"/>
              <w:jc w:val="right"/>
              <w:rPr>
                <w:b/>
                <w:sz w:val="14"/>
              </w:rPr>
            </w:pPr>
            <w:r>
              <w:rPr>
                <w:b/>
                <w:sz w:val="14"/>
              </w:rPr>
              <w:t>1,235,200</w:t>
            </w:r>
          </w:p>
        </w:tc>
        <w:tc>
          <w:tcPr>
            <w:tcW w:w="836" w:type="dxa"/>
          </w:tcPr>
          <w:p>
            <w:pPr>
              <w:pStyle w:val="TableParagraph"/>
              <w:spacing w:line="154" w:lineRule="exact" w:before="5"/>
              <w:ind w:right="205"/>
              <w:jc w:val="right"/>
              <w:rPr>
                <w:i/>
                <w:sz w:val="14"/>
              </w:rPr>
            </w:pPr>
            <w:r>
              <w:rPr>
                <w:i/>
                <w:w w:val="95"/>
                <w:sz w:val="14"/>
              </w:rPr>
              <w:t>2.8%</w:t>
            </w:r>
          </w:p>
        </w:tc>
        <w:tc>
          <w:tcPr>
            <w:tcW w:w="1205" w:type="dxa"/>
          </w:tcPr>
          <w:p>
            <w:pPr>
              <w:pStyle w:val="TableParagraph"/>
              <w:spacing w:line="154" w:lineRule="exact" w:before="5"/>
              <w:ind w:right="328"/>
              <w:jc w:val="right"/>
              <w:rPr>
                <w:b/>
                <w:sz w:val="14"/>
              </w:rPr>
            </w:pPr>
            <w:r>
              <w:rPr>
                <w:b/>
                <w:sz w:val="14"/>
              </w:rPr>
              <w:t>1,655,567</w:t>
            </w:r>
          </w:p>
        </w:tc>
        <w:tc>
          <w:tcPr>
            <w:tcW w:w="779" w:type="dxa"/>
          </w:tcPr>
          <w:p>
            <w:pPr>
              <w:pStyle w:val="TableParagraph"/>
              <w:spacing w:line="154" w:lineRule="exact" w:before="5"/>
              <w:ind w:left="231" w:right="188"/>
              <w:jc w:val="center"/>
              <w:rPr>
                <w:i/>
                <w:sz w:val="14"/>
              </w:rPr>
            </w:pPr>
            <w:r>
              <w:rPr>
                <w:i/>
                <w:sz w:val="14"/>
              </w:rPr>
              <w:t>3.3%</w:t>
            </w:r>
          </w:p>
        </w:tc>
        <w:tc>
          <w:tcPr>
            <w:tcW w:w="1208" w:type="dxa"/>
          </w:tcPr>
          <w:p>
            <w:pPr>
              <w:pStyle w:val="TableParagraph"/>
              <w:spacing w:line="154" w:lineRule="exact" w:before="5"/>
              <w:ind w:right="333"/>
              <w:jc w:val="right"/>
              <w:rPr>
                <w:b/>
                <w:sz w:val="14"/>
              </w:rPr>
            </w:pPr>
            <w:r>
              <w:rPr>
                <w:b/>
                <w:sz w:val="14"/>
              </w:rPr>
              <w:t>1,936,224</w:t>
            </w:r>
          </w:p>
        </w:tc>
        <w:tc>
          <w:tcPr>
            <w:tcW w:w="610" w:type="dxa"/>
          </w:tcPr>
          <w:p>
            <w:pPr>
              <w:pStyle w:val="TableParagraph"/>
              <w:spacing w:line="154" w:lineRule="exact" w:before="5"/>
              <w:ind w:right="37"/>
              <w:jc w:val="right"/>
              <w:rPr>
                <w:i/>
                <w:sz w:val="14"/>
              </w:rPr>
            </w:pPr>
            <w:r>
              <w:rPr>
                <w:i/>
                <w:w w:val="95"/>
                <w:sz w:val="14"/>
              </w:rPr>
              <w:t>3.4%</w:t>
            </w:r>
          </w:p>
        </w:tc>
      </w:tr>
      <w:tr>
        <w:trPr>
          <w:trHeight w:val="180" w:hRule="atLeast"/>
        </w:trPr>
        <w:tc>
          <w:tcPr>
            <w:tcW w:w="4311" w:type="dxa"/>
          </w:tcPr>
          <w:p>
            <w:pPr>
              <w:pStyle w:val="TableParagraph"/>
              <w:spacing w:line="152" w:lineRule="exact" w:before="8"/>
              <w:ind w:left="544"/>
              <w:rPr>
                <w:sz w:val="14"/>
              </w:rPr>
            </w:pPr>
            <w:r>
              <w:rPr>
                <w:sz w:val="14"/>
              </w:rPr>
              <w:t>Import GST</w:t>
            </w:r>
          </w:p>
        </w:tc>
        <w:tc>
          <w:tcPr>
            <w:tcW w:w="1221" w:type="dxa"/>
          </w:tcPr>
          <w:p>
            <w:pPr>
              <w:pStyle w:val="TableParagraph"/>
              <w:spacing w:line="152" w:lineRule="exact" w:before="8"/>
              <w:ind w:right="309"/>
              <w:jc w:val="right"/>
              <w:rPr>
                <w:i/>
                <w:sz w:val="14"/>
              </w:rPr>
            </w:pPr>
            <w:r>
              <w:rPr>
                <w:i/>
                <w:sz w:val="14"/>
              </w:rPr>
              <w:t>550,581</w:t>
            </w:r>
          </w:p>
        </w:tc>
        <w:tc>
          <w:tcPr>
            <w:tcW w:w="874" w:type="dxa"/>
          </w:tcPr>
          <w:p>
            <w:pPr>
              <w:pStyle w:val="TableParagraph"/>
              <w:spacing w:line="152" w:lineRule="exact" w:before="8"/>
              <w:ind w:right="204"/>
              <w:jc w:val="right"/>
              <w:rPr>
                <w:sz w:val="14"/>
              </w:rPr>
            </w:pPr>
            <w:r>
              <w:rPr>
                <w:sz w:val="14"/>
              </w:rPr>
              <w:t>1 . 7 %</w:t>
            </w:r>
          </w:p>
        </w:tc>
        <w:tc>
          <w:tcPr>
            <w:tcW w:w="1171" w:type="dxa"/>
          </w:tcPr>
          <w:p>
            <w:pPr>
              <w:pStyle w:val="TableParagraph"/>
              <w:spacing w:line="152" w:lineRule="exact" w:before="8"/>
              <w:ind w:right="263"/>
              <w:jc w:val="right"/>
              <w:rPr>
                <w:sz w:val="14"/>
              </w:rPr>
            </w:pPr>
            <w:r>
              <w:rPr>
                <w:sz w:val="14"/>
              </w:rPr>
              <w:t>384,000</w:t>
            </w:r>
          </w:p>
        </w:tc>
        <w:tc>
          <w:tcPr>
            <w:tcW w:w="831" w:type="dxa"/>
          </w:tcPr>
          <w:p>
            <w:pPr>
              <w:pStyle w:val="TableParagraph"/>
              <w:spacing w:line="152" w:lineRule="exact" w:before="8"/>
              <w:ind w:left="214" w:right="256"/>
              <w:jc w:val="center"/>
              <w:rPr>
                <w:i/>
                <w:sz w:val="14"/>
              </w:rPr>
            </w:pPr>
            <w:r>
              <w:rPr>
                <w:i/>
                <w:sz w:val="14"/>
              </w:rPr>
              <w:t>1.0%</w:t>
            </w:r>
          </w:p>
        </w:tc>
        <w:tc>
          <w:tcPr>
            <w:tcW w:w="1305" w:type="dxa"/>
          </w:tcPr>
          <w:p>
            <w:pPr>
              <w:pStyle w:val="TableParagraph"/>
              <w:spacing w:line="152" w:lineRule="exact" w:before="8"/>
              <w:ind w:right="373"/>
              <w:jc w:val="right"/>
              <w:rPr>
                <w:b/>
                <w:sz w:val="14"/>
              </w:rPr>
            </w:pPr>
            <w:r>
              <w:rPr>
                <w:b/>
                <w:sz w:val="14"/>
              </w:rPr>
              <w:t>721,221</w:t>
            </w:r>
          </w:p>
        </w:tc>
        <w:tc>
          <w:tcPr>
            <w:tcW w:w="836" w:type="dxa"/>
          </w:tcPr>
          <w:p>
            <w:pPr>
              <w:pStyle w:val="TableParagraph"/>
              <w:spacing w:line="152" w:lineRule="exact" w:before="8"/>
              <w:ind w:right="205"/>
              <w:jc w:val="right"/>
              <w:rPr>
                <w:i/>
                <w:sz w:val="14"/>
              </w:rPr>
            </w:pPr>
            <w:r>
              <w:rPr>
                <w:i/>
                <w:w w:val="95"/>
                <w:sz w:val="14"/>
              </w:rPr>
              <w:t>1.7%</w:t>
            </w:r>
          </w:p>
        </w:tc>
        <w:tc>
          <w:tcPr>
            <w:tcW w:w="1205" w:type="dxa"/>
          </w:tcPr>
          <w:p>
            <w:pPr>
              <w:pStyle w:val="TableParagraph"/>
              <w:spacing w:line="152" w:lineRule="exact" w:before="8"/>
              <w:ind w:right="298"/>
              <w:jc w:val="right"/>
              <w:rPr>
                <w:sz w:val="14"/>
              </w:rPr>
            </w:pPr>
            <w:r>
              <w:rPr>
                <w:sz w:val="14"/>
              </w:rPr>
              <w:t>623,087</w:t>
            </w:r>
          </w:p>
        </w:tc>
        <w:tc>
          <w:tcPr>
            <w:tcW w:w="779" w:type="dxa"/>
          </w:tcPr>
          <w:p>
            <w:pPr>
              <w:pStyle w:val="TableParagraph"/>
              <w:spacing w:line="152" w:lineRule="exact" w:before="8"/>
              <w:ind w:left="231" w:right="188"/>
              <w:jc w:val="center"/>
              <w:rPr>
                <w:i/>
                <w:sz w:val="14"/>
              </w:rPr>
            </w:pPr>
            <w:r>
              <w:rPr>
                <w:i/>
                <w:sz w:val="14"/>
              </w:rPr>
              <w:t>1.2%</w:t>
            </w:r>
          </w:p>
        </w:tc>
        <w:tc>
          <w:tcPr>
            <w:tcW w:w="1208" w:type="dxa"/>
          </w:tcPr>
          <w:p>
            <w:pPr>
              <w:pStyle w:val="TableParagraph"/>
              <w:spacing w:line="152" w:lineRule="exact" w:before="8"/>
              <w:ind w:right="302"/>
              <w:jc w:val="right"/>
              <w:rPr>
                <w:sz w:val="14"/>
              </w:rPr>
            </w:pPr>
            <w:r>
              <w:rPr>
                <w:sz w:val="14"/>
              </w:rPr>
              <w:t>735,602</w:t>
            </w:r>
          </w:p>
        </w:tc>
        <w:tc>
          <w:tcPr>
            <w:tcW w:w="610" w:type="dxa"/>
          </w:tcPr>
          <w:p>
            <w:pPr>
              <w:pStyle w:val="TableParagraph"/>
              <w:spacing w:line="152" w:lineRule="exact" w:before="8"/>
              <w:ind w:right="37"/>
              <w:jc w:val="right"/>
              <w:rPr>
                <w:i/>
                <w:sz w:val="14"/>
              </w:rPr>
            </w:pPr>
            <w:r>
              <w:rPr>
                <w:i/>
                <w:w w:val="95"/>
                <w:sz w:val="14"/>
              </w:rPr>
              <w:t>1.3%</w:t>
            </w:r>
          </w:p>
        </w:tc>
      </w:tr>
      <w:tr>
        <w:trPr>
          <w:trHeight w:val="180" w:hRule="atLeast"/>
        </w:trPr>
        <w:tc>
          <w:tcPr>
            <w:tcW w:w="4311" w:type="dxa"/>
          </w:tcPr>
          <w:p>
            <w:pPr>
              <w:pStyle w:val="TableParagraph"/>
              <w:spacing w:line="154" w:lineRule="exact" w:before="5"/>
              <w:ind w:left="544"/>
              <w:rPr>
                <w:sz w:val="14"/>
              </w:rPr>
            </w:pPr>
            <w:r>
              <w:rPr>
                <w:sz w:val="14"/>
              </w:rPr>
              <w:t>Domestic GST</w:t>
            </w:r>
          </w:p>
        </w:tc>
        <w:tc>
          <w:tcPr>
            <w:tcW w:w="1221" w:type="dxa"/>
          </w:tcPr>
          <w:p>
            <w:pPr>
              <w:pStyle w:val="TableParagraph"/>
              <w:spacing w:line="154" w:lineRule="exact" w:before="5"/>
              <w:ind w:right="309"/>
              <w:jc w:val="right"/>
              <w:rPr>
                <w:i/>
                <w:sz w:val="14"/>
              </w:rPr>
            </w:pPr>
            <w:r>
              <w:rPr>
                <w:i/>
                <w:sz w:val="14"/>
              </w:rPr>
              <w:t>335,803</w:t>
            </w:r>
          </w:p>
        </w:tc>
        <w:tc>
          <w:tcPr>
            <w:tcW w:w="874" w:type="dxa"/>
          </w:tcPr>
          <w:p>
            <w:pPr>
              <w:pStyle w:val="TableParagraph"/>
              <w:spacing w:line="154" w:lineRule="exact" w:before="5"/>
              <w:ind w:right="204"/>
              <w:jc w:val="right"/>
              <w:rPr>
                <w:sz w:val="14"/>
              </w:rPr>
            </w:pPr>
            <w:r>
              <w:rPr>
                <w:sz w:val="14"/>
              </w:rPr>
              <w:t>1 . 0 %</w:t>
            </w:r>
          </w:p>
        </w:tc>
        <w:tc>
          <w:tcPr>
            <w:tcW w:w="1171" w:type="dxa"/>
          </w:tcPr>
          <w:p>
            <w:pPr>
              <w:pStyle w:val="TableParagraph"/>
              <w:spacing w:line="154" w:lineRule="exact" w:before="5"/>
              <w:ind w:right="263"/>
              <w:jc w:val="right"/>
              <w:rPr>
                <w:sz w:val="14"/>
              </w:rPr>
            </w:pPr>
            <w:r>
              <w:rPr>
                <w:sz w:val="14"/>
              </w:rPr>
              <w:t>600,000</w:t>
            </w:r>
          </w:p>
        </w:tc>
        <w:tc>
          <w:tcPr>
            <w:tcW w:w="831" w:type="dxa"/>
          </w:tcPr>
          <w:p>
            <w:pPr>
              <w:pStyle w:val="TableParagraph"/>
              <w:spacing w:line="154" w:lineRule="exact" w:before="5"/>
              <w:ind w:left="214" w:right="256"/>
              <w:jc w:val="center"/>
              <w:rPr>
                <w:i/>
                <w:sz w:val="14"/>
              </w:rPr>
            </w:pPr>
            <w:r>
              <w:rPr>
                <w:i/>
                <w:sz w:val="14"/>
              </w:rPr>
              <w:t>1.6%</w:t>
            </w:r>
          </w:p>
        </w:tc>
        <w:tc>
          <w:tcPr>
            <w:tcW w:w="1305" w:type="dxa"/>
          </w:tcPr>
          <w:p>
            <w:pPr>
              <w:pStyle w:val="TableParagraph"/>
              <w:spacing w:line="154" w:lineRule="exact" w:before="5"/>
              <w:ind w:right="373"/>
              <w:jc w:val="right"/>
              <w:rPr>
                <w:b/>
                <w:sz w:val="14"/>
              </w:rPr>
            </w:pPr>
            <w:r>
              <w:rPr>
                <w:b/>
                <w:sz w:val="14"/>
              </w:rPr>
              <w:t>513,979</w:t>
            </w:r>
          </w:p>
        </w:tc>
        <w:tc>
          <w:tcPr>
            <w:tcW w:w="836" w:type="dxa"/>
          </w:tcPr>
          <w:p>
            <w:pPr>
              <w:pStyle w:val="TableParagraph"/>
              <w:spacing w:line="154" w:lineRule="exact" w:before="5"/>
              <w:ind w:right="205"/>
              <w:jc w:val="right"/>
              <w:rPr>
                <w:i/>
                <w:sz w:val="14"/>
              </w:rPr>
            </w:pPr>
            <w:r>
              <w:rPr>
                <w:i/>
                <w:w w:val="95"/>
                <w:sz w:val="14"/>
              </w:rPr>
              <w:t>1.2%</w:t>
            </w:r>
          </w:p>
        </w:tc>
        <w:tc>
          <w:tcPr>
            <w:tcW w:w="1205" w:type="dxa"/>
          </w:tcPr>
          <w:p>
            <w:pPr>
              <w:pStyle w:val="TableParagraph"/>
              <w:spacing w:line="154" w:lineRule="exact" w:before="5"/>
              <w:ind w:right="305"/>
              <w:jc w:val="right"/>
              <w:rPr>
                <w:sz w:val="14"/>
              </w:rPr>
            </w:pPr>
            <w:r>
              <w:rPr>
                <w:sz w:val="14"/>
              </w:rPr>
              <w:t>1,032 ,480</w:t>
            </w:r>
          </w:p>
        </w:tc>
        <w:tc>
          <w:tcPr>
            <w:tcW w:w="779" w:type="dxa"/>
          </w:tcPr>
          <w:p>
            <w:pPr>
              <w:pStyle w:val="TableParagraph"/>
              <w:spacing w:line="154" w:lineRule="exact" w:before="5"/>
              <w:ind w:left="231" w:right="188"/>
              <w:jc w:val="center"/>
              <w:rPr>
                <w:i/>
                <w:sz w:val="14"/>
              </w:rPr>
            </w:pPr>
            <w:r>
              <w:rPr>
                <w:i/>
                <w:sz w:val="14"/>
              </w:rPr>
              <w:t>2.0%</w:t>
            </w:r>
          </w:p>
        </w:tc>
        <w:tc>
          <w:tcPr>
            <w:tcW w:w="1208" w:type="dxa"/>
          </w:tcPr>
          <w:p>
            <w:pPr>
              <w:pStyle w:val="TableParagraph"/>
              <w:spacing w:line="154" w:lineRule="exact" w:before="5"/>
              <w:ind w:right="310"/>
              <w:jc w:val="right"/>
              <w:rPr>
                <w:sz w:val="14"/>
              </w:rPr>
            </w:pPr>
            <w:r>
              <w:rPr>
                <w:sz w:val="14"/>
              </w:rPr>
              <w:t>1,200 ,622</w:t>
            </w:r>
          </w:p>
        </w:tc>
        <w:tc>
          <w:tcPr>
            <w:tcW w:w="610" w:type="dxa"/>
          </w:tcPr>
          <w:p>
            <w:pPr>
              <w:pStyle w:val="TableParagraph"/>
              <w:spacing w:line="154" w:lineRule="exact" w:before="5"/>
              <w:ind w:right="37"/>
              <w:jc w:val="right"/>
              <w:rPr>
                <w:i/>
                <w:sz w:val="14"/>
              </w:rPr>
            </w:pPr>
            <w:r>
              <w:rPr>
                <w:i/>
                <w:w w:val="95"/>
                <w:sz w:val="14"/>
              </w:rPr>
              <w:t>2.1%</w:t>
            </w:r>
          </w:p>
        </w:tc>
      </w:tr>
      <w:tr>
        <w:trPr>
          <w:trHeight w:val="180" w:hRule="atLeast"/>
        </w:trPr>
        <w:tc>
          <w:tcPr>
            <w:tcW w:w="4311" w:type="dxa"/>
          </w:tcPr>
          <w:p>
            <w:pPr>
              <w:pStyle w:val="TableParagraph"/>
              <w:spacing w:line="152" w:lineRule="exact" w:before="8"/>
              <w:ind w:left="375"/>
              <w:rPr>
                <w:b/>
                <w:sz w:val="14"/>
              </w:rPr>
            </w:pPr>
            <w:r>
              <w:rPr>
                <w:b/>
                <w:sz w:val="14"/>
              </w:rPr>
              <w:t>Customs and Excise Department</w:t>
            </w:r>
          </w:p>
        </w:tc>
        <w:tc>
          <w:tcPr>
            <w:tcW w:w="1221" w:type="dxa"/>
          </w:tcPr>
          <w:p>
            <w:pPr>
              <w:pStyle w:val="TableParagraph"/>
              <w:spacing w:line="152" w:lineRule="exact" w:before="8"/>
              <w:ind w:right="359"/>
              <w:jc w:val="right"/>
              <w:rPr>
                <w:b/>
                <w:i/>
                <w:sz w:val="14"/>
              </w:rPr>
            </w:pPr>
            <w:r>
              <w:rPr>
                <w:b/>
                <w:i/>
                <w:sz w:val="14"/>
              </w:rPr>
              <w:t>1,008,519</w:t>
            </w:r>
          </w:p>
        </w:tc>
        <w:tc>
          <w:tcPr>
            <w:tcW w:w="874" w:type="dxa"/>
          </w:tcPr>
          <w:p>
            <w:pPr>
              <w:pStyle w:val="TableParagraph"/>
              <w:spacing w:line="152" w:lineRule="exact" w:before="8"/>
              <w:ind w:right="210"/>
              <w:jc w:val="right"/>
              <w:rPr>
                <w:b/>
                <w:sz w:val="14"/>
              </w:rPr>
            </w:pPr>
            <w:r>
              <w:rPr>
                <w:b/>
                <w:sz w:val="14"/>
              </w:rPr>
              <w:t>3.1%</w:t>
            </w:r>
          </w:p>
        </w:tc>
        <w:tc>
          <w:tcPr>
            <w:tcW w:w="1171" w:type="dxa"/>
          </w:tcPr>
          <w:p>
            <w:pPr>
              <w:pStyle w:val="TableParagraph"/>
              <w:spacing w:line="152" w:lineRule="exact" w:before="8"/>
              <w:ind w:right="289"/>
              <w:jc w:val="right"/>
              <w:rPr>
                <w:b/>
                <w:sz w:val="14"/>
              </w:rPr>
            </w:pPr>
            <w:r>
              <w:rPr>
                <w:b/>
                <w:sz w:val="14"/>
              </w:rPr>
              <w:t>1,281,000</w:t>
            </w:r>
          </w:p>
        </w:tc>
        <w:tc>
          <w:tcPr>
            <w:tcW w:w="831" w:type="dxa"/>
          </w:tcPr>
          <w:p>
            <w:pPr>
              <w:pStyle w:val="TableParagraph"/>
              <w:spacing w:line="152" w:lineRule="exact" w:before="8"/>
              <w:ind w:left="214" w:right="256"/>
              <w:jc w:val="center"/>
              <w:rPr>
                <w:i/>
                <w:sz w:val="14"/>
              </w:rPr>
            </w:pPr>
            <w:r>
              <w:rPr>
                <w:i/>
                <w:sz w:val="14"/>
              </w:rPr>
              <w:t>3.4%</w:t>
            </w:r>
          </w:p>
        </w:tc>
        <w:tc>
          <w:tcPr>
            <w:tcW w:w="1305" w:type="dxa"/>
          </w:tcPr>
          <w:p>
            <w:pPr>
              <w:pStyle w:val="TableParagraph"/>
              <w:spacing w:line="152" w:lineRule="exact" w:before="8"/>
              <w:ind w:right="385"/>
              <w:jc w:val="right"/>
              <w:rPr>
                <w:b/>
                <w:sz w:val="14"/>
              </w:rPr>
            </w:pPr>
            <w:r>
              <w:rPr>
                <w:b/>
                <w:sz w:val="14"/>
              </w:rPr>
              <w:t>1,541,563</w:t>
            </w:r>
          </w:p>
        </w:tc>
        <w:tc>
          <w:tcPr>
            <w:tcW w:w="836" w:type="dxa"/>
          </w:tcPr>
          <w:p>
            <w:pPr>
              <w:pStyle w:val="TableParagraph"/>
              <w:spacing w:line="152" w:lineRule="exact" w:before="8"/>
              <w:ind w:right="205"/>
              <w:jc w:val="right"/>
              <w:rPr>
                <w:i/>
                <w:sz w:val="14"/>
              </w:rPr>
            </w:pPr>
            <w:r>
              <w:rPr>
                <w:i/>
                <w:w w:val="95"/>
                <w:sz w:val="14"/>
              </w:rPr>
              <w:t>3.5%</w:t>
            </w:r>
          </w:p>
        </w:tc>
        <w:tc>
          <w:tcPr>
            <w:tcW w:w="1205" w:type="dxa"/>
          </w:tcPr>
          <w:p>
            <w:pPr>
              <w:pStyle w:val="TableParagraph"/>
              <w:spacing w:line="152" w:lineRule="exact" w:before="8"/>
              <w:ind w:right="328"/>
              <w:jc w:val="right"/>
              <w:rPr>
                <w:b/>
                <w:sz w:val="14"/>
              </w:rPr>
            </w:pPr>
            <w:r>
              <w:rPr>
                <w:b/>
                <w:sz w:val="14"/>
              </w:rPr>
              <w:t>1,588,543</w:t>
            </w:r>
          </w:p>
        </w:tc>
        <w:tc>
          <w:tcPr>
            <w:tcW w:w="779" w:type="dxa"/>
          </w:tcPr>
          <w:p>
            <w:pPr>
              <w:pStyle w:val="TableParagraph"/>
              <w:spacing w:line="152" w:lineRule="exact" w:before="8"/>
              <w:ind w:left="231" w:right="188"/>
              <w:jc w:val="center"/>
              <w:rPr>
                <w:i/>
                <w:sz w:val="14"/>
              </w:rPr>
            </w:pPr>
            <w:r>
              <w:rPr>
                <w:i/>
                <w:sz w:val="14"/>
              </w:rPr>
              <w:t>3.1%</w:t>
            </w:r>
          </w:p>
        </w:tc>
        <w:tc>
          <w:tcPr>
            <w:tcW w:w="1208" w:type="dxa"/>
          </w:tcPr>
          <w:p>
            <w:pPr>
              <w:pStyle w:val="TableParagraph"/>
              <w:spacing w:line="152" w:lineRule="exact" w:before="8"/>
              <w:ind w:right="333"/>
              <w:jc w:val="right"/>
              <w:rPr>
                <w:b/>
                <w:sz w:val="14"/>
              </w:rPr>
            </w:pPr>
            <w:r>
              <w:rPr>
                <w:b/>
                <w:sz w:val="14"/>
              </w:rPr>
              <w:t>2,051,747</w:t>
            </w:r>
          </w:p>
        </w:tc>
        <w:tc>
          <w:tcPr>
            <w:tcW w:w="610" w:type="dxa"/>
          </w:tcPr>
          <w:p>
            <w:pPr>
              <w:pStyle w:val="TableParagraph"/>
              <w:spacing w:line="152" w:lineRule="exact" w:before="8"/>
              <w:ind w:right="37"/>
              <w:jc w:val="right"/>
              <w:rPr>
                <w:i/>
                <w:sz w:val="14"/>
              </w:rPr>
            </w:pPr>
            <w:r>
              <w:rPr>
                <w:i/>
                <w:w w:val="95"/>
                <w:sz w:val="14"/>
              </w:rPr>
              <w:t>3.6%</w:t>
            </w:r>
          </w:p>
        </w:tc>
      </w:tr>
      <w:tr>
        <w:trPr>
          <w:trHeight w:val="180" w:hRule="atLeast"/>
        </w:trPr>
        <w:tc>
          <w:tcPr>
            <w:tcW w:w="4311" w:type="dxa"/>
          </w:tcPr>
          <w:p>
            <w:pPr>
              <w:pStyle w:val="TableParagraph"/>
              <w:spacing w:line="154" w:lineRule="exact" w:before="5"/>
              <w:ind w:left="544"/>
              <w:rPr>
                <w:sz w:val="14"/>
              </w:rPr>
            </w:pPr>
            <w:r>
              <w:rPr>
                <w:sz w:val="14"/>
              </w:rPr>
              <w:t>Import Duties</w:t>
            </w:r>
          </w:p>
        </w:tc>
        <w:tc>
          <w:tcPr>
            <w:tcW w:w="1221" w:type="dxa"/>
          </w:tcPr>
          <w:p>
            <w:pPr>
              <w:pStyle w:val="TableParagraph"/>
              <w:spacing w:line="154" w:lineRule="exact" w:before="5"/>
              <w:ind w:right="309"/>
              <w:jc w:val="right"/>
              <w:rPr>
                <w:i/>
                <w:sz w:val="14"/>
              </w:rPr>
            </w:pPr>
            <w:r>
              <w:rPr>
                <w:i/>
                <w:sz w:val="14"/>
              </w:rPr>
              <w:t>650,486</w:t>
            </w:r>
          </w:p>
        </w:tc>
        <w:tc>
          <w:tcPr>
            <w:tcW w:w="874" w:type="dxa"/>
          </w:tcPr>
          <w:p>
            <w:pPr>
              <w:pStyle w:val="TableParagraph"/>
              <w:spacing w:line="154" w:lineRule="exact" w:before="5"/>
              <w:ind w:right="204"/>
              <w:jc w:val="right"/>
              <w:rPr>
                <w:sz w:val="14"/>
              </w:rPr>
            </w:pPr>
            <w:r>
              <w:rPr>
                <w:sz w:val="14"/>
              </w:rPr>
              <w:t>2 . 0 %</w:t>
            </w:r>
          </w:p>
        </w:tc>
        <w:tc>
          <w:tcPr>
            <w:tcW w:w="1171" w:type="dxa"/>
          </w:tcPr>
          <w:p>
            <w:pPr>
              <w:pStyle w:val="TableParagraph"/>
              <w:spacing w:line="154" w:lineRule="exact" w:before="5"/>
              <w:ind w:right="263"/>
              <w:jc w:val="right"/>
              <w:rPr>
                <w:sz w:val="14"/>
              </w:rPr>
            </w:pPr>
            <w:r>
              <w:rPr>
                <w:sz w:val="14"/>
              </w:rPr>
              <w:t>710,000</w:t>
            </w:r>
          </w:p>
        </w:tc>
        <w:tc>
          <w:tcPr>
            <w:tcW w:w="831" w:type="dxa"/>
          </w:tcPr>
          <w:p>
            <w:pPr>
              <w:pStyle w:val="TableParagraph"/>
              <w:spacing w:line="154" w:lineRule="exact" w:before="5"/>
              <w:ind w:left="214" w:right="256"/>
              <w:jc w:val="center"/>
              <w:rPr>
                <w:i/>
                <w:sz w:val="14"/>
              </w:rPr>
            </w:pPr>
            <w:r>
              <w:rPr>
                <w:i/>
                <w:sz w:val="14"/>
              </w:rPr>
              <w:t>1.9%</w:t>
            </w:r>
          </w:p>
        </w:tc>
        <w:tc>
          <w:tcPr>
            <w:tcW w:w="1305" w:type="dxa"/>
          </w:tcPr>
          <w:p>
            <w:pPr>
              <w:pStyle w:val="TableParagraph"/>
              <w:spacing w:line="154" w:lineRule="exact" w:before="5"/>
              <w:ind w:right="373"/>
              <w:jc w:val="right"/>
              <w:rPr>
                <w:b/>
                <w:sz w:val="14"/>
              </w:rPr>
            </w:pPr>
            <w:r>
              <w:rPr>
                <w:b/>
                <w:sz w:val="14"/>
              </w:rPr>
              <w:t>893,363</w:t>
            </w:r>
          </w:p>
        </w:tc>
        <w:tc>
          <w:tcPr>
            <w:tcW w:w="836" w:type="dxa"/>
          </w:tcPr>
          <w:p>
            <w:pPr>
              <w:pStyle w:val="TableParagraph"/>
              <w:spacing w:line="154" w:lineRule="exact" w:before="5"/>
              <w:ind w:right="205"/>
              <w:jc w:val="right"/>
              <w:rPr>
                <w:i/>
                <w:sz w:val="14"/>
              </w:rPr>
            </w:pPr>
            <w:r>
              <w:rPr>
                <w:i/>
                <w:w w:val="95"/>
                <w:sz w:val="14"/>
              </w:rPr>
              <w:t>2.1%</w:t>
            </w:r>
          </w:p>
        </w:tc>
        <w:tc>
          <w:tcPr>
            <w:tcW w:w="1205" w:type="dxa"/>
          </w:tcPr>
          <w:p>
            <w:pPr>
              <w:pStyle w:val="TableParagraph"/>
              <w:spacing w:line="154" w:lineRule="exact" w:before="5"/>
              <w:ind w:right="298"/>
              <w:jc w:val="right"/>
              <w:rPr>
                <w:sz w:val="14"/>
              </w:rPr>
            </w:pPr>
            <w:r>
              <w:rPr>
                <w:sz w:val="14"/>
              </w:rPr>
              <w:t>879,517</w:t>
            </w:r>
          </w:p>
        </w:tc>
        <w:tc>
          <w:tcPr>
            <w:tcW w:w="779" w:type="dxa"/>
          </w:tcPr>
          <w:p>
            <w:pPr>
              <w:pStyle w:val="TableParagraph"/>
              <w:spacing w:line="154" w:lineRule="exact" w:before="5"/>
              <w:ind w:left="231" w:right="188"/>
              <w:jc w:val="center"/>
              <w:rPr>
                <w:i/>
                <w:sz w:val="14"/>
              </w:rPr>
            </w:pPr>
            <w:r>
              <w:rPr>
                <w:i/>
                <w:sz w:val="14"/>
              </w:rPr>
              <w:t>1.7%</w:t>
            </w:r>
          </w:p>
        </w:tc>
        <w:tc>
          <w:tcPr>
            <w:tcW w:w="1208" w:type="dxa"/>
          </w:tcPr>
          <w:p>
            <w:pPr>
              <w:pStyle w:val="TableParagraph"/>
              <w:spacing w:line="154" w:lineRule="exact" w:before="5"/>
              <w:ind w:right="310"/>
              <w:jc w:val="right"/>
              <w:rPr>
                <w:sz w:val="14"/>
              </w:rPr>
            </w:pPr>
            <w:r>
              <w:rPr>
                <w:sz w:val="14"/>
              </w:rPr>
              <w:t>1,242 ,139</w:t>
            </w:r>
          </w:p>
        </w:tc>
        <w:tc>
          <w:tcPr>
            <w:tcW w:w="610" w:type="dxa"/>
          </w:tcPr>
          <w:p>
            <w:pPr>
              <w:pStyle w:val="TableParagraph"/>
              <w:spacing w:line="154" w:lineRule="exact" w:before="5"/>
              <w:ind w:right="37"/>
              <w:jc w:val="right"/>
              <w:rPr>
                <w:i/>
                <w:sz w:val="14"/>
              </w:rPr>
            </w:pPr>
            <w:r>
              <w:rPr>
                <w:i/>
                <w:w w:val="95"/>
                <w:sz w:val="14"/>
              </w:rPr>
              <w:t>2.2%</w:t>
            </w:r>
          </w:p>
        </w:tc>
      </w:tr>
      <w:tr>
        <w:trPr>
          <w:trHeight w:val="180" w:hRule="atLeast"/>
        </w:trPr>
        <w:tc>
          <w:tcPr>
            <w:tcW w:w="4311" w:type="dxa"/>
          </w:tcPr>
          <w:p>
            <w:pPr>
              <w:pStyle w:val="TableParagraph"/>
              <w:spacing w:line="152" w:lineRule="exact" w:before="8"/>
              <w:ind w:left="544"/>
              <w:rPr>
                <w:sz w:val="14"/>
              </w:rPr>
            </w:pPr>
            <w:r>
              <w:rPr>
                <w:sz w:val="14"/>
              </w:rPr>
              <w:t>Excise Duties on Petroleum Products</w:t>
            </w:r>
          </w:p>
        </w:tc>
        <w:tc>
          <w:tcPr>
            <w:tcW w:w="1221" w:type="dxa"/>
          </w:tcPr>
          <w:p>
            <w:pPr>
              <w:pStyle w:val="TableParagraph"/>
              <w:spacing w:line="152" w:lineRule="exact" w:before="8"/>
              <w:ind w:right="309"/>
              <w:jc w:val="right"/>
              <w:rPr>
                <w:i/>
                <w:sz w:val="14"/>
              </w:rPr>
            </w:pPr>
            <w:r>
              <w:rPr>
                <w:i/>
                <w:sz w:val="14"/>
              </w:rPr>
              <w:t>347,154</w:t>
            </w:r>
          </w:p>
        </w:tc>
        <w:tc>
          <w:tcPr>
            <w:tcW w:w="874" w:type="dxa"/>
          </w:tcPr>
          <w:p>
            <w:pPr>
              <w:pStyle w:val="TableParagraph"/>
              <w:spacing w:line="152" w:lineRule="exact" w:before="8"/>
              <w:ind w:right="204"/>
              <w:jc w:val="right"/>
              <w:rPr>
                <w:sz w:val="14"/>
              </w:rPr>
            </w:pPr>
            <w:r>
              <w:rPr>
                <w:sz w:val="14"/>
              </w:rPr>
              <w:t>1 . 1 %</w:t>
            </w:r>
          </w:p>
        </w:tc>
        <w:tc>
          <w:tcPr>
            <w:tcW w:w="1171" w:type="dxa"/>
          </w:tcPr>
          <w:p>
            <w:pPr>
              <w:pStyle w:val="TableParagraph"/>
              <w:spacing w:line="152" w:lineRule="exact" w:before="8"/>
              <w:ind w:right="263"/>
              <w:jc w:val="right"/>
              <w:rPr>
                <w:sz w:val="14"/>
              </w:rPr>
            </w:pPr>
            <w:r>
              <w:rPr>
                <w:sz w:val="14"/>
              </w:rPr>
              <w:t>546,000</w:t>
            </w:r>
          </w:p>
        </w:tc>
        <w:tc>
          <w:tcPr>
            <w:tcW w:w="831" w:type="dxa"/>
          </w:tcPr>
          <w:p>
            <w:pPr>
              <w:pStyle w:val="TableParagraph"/>
              <w:spacing w:line="152" w:lineRule="exact" w:before="8"/>
              <w:ind w:left="214" w:right="256"/>
              <w:jc w:val="center"/>
              <w:rPr>
                <w:i/>
                <w:sz w:val="14"/>
              </w:rPr>
            </w:pPr>
            <w:r>
              <w:rPr>
                <w:i/>
                <w:sz w:val="14"/>
              </w:rPr>
              <w:t>1.5%</w:t>
            </w:r>
          </w:p>
        </w:tc>
        <w:tc>
          <w:tcPr>
            <w:tcW w:w="1305" w:type="dxa"/>
          </w:tcPr>
          <w:p>
            <w:pPr>
              <w:pStyle w:val="TableParagraph"/>
              <w:spacing w:line="152" w:lineRule="exact" w:before="8"/>
              <w:ind w:right="373"/>
              <w:jc w:val="right"/>
              <w:rPr>
                <w:b/>
                <w:sz w:val="14"/>
              </w:rPr>
            </w:pPr>
            <w:r>
              <w:rPr>
                <w:b/>
                <w:sz w:val="14"/>
              </w:rPr>
              <w:t>598,665</w:t>
            </w:r>
          </w:p>
        </w:tc>
        <w:tc>
          <w:tcPr>
            <w:tcW w:w="836" w:type="dxa"/>
          </w:tcPr>
          <w:p>
            <w:pPr>
              <w:pStyle w:val="TableParagraph"/>
              <w:spacing w:line="152" w:lineRule="exact" w:before="8"/>
              <w:ind w:right="205"/>
              <w:jc w:val="right"/>
              <w:rPr>
                <w:i/>
                <w:sz w:val="14"/>
              </w:rPr>
            </w:pPr>
            <w:r>
              <w:rPr>
                <w:i/>
                <w:w w:val="95"/>
                <w:sz w:val="14"/>
              </w:rPr>
              <w:t>1.4%</w:t>
            </w:r>
          </w:p>
        </w:tc>
        <w:tc>
          <w:tcPr>
            <w:tcW w:w="1205" w:type="dxa"/>
          </w:tcPr>
          <w:p>
            <w:pPr>
              <w:pStyle w:val="TableParagraph"/>
              <w:spacing w:line="152" w:lineRule="exact" w:before="8"/>
              <w:ind w:right="298"/>
              <w:jc w:val="right"/>
              <w:rPr>
                <w:sz w:val="14"/>
              </w:rPr>
            </w:pPr>
            <w:r>
              <w:rPr>
                <w:sz w:val="14"/>
              </w:rPr>
              <w:t>634,499</w:t>
            </w:r>
          </w:p>
        </w:tc>
        <w:tc>
          <w:tcPr>
            <w:tcW w:w="779" w:type="dxa"/>
          </w:tcPr>
          <w:p>
            <w:pPr>
              <w:pStyle w:val="TableParagraph"/>
              <w:spacing w:line="152" w:lineRule="exact" w:before="8"/>
              <w:ind w:left="231" w:right="188"/>
              <w:jc w:val="center"/>
              <w:rPr>
                <w:i/>
                <w:sz w:val="14"/>
              </w:rPr>
            </w:pPr>
            <w:r>
              <w:rPr>
                <w:i/>
                <w:sz w:val="14"/>
              </w:rPr>
              <w:t>1.3%</w:t>
            </w:r>
          </w:p>
        </w:tc>
        <w:tc>
          <w:tcPr>
            <w:tcW w:w="1208" w:type="dxa"/>
          </w:tcPr>
          <w:p>
            <w:pPr>
              <w:pStyle w:val="TableParagraph"/>
              <w:spacing w:line="152" w:lineRule="exact" w:before="8"/>
              <w:ind w:right="302"/>
              <w:jc w:val="right"/>
              <w:rPr>
                <w:sz w:val="14"/>
              </w:rPr>
            </w:pPr>
            <w:r>
              <w:rPr>
                <w:sz w:val="14"/>
              </w:rPr>
              <w:t>723,943</w:t>
            </w:r>
          </w:p>
        </w:tc>
        <w:tc>
          <w:tcPr>
            <w:tcW w:w="610" w:type="dxa"/>
          </w:tcPr>
          <w:p>
            <w:pPr>
              <w:pStyle w:val="TableParagraph"/>
              <w:spacing w:line="152" w:lineRule="exact" w:before="8"/>
              <w:ind w:right="37"/>
              <w:jc w:val="right"/>
              <w:rPr>
                <w:i/>
                <w:sz w:val="14"/>
              </w:rPr>
            </w:pPr>
            <w:r>
              <w:rPr>
                <w:i/>
                <w:w w:val="95"/>
                <w:sz w:val="14"/>
              </w:rPr>
              <w:t>1.3%</w:t>
            </w:r>
          </w:p>
        </w:tc>
      </w:tr>
      <w:tr>
        <w:trPr>
          <w:trHeight w:val="180" w:hRule="atLeast"/>
        </w:trPr>
        <w:tc>
          <w:tcPr>
            <w:tcW w:w="4311" w:type="dxa"/>
          </w:tcPr>
          <w:p>
            <w:pPr>
              <w:pStyle w:val="TableParagraph"/>
              <w:spacing w:line="154" w:lineRule="exact" w:before="5"/>
              <w:ind w:left="543"/>
              <w:rPr>
                <w:sz w:val="14"/>
              </w:rPr>
            </w:pPr>
            <w:r>
              <w:rPr>
                <w:sz w:val="14"/>
              </w:rPr>
              <w:t>Other Excise Duties</w:t>
            </w:r>
          </w:p>
        </w:tc>
        <w:tc>
          <w:tcPr>
            <w:tcW w:w="1221" w:type="dxa"/>
          </w:tcPr>
          <w:p>
            <w:pPr>
              <w:pStyle w:val="TableParagraph"/>
              <w:spacing w:line="154" w:lineRule="exact" w:before="5"/>
              <w:ind w:right="310"/>
              <w:jc w:val="right"/>
              <w:rPr>
                <w:i/>
                <w:sz w:val="14"/>
              </w:rPr>
            </w:pPr>
            <w:r>
              <w:rPr>
                <w:i/>
                <w:sz w:val="14"/>
              </w:rPr>
              <w:t>10 ,879</w:t>
            </w:r>
          </w:p>
        </w:tc>
        <w:tc>
          <w:tcPr>
            <w:tcW w:w="874" w:type="dxa"/>
          </w:tcPr>
          <w:p>
            <w:pPr>
              <w:pStyle w:val="TableParagraph"/>
              <w:spacing w:line="154" w:lineRule="exact" w:before="5"/>
              <w:ind w:right="204"/>
              <w:jc w:val="right"/>
              <w:rPr>
                <w:sz w:val="14"/>
              </w:rPr>
            </w:pPr>
            <w:r>
              <w:rPr>
                <w:sz w:val="14"/>
              </w:rPr>
              <w:t>0 . 0 %</w:t>
            </w:r>
          </w:p>
        </w:tc>
        <w:tc>
          <w:tcPr>
            <w:tcW w:w="1171" w:type="dxa"/>
          </w:tcPr>
          <w:p>
            <w:pPr>
              <w:pStyle w:val="TableParagraph"/>
              <w:spacing w:line="154" w:lineRule="exact" w:before="5"/>
              <w:ind w:right="259"/>
              <w:jc w:val="right"/>
              <w:rPr>
                <w:sz w:val="14"/>
              </w:rPr>
            </w:pPr>
            <w:r>
              <w:rPr>
                <w:sz w:val="14"/>
              </w:rPr>
              <w:t>25 ,000</w:t>
            </w:r>
          </w:p>
        </w:tc>
        <w:tc>
          <w:tcPr>
            <w:tcW w:w="831" w:type="dxa"/>
          </w:tcPr>
          <w:p>
            <w:pPr>
              <w:pStyle w:val="TableParagraph"/>
              <w:spacing w:line="154" w:lineRule="exact" w:before="5"/>
              <w:ind w:left="214" w:right="256"/>
              <w:jc w:val="center"/>
              <w:rPr>
                <w:i/>
                <w:sz w:val="14"/>
              </w:rPr>
            </w:pPr>
            <w:r>
              <w:rPr>
                <w:i/>
                <w:sz w:val="14"/>
              </w:rPr>
              <w:t>0.1%</w:t>
            </w:r>
          </w:p>
        </w:tc>
        <w:tc>
          <w:tcPr>
            <w:tcW w:w="1305" w:type="dxa"/>
          </w:tcPr>
          <w:p>
            <w:pPr>
              <w:pStyle w:val="TableParagraph"/>
              <w:spacing w:line="154" w:lineRule="exact" w:before="5"/>
              <w:ind w:right="366"/>
              <w:jc w:val="right"/>
              <w:rPr>
                <w:b/>
                <w:sz w:val="14"/>
              </w:rPr>
            </w:pPr>
            <w:r>
              <w:rPr>
                <w:b/>
                <w:w w:val="95"/>
                <w:sz w:val="14"/>
              </w:rPr>
              <w:t>49,535</w:t>
            </w:r>
          </w:p>
        </w:tc>
        <w:tc>
          <w:tcPr>
            <w:tcW w:w="836" w:type="dxa"/>
          </w:tcPr>
          <w:p>
            <w:pPr>
              <w:pStyle w:val="TableParagraph"/>
              <w:spacing w:line="154" w:lineRule="exact" w:before="5"/>
              <w:ind w:right="205"/>
              <w:jc w:val="right"/>
              <w:rPr>
                <w:i/>
                <w:sz w:val="14"/>
              </w:rPr>
            </w:pPr>
            <w:r>
              <w:rPr>
                <w:i/>
                <w:w w:val="95"/>
                <w:sz w:val="14"/>
              </w:rPr>
              <w:t>0.1%</w:t>
            </w:r>
          </w:p>
        </w:tc>
        <w:tc>
          <w:tcPr>
            <w:tcW w:w="1205" w:type="dxa"/>
          </w:tcPr>
          <w:p>
            <w:pPr>
              <w:pStyle w:val="TableParagraph"/>
              <w:spacing w:line="154" w:lineRule="exact" w:before="5"/>
              <w:ind w:right="293"/>
              <w:jc w:val="right"/>
              <w:rPr>
                <w:sz w:val="14"/>
              </w:rPr>
            </w:pPr>
            <w:r>
              <w:rPr>
                <w:sz w:val="14"/>
              </w:rPr>
              <w:t>74 ,527</w:t>
            </w:r>
          </w:p>
        </w:tc>
        <w:tc>
          <w:tcPr>
            <w:tcW w:w="779" w:type="dxa"/>
          </w:tcPr>
          <w:p>
            <w:pPr>
              <w:pStyle w:val="TableParagraph"/>
              <w:spacing w:line="154" w:lineRule="exact" w:before="5"/>
              <w:ind w:left="231" w:right="188"/>
              <w:jc w:val="center"/>
              <w:rPr>
                <w:i/>
                <w:sz w:val="14"/>
              </w:rPr>
            </w:pPr>
            <w:r>
              <w:rPr>
                <w:i/>
                <w:sz w:val="14"/>
              </w:rPr>
              <w:t>0.1%</w:t>
            </w:r>
          </w:p>
        </w:tc>
        <w:tc>
          <w:tcPr>
            <w:tcW w:w="1208" w:type="dxa"/>
          </w:tcPr>
          <w:p>
            <w:pPr>
              <w:pStyle w:val="TableParagraph"/>
              <w:spacing w:line="154" w:lineRule="exact" w:before="5"/>
              <w:ind w:right="298"/>
              <w:jc w:val="right"/>
              <w:rPr>
                <w:sz w:val="14"/>
              </w:rPr>
            </w:pPr>
            <w:r>
              <w:rPr>
                <w:sz w:val="14"/>
              </w:rPr>
              <w:t>85 ,664</w:t>
            </w:r>
          </w:p>
        </w:tc>
        <w:tc>
          <w:tcPr>
            <w:tcW w:w="610" w:type="dxa"/>
          </w:tcPr>
          <w:p>
            <w:pPr>
              <w:pStyle w:val="TableParagraph"/>
              <w:spacing w:line="154" w:lineRule="exact" w:before="5"/>
              <w:ind w:right="37"/>
              <w:jc w:val="right"/>
              <w:rPr>
                <w:i/>
                <w:sz w:val="14"/>
              </w:rPr>
            </w:pPr>
            <w:r>
              <w:rPr>
                <w:i/>
                <w:w w:val="95"/>
                <w:sz w:val="14"/>
              </w:rPr>
              <w:t>0.1%</w:t>
            </w:r>
          </w:p>
        </w:tc>
      </w:tr>
      <w:tr>
        <w:trPr>
          <w:trHeight w:val="180" w:hRule="atLeast"/>
        </w:trPr>
        <w:tc>
          <w:tcPr>
            <w:tcW w:w="4311" w:type="dxa"/>
          </w:tcPr>
          <w:p>
            <w:pPr>
              <w:pStyle w:val="TableParagraph"/>
              <w:spacing w:line="152" w:lineRule="exact" w:before="8"/>
              <w:ind w:left="376"/>
              <w:rPr>
                <w:b/>
                <w:sz w:val="14"/>
              </w:rPr>
            </w:pPr>
            <w:r>
              <w:rPr>
                <w:b/>
                <w:sz w:val="14"/>
              </w:rPr>
              <w:t>Mines Department</w:t>
            </w:r>
          </w:p>
        </w:tc>
        <w:tc>
          <w:tcPr>
            <w:tcW w:w="1221" w:type="dxa"/>
          </w:tcPr>
          <w:p>
            <w:pPr>
              <w:pStyle w:val="TableParagraph"/>
              <w:spacing w:line="152" w:lineRule="exact" w:before="8"/>
              <w:ind w:right="341"/>
              <w:jc w:val="right"/>
              <w:rPr>
                <w:b/>
                <w:i/>
                <w:sz w:val="14"/>
              </w:rPr>
            </w:pPr>
            <w:r>
              <w:rPr>
                <w:b/>
                <w:i/>
                <w:w w:val="95"/>
                <w:sz w:val="14"/>
              </w:rPr>
              <w:t>222,772</w:t>
            </w:r>
          </w:p>
        </w:tc>
        <w:tc>
          <w:tcPr>
            <w:tcW w:w="874" w:type="dxa"/>
          </w:tcPr>
          <w:p>
            <w:pPr>
              <w:pStyle w:val="TableParagraph"/>
              <w:spacing w:line="152" w:lineRule="exact" w:before="8"/>
              <w:ind w:right="210"/>
              <w:jc w:val="right"/>
              <w:rPr>
                <w:b/>
                <w:sz w:val="14"/>
              </w:rPr>
            </w:pPr>
            <w:r>
              <w:rPr>
                <w:b/>
                <w:sz w:val="14"/>
              </w:rPr>
              <w:t>0.7%</w:t>
            </w:r>
          </w:p>
        </w:tc>
        <w:tc>
          <w:tcPr>
            <w:tcW w:w="1171" w:type="dxa"/>
          </w:tcPr>
          <w:p>
            <w:pPr>
              <w:pStyle w:val="TableParagraph"/>
              <w:spacing w:line="152" w:lineRule="exact" w:before="8"/>
              <w:ind w:right="277"/>
              <w:jc w:val="right"/>
              <w:rPr>
                <w:b/>
                <w:sz w:val="14"/>
              </w:rPr>
            </w:pPr>
            <w:r>
              <w:rPr>
                <w:b/>
                <w:sz w:val="14"/>
              </w:rPr>
              <w:t>270,080</w:t>
            </w:r>
          </w:p>
        </w:tc>
        <w:tc>
          <w:tcPr>
            <w:tcW w:w="831" w:type="dxa"/>
          </w:tcPr>
          <w:p>
            <w:pPr>
              <w:pStyle w:val="TableParagraph"/>
              <w:spacing w:line="152" w:lineRule="exact" w:before="8"/>
              <w:ind w:left="214" w:right="256"/>
              <w:jc w:val="center"/>
              <w:rPr>
                <w:i/>
                <w:sz w:val="14"/>
              </w:rPr>
            </w:pPr>
            <w:r>
              <w:rPr>
                <w:i/>
                <w:sz w:val="14"/>
              </w:rPr>
              <w:t>0.7%</w:t>
            </w:r>
          </w:p>
        </w:tc>
        <w:tc>
          <w:tcPr>
            <w:tcW w:w="1305" w:type="dxa"/>
          </w:tcPr>
          <w:p>
            <w:pPr>
              <w:pStyle w:val="TableParagraph"/>
              <w:spacing w:line="152" w:lineRule="exact" w:before="8"/>
              <w:ind w:right="373"/>
              <w:jc w:val="right"/>
              <w:rPr>
                <w:b/>
                <w:sz w:val="14"/>
              </w:rPr>
            </w:pPr>
            <w:r>
              <w:rPr>
                <w:b/>
                <w:sz w:val="14"/>
              </w:rPr>
              <w:t>322,125</w:t>
            </w:r>
          </w:p>
        </w:tc>
        <w:tc>
          <w:tcPr>
            <w:tcW w:w="836" w:type="dxa"/>
          </w:tcPr>
          <w:p>
            <w:pPr>
              <w:pStyle w:val="TableParagraph"/>
              <w:spacing w:line="152" w:lineRule="exact" w:before="8"/>
              <w:ind w:right="205"/>
              <w:jc w:val="right"/>
              <w:rPr>
                <w:i/>
                <w:sz w:val="14"/>
              </w:rPr>
            </w:pPr>
            <w:r>
              <w:rPr>
                <w:i/>
                <w:w w:val="95"/>
                <w:sz w:val="14"/>
              </w:rPr>
              <w:t>0.7%</w:t>
            </w:r>
          </w:p>
        </w:tc>
        <w:tc>
          <w:tcPr>
            <w:tcW w:w="1205" w:type="dxa"/>
          </w:tcPr>
          <w:p>
            <w:pPr>
              <w:pStyle w:val="TableParagraph"/>
              <w:spacing w:line="152" w:lineRule="exact" w:before="8"/>
              <w:ind w:right="317"/>
              <w:jc w:val="right"/>
              <w:rPr>
                <w:b/>
                <w:sz w:val="14"/>
              </w:rPr>
            </w:pPr>
            <w:r>
              <w:rPr>
                <w:b/>
                <w:sz w:val="14"/>
              </w:rPr>
              <w:t>366,572</w:t>
            </w:r>
          </w:p>
        </w:tc>
        <w:tc>
          <w:tcPr>
            <w:tcW w:w="779" w:type="dxa"/>
          </w:tcPr>
          <w:p>
            <w:pPr>
              <w:pStyle w:val="TableParagraph"/>
              <w:spacing w:line="152" w:lineRule="exact" w:before="8"/>
              <w:ind w:left="231" w:right="188"/>
              <w:jc w:val="center"/>
              <w:rPr>
                <w:i/>
                <w:sz w:val="14"/>
              </w:rPr>
            </w:pPr>
            <w:r>
              <w:rPr>
                <w:i/>
                <w:sz w:val="14"/>
              </w:rPr>
              <w:t>0.7%</w:t>
            </w:r>
          </w:p>
        </w:tc>
        <w:tc>
          <w:tcPr>
            <w:tcW w:w="1208" w:type="dxa"/>
          </w:tcPr>
          <w:p>
            <w:pPr>
              <w:pStyle w:val="TableParagraph"/>
              <w:spacing w:line="152" w:lineRule="exact" w:before="8"/>
              <w:ind w:right="321"/>
              <w:jc w:val="right"/>
              <w:rPr>
                <w:b/>
                <w:sz w:val="14"/>
              </w:rPr>
            </w:pPr>
            <w:r>
              <w:rPr>
                <w:b/>
                <w:sz w:val="14"/>
              </w:rPr>
              <w:t>406,882</w:t>
            </w:r>
          </w:p>
        </w:tc>
        <w:tc>
          <w:tcPr>
            <w:tcW w:w="610" w:type="dxa"/>
          </w:tcPr>
          <w:p>
            <w:pPr>
              <w:pStyle w:val="TableParagraph"/>
              <w:spacing w:line="152" w:lineRule="exact" w:before="8"/>
              <w:ind w:right="37"/>
              <w:jc w:val="right"/>
              <w:rPr>
                <w:i/>
                <w:sz w:val="14"/>
              </w:rPr>
            </w:pPr>
            <w:r>
              <w:rPr>
                <w:i/>
                <w:w w:val="95"/>
                <w:sz w:val="14"/>
              </w:rPr>
              <w:t>0.7%</w:t>
            </w:r>
          </w:p>
        </w:tc>
      </w:tr>
      <w:tr>
        <w:trPr>
          <w:trHeight w:val="180" w:hRule="atLeast"/>
        </w:trPr>
        <w:tc>
          <w:tcPr>
            <w:tcW w:w="4311" w:type="dxa"/>
          </w:tcPr>
          <w:p>
            <w:pPr>
              <w:pStyle w:val="TableParagraph"/>
              <w:spacing w:line="154" w:lineRule="exact" w:before="5"/>
              <w:ind w:left="543"/>
              <w:rPr>
                <w:sz w:val="14"/>
              </w:rPr>
            </w:pPr>
            <w:r>
              <w:rPr>
                <w:sz w:val="14"/>
              </w:rPr>
              <w:t>Royalty on Rutile</w:t>
            </w:r>
          </w:p>
        </w:tc>
        <w:tc>
          <w:tcPr>
            <w:tcW w:w="1221" w:type="dxa"/>
          </w:tcPr>
          <w:p>
            <w:pPr>
              <w:pStyle w:val="TableParagraph"/>
              <w:spacing w:line="154" w:lineRule="exact" w:before="5"/>
              <w:ind w:right="310"/>
              <w:jc w:val="right"/>
              <w:rPr>
                <w:i/>
                <w:sz w:val="14"/>
              </w:rPr>
            </w:pPr>
            <w:r>
              <w:rPr>
                <w:i/>
                <w:sz w:val="14"/>
              </w:rPr>
              <w:t>57 ,263</w:t>
            </w:r>
          </w:p>
        </w:tc>
        <w:tc>
          <w:tcPr>
            <w:tcW w:w="874" w:type="dxa"/>
          </w:tcPr>
          <w:p>
            <w:pPr>
              <w:pStyle w:val="TableParagraph"/>
              <w:spacing w:line="154" w:lineRule="exact" w:before="5"/>
              <w:ind w:right="204"/>
              <w:jc w:val="right"/>
              <w:rPr>
                <w:sz w:val="14"/>
              </w:rPr>
            </w:pPr>
            <w:r>
              <w:rPr>
                <w:sz w:val="14"/>
              </w:rPr>
              <w:t>0 . 2 %</w:t>
            </w:r>
          </w:p>
        </w:tc>
        <w:tc>
          <w:tcPr>
            <w:tcW w:w="1171" w:type="dxa"/>
          </w:tcPr>
          <w:p>
            <w:pPr>
              <w:pStyle w:val="TableParagraph"/>
              <w:spacing w:line="154" w:lineRule="exact" w:before="5"/>
              <w:ind w:right="263"/>
              <w:jc w:val="right"/>
              <w:rPr>
                <w:sz w:val="14"/>
              </w:rPr>
            </w:pPr>
            <w:r>
              <w:rPr>
                <w:sz w:val="14"/>
              </w:rPr>
              <w:t>109,460</w:t>
            </w:r>
          </w:p>
        </w:tc>
        <w:tc>
          <w:tcPr>
            <w:tcW w:w="831" w:type="dxa"/>
          </w:tcPr>
          <w:p>
            <w:pPr>
              <w:pStyle w:val="TableParagraph"/>
              <w:spacing w:line="154" w:lineRule="exact" w:before="5"/>
              <w:ind w:left="214" w:right="256"/>
              <w:jc w:val="center"/>
              <w:rPr>
                <w:i/>
                <w:sz w:val="14"/>
              </w:rPr>
            </w:pPr>
            <w:r>
              <w:rPr>
                <w:i/>
                <w:sz w:val="14"/>
              </w:rPr>
              <w:t>0.3%</w:t>
            </w:r>
          </w:p>
        </w:tc>
        <w:tc>
          <w:tcPr>
            <w:tcW w:w="1305" w:type="dxa"/>
          </w:tcPr>
          <w:p>
            <w:pPr>
              <w:pStyle w:val="TableParagraph"/>
              <w:spacing w:line="154" w:lineRule="exact" w:before="5"/>
              <w:ind w:right="373"/>
              <w:jc w:val="right"/>
              <w:rPr>
                <w:b/>
                <w:sz w:val="14"/>
              </w:rPr>
            </w:pPr>
            <w:r>
              <w:rPr>
                <w:b/>
                <w:sz w:val="14"/>
              </w:rPr>
              <w:t>105,169</w:t>
            </w:r>
          </w:p>
        </w:tc>
        <w:tc>
          <w:tcPr>
            <w:tcW w:w="836" w:type="dxa"/>
          </w:tcPr>
          <w:p>
            <w:pPr>
              <w:pStyle w:val="TableParagraph"/>
              <w:spacing w:line="154" w:lineRule="exact" w:before="5"/>
              <w:ind w:right="205"/>
              <w:jc w:val="right"/>
              <w:rPr>
                <w:i/>
                <w:sz w:val="14"/>
              </w:rPr>
            </w:pPr>
            <w:r>
              <w:rPr>
                <w:i/>
                <w:w w:val="95"/>
                <w:sz w:val="14"/>
              </w:rPr>
              <w:t>0.2%</w:t>
            </w:r>
          </w:p>
        </w:tc>
        <w:tc>
          <w:tcPr>
            <w:tcW w:w="1205" w:type="dxa"/>
          </w:tcPr>
          <w:p>
            <w:pPr>
              <w:pStyle w:val="TableParagraph"/>
              <w:spacing w:line="154" w:lineRule="exact" w:before="5"/>
              <w:ind w:right="298"/>
              <w:jc w:val="right"/>
              <w:rPr>
                <w:sz w:val="14"/>
              </w:rPr>
            </w:pPr>
            <w:r>
              <w:rPr>
                <w:sz w:val="14"/>
              </w:rPr>
              <w:t>102,271</w:t>
            </w:r>
          </w:p>
        </w:tc>
        <w:tc>
          <w:tcPr>
            <w:tcW w:w="779" w:type="dxa"/>
          </w:tcPr>
          <w:p>
            <w:pPr>
              <w:pStyle w:val="TableParagraph"/>
              <w:spacing w:line="154" w:lineRule="exact" w:before="5"/>
              <w:ind w:left="231" w:right="188"/>
              <w:jc w:val="center"/>
              <w:rPr>
                <w:i/>
                <w:sz w:val="14"/>
              </w:rPr>
            </w:pPr>
            <w:r>
              <w:rPr>
                <w:i/>
                <w:sz w:val="14"/>
              </w:rPr>
              <w:t>0.2%</w:t>
            </w:r>
          </w:p>
        </w:tc>
        <w:tc>
          <w:tcPr>
            <w:tcW w:w="1208" w:type="dxa"/>
          </w:tcPr>
          <w:p>
            <w:pPr>
              <w:pStyle w:val="TableParagraph"/>
              <w:spacing w:line="154" w:lineRule="exact" w:before="5"/>
              <w:ind w:right="302"/>
              <w:jc w:val="right"/>
              <w:rPr>
                <w:sz w:val="14"/>
              </w:rPr>
            </w:pPr>
            <w:r>
              <w:rPr>
                <w:sz w:val="14"/>
              </w:rPr>
              <w:t>107,619</w:t>
            </w:r>
          </w:p>
        </w:tc>
        <w:tc>
          <w:tcPr>
            <w:tcW w:w="610" w:type="dxa"/>
          </w:tcPr>
          <w:p>
            <w:pPr>
              <w:pStyle w:val="TableParagraph"/>
              <w:spacing w:line="154" w:lineRule="exact" w:before="5"/>
              <w:ind w:right="37"/>
              <w:jc w:val="right"/>
              <w:rPr>
                <w:i/>
                <w:sz w:val="14"/>
              </w:rPr>
            </w:pPr>
            <w:r>
              <w:rPr>
                <w:i/>
                <w:w w:val="95"/>
                <w:sz w:val="14"/>
              </w:rPr>
              <w:t>0.2%</w:t>
            </w:r>
          </w:p>
        </w:tc>
      </w:tr>
      <w:tr>
        <w:trPr>
          <w:trHeight w:val="180" w:hRule="atLeast"/>
        </w:trPr>
        <w:tc>
          <w:tcPr>
            <w:tcW w:w="4311" w:type="dxa"/>
          </w:tcPr>
          <w:p>
            <w:pPr>
              <w:pStyle w:val="TableParagraph"/>
              <w:spacing w:line="152" w:lineRule="exact" w:before="8"/>
              <w:ind w:left="543"/>
              <w:rPr>
                <w:sz w:val="14"/>
              </w:rPr>
            </w:pPr>
            <w:r>
              <w:rPr>
                <w:sz w:val="14"/>
              </w:rPr>
              <w:t>Royalty on Bauxite</w:t>
            </w:r>
          </w:p>
        </w:tc>
        <w:tc>
          <w:tcPr>
            <w:tcW w:w="1221" w:type="dxa"/>
          </w:tcPr>
          <w:p>
            <w:pPr>
              <w:pStyle w:val="TableParagraph"/>
              <w:spacing w:line="152" w:lineRule="exact" w:before="8"/>
              <w:ind w:right="310"/>
              <w:jc w:val="right"/>
              <w:rPr>
                <w:i/>
                <w:sz w:val="14"/>
              </w:rPr>
            </w:pPr>
            <w:r>
              <w:rPr>
                <w:i/>
                <w:sz w:val="14"/>
              </w:rPr>
              <w:t>16 ,757</w:t>
            </w:r>
          </w:p>
        </w:tc>
        <w:tc>
          <w:tcPr>
            <w:tcW w:w="874" w:type="dxa"/>
          </w:tcPr>
          <w:p>
            <w:pPr>
              <w:pStyle w:val="TableParagraph"/>
              <w:spacing w:line="152" w:lineRule="exact" w:before="8"/>
              <w:ind w:right="204"/>
              <w:jc w:val="right"/>
              <w:rPr>
                <w:sz w:val="14"/>
              </w:rPr>
            </w:pPr>
            <w:r>
              <w:rPr>
                <w:sz w:val="14"/>
              </w:rPr>
              <w:t>0 . 1 %</w:t>
            </w:r>
          </w:p>
        </w:tc>
        <w:tc>
          <w:tcPr>
            <w:tcW w:w="1171" w:type="dxa"/>
          </w:tcPr>
          <w:p>
            <w:pPr>
              <w:pStyle w:val="TableParagraph"/>
              <w:spacing w:line="152" w:lineRule="exact" w:before="8"/>
              <w:ind w:right="259"/>
              <w:jc w:val="right"/>
              <w:rPr>
                <w:sz w:val="14"/>
              </w:rPr>
            </w:pPr>
            <w:r>
              <w:rPr>
                <w:sz w:val="14"/>
              </w:rPr>
              <w:t>14 ,498</w:t>
            </w:r>
          </w:p>
        </w:tc>
        <w:tc>
          <w:tcPr>
            <w:tcW w:w="831" w:type="dxa"/>
          </w:tcPr>
          <w:p>
            <w:pPr>
              <w:pStyle w:val="TableParagraph"/>
              <w:spacing w:line="152" w:lineRule="exact" w:before="8"/>
              <w:ind w:left="214" w:right="256"/>
              <w:jc w:val="center"/>
              <w:rPr>
                <w:i/>
                <w:sz w:val="14"/>
              </w:rPr>
            </w:pPr>
            <w:r>
              <w:rPr>
                <w:i/>
                <w:sz w:val="14"/>
              </w:rPr>
              <w:t>0.0%</w:t>
            </w:r>
          </w:p>
        </w:tc>
        <w:tc>
          <w:tcPr>
            <w:tcW w:w="1305" w:type="dxa"/>
          </w:tcPr>
          <w:p>
            <w:pPr>
              <w:pStyle w:val="TableParagraph"/>
              <w:spacing w:line="152" w:lineRule="exact" w:before="8"/>
              <w:ind w:right="366"/>
              <w:jc w:val="right"/>
              <w:rPr>
                <w:b/>
                <w:sz w:val="14"/>
              </w:rPr>
            </w:pPr>
            <w:r>
              <w:rPr>
                <w:b/>
                <w:w w:val="95"/>
                <w:sz w:val="14"/>
              </w:rPr>
              <w:t>20,268</w:t>
            </w:r>
          </w:p>
        </w:tc>
        <w:tc>
          <w:tcPr>
            <w:tcW w:w="836" w:type="dxa"/>
          </w:tcPr>
          <w:p>
            <w:pPr>
              <w:pStyle w:val="TableParagraph"/>
              <w:spacing w:line="152" w:lineRule="exact" w:before="8"/>
              <w:ind w:right="205"/>
              <w:jc w:val="right"/>
              <w:rPr>
                <w:i/>
                <w:sz w:val="14"/>
              </w:rPr>
            </w:pPr>
            <w:r>
              <w:rPr>
                <w:i/>
                <w:w w:val="95"/>
                <w:sz w:val="14"/>
              </w:rPr>
              <w:t>0.0%</w:t>
            </w:r>
          </w:p>
        </w:tc>
        <w:tc>
          <w:tcPr>
            <w:tcW w:w="1205" w:type="dxa"/>
          </w:tcPr>
          <w:p>
            <w:pPr>
              <w:pStyle w:val="TableParagraph"/>
              <w:spacing w:line="152" w:lineRule="exact" w:before="8"/>
              <w:ind w:right="293"/>
              <w:jc w:val="right"/>
              <w:rPr>
                <w:sz w:val="14"/>
              </w:rPr>
            </w:pPr>
            <w:r>
              <w:rPr>
                <w:sz w:val="14"/>
              </w:rPr>
              <w:t>34 ,969</w:t>
            </w:r>
          </w:p>
        </w:tc>
        <w:tc>
          <w:tcPr>
            <w:tcW w:w="779" w:type="dxa"/>
          </w:tcPr>
          <w:p>
            <w:pPr>
              <w:pStyle w:val="TableParagraph"/>
              <w:spacing w:line="152" w:lineRule="exact" w:before="8"/>
              <w:ind w:left="231" w:right="188"/>
              <w:jc w:val="center"/>
              <w:rPr>
                <w:i/>
                <w:sz w:val="14"/>
              </w:rPr>
            </w:pPr>
            <w:r>
              <w:rPr>
                <w:i/>
                <w:sz w:val="14"/>
              </w:rPr>
              <w:t>0.1%</w:t>
            </w:r>
          </w:p>
        </w:tc>
        <w:tc>
          <w:tcPr>
            <w:tcW w:w="1208" w:type="dxa"/>
          </w:tcPr>
          <w:p>
            <w:pPr>
              <w:pStyle w:val="TableParagraph"/>
              <w:spacing w:line="152" w:lineRule="exact" w:before="8"/>
              <w:ind w:right="298"/>
              <w:jc w:val="right"/>
              <w:rPr>
                <w:sz w:val="14"/>
              </w:rPr>
            </w:pPr>
            <w:r>
              <w:rPr>
                <w:sz w:val="14"/>
              </w:rPr>
              <w:t>38 ,028</w:t>
            </w:r>
          </w:p>
        </w:tc>
        <w:tc>
          <w:tcPr>
            <w:tcW w:w="610" w:type="dxa"/>
          </w:tcPr>
          <w:p>
            <w:pPr>
              <w:pStyle w:val="TableParagraph"/>
              <w:spacing w:line="152" w:lineRule="exact" w:before="8"/>
              <w:ind w:right="37"/>
              <w:jc w:val="right"/>
              <w:rPr>
                <w:i/>
                <w:sz w:val="14"/>
              </w:rPr>
            </w:pPr>
            <w:r>
              <w:rPr>
                <w:i/>
                <w:w w:val="95"/>
                <w:sz w:val="14"/>
              </w:rPr>
              <w:t>0.1%</w:t>
            </w:r>
          </w:p>
        </w:tc>
      </w:tr>
      <w:tr>
        <w:trPr>
          <w:trHeight w:val="180" w:hRule="atLeast"/>
        </w:trPr>
        <w:tc>
          <w:tcPr>
            <w:tcW w:w="4311" w:type="dxa"/>
          </w:tcPr>
          <w:p>
            <w:pPr>
              <w:pStyle w:val="TableParagraph"/>
              <w:spacing w:line="154" w:lineRule="exact" w:before="5"/>
              <w:ind w:left="543"/>
              <w:rPr>
                <w:sz w:val="14"/>
              </w:rPr>
            </w:pPr>
            <w:r>
              <w:rPr>
                <w:sz w:val="14"/>
              </w:rPr>
              <w:t>Royalties on Diamond and Gold</w:t>
            </w:r>
          </w:p>
        </w:tc>
        <w:tc>
          <w:tcPr>
            <w:tcW w:w="1221" w:type="dxa"/>
          </w:tcPr>
          <w:p>
            <w:pPr>
              <w:pStyle w:val="TableParagraph"/>
              <w:spacing w:line="154" w:lineRule="exact" w:before="5"/>
              <w:ind w:right="310"/>
              <w:jc w:val="right"/>
              <w:rPr>
                <w:i/>
                <w:sz w:val="14"/>
              </w:rPr>
            </w:pPr>
            <w:r>
              <w:rPr>
                <w:i/>
                <w:sz w:val="14"/>
              </w:rPr>
              <w:t>75 ,196</w:t>
            </w:r>
          </w:p>
        </w:tc>
        <w:tc>
          <w:tcPr>
            <w:tcW w:w="874" w:type="dxa"/>
          </w:tcPr>
          <w:p>
            <w:pPr>
              <w:pStyle w:val="TableParagraph"/>
              <w:spacing w:line="154" w:lineRule="exact" w:before="5"/>
              <w:ind w:right="204"/>
              <w:jc w:val="right"/>
              <w:rPr>
                <w:sz w:val="14"/>
              </w:rPr>
            </w:pPr>
            <w:r>
              <w:rPr>
                <w:sz w:val="14"/>
              </w:rPr>
              <w:t>0 . 2 %</w:t>
            </w:r>
          </w:p>
        </w:tc>
        <w:tc>
          <w:tcPr>
            <w:tcW w:w="1171" w:type="dxa"/>
          </w:tcPr>
          <w:p>
            <w:pPr>
              <w:pStyle w:val="TableParagraph"/>
              <w:spacing w:line="154" w:lineRule="exact" w:before="5"/>
              <w:ind w:right="259"/>
              <w:jc w:val="right"/>
              <w:rPr>
                <w:sz w:val="14"/>
              </w:rPr>
            </w:pPr>
            <w:r>
              <w:rPr>
                <w:sz w:val="14"/>
              </w:rPr>
              <w:t>45 ,159</w:t>
            </w:r>
          </w:p>
        </w:tc>
        <w:tc>
          <w:tcPr>
            <w:tcW w:w="831" w:type="dxa"/>
          </w:tcPr>
          <w:p>
            <w:pPr>
              <w:pStyle w:val="TableParagraph"/>
              <w:spacing w:line="154" w:lineRule="exact" w:before="5"/>
              <w:ind w:left="214" w:right="256"/>
              <w:jc w:val="center"/>
              <w:rPr>
                <w:i/>
                <w:sz w:val="14"/>
              </w:rPr>
            </w:pPr>
            <w:r>
              <w:rPr>
                <w:i/>
                <w:sz w:val="14"/>
              </w:rPr>
              <w:t>0.1%</w:t>
            </w:r>
          </w:p>
        </w:tc>
        <w:tc>
          <w:tcPr>
            <w:tcW w:w="1305" w:type="dxa"/>
          </w:tcPr>
          <w:p>
            <w:pPr>
              <w:pStyle w:val="TableParagraph"/>
              <w:spacing w:line="154" w:lineRule="exact" w:before="5"/>
              <w:ind w:right="366"/>
              <w:jc w:val="right"/>
              <w:rPr>
                <w:b/>
                <w:sz w:val="14"/>
              </w:rPr>
            </w:pPr>
            <w:r>
              <w:rPr>
                <w:b/>
                <w:w w:val="95"/>
                <w:sz w:val="14"/>
              </w:rPr>
              <w:t>39,113</w:t>
            </w:r>
          </w:p>
        </w:tc>
        <w:tc>
          <w:tcPr>
            <w:tcW w:w="836" w:type="dxa"/>
          </w:tcPr>
          <w:p>
            <w:pPr>
              <w:pStyle w:val="TableParagraph"/>
              <w:spacing w:line="154" w:lineRule="exact" w:before="5"/>
              <w:ind w:right="205"/>
              <w:jc w:val="right"/>
              <w:rPr>
                <w:i/>
                <w:sz w:val="14"/>
              </w:rPr>
            </w:pPr>
            <w:r>
              <w:rPr>
                <w:i/>
                <w:w w:val="95"/>
                <w:sz w:val="14"/>
              </w:rPr>
              <w:t>0.1%</w:t>
            </w:r>
          </w:p>
        </w:tc>
        <w:tc>
          <w:tcPr>
            <w:tcW w:w="1205" w:type="dxa"/>
          </w:tcPr>
          <w:p>
            <w:pPr>
              <w:pStyle w:val="TableParagraph"/>
              <w:spacing w:line="154" w:lineRule="exact" w:before="5"/>
              <w:ind w:right="293"/>
              <w:jc w:val="right"/>
              <w:rPr>
                <w:sz w:val="14"/>
              </w:rPr>
            </w:pPr>
            <w:r>
              <w:rPr>
                <w:sz w:val="14"/>
              </w:rPr>
              <w:t>69 ,288</w:t>
            </w:r>
          </w:p>
        </w:tc>
        <w:tc>
          <w:tcPr>
            <w:tcW w:w="779" w:type="dxa"/>
          </w:tcPr>
          <w:p>
            <w:pPr>
              <w:pStyle w:val="TableParagraph"/>
              <w:spacing w:line="154" w:lineRule="exact" w:before="5"/>
              <w:ind w:left="231" w:right="188"/>
              <w:jc w:val="center"/>
              <w:rPr>
                <w:i/>
                <w:sz w:val="14"/>
              </w:rPr>
            </w:pPr>
            <w:r>
              <w:rPr>
                <w:i/>
                <w:sz w:val="14"/>
              </w:rPr>
              <w:t>0.1%</w:t>
            </w:r>
          </w:p>
        </w:tc>
        <w:tc>
          <w:tcPr>
            <w:tcW w:w="1208" w:type="dxa"/>
          </w:tcPr>
          <w:p>
            <w:pPr>
              <w:pStyle w:val="TableParagraph"/>
              <w:spacing w:line="154" w:lineRule="exact" w:before="5"/>
              <w:ind w:right="298"/>
              <w:jc w:val="right"/>
              <w:rPr>
                <w:sz w:val="14"/>
              </w:rPr>
            </w:pPr>
            <w:r>
              <w:rPr>
                <w:sz w:val="14"/>
              </w:rPr>
              <w:t>74 ,069</w:t>
            </w:r>
          </w:p>
        </w:tc>
        <w:tc>
          <w:tcPr>
            <w:tcW w:w="610" w:type="dxa"/>
          </w:tcPr>
          <w:p>
            <w:pPr>
              <w:pStyle w:val="TableParagraph"/>
              <w:spacing w:line="154" w:lineRule="exact" w:before="5"/>
              <w:ind w:right="37"/>
              <w:jc w:val="right"/>
              <w:rPr>
                <w:i/>
                <w:sz w:val="14"/>
              </w:rPr>
            </w:pPr>
            <w:r>
              <w:rPr>
                <w:i/>
                <w:w w:val="95"/>
                <w:sz w:val="14"/>
              </w:rPr>
              <w:t>0.1%</w:t>
            </w:r>
          </w:p>
        </w:tc>
      </w:tr>
      <w:tr>
        <w:trPr>
          <w:trHeight w:val="180" w:hRule="atLeast"/>
        </w:trPr>
        <w:tc>
          <w:tcPr>
            <w:tcW w:w="4311" w:type="dxa"/>
          </w:tcPr>
          <w:p>
            <w:pPr>
              <w:pStyle w:val="TableParagraph"/>
              <w:spacing w:line="152" w:lineRule="exact" w:before="8"/>
              <w:ind w:left="543"/>
              <w:rPr>
                <w:sz w:val="14"/>
              </w:rPr>
            </w:pPr>
            <w:r>
              <w:rPr>
                <w:sz w:val="14"/>
              </w:rPr>
              <w:t>Royalty on Iron Ore</w:t>
            </w:r>
          </w:p>
        </w:tc>
        <w:tc>
          <w:tcPr>
            <w:tcW w:w="1221" w:type="dxa"/>
          </w:tcPr>
          <w:p>
            <w:pPr>
              <w:pStyle w:val="TableParagraph"/>
              <w:spacing w:line="152" w:lineRule="exact" w:before="8"/>
              <w:ind w:right="305"/>
              <w:jc w:val="right"/>
              <w:rPr>
                <w:i/>
                <w:sz w:val="14"/>
              </w:rPr>
            </w:pPr>
            <w:r>
              <w:rPr>
                <w:i/>
                <w:sz w:val="14"/>
              </w:rPr>
              <w:t>3,468</w:t>
            </w:r>
          </w:p>
        </w:tc>
        <w:tc>
          <w:tcPr>
            <w:tcW w:w="874" w:type="dxa"/>
          </w:tcPr>
          <w:p>
            <w:pPr>
              <w:pStyle w:val="TableParagraph"/>
              <w:spacing w:line="152" w:lineRule="exact" w:before="8"/>
              <w:ind w:right="204"/>
              <w:jc w:val="right"/>
              <w:rPr>
                <w:sz w:val="14"/>
              </w:rPr>
            </w:pPr>
            <w:r>
              <w:rPr>
                <w:sz w:val="14"/>
              </w:rPr>
              <w:t>0 . 0 %</w:t>
            </w:r>
          </w:p>
        </w:tc>
        <w:tc>
          <w:tcPr>
            <w:tcW w:w="1171" w:type="dxa"/>
          </w:tcPr>
          <w:p>
            <w:pPr>
              <w:pStyle w:val="TableParagraph"/>
              <w:spacing w:line="152" w:lineRule="exact" w:before="8"/>
              <w:ind w:right="254"/>
              <w:jc w:val="right"/>
              <w:rPr>
                <w:sz w:val="14"/>
              </w:rPr>
            </w:pPr>
            <w:r>
              <w:rPr>
                <w:sz w:val="14"/>
              </w:rPr>
              <w:t>8,518</w:t>
            </w:r>
          </w:p>
        </w:tc>
        <w:tc>
          <w:tcPr>
            <w:tcW w:w="831" w:type="dxa"/>
          </w:tcPr>
          <w:p>
            <w:pPr>
              <w:pStyle w:val="TableParagraph"/>
              <w:spacing w:line="152" w:lineRule="exact" w:before="8"/>
              <w:ind w:left="214" w:right="256"/>
              <w:jc w:val="center"/>
              <w:rPr>
                <w:i/>
                <w:sz w:val="14"/>
              </w:rPr>
            </w:pPr>
            <w:r>
              <w:rPr>
                <w:i/>
                <w:sz w:val="14"/>
              </w:rPr>
              <w:t>0.0%</w:t>
            </w:r>
          </w:p>
        </w:tc>
        <w:tc>
          <w:tcPr>
            <w:tcW w:w="1305" w:type="dxa"/>
          </w:tcPr>
          <w:p>
            <w:pPr>
              <w:pStyle w:val="TableParagraph"/>
              <w:spacing w:line="152" w:lineRule="exact" w:before="8"/>
              <w:ind w:right="366"/>
              <w:jc w:val="right"/>
              <w:rPr>
                <w:b/>
                <w:sz w:val="14"/>
              </w:rPr>
            </w:pPr>
            <w:r>
              <w:rPr>
                <w:b/>
                <w:w w:val="95"/>
                <w:sz w:val="14"/>
              </w:rPr>
              <w:t>29,194</w:t>
            </w:r>
          </w:p>
        </w:tc>
        <w:tc>
          <w:tcPr>
            <w:tcW w:w="836" w:type="dxa"/>
          </w:tcPr>
          <w:p>
            <w:pPr>
              <w:pStyle w:val="TableParagraph"/>
              <w:spacing w:line="152" w:lineRule="exact" w:before="8"/>
              <w:ind w:right="205"/>
              <w:jc w:val="right"/>
              <w:rPr>
                <w:i/>
                <w:sz w:val="14"/>
              </w:rPr>
            </w:pPr>
            <w:r>
              <w:rPr>
                <w:i/>
                <w:w w:val="95"/>
                <w:sz w:val="14"/>
              </w:rPr>
              <w:t>0.1%</w:t>
            </w:r>
          </w:p>
        </w:tc>
        <w:tc>
          <w:tcPr>
            <w:tcW w:w="1205" w:type="dxa"/>
          </w:tcPr>
          <w:p>
            <w:pPr>
              <w:pStyle w:val="TableParagraph"/>
              <w:spacing w:line="152" w:lineRule="exact" w:before="8"/>
              <w:ind w:right="293"/>
              <w:jc w:val="right"/>
              <w:rPr>
                <w:sz w:val="14"/>
              </w:rPr>
            </w:pPr>
            <w:r>
              <w:rPr>
                <w:sz w:val="14"/>
              </w:rPr>
              <w:t>61 ,673</w:t>
            </w:r>
          </w:p>
        </w:tc>
        <w:tc>
          <w:tcPr>
            <w:tcW w:w="779" w:type="dxa"/>
          </w:tcPr>
          <w:p>
            <w:pPr>
              <w:pStyle w:val="TableParagraph"/>
              <w:spacing w:line="152" w:lineRule="exact" w:before="8"/>
              <w:ind w:left="231" w:right="188"/>
              <w:jc w:val="center"/>
              <w:rPr>
                <w:i/>
                <w:sz w:val="14"/>
              </w:rPr>
            </w:pPr>
            <w:r>
              <w:rPr>
                <w:i/>
                <w:sz w:val="14"/>
              </w:rPr>
              <w:t>0.1%</w:t>
            </w:r>
          </w:p>
        </w:tc>
        <w:tc>
          <w:tcPr>
            <w:tcW w:w="1208" w:type="dxa"/>
          </w:tcPr>
          <w:p>
            <w:pPr>
              <w:pStyle w:val="TableParagraph"/>
              <w:spacing w:line="152" w:lineRule="exact" w:before="8"/>
              <w:ind w:right="298"/>
              <w:jc w:val="right"/>
              <w:rPr>
                <w:sz w:val="14"/>
              </w:rPr>
            </w:pPr>
            <w:r>
              <w:rPr>
                <w:sz w:val="14"/>
              </w:rPr>
              <w:t>79 ,415</w:t>
            </w:r>
          </w:p>
        </w:tc>
        <w:tc>
          <w:tcPr>
            <w:tcW w:w="610" w:type="dxa"/>
          </w:tcPr>
          <w:p>
            <w:pPr>
              <w:pStyle w:val="TableParagraph"/>
              <w:spacing w:line="152" w:lineRule="exact" w:before="8"/>
              <w:ind w:right="37"/>
              <w:jc w:val="right"/>
              <w:rPr>
                <w:i/>
                <w:sz w:val="14"/>
              </w:rPr>
            </w:pPr>
            <w:r>
              <w:rPr>
                <w:i/>
                <w:w w:val="95"/>
                <w:sz w:val="14"/>
              </w:rPr>
              <w:t>0.1%</w:t>
            </w:r>
          </w:p>
        </w:tc>
      </w:tr>
      <w:tr>
        <w:trPr>
          <w:trHeight w:val="180" w:hRule="atLeast"/>
        </w:trPr>
        <w:tc>
          <w:tcPr>
            <w:tcW w:w="4311" w:type="dxa"/>
          </w:tcPr>
          <w:p>
            <w:pPr>
              <w:pStyle w:val="TableParagraph"/>
              <w:spacing w:line="154" w:lineRule="exact" w:before="5"/>
              <w:ind w:left="544"/>
              <w:rPr>
                <w:sz w:val="14"/>
              </w:rPr>
            </w:pPr>
            <w:r>
              <w:rPr>
                <w:sz w:val="14"/>
              </w:rPr>
              <w:t>Licences(Including Petroleum Revenue)</w:t>
            </w:r>
          </w:p>
        </w:tc>
        <w:tc>
          <w:tcPr>
            <w:tcW w:w="1221" w:type="dxa"/>
          </w:tcPr>
          <w:p>
            <w:pPr>
              <w:pStyle w:val="TableParagraph"/>
              <w:spacing w:line="154" w:lineRule="exact" w:before="5"/>
              <w:ind w:right="310"/>
              <w:jc w:val="right"/>
              <w:rPr>
                <w:i/>
                <w:sz w:val="14"/>
              </w:rPr>
            </w:pPr>
            <w:r>
              <w:rPr>
                <w:i/>
                <w:sz w:val="14"/>
              </w:rPr>
              <w:t>70 ,088</w:t>
            </w:r>
          </w:p>
        </w:tc>
        <w:tc>
          <w:tcPr>
            <w:tcW w:w="874" w:type="dxa"/>
          </w:tcPr>
          <w:p>
            <w:pPr>
              <w:pStyle w:val="TableParagraph"/>
              <w:spacing w:line="154" w:lineRule="exact" w:before="5"/>
              <w:ind w:right="204"/>
              <w:jc w:val="right"/>
              <w:rPr>
                <w:sz w:val="14"/>
              </w:rPr>
            </w:pPr>
            <w:r>
              <w:rPr>
                <w:sz w:val="14"/>
              </w:rPr>
              <w:t>0 . 2 %</w:t>
            </w:r>
          </w:p>
        </w:tc>
        <w:tc>
          <w:tcPr>
            <w:tcW w:w="1171" w:type="dxa"/>
          </w:tcPr>
          <w:p>
            <w:pPr>
              <w:pStyle w:val="TableParagraph"/>
              <w:spacing w:line="154" w:lineRule="exact" w:before="5"/>
              <w:ind w:right="259"/>
              <w:jc w:val="right"/>
              <w:rPr>
                <w:sz w:val="14"/>
              </w:rPr>
            </w:pPr>
            <w:r>
              <w:rPr>
                <w:sz w:val="14"/>
              </w:rPr>
              <w:t>69 ,909</w:t>
            </w:r>
          </w:p>
        </w:tc>
        <w:tc>
          <w:tcPr>
            <w:tcW w:w="831" w:type="dxa"/>
          </w:tcPr>
          <w:p>
            <w:pPr>
              <w:pStyle w:val="TableParagraph"/>
              <w:spacing w:line="154" w:lineRule="exact" w:before="5"/>
              <w:ind w:left="214" w:right="256"/>
              <w:jc w:val="center"/>
              <w:rPr>
                <w:i/>
                <w:sz w:val="14"/>
              </w:rPr>
            </w:pPr>
            <w:r>
              <w:rPr>
                <w:i/>
                <w:sz w:val="14"/>
              </w:rPr>
              <w:t>0.2%</w:t>
            </w:r>
          </w:p>
        </w:tc>
        <w:tc>
          <w:tcPr>
            <w:tcW w:w="1305" w:type="dxa"/>
          </w:tcPr>
          <w:p>
            <w:pPr>
              <w:pStyle w:val="TableParagraph"/>
              <w:spacing w:line="154" w:lineRule="exact" w:before="5"/>
              <w:ind w:right="373"/>
              <w:jc w:val="right"/>
              <w:rPr>
                <w:b/>
                <w:sz w:val="14"/>
              </w:rPr>
            </w:pPr>
            <w:r>
              <w:rPr>
                <w:b/>
                <w:sz w:val="14"/>
              </w:rPr>
              <w:t>128,382</w:t>
            </w:r>
          </w:p>
        </w:tc>
        <w:tc>
          <w:tcPr>
            <w:tcW w:w="836" w:type="dxa"/>
          </w:tcPr>
          <w:p>
            <w:pPr>
              <w:pStyle w:val="TableParagraph"/>
              <w:spacing w:line="154" w:lineRule="exact" w:before="5"/>
              <w:ind w:right="205"/>
              <w:jc w:val="right"/>
              <w:rPr>
                <w:i/>
                <w:sz w:val="14"/>
              </w:rPr>
            </w:pPr>
            <w:r>
              <w:rPr>
                <w:i/>
                <w:w w:val="95"/>
                <w:sz w:val="14"/>
              </w:rPr>
              <w:t>0.3%</w:t>
            </w:r>
          </w:p>
        </w:tc>
        <w:tc>
          <w:tcPr>
            <w:tcW w:w="1205" w:type="dxa"/>
          </w:tcPr>
          <w:p>
            <w:pPr>
              <w:pStyle w:val="TableParagraph"/>
              <w:spacing w:line="154" w:lineRule="exact" w:before="5"/>
              <w:ind w:right="293"/>
              <w:jc w:val="right"/>
              <w:rPr>
                <w:sz w:val="14"/>
              </w:rPr>
            </w:pPr>
            <w:r>
              <w:rPr>
                <w:sz w:val="14"/>
              </w:rPr>
              <w:t>98 ,372</w:t>
            </w:r>
          </w:p>
        </w:tc>
        <w:tc>
          <w:tcPr>
            <w:tcW w:w="779" w:type="dxa"/>
          </w:tcPr>
          <w:p>
            <w:pPr>
              <w:pStyle w:val="TableParagraph"/>
              <w:spacing w:line="154" w:lineRule="exact" w:before="5"/>
              <w:ind w:left="231" w:right="188"/>
              <w:jc w:val="center"/>
              <w:rPr>
                <w:i/>
                <w:sz w:val="14"/>
              </w:rPr>
            </w:pPr>
            <w:r>
              <w:rPr>
                <w:i/>
                <w:sz w:val="14"/>
              </w:rPr>
              <w:t>0.2%</w:t>
            </w:r>
          </w:p>
        </w:tc>
        <w:tc>
          <w:tcPr>
            <w:tcW w:w="1208" w:type="dxa"/>
          </w:tcPr>
          <w:p>
            <w:pPr>
              <w:pStyle w:val="TableParagraph"/>
              <w:spacing w:line="154" w:lineRule="exact" w:before="5"/>
              <w:ind w:right="302"/>
              <w:jc w:val="right"/>
              <w:rPr>
                <w:sz w:val="14"/>
              </w:rPr>
            </w:pPr>
            <w:r>
              <w:rPr>
                <w:sz w:val="14"/>
              </w:rPr>
              <w:t>107,750</w:t>
            </w:r>
          </w:p>
        </w:tc>
        <w:tc>
          <w:tcPr>
            <w:tcW w:w="610" w:type="dxa"/>
          </w:tcPr>
          <w:p>
            <w:pPr>
              <w:pStyle w:val="TableParagraph"/>
              <w:spacing w:line="154" w:lineRule="exact" w:before="5"/>
              <w:ind w:right="37"/>
              <w:jc w:val="right"/>
              <w:rPr>
                <w:i/>
                <w:sz w:val="14"/>
              </w:rPr>
            </w:pPr>
            <w:r>
              <w:rPr>
                <w:i/>
                <w:w w:val="95"/>
                <w:sz w:val="14"/>
              </w:rPr>
              <w:t>0.2%</w:t>
            </w:r>
          </w:p>
        </w:tc>
      </w:tr>
      <w:tr>
        <w:trPr>
          <w:trHeight w:val="180" w:hRule="atLeast"/>
        </w:trPr>
        <w:tc>
          <w:tcPr>
            <w:tcW w:w="4311" w:type="dxa"/>
          </w:tcPr>
          <w:p>
            <w:pPr>
              <w:pStyle w:val="TableParagraph"/>
              <w:spacing w:line="152" w:lineRule="exact" w:before="8"/>
              <w:ind w:left="375"/>
              <w:rPr>
                <w:b/>
                <w:sz w:val="14"/>
              </w:rPr>
            </w:pPr>
            <w:r>
              <w:rPr>
                <w:b/>
                <w:sz w:val="14"/>
              </w:rPr>
              <w:t>Other Departments</w:t>
            </w:r>
          </w:p>
        </w:tc>
        <w:tc>
          <w:tcPr>
            <w:tcW w:w="1221" w:type="dxa"/>
          </w:tcPr>
          <w:p>
            <w:pPr>
              <w:pStyle w:val="TableParagraph"/>
              <w:spacing w:line="152" w:lineRule="exact" w:before="8"/>
              <w:ind w:right="341"/>
              <w:jc w:val="right"/>
              <w:rPr>
                <w:b/>
                <w:i/>
                <w:sz w:val="14"/>
              </w:rPr>
            </w:pPr>
            <w:r>
              <w:rPr>
                <w:b/>
                <w:i/>
                <w:w w:val="95"/>
                <w:sz w:val="14"/>
              </w:rPr>
              <w:t>660,643</w:t>
            </w:r>
          </w:p>
        </w:tc>
        <w:tc>
          <w:tcPr>
            <w:tcW w:w="874" w:type="dxa"/>
          </w:tcPr>
          <w:p>
            <w:pPr>
              <w:pStyle w:val="TableParagraph"/>
              <w:spacing w:line="152" w:lineRule="exact" w:before="8"/>
              <w:ind w:right="210"/>
              <w:jc w:val="right"/>
              <w:rPr>
                <w:b/>
                <w:sz w:val="14"/>
              </w:rPr>
            </w:pPr>
            <w:r>
              <w:rPr>
                <w:b/>
                <w:sz w:val="14"/>
              </w:rPr>
              <w:t>2.0%</w:t>
            </w:r>
          </w:p>
        </w:tc>
        <w:tc>
          <w:tcPr>
            <w:tcW w:w="1171" w:type="dxa"/>
          </w:tcPr>
          <w:p>
            <w:pPr>
              <w:pStyle w:val="TableParagraph"/>
              <w:spacing w:line="152" w:lineRule="exact" w:before="8"/>
              <w:ind w:right="277"/>
              <w:jc w:val="right"/>
              <w:rPr>
                <w:b/>
                <w:sz w:val="14"/>
              </w:rPr>
            </w:pPr>
            <w:r>
              <w:rPr>
                <w:b/>
                <w:sz w:val="14"/>
              </w:rPr>
              <w:t>788,227</w:t>
            </w:r>
          </w:p>
        </w:tc>
        <w:tc>
          <w:tcPr>
            <w:tcW w:w="831" w:type="dxa"/>
          </w:tcPr>
          <w:p>
            <w:pPr>
              <w:pStyle w:val="TableParagraph"/>
              <w:spacing w:line="152" w:lineRule="exact" w:before="8"/>
              <w:ind w:left="214" w:right="256"/>
              <w:jc w:val="center"/>
              <w:rPr>
                <w:i/>
                <w:sz w:val="14"/>
              </w:rPr>
            </w:pPr>
            <w:r>
              <w:rPr>
                <w:i/>
                <w:sz w:val="14"/>
              </w:rPr>
              <w:t>2.1%</w:t>
            </w:r>
          </w:p>
        </w:tc>
        <w:tc>
          <w:tcPr>
            <w:tcW w:w="1305" w:type="dxa"/>
          </w:tcPr>
          <w:p>
            <w:pPr>
              <w:pStyle w:val="TableParagraph"/>
              <w:spacing w:line="152" w:lineRule="exact" w:before="8"/>
              <w:ind w:right="373"/>
              <w:jc w:val="right"/>
              <w:rPr>
                <w:b/>
                <w:sz w:val="14"/>
              </w:rPr>
            </w:pPr>
            <w:r>
              <w:rPr>
                <w:b/>
                <w:sz w:val="14"/>
              </w:rPr>
              <w:t>972,416</w:t>
            </w:r>
          </w:p>
        </w:tc>
        <w:tc>
          <w:tcPr>
            <w:tcW w:w="836" w:type="dxa"/>
          </w:tcPr>
          <w:p>
            <w:pPr>
              <w:pStyle w:val="TableParagraph"/>
              <w:spacing w:line="152" w:lineRule="exact" w:before="8"/>
              <w:ind w:right="205"/>
              <w:jc w:val="right"/>
              <w:rPr>
                <w:i/>
                <w:sz w:val="14"/>
              </w:rPr>
            </w:pPr>
            <w:r>
              <w:rPr>
                <w:i/>
                <w:w w:val="95"/>
                <w:sz w:val="14"/>
              </w:rPr>
              <w:t>2.2%</w:t>
            </w:r>
          </w:p>
        </w:tc>
        <w:tc>
          <w:tcPr>
            <w:tcW w:w="1205" w:type="dxa"/>
          </w:tcPr>
          <w:p>
            <w:pPr>
              <w:pStyle w:val="TableParagraph"/>
              <w:spacing w:line="152" w:lineRule="exact" w:before="8"/>
              <w:ind w:right="328"/>
              <w:jc w:val="right"/>
              <w:rPr>
                <w:b/>
                <w:sz w:val="14"/>
              </w:rPr>
            </w:pPr>
            <w:r>
              <w:rPr>
                <w:b/>
                <w:sz w:val="14"/>
              </w:rPr>
              <w:t>1,077,706</w:t>
            </w:r>
          </w:p>
        </w:tc>
        <w:tc>
          <w:tcPr>
            <w:tcW w:w="779" w:type="dxa"/>
          </w:tcPr>
          <w:p>
            <w:pPr>
              <w:pStyle w:val="TableParagraph"/>
              <w:spacing w:line="152" w:lineRule="exact" w:before="8"/>
              <w:ind w:left="231" w:right="188"/>
              <w:jc w:val="center"/>
              <w:rPr>
                <w:i/>
                <w:sz w:val="14"/>
              </w:rPr>
            </w:pPr>
            <w:r>
              <w:rPr>
                <w:i/>
                <w:sz w:val="14"/>
              </w:rPr>
              <w:t>2.1%</w:t>
            </w:r>
          </w:p>
        </w:tc>
        <w:tc>
          <w:tcPr>
            <w:tcW w:w="1208" w:type="dxa"/>
          </w:tcPr>
          <w:p>
            <w:pPr>
              <w:pStyle w:val="TableParagraph"/>
              <w:spacing w:line="152" w:lineRule="exact" w:before="8"/>
              <w:ind w:right="333"/>
              <w:jc w:val="right"/>
              <w:rPr>
                <w:b/>
                <w:sz w:val="14"/>
              </w:rPr>
            </w:pPr>
            <w:r>
              <w:rPr>
                <w:b/>
                <w:sz w:val="14"/>
              </w:rPr>
              <w:t>1,354,284</w:t>
            </w:r>
          </w:p>
        </w:tc>
        <w:tc>
          <w:tcPr>
            <w:tcW w:w="610" w:type="dxa"/>
          </w:tcPr>
          <w:p>
            <w:pPr>
              <w:pStyle w:val="TableParagraph"/>
              <w:spacing w:line="152" w:lineRule="exact" w:before="8"/>
              <w:ind w:right="37"/>
              <w:jc w:val="right"/>
              <w:rPr>
                <w:i/>
                <w:sz w:val="14"/>
              </w:rPr>
            </w:pPr>
            <w:r>
              <w:rPr>
                <w:i/>
                <w:w w:val="95"/>
                <w:sz w:val="14"/>
              </w:rPr>
              <w:t>2.3%</w:t>
            </w:r>
          </w:p>
        </w:tc>
      </w:tr>
      <w:tr>
        <w:trPr>
          <w:trHeight w:val="180" w:hRule="atLeast"/>
        </w:trPr>
        <w:tc>
          <w:tcPr>
            <w:tcW w:w="4311" w:type="dxa"/>
          </w:tcPr>
          <w:p>
            <w:pPr>
              <w:pStyle w:val="TableParagraph"/>
              <w:spacing w:line="154" w:lineRule="exact" w:before="5"/>
              <w:ind w:left="543"/>
              <w:rPr>
                <w:sz w:val="14"/>
              </w:rPr>
            </w:pPr>
            <w:r>
              <w:rPr>
                <w:sz w:val="14"/>
              </w:rPr>
              <w:t>Royalties etc. on Fisheries</w:t>
            </w:r>
          </w:p>
        </w:tc>
        <w:tc>
          <w:tcPr>
            <w:tcW w:w="1221" w:type="dxa"/>
          </w:tcPr>
          <w:p>
            <w:pPr>
              <w:pStyle w:val="TableParagraph"/>
              <w:spacing w:line="154" w:lineRule="exact" w:before="5"/>
              <w:ind w:right="310"/>
              <w:jc w:val="right"/>
              <w:rPr>
                <w:i/>
                <w:sz w:val="14"/>
              </w:rPr>
            </w:pPr>
            <w:r>
              <w:rPr>
                <w:i/>
                <w:sz w:val="14"/>
              </w:rPr>
              <w:t>94 ,921</w:t>
            </w:r>
          </w:p>
        </w:tc>
        <w:tc>
          <w:tcPr>
            <w:tcW w:w="874" w:type="dxa"/>
          </w:tcPr>
          <w:p>
            <w:pPr>
              <w:pStyle w:val="TableParagraph"/>
              <w:spacing w:line="154" w:lineRule="exact" w:before="5"/>
              <w:ind w:right="204"/>
              <w:jc w:val="right"/>
              <w:rPr>
                <w:sz w:val="14"/>
              </w:rPr>
            </w:pPr>
            <w:r>
              <w:rPr>
                <w:sz w:val="14"/>
              </w:rPr>
              <w:t>0 . 3 %</w:t>
            </w:r>
          </w:p>
        </w:tc>
        <w:tc>
          <w:tcPr>
            <w:tcW w:w="1171" w:type="dxa"/>
          </w:tcPr>
          <w:p>
            <w:pPr>
              <w:pStyle w:val="TableParagraph"/>
              <w:spacing w:line="154" w:lineRule="exact" w:before="5"/>
              <w:ind w:right="259"/>
              <w:jc w:val="right"/>
              <w:rPr>
                <w:sz w:val="14"/>
              </w:rPr>
            </w:pPr>
            <w:r>
              <w:rPr>
                <w:sz w:val="14"/>
              </w:rPr>
              <w:t>96 ,005</w:t>
            </w:r>
          </w:p>
        </w:tc>
        <w:tc>
          <w:tcPr>
            <w:tcW w:w="831" w:type="dxa"/>
          </w:tcPr>
          <w:p>
            <w:pPr>
              <w:pStyle w:val="TableParagraph"/>
              <w:spacing w:line="154" w:lineRule="exact" w:before="5"/>
              <w:ind w:left="214" w:right="256"/>
              <w:jc w:val="center"/>
              <w:rPr>
                <w:i/>
                <w:sz w:val="14"/>
              </w:rPr>
            </w:pPr>
            <w:r>
              <w:rPr>
                <w:i/>
                <w:sz w:val="14"/>
              </w:rPr>
              <w:t>0.3%</w:t>
            </w:r>
          </w:p>
        </w:tc>
        <w:tc>
          <w:tcPr>
            <w:tcW w:w="1305" w:type="dxa"/>
          </w:tcPr>
          <w:p>
            <w:pPr>
              <w:pStyle w:val="TableParagraph"/>
              <w:spacing w:line="154" w:lineRule="exact" w:before="5"/>
              <w:ind w:right="373"/>
              <w:jc w:val="right"/>
              <w:rPr>
                <w:b/>
                <w:sz w:val="14"/>
              </w:rPr>
            </w:pPr>
            <w:r>
              <w:rPr>
                <w:b/>
                <w:sz w:val="14"/>
              </w:rPr>
              <w:t>122,715</w:t>
            </w:r>
          </w:p>
        </w:tc>
        <w:tc>
          <w:tcPr>
            <w:tcW w:w="836" w:type="dxa"/>
          </w:tcPr>
          <w:p>
            <w:pPr>
              <w:pStyle w:val="TableParagraph"/>
              <w:spacing w:line="154" w:lineRule="exact" w:before="5"/>
              <w:ind w:right="205"/>
              <w:jc w:val="right"/>
              <w:rPr>
                <w:i/>
                <w:sz w:val="14"/>
              </w:rPr>
            </w:pPr>
            <w:r>
              <w:rPr>
                <w:i/>
                <w:w w:val="95"/>
                <w:sz w:val="14"/>
              </w:rPr>
              <w:t>0.3%</w:t>
            </w:r>
          </w:p>
        </w:tc>
        <w:tc>
          <w:tcPr>
            <w:tcW w:w="1205" w:type="dxa"/>
          </w:tcPr>
          <w:p>
            <w:pPr>
              <w:pStyle w:val="TableParagraph"/>
              <w:spacing w:line="154" w:lineRule="exact" w:before="5"/>
              <w:ind w:right="298"/>
              <w:jc w:val="right"/>
              <w:rPr>
                <w:sz w:val="14"/>
              </w:rPr>
            </w:pPr>
            <w:r>
              <w:rPr>
                <w:sz w:val="14"/>
              </w:rPr>
              <w:t>128,543</w:t>
            </w:r>
          </w:p>
        </w:tc>
        <w:tc>
          <w:tcPr>
            <w:tcW w:w="779" w:type="dxa"/>
          </w:tcPr>
          <w:p>
            <w:pPr>
              <w:pStyle w:val="TableParagraph"/>
              <w:spacing w:line="154" w:lineRule="exact" w:before="5"/>
              <w:ind w:left="231" w:right="188"/>
              <w:jc w:val="center"/>
              <w:rPr>
                <w:i/>
                <w:sz w:val="14"/>
              </w:rPr>
            </w:pPr>
            <w:r>
              <w:rPr>
                <w:i/>
                <w:sz w:val="14"/>
              </w:rPr>
              <w:t>0.3%</w:t>
            </w:r>
          </w:p>
        </w:tc>
        <w:tc>
          <w:tcPr>
            <w:tcW w:w="1208" w:type="dxa"/>
          </w:tcPr>
          <w:p>
            <w:pPr>
              <w:pStyle w:val="TableParagraph"/>
              <w:spacing w:line="154" w:lineRule="exact" w:before="5"/>
              <w:ind w:right="302"/>
              <w:jc w:val="right"/>
              <w:rPr>
                <w:sz w:val="14"/>
              </w:rPr>
            </w:pPr>
            <w:r>
              <w:rPr>
                <w:sz w:val="14"/>
              </w:rPr>
              <w:t>320,000</w:t>
            </w:r>
          </w:p>
        </w:tc>
        <w:tc>
          <w:tcPr>
            <w:tcW w:w="610" w:type="dxa"/>
          </w:tcPr>
          <w:p>
            <w:pPr>
              <w:pStyle w:val="TableParagraph"/>
              <w:spacing w:line="154" w:lineRule="exact" w:before="5"/>
              <w:ind w:right="37"/>
              <w:jc w:val="right"/>
              <w:rPr>
                <w:i/>
                <w:sz w:val="14"/>
              </w:rPr>
            </w:pPr>
            <w:r>
              <w:rPr>
                <w:i/>
                <w:w w:val="95"/>
                <w:sz w:val="14"/>
              </w:rPr>
              <w:t>0.6%</w:t>
            </w:r>
          </w:p>
        </w:tc>
      </w:tr>
      <w:tr>
        <w:trPr>
          <w:trHeight w:val="180" w:hRule="atLeast"/>
        </w:trPr>
        <w:tc>
          <w:tcPr>
            <w:tcW w:w="4311" w:type="dxa"/>
          </w:tcPr>
          <w:p>
            <w:pPr>
              <w:pStyle w:val="TableParagraph"/>
              <w:spacing w:line="152" w:lineRule="exact" w:before="8"/>
              <w:ind w:left="543"/>
              <w:rPr>
                <w:sz w:val="14"/>
              </w:rPr>
            </w:pPr>
            <w:r>
              <w:rPr>
                <w:sz w:val="14"/>
              </w:rPr>
              <w:t>Parastatals</w:t>
            </w:r>
          </w:p>
        </w:tc>
        <w:tc>
          <w:tcPr>
            <w:tcW w:w="1221" w:type="dxa"/>
          </w:tcPr>
          <w:p>
            <w:pPr>
              <w:pStyle w:val="TableParagraph"/>
              <w:spacing w:line="152" w:lineRule="exact" w:before="8"/>
              <w:ind w:right="290"/>
              <w:jc w:val="right"/>
              <w:rPr>
                <w:i/>
                <w:sz w:val="14"/>
              </w:rPr>
            </w:pPr>
            <w:r>
              <w:rPr>
                <w:i/>
                <w:w w:val="99"/>
                <w:sz w:val="14"/>
              </w:rPr>
              <w:t>0</w:t>
            </w:r>
          </w:p>
        </w:tc>
        <w:tc>
          <w:tcPr>
            <w:tcW w:w="874" w:type="dxa"/>
          </w:tcPr>
          <w:p>
            <w:pPr>
              <w:pStyle w:val="TableParagraph"/>
              <w:spacing w:line="152" w:lineRule="exact" w:before="8"/>
              <w:ind w:right="204"/>
              <w:jc w:val="right"/>
              <w:rPr>
                <w:sz w:val="14"/>
              </w:rPr>
            </w:pPr>
            <w:r>
              <w:rPr>
                <w:sz w:val="14"/>
              </w:rPr>
              <w:t>0 . 0 %</w:t>
            </w:r>
          </w:p>
        </w:tc>
        <w:tc>
          <w:tcPr>
            <w:tcW w:w="1171" w:type="dxa"/>
          </w:tcPr>
          <w:p>
            <w:pPr>
              <w:pStyle w:val="TableParagraph"/>
              <w:spacing w:line="152" w:lineRule="exact" w:before="8"/>
              <w:ind w:right="259"/>
              <w:jc w:val="right"/>
              <w:rPr>
                <w:sz w:val="14"/>
              </w:rPr>
            </w:pPr>
            <w:r>
              <w:rPr>
                <w:sz w:val="14"/>
              </w:rPr>
              <w:t>60 ,683</w:t>
            </w:r>
          </w:p>
        </w:tc>
        <w:tc>
          <w:tcPr>
            <w:tcW w:w="831" w:type="dxa"/>
          </w:tcPr>
          <w:p>
            <w:pPr>
              <w:pStyle w:val="TableParagraph"/>
              <w:spacing w:line="152" w:lineRule="exact" w:before="8"/>
              <w:ind w:left="214" w:right="256"/>
              <w:jc w:val="center"/>
              <w:rPr>
                <w:i/>
                <w:sz w:val="14"/>
              </w:rPr>
            </w:pPr>
            <w:r>
              <w:rPr>
                <w:i/>
                <w:sz w:val="14"/>
              </w:rPr>
              <w:t>0.2%</w:t>
            </w:r>
          </w:p>
        </w:tc>
        <w:tc>
          <w:tcPr>
            <w:tcW w:w="1305" w:type="dxa"/>
          </w:tcPr>
          <w:p>
            <w:pPr>
              <w:pStyle w:val="TableParagraph"/>
              <w:spacing w:line="152" w:lineRule="exact" w:before="8"/>
              <w:ind w:right="366"/>
              <w:jc w:val="right"/>
              <w:rPr>
                <w:b/>
                <w:sz w:val="14"/>
              </w:rPr>
            </w:pPr>
            <w:r>
              <w:rPr>
                <w:b/>
                <w:w w:val="95"/>
                <w:sz w:val="14"/>
              </w:rPr>
              <w:t>60,000</w:t>
            </w:r>
          </w:p>
        </w:tc>
        <w:tc>
          <w:tcPr>
            <w:tcW w:w="836" w:type="dxa"/>
          </w:tcPr>
          <w:p>
            <w:pPr>
              <w:pStyle w:val="TableParagraph"/>
              <w:spacing w:line="152" w:lineRule="exact" w:before="8"/>
              <w:ind w:right="205"/>
              <w:jc w:val="right"/>
              <w:rPr>
                <w:i/>
                <w:sz w:val="14"/>
              </w:rPr>
            </w:pPr>
            <w:r>
              <w:rPr>
                <w:i/>
                <w:w w:val="95"/>
                <w:sz w:val="14"/>
              </w:rPr>
              <w:t>0.1%</w:t>
            </w:r>
          </w:p>
        </w:tc>
        <w:tc>
          <w:tcPr>
            <w:tcW w:w="1205" w:type="dxa"/>
          </w:tcPr>
          <w:p>
            <w:pPr>
              <w:pStyle w:val="TableParagraph"/>
              <w:spacing w:line="152" w:lineRule="exact" w:before="8"/>
              <w:ind w:right="298"/>
              <w:jc w:val="right"/>
              <w:rPr>
                <w:sz w:val="14"/>
              </w:rPr>
            </w:pPr>
            <w:r>
              <w:rPr>
                <w:sz w:val="14"/>
              </w:rPr>
              <w:t>105,361</w:t>
            </w:r>
          </w:p>
        </w:tc>
        <w:tc>
          <w:tcPr>
            <w:tcW w:w="779" w:type="dxa"/>
          </w:tcPr>
          <w:p>
            <w:pPr>
              <w:pStyle w:val="TableParagraph"/>
              <w:spacing w:line="152" w:lineRule="exact" w:before="8"/>
              <w:ind w:left="231" w:right="188"/>
              <w:jc w:val="center"/>
              <w:rPr>
                <w:i/>
                <w:sz w:val="14"/>
              </w:rPr>
            </w:pPr>
            <w:r>
              <w:rPr>
                <w:i/>
                <w:sz w:val="14"/>
              </w:rPr>
              <w:t>0.2%</w:t>
            </w:r>
          </w:p>
        </w:tc>
        <w:tc>
          <w:tcPr>
            <w:tcW w:w="1208" w:type="dxa"/>
          </w:tcPr>
          <w:p>
            <w:pPr>
              <w:pStyle w:val="TableParagraph"/>
              <w:spacing w:line="152" w:lineRule="exact" w:before="8"/>
              <w:ind w:right="298"/>
              <w:jc w:val="right"/>
              <w:rPr>
                <w:sz w:val="14"/>
              </w:rPr>
            </w:pPr>
            <w:r>
              <w:rPr>
                <w:sz w:val="14"/>
              </w:rPr>
              <w:t>85 ,716</w:t>
            </w:r>
          </w:p>
        </w:tc>
        <w:tc>
          <w:tcPr>
            <w:tcW w:w="610" w:type="dxa"/>
          </w:tcPr>
          <w:p>
            <w:pPr>
              <w:pStyle w:val="TableParagraph"/>
              <w:spacing w:line="152" w:lineRule="exact" w:before="8"/>
              <w:ind w:right="37"/>
              <w:jc w:val="right"/>
              <w:rPr>
                <w:i/>
                <w:sz w:val="14"/>
              </w:rPr>
            </w:pPr>
            <w:r>
              <w:rPr>
                <w:i/>
                <w:w w:val="95"/>
                <w:sz w:val="14"/>
              </w:rPr>
              <w:t>0.1%</w:t>
            </w:r>
          </w:p>
        </w:tc>
      </w:tr>
      <w:tr>
        <w:trPr>
          <w:trHeight w:val="180" w:hRule="atLeast"/>
        </w:trPr>
        <w:tc>
          <w:tcPr>
            <w:tcW w:w="4311" w:type="dxa"/>
          </w:tcPr>
          <w:p>
            <w:pPr>
              <w:pStyle w:val="TableParagraph"/>
              <w:spacing w:line="154" w:lineRule="exact" w:before="5"/>
              <w:ind w:left="543"/>
              <w:rPr>
                <w:sz w:val="14"/>
              </w:rPr>
            </w:pPr>
            <w:r>
              <w:rPr>
                <w:sz w:val="14"/>
              </w:rPr>
              <w:t>Other Revenues (Including TSA Agencies and Timber)</w:t>
            </w:r>
          </w:p>
        </w:tc>
        <w:tc>
          <w:tcPr>
            <w:tcW w:w="1221" w:type="dxa"/>
          </w:tcPr>
          <w:p>
            <w:pPr>
              <w:pStyle w:val="TableParagraph"/>
              <w:spacing w:line="154" w:lineRule="exact" w:before="5"/>
              <w:ind w:right="309"/>
              <w:jc w:val="right"/>
              <w:rPr>
                <w:i/>
                <w:sz w:val="14"/>
              </w:rPr>
            </w:pPr>
            <w:r>
              <w:rPr>
                <w:i/>
                <w:sz w:val="14"/>
              </w:rPr>
              <w:t>565,722</w:t>
            </w:r>
          </w:p>
        </w:tc>
        <w:tc>
          <w:tcPr>
            <w:tcW w:w="874" w:type="dxa"/>
          </w:tcPr>
          <w:p>
            <w:pPr>
              <w:pStyle w:val="TableParagraph"/>
              <w:spacing w:line="154" w:lineRule="exact" w:before="5"/>
              <w:ind w:right="204"/>
              <w:jc w:val="right"/>
              <w:rPr>
                <w:sz w:val="14"/>
              </w:rPr>
            </w:pPr>
            <w:r>
              <w:rPr>
                <w:sz w:val="14"/>
              </w:rPr>
              <w:t>1 . 7 %</w:t>
            </w:r>
          </w:p>
        </w:tc>
        <w:tc>
          <w:tcPr>
            <w:tcW w:w="1171" w:type="dxa"/>
          </w:tcPr>
          <w:p>
            <w:pPr>
              <w:pStyle w:val="TableParagraph"/>
              <w:spacing w:line="154" w:lineRule="exact" w:before="5"/>
              <w:ind w:right="263"/>
              <w:jc w:val="right"/>
              <w:rPr>
                <w:sz w:val="14"/>
              </w:rPr>
            </w:pPr>
            <w:r>
              <w:rPr>
                <w:sz w:val="14"/>
              </w:rPr>
              <w:t>631,539</w:t>
            </w:r>
          </w:p>
        </w:tc>
        <w:tc>
          <w:tcPr>
            <w:tcW w:w="831" w:type="dxa"/>
          </w:tcPr>
          <w:p>
            <w:pPr>
              <w:pStyle w:val="TableParagraph"/>
              <w:spacing w:line="154" w:lineRule="exact" w:before="5"/>
              <w:ind w:left="214" w:right="256"/>
              <w:jc w:val="center"/>
              <w:rPr>
                <w:i/>
                <w:sz w:val="14"/>
              </w:rPr>
            </w:pPr>
            <w:r>
              <w:rPr>
                <w:i/>
                <w:sz w:val="14"/>
              </w:rPr>
              <w:t>1.7%</w:t>
            </w:r>
          </w:p>
        </w:tc>
        <w:tc>
          <w:tcPr>
            <w:tcW w:w="1305" w:type="dxa"/>
          </w:tcPr>
          <w:p>
            <w:pPr>
              <w:pStyle w:val="TableParagraph"/>
              <w:spacing w:line="154" w:lineRule="exact" w:before="5"/>
              <w:ind w:right="373"/>
              <w:jc w:val="right"/>
              <w:rPr>
                <w:b/>
                <w:sz w:val="14"/>
              </w:rPr>
            </w:pPr>
            <w:r>
              <w:rPr>
                <w:b/>
                <w:sz w:val="14"/>
              </w:rPr>
              <w:t>789,701</w:t>
            </w:r>
          </w:p>
        </w:tc>
        <w:tc>
          <w:tcPr>
            <w:tcW w:w="836" w:type="dxa"/>
          </w:tcPr>
          <w:p>
            <w:pPr>
              <w:pStyle w:val="TableParagraph"/>
              <w:spacing w:line="154" w:lineRule="exact" w:before="5"/>
              <w:ind w:right="205"/>
              <w:jc w:val="right"/>
              <w:rPr>
                <w:i/>
                <w:sz w:val="14"/>
              </w:rPr>
            </w:pPr>
            <w:r>
              <w:rPr>
                <w:i/>
                <w:w w:val="95"/>
                <w:sz w:val="14"/>
              </w:rPr>
              <w:t>1.8%</w:t>
            </w:r>
          </w:p>
        </w:tc>
        <w:tc>
          <w:tcPr>
            <w:tcW w:w="1205" w:type="dxa"/>
          </w:tcPr>
          <w:p>
            <w:pPr>
              <w:pStyle w:val="TableParagraph"/>
              <w:spacing w:line="154" w:lineRule="exact" w:before="5"/>
              <w:ind w:right="298"/>
              <w:jc w:val="right"/>
              <w:rPr>
                <w:sz w:val="14"/>
              </w:rPr>
            </w:pPr>
            <w:r>
              <w:rPr>
                <w:sz w:val="14"/>
              </w:rPr>
              <w:t>843,802</w:t>
            </w:r>
          </w:p>
        </w:tc>
        <w:tc>
          <w:tcPr>
            <w:tcW w:w="779" w:type="dxa"/>
          </w:tcPr>
          <w:p>
            <w:pPr>
              <w:pStyle w:val="TableParagraph"/>
              <w:spacing w:line="154" w:lineRule="exact" w:before="5"/>
              <w:ind w:left="231" w:right="188"/>
              <w:jc w:val="center"/>
              <w:rPr>
                <w:i/>
                <w:sz w:val="14"/>
              </w:rPr>
            </w:pPr>
            <w:r>
              <w:rPr>
                <w:i/>
                <w:sz w:val="14"/>
              </w:rPr>
              <w:t>1.7%</w:t>
            </w:r>
          </w:p>
        </w:tc>
        <w:tc>
          <w:tcPr>
            <w:tcW w:w="1208" w:type="dxa"/>
          </w:tcPr>
          <w:p>
            <w:pPr>
              <w:pStyle w:val="TableParagraph"/>
              <w:spacing w:line="154" w:lineRule="exact" w:before="5"/>
              <w:ind w:right="302"/>
              <w:jc w:val="right"/>
              <w:rPr>
                <w:sz w:val="14"/>
              </w:rPr>
            </w:pPr>
            <w:r>
              <w:rPr>
                <w:sz w:val="14"/>
              </w:rPr>
              <w:t>948,569</w:t>
            </w:r>
          </w:p>
        </w:tc>
        <w:tc>
          <w:tcPr>
            <w:tcW w:w="610" w:type="dxa"/>
          </w:tcPr>
          <w:p>
            <w:pPr>
              <w:pStyle w:val="TableParagraph"/>
              <w:spacing w:line="154" w:lineRule="exact" w:before="5"/>
              <w:ind w:right="37"/>
              <w:jc w:val="right"/>
              <w:rPr>
                <w:i/>
                <w:sz w:val="14"/>
              </w:rPr>
            </w:pPr>
            <w:r>
              <w:rPr>
                <w:i/>
                <w:w w:val="95"/>
                <w:sz w:val="14"/>
              </w:rPr>
              <w:t>1.6%</w:t>
            </w:r>
          </w:p>
        </w:tc>
      </w:tr>
      <w:tr>
        <w:trPr>
          <w:trHeight w:val="271" w:hRule="atLeast"/>
        </w:trPr>
        <w:tc>
          <w:tcPr>
            <w:tcW w:w="4311" w:type="dxa"/>
          </w:tcPr>
          <w:p>
            <w:pPr>
              <w:pStyle w:val="TableParagraph"/>
              <w:spacing w:before="8"/>
              <w:ind w:left="376"/>
              <w:rPr>
                <w:b/>
                <w:sz w:val="14"/>
              </w:rPr>
            </w:pPr>
            <w:r>
              <w:rPr>
                <w:b/>
                <w:sz w:val="14"/>
              </w:rPr>
              <w:t>Road User Charges &amp; Vehicle Licences</w:t>
            </w:r>
          </w:p>
        </w:tc>
        <w:tc>
          <w:tcPr>
            <w:tcW w:w="1221" w:type="dxa"/>
          </w:tcPr>
          <w:p>
            <w:pPr>
              <w:pStyle w:val="TableParagraph"/>
              <w:spacing w:before="8"/>
              <w:ind w:right="338"/>
              <w:jc w:val="right"/>
              <w:rPr>
                <w:b/>
                <w:i/>
                <w:sz w:val="14"/>
              </w:rPr>
            </w:pPr>
            <w:r>
              <w:rPr>
                <w:b/>
                <w:i/>
                <w:w w:val="95"/>
                <w:sz w:val="14"/>
              </w:rPr>
              <w:t>54,194</w:t>
            </w:r>
          </w:p>
        </w:tc>
        <w:tc>
          <w:tcPr>
            <w:tcW w:w="874" w:type="dxa"/>
          </w:tcPr>
          <w:p>
            <w:pPr>
              <w:pStyle w:val="TableParagraph"/>
              <w:spacing w:before="8"/>
              <w:ind w:right="210"/>
              <w:jc w:val="right"/>
              <w:rPr>
                <w:b/>
                <w:sz w:val="14"/>
              </w:rPr>
            </w:pPr>
            <w:r>
              <w:rPr>
                <w:b/>
                <w:sz w:val="14"/>
              </w:rPr>
              <w:t>0.2%</w:t>
            </w:r>
          </w:p>
        </w:tc>
        <w:tc>
          <w:tcPr>
            <w:tcW w:w="1171" w:type="dxa"/>
          </w:tcPr>
          <w:p>
            <w:pPr>
              <w:pStyle w:val="TableParagraph"/>
              <w:spacing w:before="8"/>
              <w:ind w:right="277"/>
              <w:jc w:val="right"/>
              <w:rPr>
                <w:b/>
                <w:sz w:val="14"/>
              </w:rPr>
            </w:pPr>
            <w:r>
              <w:rPr>
                <w:b/>
                <w:sz w:val="14"/>
              </w:rPr>
              <w:t>125,485</w:t>
            </w:r>
          </w:p>
        </w:tc>
        <w:tc>
          <w:tcPr>
            <w:tcW w:w="831" w:type="dxa"/>
          </w:tcPr>
          <w:p>
            <w:pPr>
              <w:pStyle w:val="TableParagraph"/>
              <w:spacing w:before="8"/>
              <w:ind w:left="214" w:right="256"/>
              <w:jc w:val="center"/>
              <w:rPr>
                <w:i/>
                <w:sz w:val="14"/>
              </w:rPr>
            </w:pPr>
            <w:r>
              <w:rPr>
                <w:i/>
                <w:sz w:val="14"/>
              </w:rPr>
              <w:t>0.3%</w:t>
            </w:r>
          </w:p>
        </w:tc>
        <w:tc>
          <w:tcPr>
            <w:tcW w:w="1305" w:type="dxa"/>
          </w:tcPr>
          <w:p>
            <w:pPr>
              <w:pStyle w:val="TableParagraph"/>
              <w:spacing w:before="8"/>
              <w:ind w:right="373"/>
              <w:jc w:val="right"/>
              <w:rPr>
                <w:b/>
                <w:sz w:val="14"/>
              </w:rPr>
            </w:pPr>
            <w:r>
              <w:rPr>
                <w:b/>
                <w:sz w:val="14"/>
              </w:rPr>
              <w:t>124,829</w:t>
            </w:r>
          </w:p>
        </w:tc>
        <w:tc>
          <w:tcPr>
            <w:tcW w:w="836" w:type="dxa"/>
          </w:tcPr>
          <w:p>
            <w:pPr>
              <w:pStyle w:val="TableParagraph"/>
              <w:spacing w:before="8"/>
              <w:ind w:right="205"/>
              <w:jc w:val="right"/>
              <w:rPr>
                <w:i/>
                <w:sz w:val="14"/>
              </w:rPr>
            </w:pPr>
            <w:r>
              <w:rPr>
                <w:i/>
                <w:w w:val="95"/>
                <w:sz w:val="14"/>
              </w:rPr>
              <w:t>0.3%</w:t>
            </w:r>
          </w:p>
        </w:tc>
        <w:tc>
          <w:tcPr>
            <w:tcW w:w="1205" w:type="dxa"/>
          </w:tcPr>
          <w:p>
            <w:pPr>
              <w:pStyle w:val="TableParagraph"/>
              <w:spacing w:before="8"/>
              <w:ind w:right="317"/>
              <w:jc w:val="right"/>
              <w:rPr>
                <w:b/>
                <w:sz w:val="14"/>
              </w:rPr>
            </w:pPr>
            <w:r>
              <w:rPr>
                <w:b/>
                <w:sz w:val="14"/>
              </w:rPr>
              <w:t>145,369</w:t>
            </w:r>
          </w:p>
        </w:tc>
        <w:tc>
          <w:tcPr>
            <w:tcW w:w="779" w:type="dxa"/>
          </w:tcPr>
          <w:p>
            <w:pPr>
              <w:pStyle w:val="TableParagraph"/>
              <w:spacing w:before="8"/>
              <w:ind w:left="231" w:right="188"/>
              <w:jc w:val="center"/>
              <w:rPr>
                <w:i/>
                <w:sz w:val="14"/>
              </w:rPr>
            </w:pPr>
            <w:r>
              <w:rPr>
                <w:i/>
                <w:sz w:val="14"/>
              </w:rPr>
              <w:t>0.3%</w:t>
            </w:r>
          </w:p>
        </w:tc>
        <w:tc>
          <w:tcPr>
            <w:tcW w:w="1208" w:type="dxa"/>
          </w:tcPr>
          <w:p>
            <w:pPr>
              <w:pStyle w:val="TableParagraph"/>
              <w:spacing w:before="8"/>
              <w:ind w:right="321"/>
              <w:jc w:val="right"/>
              <w:rPr>
                <w:b/>
                <w:sz w:val="14"/>
              </w:rPr>
            </w:pPr>
            <w:r>
              <w:rPr>
                <w:b/>
                <w:sz w:val="14"/>
              </w:rPr>
              <w:t>174,715</w:t>
            </w:r>
          </w:p>
        </w:tc>
        <w:tc>
          <w:tcPr>
            <w:tcW w:w="610" w:type="dxa"/>
          </w:tcPr>
          <w:p>
            <w:pPr>
              <w:pStyle w:val="TableParagraph"/>
              <w:spacing w:before="8"/>
              <w:ind w:right="37"/>
              <w:jc w:val="right"/>
              <w:rPr>
                <w:i/>
                <w:sz w:val="14"/>
              </w:rPr>
            </w:pPr>
            <w:r>
              <w:rPr>
                <w:i/>
                <w:w w:val="95"/>
                <w:sz w:val="14"/>
              </w:rPr>
              <w:t>0.3%</w:t>
            </w:r>
          </w:p>
        </w:tc>
      </w:tr>
      <w:tr>
        <w:trPr>
          <w:trHeight w:val="268" w:hRule="atLeast"/>
        </w:trPr>
        <w:tc>
          <w:tcPr>
            <w:tcW w:w="4311" w:type="dxa"/>
          </w:tcPr>
          <w:p>
            <w:pPr>
              <w:pStyle w:val="TableParagraph"/>
              <w:spacing w:line="152" w:lineRule="exact" w:before="97"/>
              <w:ind w:left="34"/>
              <w:rPr>
                <w:b/>
                <w:sz w:val="14"/>
              </w:rPr>
            </w:pPr>
            <w:r>
              <w:rPr>
                <w:b/>
                <w:sz w:val="14"/>
              </w:rPr>
              <w:t>Grants</w:t>
            </w:r>
          </w:p>
        </w:tc>
        <w:tc>
          <w:tcPr>
            <w:tcW w:w="3266" w:type="dxa"/>
            <w:gridSpan w:val="3"/>
          </w:tcPr>
          <w:p>
            <w:pPr>
              <w:pStyle w:val="TableParagraph"/>
              <w:tabs>
                <w:tab w:pos="1575" w:val="left" w:leader="none"/>
                <w:tab w:pos="2334" w:val="left" w:leader="none"/>
              </w:tabs>
              <w:spacing w:line="152" w:lineRule="exact" w:before="97"/>
              <w:ind w:left="342"/>
              <w:rPr>
                <w:b/>
                <w:sz w:val="14"/>
              </w:rPr>
            </w:pPr>
            <w:r>
              <w:rPr>
                <w:b/>
                <w:i/>
                <w:spacing w:val="4"/>
                <w:sz w:val="14"/>
              </w:rPr>
              <w:t>680,293</w:t>
              <w:tab/>
            </w:r>
            <w:r>
              <w:rPr>
                <w:b/>
                <w:spacing w:val="-4"/>
                <w:sz w:val="14"/>
              </w:rPr>
              <w:t>2.1%</w:t>
              <w:tab/>
            </w:r>
            <w:r>
              <w:rPr>
                <w:b/>
                <w:sz w:val="14"/>
              </w:rPr>
              <w:t>1,279,638</w:t>
            </w:r>
          </w:p>
        </w:tc>
        <w:tc>
          <w:tcPr>
            <w:tcW w:w="831" w:type="dxa"/>
          </w:tcPr>
          <w:p>
            <w:pPr>
              <w:pStyle w:val="TableParagraph"/>
              <w:spacing w:line="152" w:lineRule="exact" w:before="97"/>
              <w:ind w:left="214" w:right="256"/>
              <w:jc w:val="center"/>
              <w:rPr>
                <w:i/>
                <w:sz w:val="14"/>
              </w:rPr>
            </w:pPr>
            <w:r>
              <w:rPr>
                <w:i/>
                <w:sz w:val="14"/>
              </w:rPr>
              <w:t>3.4%</w:t>
            </w:r>
          </w:p>
        </w:tc>
        <w:tc>
          <w:tcPr>
            <w:tcW w:w="1305" w:type="dxa"/>
          </w:tcPr>
          <w:p>
            <w:pPr>
              <w:pStyle w:val="TableParagraph"/>
              <w:spacing w:line="152" w:lineRule="exact" w:before="97"/>
              <w:ind w:right="385"/>
              <w:jc w:val="right"/>
              <w:rPr>
                <w:b/>
                <w:sz w:val="14"/>
              </w:rPr>
            </w:pPr>
            <w:r>
              <w:rPr>
                <w:b/>
                <w:sz w:val="14"/>
              </w:rPr>
              <w:t>1,765,160</w:t>
            </w:r>
          </w:p>
        </w:tc>
        <w:tc>
          <w:tcPr>
            <w:tcW w:w="836" w:type="dxa"/>
          </w:tcPr>
          <w:p>
            <w:pPr>
              <w:pStyle w:val="TableParagraph"/>
              <w:spacing w:line="152" w:lineRule="exact" w:before="97"/>
              <w:ind w:right="205"/>
              <w:jc w:val="right"/>
              <w:rPr>
                <w:i/>
                <w:sz w:val="14"/>
              </w:rPr>
            </w:pPr>
            <w:r>
              <w:rPr>
                <w:i/>
                <w:w w:val="95"/>
                <w:sz w:val="14"/>
              </w:rPr>
              <w:t>4.1%</w:t>
            </w:r>
          </w:p>
        </w:tc>
        <w:tc>
          <w:tcPr>
            <w:tcW w:w="1205" w:type="dxa"/>
          </w:tcPr>
          <w:p>
            <w:pPr>
              <w:pStyle w:val="TableParagraph"/>
              <w:spacing w:line="152" w:lineRule="exact" w:before="97"/>
              <w:ind w:right="328"/>
              <w:jc w:val="right"/>
              <w:rPr>
                <w:b/>
                <w:sz w:val="14"/>
              </w:rPr>
            </w:pPr>
            <w:r>
              <w:rPr>
                <w:b/>
                <w:sz w:val="14"/>
              </w:rPr>
              <w:t>1,195,315</w:t>
            </w:r>
          </w:p>
        </w:tc>
        <w:tc>
          <w:tcPr>
            <w:tcW w:w="779" w:type="dxa"/>
          </w:tcPr>
          <w:p>
            <w:pPr>
              <w:pStyle w:val="TableParagraph"/>
              <w:spacing w:line="152" w:lineRule="exact" w:before="97"/>
              <w:ind w:left="231" w:right="188"/>
              <w:jc w:val="center"/>
              <w:rPr>
                <w:i/>
                <w:sz w:val="14"/>
              </w:rPr>
            </w:pPr>
            <w:r>
              <w:rPr>
                <w:i/>
                <w:sz w:val="14"/>
              </w:rPr>
              <w:t>2.4%</w:t>
            </w:r>
          </w:p>
        </w:tc>
        <w:tc>
          <w:tcPr>
            <w:tcW w:w="1208" w:type="dxa"/>
          </w:tcPr>
          <w:p>
            <w:pPr>
              <w:pStyle w:val="TableParagraph"/>
              <w:spacing w:line="152" w:lineRule="exact" w:before="97"/>
              <w:ind w:right="333"/>
              <w:jc w:val="right"/>
              <w:rPr>
                <w:b/>
                <w:sz w:val="14"/>
              </w:rPr>
            </w:pPr>
            <w:r>
              <w:rPr>
                <w:b/>
                <w:sz w:val="14"/>
              </w:rPr>
              <w:t>1,301,100</w:t>
            </w:r>
          </w:p>
        </w:tc>
        <w:tc>
          <w:tcPr>
            <w:tcW w:w="610" w:type="dxa"/>
          </w:tcPr>
          <w:p>
            <w:pPr>
              <w:pStyle w:val="TableParagraph"/>
              <w:spacing w:line="152" w:lineRule="exact" w:before="97"/>
              <w:ind w:right="37"/>
              <w:jc w:val="right"/>
              <w:rPr>
                <w:i/>
                <w:sz w:val="14"/>
              </w:rPr>
            </w:pPr>
            <w:r>
              <w:rPr>
                <w:i/>
                <w:w w:val="95"/>
                <w:sz w:val="14"/>
              </w:rPr>
              <w:t>2.3%</w:t>
            </w:r>
          </w:p>
        </w:tc>
      </w:tr>
      <w:tr>
        <w:trPr>
          <w:trHeight w:val="180" w:hRule="atLeast"/>
        </w:trPr>
        <w:tc>
          <w:tcPr>
            <w:tcW w:w="4311" w:type="dxa"/>
          </w:tcPr>
          <w:p>
            <w:pPr>
              <w:pStyle w:val="TableParagraph"/>
              <w:spacing w:line="154" w:lineRule="exact" w:before="5"/>
              <w:ind w:left="202"/>
              <w:rPr>
                <w:b/>
                <w:sz w:val="14"/>
              </w:rPr>
            </w:pPr>
            <w:r>
              <w:rPr>
                <w:b/>
                <w:sz w:val="14"/>
              </w:rPr>
              <w:t>Programme</w:t>
            </w:r>
          </w:p>
        </w:tc>
        <w:tc>
          <w:tcPr>
            <w:tcW w:w="3266" w:type="dxa"/>
            <w:gridSpan w:val="3"/>
          </w:tcPr>
          <w:p>
            <w:pPr>
              <w:pStyle w:val="TableParagraph"/>
              <w:tabs>
                <w:tab w:pos="1575" w:val="left" w:leader="none"/>
                <w:tab w:pos="2454" w:val="left" w:leader="none"/>
              </w:tabs>
              <w:spacing w:line="154" w:lineRule="exact" w:before="5"/>
              <w:ind w:left="342"/>
              <w:rPr>
                <w:b/>
                <w:sz w:val="14"/>
              </w:rPr>
            </w:pPr>
            <w:r>
              <w:rPr>
                <w:b/>
                <w:i/>
                <w:spacing w:val="4"/>
                <w:sz w:val="14"/>
              </w:rPr>
              <w:t>294,293</w:t>
              <w:tab/>
            </w:r>
            <w:r>
              <w:rPr>
                <w:b/>
                <w:spacing w:val="-4"/>
                <w:sz w:val="14"/>
              </w:rPr>
              <w:t>0.9%</w:t>
              <w:tab/>
            </w:r>
            <w:r>
              <w:rPr>
                <w:b/>
                <w:spacing w:val="3"/>
                <w:sz w:val="14"/>
              </w:rPr>
              <w:t>774,158</w:t>
            </w:r>
          </w:p>
        </w:tc>
        <w:tc>
          <w:tcPr>
            <w:tcW w:w="831" w:type="dxa"/>
          </w:tcPr>
          <w:p>
            <w:pPr>
              <w:pStyle w:val="TableParagraph"/>
              <w:spacing w:line="154" w:lineRule="exact" w:before="5"/>
              <w:ind w:left="214" w:right="256"/>
              <w:jc w:val="center"/>
              <w:rPr>
                <w:i/>
                <w:sz w:val="14"/>
              </w:rPr>
            </w:pPr>
            <w:r>
              <w:rPr>
                <w:i/>
                <w:sz w:val="14"/>
              </w:rPr>
              <w:t>2.1%</w:t>
            </w:r>
          </w:p>
        </w:tc>
        <w:tc>
          <w:tcPr>
            <w:tcW w:w="1305" w:type="dxa"/>
          </w:tcPr>
          <w:p>
            <w:pPr>
              <w:pStyle w:val="TableParagraph"/>
              <w:spacing w:line="154" w:lineRule="exact" w:before="5"/>
              <w:ind w:right="385"/>
              <w:jc w:val="right"/>
              <w:rPr>
                <w:b/>
                <w:sz w:val="14"/>
              </w:rPr>
            </w:pPr>
            <w:r>
              <w:rPr>
                <w:b/>
                <w:sz w:val="14"/>
              </w:rPr>
              <w:t>1,030,000</w:t>
            </w:r>
          </w:p>
        </w:tc>
        <w:tc>
          <w:tcPr>
            <w:tcW w:w="836" w:type="dxa"/>
          </w:tcPr>
          <w:p>
            <w:pPr>
              <w:pStyle w:val="TableParagraph"/>
              <w:spacing w:line="154" w:lineRule="exact" w:before="5"/>
              <w:ind w:right="205"/>
              <w:jc w:val="right"/>
              <w:rPr>
                <w:i/>
                <w:sz w:val="14"/>
              </w:rPr>
            </w:pPr>
            <w:r>
              <w:rPr>
                <w:i/>
                <w:w w:val="95"/>
                <w:sz w:val="14"/>
              </w:rPr>
              <w:t>2.4%</w:t>
            </w:r>
          </w:p>
        </w:tc>
        <w:tc>
          <w:tcPr>
            <w:tcW w:w="1205" w:type="dxa"/>
          </w:tcPr>
          <w:p>
            <w:pPr>
              <w:pStyle w:val="TableParagraph"/>
              <w:spacing w:line="154" w:lineRule="exact" w:before="5"/>
              <w:ind w:right="317"/>
              <w:jc w:val="right"/>
              <w:rPr>
                <w:b/>
                <w:sz w:val="14"/>
              </w:rPr>
            </w:pPr>
            <w:r>
              <w:rPr>
                <w:b/>
                <w:sz w:val="14"/>
              </w:rPr>
              <w:t>640,008</w:t>
            </w:r>
          </w:p>
        </w:tc>
        <w:tc>
          <w:tcPr>
            <w:tcW w:w="779" w:type="dxa"/>
          </w:tcPr>
          <w:p>
            <w:pPr>
              <w:pStyle w:val="TableParagraph"/>
              <w:spacing w:line="154" w:lineRule="exact" w:before="5"/>
              <w:ind w:left="231" w:right="188"/>
              <w:jc w:val="center"/>
              <w:rPr>
                <w:i/>
                <w:sz w:val="14"/>
              </w:rPr>
            </w:pPr>
            <w:r>
              <w:rPr>
                <w:i/>
                <w:sz w:val="14"/>
              </w:rPr>
              <w:t>1.3%</w:t>
            </w:r>
          </w:p>
        </w:tc>
        <w:tc>
          <w:tcPr>
            <w:tcW w:w="1208" w:type="dxa"/>
          </w:tcPr>
          <w:p>
            <w:pPr>
              <w:pStyle w:val="TableParagraph"/>
              <w:spacing w:line="154" w:lineRule="exact" w:before="5"/>
              <w:ind w:right="321"/>
              <w:jc w:val="right"/>
              <w:rPr>
                <w:b/>
                <w:sz w:val="14"/>
              </w:rPr>
            </w:pPr>
            <w:r>
              <w:rPr>
                <w:b/>
                <w:sz w:val="14"/>
              </w:rPr>
              <w:t>738,100</w:t>
            </w:r>
          </w:p>
        </w:tc>
        <w:tc>
          <w:tcPr>
            <w:tcW w:w="610" w:type="dxa"/>
          </w:tcPr>
          <w:p>
            <w:pPr>
              <w:pStyle w:val="TableParagraph"/>
              <w:spacing w:line="154" w:lineRule="exact" w:before="5"/>
              <w:ind w:right="37"/>
              <w:jc w:val="right"/>
              <w:rPr>
                <w:i/>
                <w:sz w:val="14"/>
              </w:rPr>
            </w:pPr>
            <w:r>
              <w:rPr>
                <w:i/>
                <w:w w:val="95"/>
                <w:sz w:val="14"/>
              </w:rPr>
              <w:t>1.3%</w:t>
            </w:r>
          </w:p>
        </w:tc>
      </w:tr>
      <w:tr>
        <w:trPr>
          <w:trHeight w:val="180" w:hRule="atLeast"/>
        </w:trPr>
        <w:tc>
          <w:tcPr>
            <w:tcW w:w="4311" w:type="dxa"/>
          </w:tcPr>
          <w:p>
            <w:pPr>
              <w:pStyle w:val="TableParagraph"/>
              <w:spacing w:line="152" w:lineRule="exact" w:before="8"/>
              <w:ind w:left="375"/>
              <w:rPr>
                <w:sz w:val="14"/>
              </w:rPr>
            </w:pPr>
            <w:r>
              <w:rPr>
                <w:sz w:val="14"/>
              </w:rPr>
              <w:t>o/ w Debt Relief Assistance</w:t>
            </w:r>
          </w:p>
        </w:tc>
        <w:tc>
          <w:tcPr>
            <w:tcW w:w="3266" w:type="dxa"/>
            <w:gridSpan w:val="3"/>
          </w:tcPr>
          <w:p>
            <w:pPr>
              <w:pStyle w:val="TableParagraph"/>
              <w:tabs>
                <w:tab w:pos="1513" w:val="left" w:leader="none"/>
                <w:tab w:pos="2631" w:val="left" w:leader="none"/>
              </w:tabs>
              <w:spacing w:line="152" w:lineRule="exact" w:before="8"/>
              <w:ind w:left="428"/>
              <w:rPr>
                <w:sz w:val="14"/>
              </w:rPr>
            </w:pPr>
            <w:r>
              <w:rPr>
                <w:spacing w:val="4"/>
                <w:sz w:val="14"/>
              </w:rPr>
              <w:t>13</w:t>
            </w:r>
            <w:r>
              <w:rPr>
                <w:spacing w:val="-27"/>
                <w:sz w:val="14"/>
              </w:rPr>
              <w:t> </w:t>
            </w:r>
            <w:r>
              <w:rPr>
                <w:spacing w:val="7"/>
                <w:sz w:val="14"/>
              </w:rPr>
              <w:t>,371</w:t>
              <w:tab/>
            </w:r>
            <w:r>
              <w:rPr>
                <w:sz w:val="14"/>
              </w:rPr>
              <w:t>0</w:t>
            </w:r>
            <w:r>
              <w:rPr>
                <w:spacing w:val="-21"/>
                <w:sz w:val="14"/>
              </w:rPr>
              <w:t> </w:t>
            </w:r>
            <w:r>
              <w:rPr>
                <w:sz w:val="14"/>
              </w:rPr>
              <w:t>.</w:t>
            </w:r>
            <w:r>
              <w:rPr>
                <w:spacing w:val="-18"/>
                <w:sz w:val="14"/>
              </w:rPr>
              <w:t> </w:t>
            </w:r>
            <w:r>
              <w:rPr>
                <w:sz w:val="14"/>
              </w:rPr>
              <w:t>0</w:t>
            </w:r>
            <w:r>
              <w:rPr>
                <w:spacing w:val="-21"/>
                <w:sz w:val="14"/>
              </w:rPr>
              <w:t> </w:t>
            </w:r>
            <w:r>
              <w:rPr>
                <w:sz w:val="14"/>
              </w:rPr>
              <w:t>%</w:t>
              <w:tab/>
            </w:r>
            <w:r>
              <w:rPr>
                <w:spacing w:val="5"/>
                <w:sz w:val="14"/>
              </w:rPr>
              <w:t>6,575</w:t>
            </w:r>
          </w:p>
        </w:tc>
        <w:tc>
          <w:tcPr>
            <w:tcW w:w="831" w:type="dxa"/>
          </w:tcPr>
          <w:p>
            <w:pPr>
              <w:pStyle w:val="TableParagraph"/>
              <w:spacing w:line="152" w:lineRule="exact" w:before="8"/>
              <w:ind w:left="214" w:right="256"/>
              <w:jc w:val="center"/>
              <w:rPr>
                <w:i/>
                <w:sz w:val="14"/>
              </w:rPr>
            </w:pPr>
            <w:r>
              <w:rPr>
                <w:i/>
                <w:sz w:val="14"/>
              </w:rPr>
              <w:t>0.0%</w:t>
            </w:r>
          </w:p>
        </w:tc>
        <w:tc>
          <w:tcPr>
            <w:tcW w:w="1305" w:type="dxa"/>
          </w:tcPr>
          <w:p>
            <w:pPr>
              <w:pStyle w:val="TableParagraph"/>
              <w:spacing w:line="152" w:lineRule="exact" w:before="8"/>
              <w:ind w:right="333"/>
              <w:jc w:val="right"/>
              <w:rPr>
                <w:b/>
                <w:sz w:val="14"/>
              </w:rPr>
            </w:pPr>
            <w:r>
              <w:rPr>
                <w:b/>
                <w:w w:val="99"/>
                <w:sz w:val="14"/>
              </w:rPr>
              <w:t>0</w:t>
            </w:r>
          </w:p>
        </w:tc>
        <w:tc>
          <w:tcPr>
            <w:tcW w:w="836" w:type="dxa"/>
          </w:tcPr>
          <w:p>
            <w:pPr>
              <w:pStyle w:val="TableParagraph"/>
              <w:spacing w:line="152" w:lineRule="exact" w:before="8"/>
              <w:ind w:right="205"/>
              <w:jc w:val="right"/>
              <w:rPr>
                <w:i/>
                <w:sz w:val="14"/>
              </w:rPr>
            </w:pPr>
            <w:r>
              <w:rPr>
                <w:i/>
                <w:w w:val="95"/>
                <w:sz w:val="14"/>
              </w:rPr>
              <w:t>0.0%</w:t>
            </w:r>
          </w:p>
        </w:tc>
        <w:tc>
          <w:tcPr>
            <w:tcW w:w="1205" w:type="dxa"/>
          </w:tcPr>
          <w:p>
            <w:pPr>
              <w:pStyle w:val="TableParagraph"/>
              <w:spacing w:line="152" w:lineRule="exact" w:before="8"/>
              <w:ind w:right="277"/>
              <w:jc w:val="right"/>
              <w:rPr>
                <w:b/>
                <w:sz w:val="14"/>
              </w:rPr>
            </w:pPr>
            <w:r>
              <w:rPr>
                <w:b/>
                <w:w w:val="99"/>
                <w:sz w:val="14"/>
              </w:rPr>
              <w:t>0</w:t>
            </w:r>
          </w:p>
        </w:tc>
        <w:tc>
          <w:tcPr>
            <w:tcW w:w="779" w:type="dxa"/>
          </w:tcPr>
          <w:p>
            <w:pPr>
              <w:pStyle w:val="TableParagraph"/>
              <w:spacing w:line="152" w:lineRule="exact" w:before="8"/>
              <w:ind w:left="231" w:right="188"/>
              <w:jc w:val="center"/>
              <w:rPr>
                <w:i/>
                <w:sz w:val="14"/>
              </w:rPr>
            </w:pPr>
            <w:r>
              <w:rPr>
                <w:i/>
                <w:sz w:val="14"/>
              </w:rPr>
              <w:t>0.0%</w:t>
            </w:r>
          </w:p>
        </w:tc>
        <w:tc>
          <w:tcPr>
            <w:tcW w:w="1208" w:type="dxa"/>
          </w:tcPr>
          <w:p>
            <w:pPr>
              <w:pStyle w:val="TableParagraph"/>
              <w:spacing w:line="152" w:lineRule="exact" w:before="8"/>
              <w:ind w:right="281"/>
              <w:jc w:val="right"/>
              <w:rPr>
                <w:b/>
                <w:sz w:val="14"/>
              </w:rPr>
            </w:pPr>
            <w:r>
              <w:rPr>
                <w:b/>
                <w:w w:val="99"/>
                <w:sz w:val="14"/>
              </w:rPr>
              <w:t>0</w:t>
            </w:r>
          </w:p>
        </w:tc>
        <w:tc>
          <w:tcPr>
            <w:tcW w:w="610" w:type="dxa"/>
          </w:tcPr>
          <w:p>
            <w:pPr>
              <w:pStyle w:val="TableParagraph"/>
              <w:spacing w:line="152" w:lineRule="exact" w:before="8"/>
              <w:ind w:right="37"/>
              <w:jc w:val="right"/>
              <w:rPr>
                <w:i/>
                <w:sz w:val="14"/>
              </w:rPr>
            </w:pPr>
            <w:r>
              <w:rPr>
                <w:i/>
                <w:w w:val="95"/>
                <w:sz w:val="14"/>
              </w:rPr>
              <w:t>0.0%</w:t>
            </w:r>
          </w:p>
        </w:tc>
      </w:tr>
      <w:tr>
        <w:trPr>
          <w:trHeight w:val="180" w:hRule="atLeast"/>
        </w:trPr>
        <w:tc>
          <w:tcPr>
            <w:tcW w:w="4311" w:type="dxa"/>
          </w:tcPr>
          <w:p>
            <w:pPr>
              <w:pStyle w:val="TableParagraph"/>
              <w:spacing w:line="154" w:lineRule="exact" w:before="5"/>
              <w:ind w:left="543"/>
              <w:rPr>
                <w:sz w:val="14"/>
              </w:rPr>
            </w:pPr>
            <w:r>
              <w:rPr>
                <w:sz w:val="14"/>
              </w:rPr>
              <w:t>o/ w HIPC - $’ m</w:t>
            </w:r>
          </w:p>
        </w:tc>
        <w:tc>
          <w:tcPr>
            <w:tcW w:w="3266" w:type="dxa"/>
            <w:gridSpan w:val="3"/>
          </w:tcPr>
          <w:p>
            <w:pPr>
              <w:pStyle w:val="TableParagraph"/>
              <w:tabs>
                <w:tab w:pos="2631" w:val="left" w:leader="none"/>
              </w:tabs>
              <w:spacing w:line="154" w:lineRule="exact" w:before="5"/>
              <w:ind w:left="534"/>
              <w:rPr>
                <w:i/>
                <w:sz w:val="14"/>
              </w:rPr>
            </w:pPr>
            <w:r>
              <w:rPr>
                <w:i/>
                <w:spacing w:val="6"/>
                <w:sz w:val="14"/>
              </w:rPr>
              <w:t>$1.63</w:t>
              <w:tab/>
              <w:t>$0.76</w:t>
            </w:r>
          </w:p>
        </w:tc>
        <w:tc>
          <w:tcPr>
            <w:tcW w:w="831" w:type="dxa"/>
          </w:tcPr>
          <w:p>
            <w:pPr>
              <w:pStyle w:val="TableParagraph"/>
              <w:rPr>
                <w:rFonts w:ascii="Times New Roman"/>
                <w:sz w:val="12"/>
              </w:rPr>
            </w:pPr>
          </w:p>
        </w:tc>
        <w:tc>
          <w:tcPr>
            <w:tcW w:w="1305" w:type="dxa"/>
          </w:tcPr>
          <w:p>
            <w:pPr>
              <w:pStyle w:val="TableParagraph"/>
              <w:spacing w:line="154" w:lineRule="exact" w:before="5"/>
              <w:ind w:right="372"/>
              <w:jc w:val="right"/>
              <w:rPr>
                <w:b/>
                <w:i/>
                <w:sz w:val="14"/>
              </w:rPr>
            </w:pPr>
            <w:r>
              <w:rPr>
                <w:b/>
                <w:i/>
                <w:sz w:val="14"/>
              </w:rPr>
              <w:t>$0.00</w:t>
            </w:r>
          </w:p>
        </w:tc>
        <w:tc>
          <w:tcPr>
            <w:tcW w:w="836" w:type="dxa"/>
          </w:tcPr>
          <w:p>
            <w:pPr>
              <w:pStyle w:val="TableParagraph"/>
              <w:rPr>
                <w:rFonts w:ascii="Times New Roman"/>
                <w:sz w:val="12"/>
              </w:rPr>
            </w:pPr>
          </w:p>
        </w:tc>
        <w:tc>
          <w:tcPr>
            <w:tcW w:w="1205" w:type="dxa"/>
          </w:tcPr>
          <w:p>
            <w:pPr>
              <w:pStyle w:val="TableParagraph"/>
              <w:spacing w:line="154" w:lineRule="exact" w:before="5"/>
              <w:ind w:right="316"/>
              <w:jc w:val="right"/>
              <w:rPr>
                <w:b/>
                <w:i/>
                <w:sz w:val="14"/>
              </w:rPr>
            </w:pPr>
            <w:r>
              <w:rPr>
                <w:b/>
                <w:i/>
                <w:sz w:val="14"/>
              </w:rPr>
              <w:t>$0.00</w:t>
            </w:r>
          </w:p>
        </w:tc>
        <w:tc>
          <w:tcPr>
            <w:tcW w:w="779" w:type="dxa"/>
          </w:tcPr>
          <w:p>
            <w:pPr>
              <w:pStyle w:val="TableParagraph"/>
              <w:rPr>
                <w:rFonts w:ascii="Times New Roman"/>
                <w:sz w:val="12"/>
              </w:rPr>
            </w:pPr>
          </w:p>
        </w:tc>
        <w:tc>
          <w:tcPr>
            <w:tcW w:w="1208" w:type="dxa"/>
          </w:tcPr>
          <w:p>
            <w:pPr>
              <w:pStyle w:val="TableParagraph"/>
              <w:spacing w:line="154" w:lineRule="exact" w:before="5"/>
              <w:ind w:right="316"/>
              <w:jc w:val="right"/>
              <w:rPr>
                <w:b/>
                <w:i/>
                <w:sz w:val="14"/>
              </w:rPr>
            </w:pPr>
            <w:r>
              <w:rPr>
                <w:b/>
                <w:i/>
                <w:sz w:val="14"/>
              </w:rPr>
              <w:t>$0.00</w:t>
            </w:r>
          </w:p>
        </w:tc>
        <w:tc>
          <w:tcPr>
            <w:tcW w:w="610" w:type="dxa"/>
          </w:tcPr>
          <w:p>
            <w:pPr>
              <w:pStyle w:val="TableParagraph"/>
              <w:rPr>
                <w:rFonts w:ascii="Times New Roman"/>
                <w:sz w:val="12"/>
              </w:rPr>
            </w:pPr>
          </w:p>
        </w:tc>
      </w:tr>
      <w:tr>
        <w:trPr>
          <w:trHeight w:val="180" w:hRule="atLeast"/>
        </w:trPr>
        <w:tc>
          <w:tcPr>
            <w:tcW w:w="4311" w:type="dxa"/>
          </w:tcPr>
          <w:p>
            <w:pPr>
              <w:pStyle w:val="TableParagraph"/>
              <w:spacing w:line="152" w:lineRule="exact" w:before="8"/>
              <w:ind w:left="375"/>
              <w:rPr>
                <w:sz w:val="14"/>
              </w:rPr>
            </w:pPr>
            <w:r>
              <w:rPr>
                <w:sz w:val="14"/>
              </w:rPr>
              <w:t>o/ w Global Fund Salary Support</w:t>
            </w:r>
          </w:p>
        </w:tc>
        <w:tc>
          <w:tcPr>
            <w:tcW w:w="3266" w:type="dxa"/>
            <w:gridSpan w:val="3"/>
          </w:tcPr>
          <w:p>
            <w:pPr>
              <w:pStyle w:val="TableParagraph"/>
              <w:tabs>
                <w:tab w:pos="1513" w:val="left" w:leader="none"/>
                <w:tab w:pos="2948" w:val="left" w:leader="none"/>
              </w:tabs>
              <w:spacing w:line="152" w:lineRule="exact" w:before="8"/>
              <w:ind w:left="428"/>
              <w:rPr>
                <w:sz w:val="14"/>
              </w:rPr>
            </w:pPr>
            <w:r>
              <w:rPr>
                <w:i/>
                <w:spacing w:val="4"/>
                <w:sz w:val="14"/>
              </w:rPr>
              <w:t>55</w:t>
            </w:r>
            <w:r>
              <w:rPr>
                <w:i/>
                <w:spacing w:val="-26"/>
                <w:sz w:val="14"/>
              </w:rPr>
              <w:t> </w:t>
            </w:r>
            <w:r>
              <w:rPr>
                <w:i/>
                <w:spacing w:val="7"/>
                <w:sz w:val="14"/>
              </w:rPr>
              <w:t>,437</w:t>
              <w:tab/>
            </w:r>
            <w:r>
              <w:rPr>
                <w:sz w:val="14"/>
              </w:rPr>
              <w:t>0</w:t>
            </w:r>
            <w:r>
              <w:rPr>
                <w:spacing w:val="-21"/>
                <w:sz w:val="14"/>
              </w:rPr>
              <w:t> </w:t>
            </w:r>
            <w:r>
              <w:rPr>
                <w:sz w:val="14"/>
              </w:rPr>
              <w:t>.</w:t>
            </w:r>
            <w:r>
              <w:rPr>
                <w:spacing w:val="-19"/>
                <w:sz w:val="14"/>
              </w:rPr>
              <w:t> </w:t>
            </w:r>
            <w:r>
              <w:rPr>
                <w:sz w:val="14"/>
              </w:rPr>
              <w:t>2</w:t>
            </w:r>
            <w:r>
              <w:rPr>
                <w:spacing w:val="-21"/>
                <w:sz w:val="14"/>
              </w:rPr>
              <w:t> </w:t>
            </w:r>
            <w:r>
              <w:rPr>
                <w:sz w:val="14"/>
              </w:rPr>
              <w:t>%</w:t>
              <w:tab/>
              <w:t>0</w:t>
            </w:r>
          </w:p>
        </w:tc>
        <w:tc>
          <w:tcPr>
            <w:tcW w:w="831" w:type="dxa"/>
          </w:tcPr>
          <w:p>
            <w:pPr>
              <w:pStyle w:val="TableParagraph"/>
              <w:spacing w:line="152" w:lineRule="exact" w:before="8"/>
              <w:ind w:left="214" w:right="256"/>
              <w:jc w:val="center"/>
              <w:rPr>
                <w:i/>
                <w:sz w:val="14"/>
              </w:rPr>
            </w:pPr>
            <w:r>
              <w:rPr>
                <w:i/>
                <w:sz w:val="14"/>
              </w:rPr>
              <w:t>0.0%</w:t>
            </w:r>
          </w:p>
        </w:tc>
        <w:tc>
          <w:tcPr>
            <w:tcW w:w="1305" w:type="dxa"/>
          </w:tcPr>
          <w:p>
            <w:pPr>
              <w:pStyle w:val="TableParagraph"/>
              <w:spacing w:line="152" w:lineRule="exact" w:before="8"/>
              <w:ind w:right="333"/>
              <w:jc w:val="right"/>
              <w:rPr>
                <w:b/>
                <w:sz w:val="14"/>
              </w:rPr>
            </w:pPr>
            <w:r>
              <w:rPr>
                <w:b/>
                <w:w w:val="99"/>
                <w:sz w:val="14"/>
              </w:rPr>
              <w:t>0</w:t>
            </w:r>
          </w:p>
        </w:tc>
        <w:tc>
          <w:tcPr>
            <w:tcW w:w="836" w:type="dxa"/>
          </w:tcPr>
          <w:p>
            <w:pPr>
              <w:pStyle w:val="TableParagraph"/>
              <w:spacing w:line="152" w:lineRule="exact" w:before="8"/>
              <w:ind w:right="205"/>
              <w:jc w:val="right"/>
              <w:rPr>
                <w:i/>
                <w:sz w:val="14"/>
              </w:rPr>
            </w:pPr>
            <w:r>
              <w:rPr>
                <w:i/>
                <w:w w:val="95"/>
                <w:sz w:val="14"/>
              </w:rPr>
              <w:t>0.0%</w:t>
            </w:r>
          </w:p>
        </w:tc>
        <w:tc>
          <w:tcPr>
            <w:tcW w:w="1205" w:type="dxa"/>
          </w:tcPr>
          <w:p>
            <w:pPr>
              <w:pStyle w:val="TableParagraph"/>
              <w:spacing w:line="152" w:lineRule="exact" w:before="8"/>
              <w:ind w:right="277"/>
              <w:jc w:val="right"/>
              <w:rPr>
                <w:b/>
                <w:sz w:val="14"/>
              </w:rPr>
            </w:pPr>
            <w:r>
              <w:rPr>
                <w:b/>
                <w:w w:val="99"/>
                <w:sz w:val="14"/>
              </w:rPr>
              <w:t>0</w:t>
            </w:r>
          </w:p>
        </w:tc>
        <w:tc>
          <w:tcPr>
            <w:tcW w:w="779" w:type="dxa"/>
          </w:tcPr>
          <w:p>
            <w:pPr>
              <w:pStyle w:val="TableParagraph"/>
              <w:spacing w:line="152" w:lineRule="exact" w:before="8"/>
              <w:ind w:left="231" w:right="188"/>
              <w:jc w:val="center"/>
              <w:rPr>
                <w:i/>
                <w:sz w:val="14"/>
              </w:rPr>
            </w:pPr>
            <w:r>
              <w:rPr>
                <w:i/>
                <w:sz w:val="14"/>
              </w:rPr>
              <w:t>0.0%</w:t>
            </w:r>
          </w:p>
        </w:tc>
        <w:tc>
          <w:tcPr>
            <w:tcW w:w="1208" w:type="dxa"/>
          </w:tcPr>
          <w:p>
            <w:pPr>
              <w:pStyle w:val="TableParagraph"/>
              <w:spacing w:line="152" w:lineRule="exact" w:before="8"/>
              <w:ind w:right="281"/>
              <w:jc w:val="right"/>
              <w:rPr>
                <w:b/>
                <w:sz w:val="14"/>
              </w:rPr>
            </w:pPr>
            <w:r>
              <w:rPr>
                <w:b/>
                <w:w w:val="99"/>
                <w:sz w:val="14"/>
              </w:rPr>
              <w:t>0</w:t>
            </w:r>
          </w:p>
        </w:tc>
        <w:tc>
          <w:tcPr>
            <w:tcW w:w="610" w:type="dxa"/>
          </w:tcPr>
          <w:p>
            <w:pPr>
              <w:pStyle w:val="TableParagraph"/>
              <w:spacing w:line="152" w:lineRule="exact" w:before="8"/>
              <w:ind w:right="37"/>
              <w:jc w:val="right"/>
              <w:rPr>
                <w:i/>
                <w:sz w:val="14"/>
              </w:rPr>
            </w:pPr>
            <w:r>
              <w:rPr>
                <w:i/>
                <w:w w:val="95"/>
                <w:sz w:val="14"/>
              </w:rPr>
              <w:t>0.0%</w:t>
            </w:r>
          </w:p>
        </w:tc>
      </w:tr>
      <w:tr>
        <w:trPr>
          <w:trHeight w:val="180" w:hRule="atLeast"/>
        </w:trPr>
        <w:tc>
          <w:tcPr>
            <w:tcW w:w="4311" w:type="dxa"/>
          </w:tcPr>
          <w:p>
            <w:pPr>
              <w:pStyle w:val="TableParagraph"/>
              <w:spacing w:line="154" w:lineRule="exact" w:before="5"/>
              <w:ind w:left="135"/>
              <w:rPr>
                <w:b/>
                <w:sz w:val="14"/>
              </w:rPr>
            </w:pPr>
            <w:r>
              <w:rPr>
                <w:b/>
                <w:sz w:val="14"/>
              </w:rPr>
              <w:t>o/ w External Donors Budgetary Support / 4</w:t>
            </w:r>
          </w:p>
        </w:tc>
        <w:tc>
          <w:tcPr>
            <w:tcW w:w="3266" w:type="dxa"/>
            <w:gridSpan w:val="3"/>
          </w:tcPr>
          <w:p>
            <w:pPr>
              <w:pStyle w:val="TableParagraph"/>
              <w:tabs>
                <w:tab w:pos="1575" w:val="left" w:leader="none"/>
                <w:tab w:pos="2454" w:val="left" w:leader="none"/>
              </w:tabs>
              <w:spacing w:line="154" w:lineRule="exact" w:before="5"/>
              <w:ind w:left="356"/>
              <w:rPr>
                <w:b/>
                <w:sz w:val="14"/>
              </w:rPr>
            </w:pPr>
            <w:r>
              <w:rPr>
                <w:b/>
                <w:spacing w:val="3"/>
                <w:sz w:val="14"/>
              </w:rPr>
              <w:t>225,485</w:t>
              <w:tab/>
            </w:r>
            <w:r>
              <w:rPr>
                <w:b/>
                <w:spacing w:val="-4"/>
                <w:sz w:val="14"/>
              </w:rPr>
              <w:t>0.7%</w:t>
              <w:tab/>
            </w:r>
            <w:r>
              <w:rPr>
                <w:b/>
                <w:spacing w:val="3"/>
                <w:sz w:val="14"/>
              </w:rPr>
              <w:t>767,583</w:t>
            </w:r>
          </w:p>
        </w:tc>
        <w:tc>
          <w:tcPr>
            <w:tcW w:w="831" w:type="dxa"/>
          </w:tcPr>
          <w:p>
            <w:pPr>
              <w:pStyle w:val="TableParagraph"/>
              <w:spacing w:line="154" w:lineRule="exact" w:before="5"/>
              <w:ind w:left="214" w:right="256"/>
              <w:jc w:val="center"/>
              <w:rPr>
                <w:i/>
                <w:sz w:val="14"/>
              </w:rPr>
            </w:pPr>
            <w:r>
              <w:rPr>
                <w:i/>
                <w:sz w:val="14"/>
              </w:rPr>
              <w:t>2.0%</w:t>
            </w:r>
          </w:p>
        </w:tc>
        <w:tc>
          <w:tcPr>
            <w:tcW w:w="1305" w:type="dxa"/>
          </w:tcPr>
          <w:p>
            <w:pPr>
              <w:pStyle w:val="TableParagraph"/>
              <w:spacing w:line="154" w:lineRule="exact" w:before="5"/>
              <w:ind w:right="385"/>
              <w:jc w:val="right"/>
              <w:rPr>
                <w:b/>
                <w:sz w:val="14"/>
              </w:rPr>
            </w:pPr>
            <w:r>
              <w:rPr>
                <w:b/>
                <w:sz w:val="14"/>
              </w:rPr>
              <w:t>1,030,000</w:t>
            </w:r>
          </w:p>
        </w:tc>
        <w:tc>
          <w:tcPr>
            <w:tcW w:w="836" w:type="dxa"/>
          </w:tcPr>
          <w:p>
            <w:pPr>
              <w:pStyle w:val="TableParagraph"/>
              <w:spacing w:line="154" w:lineRule="exact" w:before="5"/>
              <w:ind w:right="205"/>
              <w:jc w:val="right"/>
              <w:rPr>
                <w:i/>
                <w:sz w:val="14"/>
              </w:rPr>
            </w:pPr>
            <w:r>
              <w:rPr>
                <w:i/>
                <w:w w:val="95"/>
                <w:sz w:val="14"/>
              </w:rPr>
              <w:t>2.4%</w:t>
            </w:r>
          </w:p>
        </w:tc>
        <w:tc>
          <w:tcPr>
            <w:tcW w:w="1205" w:type="dxa"/>
          </w:tcPr>
          <w:p>
            <w:pPr>
              <w:pStyle w:val="TableParagraph"/>
              <w:spacing w:line="154" w:lineRule="exact" w:before="5"/>
              <w:ind w:right="317"/>
              <w:jc w:val="right"/>
              <w:rPr>
                <w:b/>
                <w:sz w:val="14"/>
              </w:rPr>
            </w:pPr>
            <w:r>
              <w:rPr>
                <w:b/>
                <w:sz w:val="14"/>
              </w:rPr>
              <w:t>640,008</w:t>
            </w:r>
          </w:p>
        </w:tc>
        <w:tc>
          <w:tcPr>
            <w:tcW w:w="779" w:type="dxa"/>
          </w:tcPr>
          <w:p>
            <w:pPr>
              <w:pStyle w:val="TableParagraph"/>
              <w:spacing w:line="154" w:lineRule="exact" w:before="5"/>
              <w:ind w:left="231" w:right="188"/>
              <w:jc w:val="center"/>
              <w:rPr>
                <w:i/>
                <w:sz w:val="14"/>
              </w:rPr>
            </w:pPr>
            <w:r>
              <w:rPr>
                <w:i/>
                <w:sz w:val="14"/>
              </w:rPr>
              <w:t>1.3%</w:t>
            </w:r>
          </w:p>
        </w:tc>
        <w:tc>
          <w:tcPr>
            <w:tcW w:w="1208" w:type="dxa"/>
          </w:tcPr>
          <w:p>
            <w:pPr>
              <w:pStyle w:val="TableParagraph"/>
              <w:spacing w:line="154" w:lineRule="exact" w:before="5"/>
              <w:ind w:right="321"/>
              <w:jc w:val="right"/>
              <w:rPr>
                <w:b/>
                <w:sz w:val="14"/>
              </w:rPr>
            </w:pPr>
            <w:r>
              <w:rPr>
                <w:b/>
                <w:sz w:val="14"/>
              </w:rPr>
              <w:t>738,100</w:t>
            </w:r>
          </w:p>
        </w:tc>
        <w:tc>
          <w:tcPr>
            <w:tcW w:w="610" w:type="dxa"/>
          </w:tcPr>
          <w:p>
            <w:pPr>
              <w:pStyle w:val="TableParagraph"/>
              <w:spacing w:line="154" w:lineRule="exact" w:before="5"/>
              <w:ind w:right="37"/>
              <w:jc w:val="right"/>
              <w:rPr>
                <w:i/>
                <w:sz w:val="14"/>
              </w:rPr>
            </w:pPr>
            <w:r>
              <w:rPr>
                <w:i/>
                <w:w w:val="95"/>
                <w:sz w:val="14"/>
              </w:rPr>
              <w:t>1.3%</w:t>
            </w:r>
          </w:p>
        </w:tc>
      </w:tr>
      <w:tr>
        <w:trPr>
          <w:trHeight w:val="180" w:hRule="atLeast"/>
        </w:trPr>
        <w:tc>
          <w:tcPr>
            <w:tcW w:w="4311" w:type="dxa"/>
          </w:tcPr>
          <w:p>
            <w:pPr>
              <w:pStyle w:val="TableParagraph"/>
              <w:spacing w:line="152" w:lineRule="exact" w:before="8"/>
              <w:ind w:left="543"/>
              <w:rPr>
                <w:sz w:val="14"/>
              </w:rPr>
            </w:pPr>
            <w:r>
              <w:rPr>
                <w:sz w:val="14"/>
              </w:rPr>
              <w:t>o/ w UK DFID - $’ m</w:t>
            </w:r>
          </w:p>
        </w:tc>
        <w:tc>
          <w:tcPr>
            <w:tcW w:w="3266" w:type="dxa"/>
            <w:gridSpan w:val="3"/>
          </w:tcPr>
          <w:p>
            <w:pPr>
              <w:pStyle w:val="TableParagraph"/>
              <w:tabs>
                <w:tab w:pos="2631" w:val="left" w:leader="none"/>
              </w:tabs>
              <w:spacing w:line="152" w:lineRule="exact" w:before="8"/>
              <w:ind w:left="534"/>
              <w:rPr>
                <w:i/>
                <w:sz w:val="14"/>
              </w:rPr>
            </w:pPr>
            <w:r>
              <w:rPr>
                <w:i/>
                <w:spacing w:val="6"/>
                <w:sz w:val="14"/>
              </w:rPr>
              <w:t>$0.00</w:t>
              <w:tab/>
              <w:t>$0.00</w:t>
            </w:r>
          </w:p>
        </w:tc>
        <w:tc>
          <w:tcPr>
            <w:tcW w:w="831" w:type="dxa"/>
          </w:tcPr>
          <w:p>
            <w:pPr>
              <w:pStyle w:val="TableParagraph"/>
              <w:rPr>
                <w:rFonts w:ascii="Times New Roman"/>
                <w:sz w:val="12"/>
              </w:rPr>
            </w:pPr>
          </w:p>
        </w:tc>
        <w:tc>
          <w:tcPr>
            <w:tcW w:w="1305" w:type="dxa"/>
          </w:tcPr>
          <w:p>
            <w:pPr>
              <w:pStyle w:val="TableParagraph"/>
              <w:spacing w:line="152" w:lineRule="exact" w:before="8"/>
              <w:ind w:right="372"/>
              <w:jc w:val="right"/>
              <w:rPr>
                <w:b/>
                <w:i/>
                <w:sz w:val="14"/>
              </w:rPr>
            </w:pPr>
            <w:r>
              <w:rPr>
                <w:b/>
                <w:i/>
                <w:sz w:val="14"/>
              </w:rPr>
              <w:t>$0.00</w:t>
            </w:r>
          </w:p>
        </w:tc>
        <w:tc>
          <w:tcPr>
            <w:tcW w:w="836" w:type="dxa"/>
          </w:tcPr>
          <w:p>
            <w:pPr>
              <w:pStyle w:val="TableParagraph"/>
              <w:rPr>
                <w:rFonts w:ascii="Times New Roman"/>
                <w:sz w:val="12"/>
              </w:rPr>
            </w:pPr>
          </w:p>
        </w:tc>
        <w:tc>
          <w:tcPr>
            <w:tcW w:w="1205" w:type="dxa"/>
          </w:tcPr>
          <w:p>
            <w:pPr>
              <w:pStyle w:val="TableParagraph"/>
              <w:spacing w:line="152" w:lineRule="exact" w:before="8"/>
              <w:ind w:right="316"/>
              <w:jc w:val="right"/>
              <w:rPr>
                <w:b/>
                <w:i/>
                <w:sz w:val="14"/>
              </w:rPr>
            </w:pPr>
            <w:r>
              <w:rPr>
                <w:b/>
                <w:i/>
                <w:sz w:val="14"/>
              </w:rPr>
              <w:t>$0.00</w:t>
            </w:r>
          </w:p>
        </w:tc>
        <w:tc>
          <w:tcPr>
            <w:tcW w:w="779" w:type="dxa"/>
          </w:tcPr>
          <w:p>
            <w:pPr>
              <w:pStyle w:val="TableParagraph"/>
              <w:rPr>
                <w:rFonts w:ascii="Times New Roman"/>
                <w:sz w:val="12"/>
              </w:rPr>
            </w:pPr>
          </w:p>
        </w:tc>
        <w:tc>
          <w:tcPr>
            <w:tcW w:w="1208" w:type="dxa"/>
          </w:tcPr>
          <w:p>
            <w:pPr>
              <w:pStyle w:val="TableParagraph"/>
              <w:spacing w:line="152" w:lineRule="exact" w:before="8"/>
              <w:ind w:right="316"/>
              <w:jc w:val="right"/>
              <w:rPr>
                <w:b/>
                <w:i/>
                <w:sz w:val="14"/>
              </w:rPr>
            </w:pPr>
            <w:r>
              <w:rPr>
                <w:b/>
                <w:i/>
                <w:sz w:val="14"/>
              </w:rPr>
              <w:t>$0.00</w:t>
            </w:r>
          </w:p>
        </w:tc>
        <w:tc>
          <w:tcPr>
            <w:tcW w:w="610" w:type="dxa"/>
          </w:tcPr>
          <w:p>
            <w:pPr>
              <w:pStyle w:val="TableParagraph"/>
              <w:rPr>
                <w:rFonts w:ascii="Times New Roman"/>
                <w:sz w:val="12"/>
              </w:rPr>
            </w:pPr>
          </w:p>
        </w:tc>
      </w:tr>
      <w:tr>
        <w:trPr>
          <w:trHeight w:val="180" w:hRule="atLeast"/>
        </w:trPr>
        <w:tc>
          <w:tcPr>
            <w:tcW w:w="4311" w:type="dxa"/>
          </w:tcPr>
          <w:p>
            <w:pPr>
              <w:pStyle w:val="TableParagraph"/>
              <w:spacing w:line="154" w:lineRule="exact" w:before="5"/>
              <w:ind w:left="543"/>
              <w:rPr>
                <w:sz w:val="14"/>
              </w:rPr>
            </w:pPr>
            <w:r>
              <w:rPr>
                <w:sz w:val="14"/>
              </w:rPr>
              <w:t>o/ w EU - $’ m</w:t>
            </w:r>
          </w:p>
        </w:tc>
        <w:tc>
          <w:tcPr>
            <w:tcW w:w="3266" w:type="dxa"/>
            <w:gridSpan w:val="3"/>
          </w:tcPr>
          <w:p>
            <w:pPr>
              <w:pStyle w:val="TableParagraph"/>
              <w:tabs>
                <w:tab w:pos="2525" w:val="left" w:leader="none"/>
              </w:tabs>
              <w:spacing w:line="154" w:lineRule="exact" w:before="5"/>
              <w:ind w:left="428"/>
              <w:rPr>
                <w:i/>
                <w:sz w:val="14"/>
              </w:rPr>
            </w:pPr>
            <w:r>
              <w:rPr>
                <w:i/>
                <w:spacing w:val="7"/>
                <w:sz w:val="14"/>
              </w:rPr>
              <w:t>$27.</w:t>
            </w:r>
            <w:r>
              <w:rPr>
                <w:i/>
                <w:spacing w:val="-26"/>
                <w:sz w:val="14"/>
              </w:rPr>
              <w:t> </w:t>
            </w:r>
            <w:r>
              <w:rPr>
                <w:i/>
                <w:spacing w:val="4"/>
                <w:sz w:val="14"/>
              </w:rPr>
              <w:t>50</w:t>
              <w:tab/>
            </w:r>
            <w:r>
              <w:rPr>
                <w:i/>
                <w:spacing w:val="7"/>
                <w:sz w:val="14"/>
              </w:rPr>
              <w:t>$23.</w:t>
            </w:r>
            <w:r>
              <w:rPr>
                <w:i/>
                <w:spacing w:val="-26"/>
                <w:sz w:val="14"/>
              </w:rPr>
              <w:t> </w:t>
            </w:r>
            <w:r>
              <w:rPr>
                <w:i/>
                <w:spacing w:val="4"/>
                <w:sz w:val="14"/>
              </w:rPr>
              <w:t>52</w:t>
            </w:r>
          </w:p>
        </w:tc>
        <w:tc>
          <w:tcPr>
            <w:tcW w:w="831" w:type="dxa"/>
          </w:tcPr>
          <w:p>
            <w:pPr>
              <w:pStyle w:val="TableParagraph"/>
              <w:rPr>
                <w:rFonts w:ascii="Times New Roman"/>
                <w:sz w:val="12"/>
              </w:rPr>
            </w:pPr>
          </w:p>
        </w:tc>
        <w:tc>
          <w:tcPr>
            <w:tcW w:w="1305" w:type="dxa"/>
          </w:tcPr>
          <w:p>
            <w:pPr>
              <w:pStyle w:val="TableParagraph"/>
              <w:spacing w:line="154" w:lineRule="exact" w:before="5"/>
              <w:ind w:right="381"/>
              <w:jc w:val="right"/>
              <w:rPr>
                <w:b/>
                <w:i/>
                <w:sz w:val="14"/>
              </w:rPr>
            </w:pPr>
            <w:r>
              <w:rPr>
                <w:b/>
                <w:i/>
                <w:w w:val="95"/>
                <w:sz w:val="14"/>
              </w:rPr>
              <w:t>$24.00</w:t>
            </w:r>
          </w:p>
        </w:tc>
        <w:tc>
          <w:tcPr>
            <w:tcW w:w="836" w:type="dxa"/>
          </w:tcPr>
          <w:p>
            <w:pPr>
              <w:pStyle w:val="TableParagraph"/>
              <w:rPr>
                <w:rFonts w:ascii="Times New Roman"/>
                <w:sz w:val="12"/>
              </w:rPr>
            </w:pPr>
          </w:p>
        </w:tc>
        <w:tc>
          <w:tcPr>
            <w:tcW w:w="1205" w:type="dxa"/>
          </w:tcPr>
          <w:p>
            <w:pPr>
              <w:pStyle w:val="TableParagraph"/>
              <w:spacing w:line="154" w:lineRule="exact" w:before="5"/>
              <w:ind w:right="320"/>
              <w:jc w:val="right"/>
              <w:rPr>
                <w:b/>
                <w:i/>
                <w:sz w:val="14"/>
              </w:rPr>
            </w:pPr>
            <w:r>
              <w:rPr>
                <w:b/>
                <w:i/>
                <w:w w:val="95"/>
                <w:sz w:val="14"/>
              </w:rPr>
              <w:t>$24.00</w:t>
            </w:r>
          </w:p>
        </w:tc>
        <w:tc>
          <w:tcPr>
            <w:tcW w:w="779" w:type="dxa"/>
          </w:tcPr>
          <w:p>
            <w:pPr>
              <w:pStyle w:val="TableParagraph"/>
              <w:rPr>
                <w:rFonts w:ascii="Times New Roman"/>
                <w:sz w:val="12"/>
              </w:rPr>
            </w:pPr>
          </w:p>
        </w:tc>
        <w:tc>
          <w:tcPr>
            <w:tcW w:w="1208" w:type="dxa"/>
          </w:tcPr>
          <w:p>
            <w:pPr>
              <w:pStyle w:val="TableParagraph"/>
              <w:spacing w:line="154" w:lineRule="exact" w:before="5"/>
              <w:ind w:right="324"/>
              <w:jc w:val="right"/>
              <w:rPr>
                <w:b/>
                <w:i/>
                <w:sz w:val="14"/>
              </w:rPr>
            </w:pPr>
            <w:r>
              <w:rPr>
                <w:b/>
                <w:i/>
                <w:w w:val="95"/>
                <w:sz w:val="14"/>
              </w:rPr>
              <w:t>$24.00</w:t>
            </w:r>
          </w:p>
        </w:tc>
        <w:tc>
          <w:tcPr>
            <w:tcW w:w="610" w:type="dxa"/>
          </w:tcPr>
          <w:p>
            <w:pPr>
              <w:pStyle w:val="TableParagraph"/>
              <w:rPr>
                <w:rFonts w:ascii="Times New Roman"/>
                <w:sz w:val="12"/>
              </w:rPr>
            </w:pPr>
          </w:p>
        </w:tc>
      </w:tr>
      <w:tr>
        <w:trPr>
          <w:trHeight w:val="180" w:hRule="atLeast"/>
        </w:trPr>
        <w:tc>
          <w:tcPr>
            <w:tcW w:w="4311" w:type="dxa"/>
          </w:tcPr>
          <w:p>
            <w:pPr>
              <w:pStyle w:val="TableParagraph"/>
              <w:spacing w:line="152" w:lineRule="exact" w:before="8"/>
              <w:ind w:left="543"/>
              <w:rPr>
                <w:sz w:val="14"/>
              </w:rPr>
            </w:pPr>
            <w:r>
              <w:rPr>
                <w:sz w:val="14"/>
              </w:rPr>
              <w:t>o/ w World Bank - $’ m</w:t>
            </w:r>
          </w:p>
        </w:tc>
        <w:tc>
          <w:tcPr>
            <w:tcW w:w="3266" w:type="dxa"/>
            <w:gridSpan w:val="3"/>
          </w:tcPr>
          <w:p>
            <w:pPr>
              <w:pStyle w:val="TableParagraph"/>
              <w:tabs>
                <w:tab w:pos="2525" w:val="left" w:leader="none"/>
              </w:tabs>
              <w:spacing w:line="152" w:lineRule="exact" w:before="8"/>
              <w:ind w:left="534"/>
              <w:rPr>
                <w:i/>
                <w:sz w:val="14"/>
              </w:rPr>
            </w:pPr>
            <w:r>
              <w:rPr>
                <w:i/>
                <w:spacing w:val="6"/>
                <w:sz w:val="14"/>
              </w:rPr>
              <w:t>$0.00</w:t>
              <w:tab/>
            </w:r>
            <w:r>
              <w:rPr>
                <w:i/>
                <w:spacing w:val="7"/>
                <w:sz w:val="14"/>
              </w:rPr>
              <w:t>$39.</w:t>
            </w:r>
            <w:r>
              <w:rPr>
                <w:i/>
                <w:spacing w:val="-26"/>
                <w:sz w:val="14"/>
              </w:rPr>
              <w:t> </w:t>
            </w:r>
            <w:r>
              <w:rPr>
                <w:i/>
                <w:spacing w:val="4"/>
                <w:sz w:val="14"/>
              </w:rPr>
              <w:t>67</w:t>
            </w:r>
          </w:p>
        </w:tc>
        <w:tc>
          <w:tcPr>
            <w:tcW w:w="831" w:type="dxa"/>
          </w:tcPr>
          <w:p>
            <w:pPr>
              <w:pStyle w:val="TableParagraph"/>
              <w:rPr>
                <w:rFonts w:ascii="Times New Roman"/>
                <w:sz w:val="12"/>
              </w:rPr>
            </w:pPr>
          </w:p>
        </w:tc>
        <w:tc>
          <w:tcPr>
            <w:tcW w:w="1305" w:type="dxa"/>
          </w:tcPr>
          <w:p>
            <w:pPr>
              <w:pStyle w:val="TableParagraph"/>
              <w:spacing w:line="152" w:lineRule="exact" w:before="8"/>
              <w:ind w:right="381"/>
              <w:jc w:val="right"/>
              <w:rPr>
                <w:b/>
                <w:i/>
                <w:sz w:val="14"/>
              </w:rPr>
            </w:pPr>
            <w:r>
              <w:rPr>
                <w:b/>
                <w:i/>
                <w:w w:val="95"/>
                <w:sz w:val="14"/>
              </w:rPr>
              <w:t>$60.00</w:t>
            </w:r>
          </w:p>
        </w:tc>
        <w:tc>
          <w:tcPr>
            <w:tcW w:w="836" w:type="dxa"/>
          </w:tcPr>
          <w:p>
            <w:pPr>
              <w:pStyle w:val="TableParagraph"/>
              <w:rPr>
                <w:rFonts w:ascii="Times New Roman"/>
                <w:sz w:val="12"/>
              </w:rPr>
            </w:pPr>
          </w:p>
        </w:tc>
        <w:tc>
          <w:tcPr>
            <w:tcW w:w="1205" w:type="dxa"/>
          </w:tcPr>
          <w:p>
            <w:pPr>
              <w:pStyle w:val="TableParagraph"/>
              <w:spacing w:line="152" w:lineRule="exact" w:before="8"/>
              <w:ind w:right="320"/>
              <w:jc w:val="right"/>
              <w:rPr>
                <w:b/>
                <w:i/>
                <w:sz w:val="14"/>
              </w:rPr>
            </w:pPr>
            <w:r>
              <w:rPr>
                <w:b/>
                <w:i/>
                <w:w w:val="95"/>
                <w:sz w:val="14"/>
              </w:rPr>
              <w:t>$30.00</w:t>
            </w:r>
          </w:p>
        </w:tc>
        <w:tc>
          <w:tcPr>
            <w:tcW w:w="779" w:type="dxa"/>
          </w:tcPr>
          <w:p>
            <w:pPr>
              <w:pStyle w:val="TableParagraph"/>
              <w:rPr>
                <w:rFonts w:ascii="Times New Roman"/>
                <w:sz w:val="12"/>
              </w:rPr>
            </w:pPr>
          </w:p>
        </w:tc>
        <w:tc>
          <w:tcPr>
            <w:tcW w:w="1208" w:type="dxa"/>
          </w:tcPr>
          <w:p>
            <w:pPr>
              <w:pStyle w:val="TableParagraph"/>
              <w:spacing w:line="152" w:lineRule="exact" w:before="8"/>
              <w:ind w:right="324"/>
              <w:jc w:val="right"/>
              <w:rPr>
                <w:b/>
                <w:i/>
                <w:sz w:val="14"/>
              </w:rPr>
            </w:pPr>
            <w:r>
              <w:rPr>
                <w:b/>
                <w:i/>
                <w:w w:val="95"/>
                <w:sz w:val="14"/>
              </w:rPr>
              <w:t>$30.00</w:t>
            </w:r>
          </w:p>
        </w:tc>
        <w:tc>
          <w:tcPr>
            <w:tcW w:w="610" w:type="dxa"/>
          </w:tcPr>
          <w:p>
            <w:pPr>
              <w:pStyle w:val="TableParagraph"/>
              <w:rPr>
                <w:rFonts w:ascii="Times New Roman"/>
                <w:sz w:val="12"/>
              </w:rPr>
            </w:pPr>
          </w:p>
        </w:tc>
      </w:tr>
      <w:tr>
        <w:trPr>
          <w:trHeight w:val="180" w:hRule="atLeast"/>
        </w:trPr>
        <w:tc>
          <w:tcPr>
            <w:tcW w:w="4311" w:type="dxa"/>
          </w:tcPr>
          <w:p>
            <w:pPr>
              <w:pStyle w:val="TableParagraph"/>
              <w:spacing w:line="154" w:lineRule="exact" w:before="5"/>
              <w:ind w:left="543"/>
              <w:rPr>
                <w:sz w:val="14"/>
              </w:rPr>
            </w:pPr>
            <w:r>
              <w:rPr>
                <w:sz w:val="14"/>
              </w:rPr>
              <w:t>o/ w African Dev. Bank - $’ m</w:t>
            </w:r>
          </w:p>
        </w:tc>
        <w:tc>
          <w:tcPr>
            <w:tcW w:w="3266" w:type="dxa"/>
            <w:gridSpan w:val="3"/>
          </w:tcPr>
          <w:p>
            <w:pPr>
              <w:pStyle w:val="TableParagraph"/>
              <w:tabs>
                <w:tab w:pos="2525" w:val="left" w:leader="none"/>
              </w:tabs>
              <w:spacing w:line="154" w:lineRule="exact" w:before="5"/>
              <w:ind w:left="534"/>
              <w:rPr>
                <w:i/>
                <w:sz w:val="14"/>
              </w:rPr>
            </w:pPr>
            <w:r>
              <w:rPr>
                <w:i/>
                <w:spacing w:val="6"/>
                <w:sz w:val="14"/>
              </w:rPr>
              <w:t>$0.00</w:t>
              <w:tab/>
            </w:r>
            <w:r>
              <w:rPr>
                <w:i/>
                <w:spacing w:val="7"/>
                <w:sz w:val="14"/>
              </w:rPr>
              <w:t>$20.</w:t>
            </w:r>
            <w:r>
              <w:rPr>
                <w:i/>
                <w:spacing w:val="-26"/>
                <w:sz w:val="14"/>
              </w:rPr>
              <w:t> </w:t>
            </w:r>
            <w:r>
              <w:rPr>
                <w:i/>
                <w:spacing w:val="4"/>
                <w:sz w:val="14"/>
              </w:rPr>
              <w:t>70</w:t>
            </w:r>
          </w:p>
        </w:tc>
        <w:tc>
          <w:tcPr>
            <w:tcW w:w="831" w:type="dxa"/>
          </w:tcPr>
          <w:p>
            <w:pPr>
              <w:pStyle w:val="TableParagraph"/>
              <w:rPr>
                <w:rFonts w:ascii="Times New Roman"/>
                <w:sz w:val="12"/>
              </w:rPr>
            </w:pPr>
          </w:p>
        </w:tc>
        <w:tc>
          <w:tcPr>
            <w:tcW w:w="1305" w:type="dxa"/>
          </w:tcPr>
          <w:p>
            <w:pPr>
              <w:pStyle w:val="TableParagraph"/>
              <w:spacing w:line="154" w:lineRule="exact" w:before="5"/>
              <w:ind w:right="381"/>
              <w:jc w:val="right"/>
              <w:rPr>
                <w:b/>
                <w:i/>
                <w:sz w:val="14"/>
              </w:rPr>
            </w:pPr>
            <w:r>
              <w:rPr>
                <w:b/>
                <w:i/>
                <w:w w:val="95"/>
                <w:sz w:val="14"/>
              </w:rPr>
              <w:t>$14.00</w:t>
            </w:r>
          </w:p>
        </w:tc>
        <w:tc>
          <w:tcPr>
            <w:tcW w:w="836" w:type="dxa"/>
          </w:tcPr>
          <w:p>
            <w:pPr>
              <w:pStyle w:val="TableParagraph"/>
              <w:rPr>
                <w:rFonts w:ascii="Times New Roman"/>
                <w:sz w:val="12"/>
              </w:rPr>
            </w:pPr>
          </w:p>
        </w:tc>
        <w:tc>
          <w:tcPr>
            <w:tcW w:w="1205" w:type="dxa"/>
          </w:tcPr>
          <w:p>
            <w:pPr>
              <w:pStyle w:val="TableParagraph"/>
              <w:spacing w:line="154" w:lineRule="exact" w:before="5"/>
              <w:ind w:right="316"/>
              <w:jc w:val="right"/>
              <w:rPr>
                <w:b/>
                <w:i/>
                <w:sz w:val="14"/>
              </w:rPr>
            </w:pPr>
            <w:r>
              <w:rPr>
                <w:b/>
                <w:i/>
                <w:sz w:val="14"/>
              </w:rPr>
              <w:t>$5.70</w:t>
            </w:r>
          </w:p>
        </w:tc>
        <w:tc>
          <w:tcPr>
            <w:tcW w:w="779" w:type="dxa"/>
          </w:tcPr>
          <w:p>
            <w:pPr>
              <w:pStyle w:val="TableParagraph"/>
              <w:rPr>
                <w:rFonts w:ascii="Times New Roman"/>
                <w:sz w:val="12"/>
              </w:rPr>
            </w:pPr>
          </w:p>
        </w:tc>
        <w:tc>
          <w:tcPr>
            <w:tcW w:w="1208" w:type="dxa"/>
          </w:tcPr>
          <w:p>
            <w:pPr>
              <w:pStyle w:val="TableParagraph"/>
              <w:spacing w:line="154" w:lineRule="exact" w:before="5"/>
              <w:ind w:right="324"/>
              <w:jc w:val="right"/>
              <w:rPr>
                <w:b/>
                <w:i/>
                <w:sz w:val="14"/>
              </w:rPr>
            </w:pPr>
            <w:r>
              <w:rPr>
                <w:b/>
                <w:i/>
                <w:w w:val="95"/>
                <w:sz w:val="14"/>
              </w:rPr>
              <w:t>$13.50</w:t>
            </w:r>
          </w:p>
        </w:tc>
        <w:tc>
          <w:tcPr>
            <w:tcW w:w="610" w:type="dxa"/>
          </w:tcPr>
          <w:p>
            <w:pPr>
              <w:pStyle w:val="TableParagraph"/>
              <w:rPr>
                <w:rFonts w:ascii="Times New Roman"/>
                <w:sz w:val="12"/>
              </w:rPr>
            </w:pPr>
          </w:p>
        </w:tc>
      </w:tr>
      <w:tr>
        <w:trPr>
          <w:trHeight w:val="180" w:hRule="atLeast"/>
        </w:trPr>
        <w:tc>
          <w:tcPr>
            <w:tcW w:w="4311" w:type="dxa"/>
          </w:tcPr>
          <w:p>
            <w:pPr>
              <w:pStyle w:val="TableParagraph"/>
              <w:spacing w:line="152" w:lineRule="exact" w:before="8"/>
              <w:ind w:left="203"/>
              <w:rPr>
                <w:sz w:val="14"/>
              </w:rPr>
            </w:pPr>
            <w:r>
              <w:rPr>
                <w:sz w:val="14"/>
              </w:rPr>
              <w:t>Elections Basket Fund</w:t>
            </w:r>
          </w:p>
        </w:tc>
        <w:tc>
          <w:tcPr>
            <w:tcW w:w="3266" w:type="dxa"/>
            <w:gridSpan w:val="3"/>
          </w:tcPr>
          <w:p>
            <w:pPr>
              <w:pStyle w:val="TableParagraph"/>
              <w:tabs>
                <w:tab w:pos="1513" w:val="left" w:leader="none"/>
                <w:tab w:pos="2948" w:val="left" w:leader="none"/>
              </w:tabs>
              <w:spacing w:line="152" w:lineRule="exact" w:before="8"/>
              <w:ind w:left="896"/>
              <w:rPr>
                <w:i/>
                <w:sz w:val="14"/>
              </w:rPr>
            </w:pPr>
            <w:r>
              <w:rPr>
                <w:i/>
                <w:sz w:val="14"/>
              </w:rPr>
              <w:t>-</w:t>
              <w:tab/>
            </w:r>
            <w:r>
              <w:rPr>
                <w:sz w:val="14"/>
              </w:rPr>
              <w:t>0</w:t>
            </w:r>
            <w:r>
              <w:rPr>
                <w:spacing w:val="-22"/>
                <w:sz w:val="14"/>
              </w:rPr>
              <w:t> </w:t>
            </w:r>
            <w:r>
              <w:rPr>
                <w:sz w:val="14"/>
              </w:rPr>
              <w:t>.</w:t>
            </w:r>
            <w:r>
              <w:rPr>
                <w:spacing w:val="-18"/>
                <w:sz w:val="14"/>
              </w:rPr>
              <w:t> </w:t>
            </w:r>
            <w:r>
              <w:rPr>
                <w:sz w:val="14"/>
              </w:rPr>
              <w:t>0</w:t>
            </w:r>
            <w:r>
              <w:rPr>
                <w:spacing w:val="-21"/>
                <w:sz w:val="14"/>
              </w:rPr>
              <w:t> </w:t>
            </w:r>
            <w:r>
              <w:rPr>
                <w:sz w:val="14"/>
              </w:rPr>
              <w:t>%</w:t>
              <w:tab/>
            </w:r>
            <w:r>
              <w:rPr>
                <w:i/>
                <w:sz w:val="14"/>
              </w:rPr>
              <w:t>0</w:t>
            </w:r>
          </w:p>
        </w:tc>
        <w:tc>
          <w:tcPr>
            <w:tcW w:w="831" w:type="dxa"/>
          </w:tcPr>
          <w:p>
            <w:pPr>
              <w:pStyle w:val="TableParagraph"/>
              <w:spacing w:line="152" w:lineRule="exact" w:before="8"/>
              <w:ind w:left="214" w:right="256"/>
              <w:jc w:val="center"/>
              <w:rPr>
                <w:i/>
                <w:sz w:val="14"/>
              </w:rPr>
            </w:pPr>
            <w:r>
              <w:rPr>
                <w:i/>
                <w:sz w:val="14"/>
              </w:rPr>
              <w:t>0.0%</w:t>
            </w:r>
          </w:p>
        </w:tc>
        <w:tc>
          <w:tcPr>
            <w:tcW w:w="1305" w:type="dxa"/>
          </w:tcPr>
          <w:p>
            <w:pPr>
              <w:pStyle w:val="TableParagraph"/>
              <w:spacing w:line="152" w:lineRule="exact" w:before="8"/>
              <w:ind w:right="333"/>
              <w:jc w:val="right"/>
              <w:rPr>
                <w:b/>
                <w:i/>
                <w:sz w:val="14"/>
              </w:rPr>
            </w:pPr>
            <w:r>
              <w:rPr>
                <w:b/>
                <w:i/>
                <w:w w:val="99"/>
                <w:sz w:val="14"/>
              </w:rPr>
              <w:t>0</w:t>
            </w:r>
          </w:p>
        </w:tc>
        <w:tc>
          <w:tcPr>
            <w:tcW w:w="836" w:type="dxa"/>
          </w:tcPr>
          <w:p>
            <w:pPr>
              <w:pStyle w:val="TableParagraph"/>
              <w:spacing w:line="152" w:lineRule="exact" w:before="8"/>
              <w:ind w:right="205"/>
              <w:jc w:val="right"/>
              <w:rPr>
                <w:i/>
                <w:sz w:val="14"/>
              </w:rPr>
            </w:pPr>
            <w:r>
              <w:rPr>
                <w:i/>
                <w:w w:val="95"/>
                <w:sz w:val="14"/>
              </w:rPr>
              <w:t>0.0%</w:t>
            </w:r>
          </w:p>
        </w:tc>
        <w:tc>
          <w:tcPr>
            <w:tcW w:w="1205" w:type="dxa"/>
          </w:tcPr>
          <w:p>
            <w:pPr>
              <w:pStyle w:val="TableParagraph"/>
              <w:spacing w:line="152" w:lineRule="exact" w:before="8"/>
              <w:ind w:right="276"/>
              <w:jc w:val="right"/>
              <w:rPr>
                <w:b/>
                <w:i/>
                <w:sz w:val="14"/>
              </w:rPr>
            </w:pPr>
            <w:r>
              <w:rPr>
                <w:b/>
                <w:i/>
                <w:w w:val="99"/>
                <w:sz w:val="14"/>
              </w:rPr>
              <w:t>0</w:t>
            </w:r>
          </w:p>
        </w:tc>
        <w:tc>
          <w:tcPr>
            <w:tcW w:w="779" w:type="dxa"/>
          </w:tcPr>
          <w:p>
            <w:pPr>
              <w:pStyle w:val="TableParagraph"/>
              <w:spacing w:line="152" w:lineRule="exact" w:before="8"/>
              <w:ind w:left="231" w:right="188"/>
              <w:jc w:val="center"/>
              <w:rPr>
                <w:i/>
                <w:sz w:val="14"/>
              </w:rPr>
            </w:pPr>
            <w:r>
              <w:rPr>
                <w:i/>
                <w:sz w:val="14"/>
              </w:rPr>
              <w:t>0.0%</w:t>
            </w:r>
          </w:p>
        </w:tc>
        <w:tc>
          <w:tcPr>
            <w:tcW w:w="1208" w:type="dxa"/>
          </w:tcPr>
          <w:p>
            <w:pPr>
              <w:pStyle w:val="TableParagraph"/>
              <w:spacing w:line="152" w:lineRule="exact" w:before="8"/>
              <w:ind w:right="281"/>
              <w:jc w:val="right"/>
              <w:rPr>
                <w:b/>
                <w:i/>
                <w:sz w:val="14"/>
              </w:rPr>
            </w:pPr>
            <w:r>
              <w:rPr>
                <w:b/>
                <w:i/>
                <w:w w:val="99"/>
                <w:sz w:val="14"/>
              </w:rPr>
              <w:t>0</w:t>
            </w:r>
          </w:p>
        </w:tc>
        <w:tc>
          <w:tcPr>
            <w:tcW w:w="610" w:type="dxa"/>
          </w:tcPr>
          <w:p>
            <w:pPr>
              <w:pStyle w:val="TableParagraph"/>
              <w:spacing w:line="152" w:lineRule="exact" w:before="8"/>
              <w:ind w:right="37"/>
              <w:jc w:val="right"/>
              <w:rPr>
                <w:i/>
                <w:sz w:val="14"/>
              </w:rPr>
            </w:pPr>
            <w:r>
              <w:rPr>
                <w:i/>
                <w:w w:val="95"/>
                <w:sz w:val="14"/>
              </w:rPr>
              <w:t>0.0%</w:t>
            </w:r>
          </w:p>
        </w:tc>
      </w:tr>
      <w:tr>
        <w:trPr>
          <w:trHeight w:val="180" w:hRule="atLeast"/>
        </w:trPr>
        <w:tc>
          <w:tcPr>
            <w:tcW w:w="4311" w:type="dxa"/>
          </w:tcPr>
          <w:p>
            <w:pPr>
              <w:pStyle w:val="TableParagraph"/>
              <w:spacing w:line="154" w:lineRule="exact" w:before="5"/>
              <w:ind w:left="543"/>
              <w:rPr>
                <w:sz w:val="14"/>
              </w:rPr>
            </w:pPr>
            <w:r>
              <w:rPr>
                <w:sz w:val="14"/>
              </w:rPr>
              <w:t>Support to the 2018 General Elections</w:t>
            </w:r>
          </w:p>
        </w:tc>
        <w:tc>
          <w:tcPr>
            <w:tcW w:w="3266" w:type="dxa"/>
            <w:gridSpan w:val="3"/>
          </w:tcPr>
          <w:p>
            <w:pPr>
              <w:pStyle w:val="TableParagraph"/>
              <w:tabs>
                <w:tab w:pos="2948" w:val="left" w:leader="none"/>
              </w:tabs>
              <w:spacing w:line="154" w:lineRule="exact" w:before="5"/>
              <w:ind w:left="896"/>
              <w:rPr>
                <w:i/>
                <w:sz w:val="14"/>
              </w:rPr>
            </w:pPr>
            <w:r>
              <w:rPr>
                <w:i/>
                <w:sz w:val="14"/>
              </w:rPr>
              <w:t>-</w:t>
              <w:tab/>
              <w:t>0</w:t>
            </w:r>
          </w:p>
        </w:tc>
        <w:tc>
          <w:tcPr>
            <w:tcW w:w="831" w:type="dxa"/>
          </w:tcPr>
          <w:p>
            <w:pPr>
              <w:pStyle w:val="TableParagraph"/>
              <w:rPr>
                <w:rFonts w:ascii="Times New Roman"/>
                <w:sz w:val="12"/>
              </w:rPr>
            </w:pPr>
          </w:p>
        </w:tc>
        <w:tc>
          <w:tcPr>
            <w:tcW w:w="1305" w:type="dxa"/>
          </w:tcPr>
          <w:p>
            <w:pPr>
              <w:pStyle w:val="TableParagraph"/>
              <w:spacing w:line="154" w:lineRule="exact" w:before="5"/>
              <w:ind w:right="333"/>
              <w:jc w:val="right"/>
              <w:rPr>
                <w:b/>
                <w:i/>
                <w:sz w:val="14"/>
              </w:rPr>
            </w:pPr>
            <w:r>
              <w:rPr>
                <w:b/>
                <w:i/>
                <w:w w:val="99"/>
                <w:sz w:val="14"/>
              </w:rPr>
              <w:t>0</w:t>
            </w:r>
          </w:p>
        </w:tc>
        <w:tc>
          <w:tcPr>
            <w:tcW w:w="836" w:type="dxa"/>
          </w:tcPr>
          <w:p>
            <w:pPr>
              <w:pStyle w:val="TableParagraph"/>
              <w:rPr>
                <w:rFonts w:ascii="Times New Roman"/>
                <w:sz w:val="12"/>
              </w:rPr>
            </w:pPr>
          </w:p>
        </w:tc>
        <w:tc>
          <w:tcPr>
            <w:tcW w:w="1205" w:type="dxa"/>
          </w:tcPr>
          <w:p>
            <w:pPr>
              <w:pStyle w:val="TableParagraph"/>
              <w:spacing w:line="154" w:lineRule="exact" w:before="5"/>
              <w:ind w:right="276"/>
              <w:jc w:val="right"/>
              <w:rPr>
                <w:b/>
                <w:i/>
                <w:sz w:val="14"/>
              </w:rPr>
            </w:pPr>
            <w:r>
              <w:rPr>
                <w:b/>
                <w:i/>
                <w:w w:val="99"/>
                <w:sz w:val="14"/>
              </w:rPr>
              <w:t>0</w:t>
            </w:r>
          </w:p>
        </w:tc>
        <w:tc>
          <w:tcPr>
            <w:tcW w:w="779" w:type="dxa"/>
          </w:tcPr>
          <w:p>
            <w:pPr>
              <w:pStyle w:val="TableParagraph"/>
              <w:rPr>
                <w:rFonts w:ascii="Times New Roman"/>
                <w:sz w:val="12"/>
              </w:rPr>
            </w:pPr>
          </w:p>
        </w:tc>
        <w:tc>
          <w:tcPr>
            <w:tcW w:w="1208" w:type="dxa"/>
          </w:tcPr>
          <w:p>
            <w:pPr>
              <w:pStyle w:val="TableParagraph"/>
              <w:spacing w:line="154" w:lineRule="exact" w:before="5"/>
              <w:ind w:right="281"/>
              <w:jc w:val="right"/>
              <w:rPr>
                <w:b/>
                <w:i/>
                <w:sz w:val="14"/>
              </w:rPr>
            </w:pPr>
            <w:r>
              <w:rPr>
                <w:b/>
                <w:i/>
                <w:w w:val="99"/>
                <w:sz w:val="14"/>
              </w:rPr>
              <w:t>0</w:t>
            </w:r>
          </w:p>
        </w:tc>
        <w:tc>
          <w:tcPr>
            <w:tcW w:w="610" w:type="dxa"/>
          </w:tcPr>
          <w:p>
            <w:pPr>
              <w:pStyle w:val="TableParagraph"/>
              <w:rPr>
                <w:rFonts w:ascii="Times New Roman"/>
                <w:sz w:val="12"/>
              </w:rPr>
            </w:pPr>
          </w:p>
        </w:tc>
      </w:tr>
      <w:tr>
        <w:trPr>
          <w:trHeight w:val="381" w:hRule="atLeast"/>
        </w:trPr>
        <w:tc>
          <w:tcPr>
            <w:tcW w:w="4311" w:type="dxa"/>
          </w:tcPr>
          <w:p>
            <w:pPr>
              <w:pStyle w:val="TableParagraph"/>
              <w:spacing w:before="8"/>
              <w:ind w:left="543"/>
              <w:rPr>
                <w:sz w:val="14"/>
              </w:rPr>
            </w:pPr>
            <w:r>
              <w:rPr>
                <w:sz w:val="14"/>
              </w:rPr>
              <w:t>Projects</w:t>
            </w:r>
          </w:p>
          <w:p>
            <w:pPr>
              <w:pStyle w:val="TableParagraph"/>
              <w:spacing w:before="16"/>
              <w:ind w:left="202"/>
              <w:rPr>
                <w:b/>
                <w:sz w:val="14"/>
              </w:rPr>
            </w:pPr>
            <w:r>
              <w:rPr>
                <w:b/>
                <w:sz w:val="14"/>
              </w:rPr>
              <w:t>Project - Other Projects</w:t>
            </w:r>
          </w:p>
        </w:tc>
        <w:tc>
          <w:tcPr>
            <w:tcW w:w="3266" w:type="dxa"/>
            <w:gridSpan w:val="3"/>
          </w:tcPr>
          <w:p>
            <w:pPr>
              <w:pStyle w:val="TableParagraph"/>
              <w:tabs>
                <w:tab w:pos="2983" w:val="left" w:leader="none"/>
              </w:tabs>
              <w:spacing w:before="8"/>
              <w:ind w:left="898"/>
              <w:rPr>
                <w:sz w:val="14"/>
              </w:rPr>
            </w:pPr>
            <w:r>
              <w:rPr>
                <w:i/>
                <w:sz w:val="14"/>
              </w:rPr>
              <w:t>-</w:t>
              <w:tab/>
            </w:r>
            <w:r>
              <w:rPr>
                <w:sz w:val="14"/>
              </w:rPr>
              <w:t>-</w:t>
            </w:r>
          </w:p>
          <w:p>
            <w:pPr>
              <w:pStyle w:val="TableParagraph"/>
              <w:tabs>
                <w:tab w:pos="1575" w:val="left" w:leader="none"/>
                <w:tab w:pos="2454" w:val="left" w:leader="none"/>
              </w:tabs>
              <w:spacing w:before="16"/>
              <w:ind w:left="342"/>
              <w:rPr>
                <w:b/>
                <w:sz w:val="14"/>
              </w:rPr>
            </w:pPr>
            <w:r>
              <w:rPr>
                <w:b/>
                <w:i/>
                <w:spacing w:val="4"/>
                <w:sz w:val="14"/>
              </w:rPr>
              <w:t>386,000</w:t>
              <w:tab/>
            </w:r>
            <w:r>
              <w:rPr>
                <w:b/>
                <w:spacing w:val="-4"/>
                <w:sz w:val="14"/>
              </w:rPr>
              <w:t>1.2%</w:t>
              <w:tab/>
            </w:r>
            <w:r>
              <w:rPr>
                <w:b/>
                <w:spacing w:val="3"/>
                <w:sz w:val="14"/>
              </w:rPr>
              <w:t>505,480</w:t>
            </w:r>
          </w:p>
        </w:tc>
        <w:tc>
          <w:tcPr>
            <w:tcW w:w="831" w:type="dxa"/>
          </w:tcPr>
          <w:p>
            <w:pPr>
              <w:pStyle w:val="TableParagraph"/>
              <w:spacing w:before="1"/>
              <w:rPr>
                <w:i/>
                <w:sz w:val="16"/>
              </w:rPr>
            </w:pPr>
          </w:p>
          <w:p>
            <w:pPr>
              <w:pStyle w:val="TableParagraph"/>
              <w:ind w:left="214" w:right="256"/>
              <w:jc w:val="center"/>
              <w:rPr>
                <w:i/>
                <w:sz w:val="14"/>
              </w:rPr>
            </w:pPr>
            <w:r>
              <w:rPr>
                <w:i/>
                <w:sz w:val="14"/>
              </w:rPr>
              <w:t>1.3%</w:t>
            </w:r>
          </w:p>
        </w:tc>
        <w:tc>
          <w:tcPr>
            <w:tcW w:w="1305" w:type="dxa"/>
          </w:tcPr>
          <w:p>
            <w:pPr>
              <w:pStyle w:val="TableParagraph"/>
              <w:spacing w:before="8"/>
              <w:ind w:right="310"/>
              <w:jc w:val="right"/>
              <w:rPr>
                <w:b/>
                <w:sz w:val="14"/>
              </w:rPr>
            </w:pPr>
            <w:r>
              <w:rPr>
                <w:b/>
                <w:w w:val="99"/>
                <w:sz w:val="14"/>
              </w:rPr>
              <w:t>-</w:t>
            </w:r>
          </w:p>
          <w:p>
            <w:pPr>
              <w:pStyle w:val="TableParagraph"/>
              <w:spacing w:before="16"/>
              <w:ind w:right="373"/>
              <w:jc w:val="right"/>
              <w:rPr>
                <w:b/>
                <w:sz w:val="14"/>
              </w:rPr>
            </w:pPr>
            <w:r>
              <w:rPr>
                <w:b/>
                <w:sz w:val="14"/>
              </w:rPr>
              <w:t>735,160</w:t>
            </w:r>
          </w:p>
        </w:tc>
        <w:tc>
          <w:tcPr>
            <w:tcW w:w="836" w:type="dxa"/>
          </w:tcPr>
          <w:p>
            <w:pPr>
              <w:pStyle w:val="TableParagraph"/>
              <w:spacing w:before="1"/>
              <w:rPr>
                <w:i/>
                <w:sz w:val="16"/>
              </w:rPr>
            </w:pPr>
          </w:p>
          <w:p>
            <w:pPr>
              <w:pStyle w:val="TableParagraph"/>
              <w:ind w:right="205"/>
              <w:jc w:val="right"/>
              <w:rPr>
                <w:i/>
                <w:sz w:val="14"/>
              </w:rPr>
            </w:pPr>
            <w:r>
              <w:rPr>
                <w:i/>
                <w:w w:val="95"/>
                <w:sz w:val="14"/>
              </w:rPr>
              <w:t>1.7%</w:t>
            </w:r>
          </w:p>
        </w:tc>
        <w:tc>
          <w:tcPr>
            <w:tcW w:w="1205" w:type="dxa"/>
          </w:tcPr>
          <w:p>
            <w:pPr>
              <w:pStyle w:val="TableParagraph"/>
              <w:spacing w:before="8"/>
              <w:ind w:right="254"/>
              <w:jc w:val="right"/>
              <w:rPr>
                <w:b/>
                <w:sz w:val="14"/>
              </w:rPr>
            </w:pPr>
            <w:r>
              <w:rPr>
                <w:b/>
                <w:w w:val="99"/>
                <w:sz w:val="14"/>
              </w:rPr>
              <w:t>-</w:t>
            </w:r>
          </w:p>
          <w:p>
            <w:pPr>
              <w:pStyle w:val="TableParagraph"/>
              <w:spacing w:before="16"/>
              <w:ind w:right="317"/>
              <w:jc w:val="right"/>
              <w:rPr>
                <w:b/>
                <w:sz w:val="14"/>
              </w:rPr>
            </w:pPr>
            <w:r>
              <w:rPr>
                <w:b/>
                <w:sz w:val="14"/>
              </w:rPr>
              <w:t>555,307</w:t>
            </w:r>
          </w:p>
        </w:tc>
        <w:tc>
          <w:tcPr>
            <w:tcW w:w="779" w:type="dxa"/>
          </w:tcPr>
          <w:p>
            <w:pPr>
              <w:pStyle w:val="TableParagraph"/>
              <w:spacing w:before="1"/>
              <w:rPr>
                <w:i/>
                <w:sz w:val="16"/>
              </w:rPr>
            </w:pPr>
          </w:p>
          <w:p>
            <w:pPr>
              <w:pStyle w:val="TableParagraph"/>
              <w:ind w:left="231" w:right="188"/>
              <w:jc w:val="center"/>
              <w:rPr>
                <w:i/>
                <w:sz w:val="14"/>
              </w:rPr>
            </w:pPr>
            <w:r>
              <w:rPr>
                <w:i/>
                <w:sz w:val="14"/>
              </w:rPr>
              <w:t>1.1%</w:t>
            </w:r>
          </w:p>
        </w:tc>
        <w:tc>
          <w:tcPr>
            <w:tcW w:w="1208" w:type="dxa"/>
          </w:tcPr>
          <w:p>
            <w:pPr>
              <w:pStyle w:val="TableParagraph"/>
              <w:spacing w:before="8"/>
              <w:ind w:right="258"/>
              <w:jc w:val="right"/>
              <w:rPr>
                <w:b/>
                <w:sz w:val="14"/>
              </w:rPr>
            </w:pPr>
            <w:r>
              <w:rPr>
                <w:b/>
                <w:w w:val="99"/>
                <w:sz w:val="14"/>
              </w:rPr>
              <w:t>-</w:t>
            </w:r>
          </w:p>
          <w:p>
            <w:pPr>
              <w:pStyle w:val="TableParagraph"/>
              <w:spacing w:before="16"/>
              <w:ind w:right="321"/>
              <w:jc w:val="right"/>
              <w:rPr>
                <w:b/>
                <w:sz w:val="14"/>
              </w:rPr>
            </w:pPr>
            <w:r>
              <w:rPr>
                <w:b/>
                <w:sz w:val="14"/>
              </w:rPr>
              <w:t>563,000</w:t>
            </w:r>
          </w:p>
        </w:tc>
        <w:tc>
          <w:tcPr>
            <w:tcW w:w="610" w:type="dxa"/>
          </w:tcPr>
          <w:p>
            <w:pPr>
              <w:pStyle w:val="TableParagraph"/>
              <w:spacing w:before="1"/>
              <w:rPr>
                <w:i/>
                <w:sz w:val="16"/>
              </w:rPr>
            </w:pPr>
          </w:p>
          <w:p>
            <w:pPr>
              <w:pStyle w:val="TableParagraph"/>
              <w:ind w:right="37"/>
              <w:jc w:val="right"/>
              <w:rPr>
                <w:i/>
                <w:sz w:val="14"/>
              </w:rPr>
            </w:pPr>
            <w:r>
              <w:rPr>
                <w:i/>
                <w:w w:val="95"/>
                <w:sz w:val="14"/>
              </w:rPr>
              <w:t>1.0%</w:t>
            </w:r>
          </w:p>
        </w:tc>
      </w:tr>
    </w:tbl>
    <w:p>
      <w:pPr>
        <w:spacing w:after="0"/>
        <w:jc w:val="right"/>
        <w:rPr>
          <w:sz w:val="14"/>
        </w:rPr>
        <w:sectPr>
          <w:headerReference w:type="default" r:id="rId6"/>
          <w:pgSz w:w="16840" w:h="11900" w:orient="landscape"/>
          <w:pgMar w:header="1123" w:footer="0" w:top="1820" w:bottom="280" w:left="880" w:right="920"/>
        </w:sectPr>
      </w:pPr>
    </w:p>
    <w:p>
      <w:pPr>
        <w:pStyle w:val="BodyText"/>
        <w:spacing w:before="2" w:after="1"/>
        <w:rPr>
          <w:rFonts w:ascii="Times New Roman"/>
          <w:sz w:val="12"/>
        </w:rPr>
      </w:pPr>
      <w:r>
        <w:rPr/>
        <w:pict>
          <v:shape style="position:absolute;margin-left:27.140491pt;margin-top:292.358917pt;width:14.35pt;height:7.4pt;mso-position-horizontal-relative:page;mso-position-vertical-relative:page;z-index:1096" type="#_x0000_t202" filled="false" stroked="false">
            <v:textbox inset="0,0,0,0" style="layout-flow:vertical">
              <w:txbxContent>
                <w:p>
                  <w:pPr>
                    <w:spacing w:before="13"/>
                    <w:ind w:left="20" w:right="0" w:firstLine="0"/>
                    <w:jc w:val="left"/>
                    <w:rPr>
                      <w:rFonts w:ascii="Arial"/>
                      <w:sz w:val="22"/>
                    </w:rPr>
                  </w:pPr>
                  <w:r>
                    <w:rPr>
                      <w:rFonts w:ascii="Arial"/>
                      <w:sz w:val="22"/>
                    </w:rPr>
                    <w:t>ii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8"/>
        <w:gridCol w:w="1036"/>
        <w:gridCol w:w="973"/>
        <w:gridCol w:w="1057"/>
        <w:gridCol w:w="928"/>
        <w:gridCol w:w="1223"/>
        <w:gridCol w:w="916"/>
        <w:gridCol w:w="1126"/>
        <w:gridCol w:w="861"/>
        <w:gridCol w:w="1129"/>
        <w:gridCol w:w="1011"/>
      </w:tblGrid>
      <w:tr>
        <w:trPr>
          <w:trHeight w:val="387" w:hRule="atLeast"/>
        </w:trPr>
        <w:tc>
          <w:tcPr>
            <w:tcW w:w="4528" w:type="dxa"/>
            <w:tcBorders>
              <w:top w:val="single" w:sz="18" w:space="0" w:color="000000"/>
            </w:tcBorders>
          </w:tcPr>
          <w:p>
            <w:pPr>
              <w:pStyle w:val="TableParagraph"/>
              <w:spacing w:before="6"/>
              <w:rPr>
                <w:rFonts w:ascii="Times New Roman"/>
                <w:sz w:val="18"/>
              </w:rPr>
            </w:pPr>
          </w:p>
          <w:p>
            <w:pPr>
              <w:pStyle w:val="TableParagraph"/>
              <w:spacing w:line="154" w:lineRule="exact"/>
              <w:rPr>
                <w:b/>
                <w:sz w:val="14"/>
              </w:rPr>
            </w:pPr>
            <w:r>
              <w:rPr>
                <w:b/>
                <w:sz w:val="14"/>
              </w:rPr>
              <w:t>PARTICULARS</w:t>
            </w:r>
          </w:p>
        </w:tc>
        <w:tc>
          <w:tcPr>
            <w:tcW w:w="1036" w:type="dxa"/>
            <w:tcBorders>
              <w:top w:val="single" w:sz="18" w:space="0" w:color="000000"/>
            </w:tcBorders>
          </w:tcPr>
          <w:p>
            <w:pPr>
              <w:pStyle w:val="TableParagraph"/>
              <w:spacing w:before="35"/>
              <w:ind w:left="181"/>
              <w:rPr>
                <w:b/>
                <w:sz w:val="14"/>
              </w:rPr>
            </w:pPr>
            <w:r>
              <w:rPr>
                <w:b/>
                <w:spacing w:val="4"/>
                <w:sz w:val="14"/>
              </w:rPr>
              <w:t>FY2018</w:t>
            </w:r>
          </w:p>
          <w:p>
            <w:pPr>
              <w:pStyle w:val="TableParagraph"/>
              <w:spacing w:line="154" w:lineRule="exact" w:before="17"/>
              <w:ind w:left="142"/>
              <w:rPr>
                <w:b/>
                <w:i/>
                <w:sz w:val="14"/>
              </w:rPr>
            </w:pPr>
            <w:r>
              <w:rPr>
                <w:b/>
                <w:i/>
                <w:sz w:val="14"/>
              </w:rPr>
              <w:t>Estimate</w:t>
            </w:r>
          </w:p>
        </w:tc>
        <w:tc>
          <w:tcPr>
            <w:tcW w:w="973" w:type="dxa"/>
            <w:tcBorders>
              <w:top w:val="single" w:sz="18" w:space="0" w:color="000000"/>
            </w:tcBorders>
          </w:tcPr>
          <w:p>
            <w:pPr>
              <w:pStyle w:val="TableParagraph"/>
              <w:spacing w:before="35"/>
              <w:ind w:left="167" w:right="275"/>
              <w:jc w:val="center"/>
              <w:rPr>
                <w:sz w:val="14"/>
              </w:rPr>
            </w:pPr>
            <w:r>
              <w:rPr>
                <w:sz w:val="14"/>
              </w:rPr>
              <w:t>FY2018</w:t>
            </w:r>
          </w:p>
          <w:p>
            <w:pPr>
              <w:pStyle w:val="TableParagraph"/>
              <w:spacing w:line="154" w:lineRule="exact" w:before="17"/>
              <w:ind w:left="167" w:right="261"/>
              <w:jc w:val="center"/>
              <w:rPr>
                <w:b/>
                <w:i/>
                <w:sz w:val="14"/>
              </w:rPr>
            </w:pPr>
            <w:r>
              <w:rPr>
                <w:b/>
                <w:i/>
                <w:sz w:val="14"/>
              </w:rPr>
              <w:t>% of</w:t>
            </w:r>
          </w:p>
        </w:tc>
        <w:tc>
          <w:tcPr>
            <w:tcW w:w="1057" w:type="dxa"/>
            <w:tcBorders>
              <w:top w:val="single" w:sz="18" w:space="0" w:color="000000"/>
            </w:tcBorders>
          </w:tcPr>
          <w:p>
            <w:pPr>
              <w:pStyle w:val="TableParagraph"/>
              <w:spacing w:before="35"/>
              <w:ind w:left="270"/>
              <w:rPr>
                <w:b/>
                <w:sz w:val="14"/>
              </w:rPr>
            </w:pPr>
            <w:r>
              <w:rPr>
                <w:b/>
                <w:spacing w:val="4"/>
                <w:sz w:val="14"/>
              </w:rPr>
              <w:t>FY2019</w:t>
            </w:r>
          </w:p>
          <w:p>
            <w:pPr>
              <w:pStyle w:val="TableParagraph"/>
              <w:spacing w:line="154" w:lineRule="exact" w:before="17"/>
              <w:ind w:left="230"/>
              <w:rPr>
                <w:b/>
                <w:i/>
                <w:sz w:val="14"/>
              </w:rPr>
            </w:pPr>
            <w:r>
              <w:rPr>
                <w:b/>
                <w:i/>
                <w:spacing w:val="3"/>
                <w:sz w:val="14"/>
              </w:rPr>
              <w:t>Program</w:t>
            </w:r>
          </w:p>
        </w:tc>
        <w:tc>
          <w:tcPr>
            <w:tcW w:w="928" w:type="dxa"/>
            <w:tcBorders>
              <w:top w:val="single" w:sz="18" w:space="0" w:color="000000"/>
            </w:tcBorders>
          </w:tcPr>
          <w:p>
            <w:pPr>
              <w:pStyle w:val="TableParagraph"/>
              <w:spacing w:before="35"/>
              <w:ind w:left="124" w:right="272"/>
              <w:jc w:val="center"/>
              <w:rPr>
                <w:sz w:val="14"/>
              </w:rPr>
            </w:pPr>
            <w:r>
              <w:rPr>
                <w:sz w:val="14"/>
              </w:rPr>
              <w:t>FY2019</w:t>
            </w:r>
          </w:p>
          <w:p>
            <w:pPr>
              <w:pStyle w:val="TableParagraph"/>
              <w:spacing w:line="154" w:lineRule="exact" w:before="17"/>
              <w:ind w:left="124" w:right="272"/>
              <w:jc w:val="center"/>
              <w:rPr>
                <w:i/>
                <w:sz w:val="14"/>
              </w:rPr>
            </w:pPr>
            <w:r>
              <w:rPr>
                <w:i/>
                <w:sz w:val="14"/>
              </w:rPr>
              <w:t>% of</w:t>
            </w:r>
          </w:p>
        </w:tc>
        <w:tc>
          <w:tcPr>
            <w:tcW w:w="1223" w:type="dxa"/>
            <w:tcBorders>
              <w:top w:val="single" w:sz="18" w:space="0" w:color="000000"/>
            </w:tcBorders>
          </w:tcPr>
          <w:p>
            <w:pPr>
              <w:pStyle w:val="TableParagraph"/>
              <w:spacing w:before="35"/>
              <w:ind w:left="325"/>
              <w:rPr>
                <w:b/>
                <w:sz w:val="14"/>
              </w:rPr>
            </w:pPr>
            <w:r>
              <w:rPr>
                <w:b/>
                <w:spacing w:val="4"/>
                <w:sz w:val="14"/>
              </w:rPr>
              <w:t>FY2020</w:t>
            </w:r>
          </w:p>
          <w:p>
            <w:pPr>
              <w:pStyle w:val="TableParagraph"/>
              <w:spacing w:line="154" w:lineRule="exact" w:before="17"/>
              <w:ind w:left="348"/>
              <w:rPr>
                <w:b/>
                <w:i/>
                <w:sz w:val="14"/>
              </w:rPr>
            </w:pPr>
            <w:r>
              <w:rPr>
                <w:b/>
                <w:i/>
                <w:sz w:val="14"/>
              </w:rPr>
              <w:t>Budget</w:t>
            </w:r>
          </w:p>
        </w:tc>
        <w:tc>
          <w:tcPr>
            <w:tcW w:w="916" w:type="dxa"/>
            <w:tcBorders>
              <w:top w:val="single" w:sz="18" w:space="0" w:color="000000"/>
            </w:tcBorders>
          </w:tcPr>
          <w:p>
            <w:pPr>
              <w:pStyle w:val="TableParagraph"/>
              <w:spacing w:before="35"/>
              <w:ind w:left="237" w:right="147"/>
              <w:jc w:val="center"/>
              <w:rPr>
                <w:sz w:val="14"/>
              </w:rPr>
            </w:pPr>
            <w:r>
              <w:rPr>
                <w:sz w:val="14"/>
              </w:rPr>
              <w:t>FY2020</w:t>
            </w:r>
          </w:p>
          <w:p>
            <w:pPr>
              <w:pStyle w:val="TableParagraph"/>
              <w:spacing w:line="154" w:lineRule="exact" w:before="17"/>
              <w:ind w:left="237" w:right="147"/>
              <w:jc w:val="center"/>
              <w:rPr>
                <w:i/>
                <w:sz w:val="14"/>
              </w:rPr>
            </w:pPr>
            <w:r>
              <w:rPr>
                <w:i/>
                <w:sz w:val="14"/>
              </w:rPr>
              <w:t>% of</w:t>
            </w:r>
          </w:p>
        </w:tc>
        <w:tc>
          <w:tcPr>
            <w:tcW w:w="1126" w:type="dxa"/>
            <w:tcBorders>
              <w:top w:val="single" w:sz="18" w:space="0" w:color="000000"/>
            </w:tcBorders>
          </w:tcPr>
          <w:p>
            <w:pPr>
              <w:pStyle w:val="TableParagraph"/>
              <w:spacing w:before="35"/>
              <w:ind w:left="341"/>
              <w:rPr>
                <w:b/>
                <w:sz w:val="14"/>
              </w:rPr>
            </w:pPr>
            <w:r>
              <w:rPr>
                <w:b/>
                <w:sz w:val="14"/>
              </w:rPr>
              <w:t>FY2021</w:t>
            </w:r>
          </w:p>
          <w:p>
            <w:pPr>
              <w:pStyle w:val="TableParagraph"/>
              <w:spacing w:line="154" w:lineRule="exact" w:before="17"/>
              <w:ind w:left="288"/>
              <w:rPr>
                <w:i/>
                <w:sz w:val="14"/>
              </w:rPr>
            </w:pPr>
            <w:r>
              <w:rPr>
                <w:i/>
                <w:sz w:val="14"/>
              </w:rPr>
              <w:t>Indicative</w:t>
            </w:r>
          </w:p>
        </w:tc>
        <w:tc>
          <w:tcPr>
            <w:tcW w:w="861" w:type="dxa"/>
            <w:tcBorders>
              <w:top w:val="single" w:sz="18" w:space="0" w:color="000000"/>
            </w:tcBorders>
          </w:tcPr>
          <w:p>
            <w:pPr>
              <w:pStyle w:val="TableParagraph"/>
              <w:spacing w:before="35"/>
              <w:ind w:left="182" w:right="147"/>
              <w:jc w:val="center"/>
              <w:rPr>
                <w:sz w:val="14"/>
              </w:rPr>
            </w:pPr>
            <w:r>
              <w:rPr>
                <w:sz w:val="14"/>
              </w:rPr>
              <w:t>FY2021</w:t>
            </w:r>
          </w:p>
          <w:p>
            <w:pPr>
              <w:pStyle w:val="TableParagraph"/>
              <w:spacing w:line="154" w:lineRule="exact" w:before="17"/>
              <w:ind w:left="182" w:right="146"/>
              <w:jc w:val="center"/>
              <w:rPr>
                <w:i/>
                <w:sz w:val="14"/>
              </w:rPr>
            </w:pPr>
            <w:r>
              <w:rPr>
                <w:i/>
                <w:sz w:val="14"/>
              </w:rPr>
              <w:t>% of</w:t>
            </w:r>
          </w:p>
        </w:tc>
        <w:tc>
          <w:tcPr>
            <w:tcW w:w="1129" w:type="dxa"/>
            <w:tcBorders>
              <w:top w:val="single" w:sz="18" w:space="0" w:color="000000"/>
            </w:tcBorders>
          </w:tcPr>
          <w:p>
            <w:pPr>
              <w:pStyle w:val="TableParagraph"/>
              <w:spacing w:before="35"/>
              <w:ind w:left="283"/>
              <w:rPr>
                <w:b/>
                <w:sz w:val="14"/>
              </w:rPr>
            </w:pPr>
            <w:r>
              <w:rPr>
                <w:b/>
                <w:sz w:val="14"/>
              </w:rPr>
              <w:t>FY2022</w:t>
            </w:r>
          </w:p>
          <w:p>
            <w:pPr>
              <w:pStyle w:val="TableParagraph"/>
              <w:spacing w:line="154" w:lineRule="exact" w:before="17"/>
              <w:ind w:left="230"/>
              <w:rPr>
                <w:i/>
                <w:sz w:val="14"/>
              </w:rPr>
            </w:pPr>
            <w:r>
              <w:rPr>
                <w:i/>
                <w:sz w:val="14"/>
              </w:rPr>
              <w:t>Indicative</w:t>
            </w:r>
          </w:p>
        </w:tc>
        <w:tc>
          <w:tcPr>
            <w:tcW w:w="1011" w:type="dxa"/>
            <w:tcBorders>
              <w:top w:val="single" w:sz="18" w:space="0" w:color="000000"/>
            </w:tcBorders>
          </w:tcPr>
          <w:p>
            <w:pPr>
              <w:pStyle w:val="TableParagraph"/>
              <w:spacing w:before="35"/>
              <w:ind w:left="197"/>
              <w:rPr>
                <w:sz w:val="14"/>
              </w:rPr>
            </w:pPr>
            <w:r>
              <w:rPr>
                <w:sz w:val="14"/>
              </w:rPr>
              <w:t>FY2022</w:t>
            </w:r>
          </w:p>
          <w:p>
            <w:pPr>
              <w:pStyle w:val="TableParagraph"/>
              <w:spacing w:line="154" w:lineRule="exact" w:before="17"/>
              <w:ind w:left="248"/>
              <w:rPr>
                <w:i/>
                <w:sz w:val="14"/>
              </w:rPr>
            </w:pPr>
            <w:r>
              <w:rPr>
                <w:i/>
                <w:sz w:val="14"/>
              </w:rPr>
              <w:t>% of</w:t>
            </w:r>
          </w:p>
        </w:tc>
      </w:tr>
      <w:tr>
        <w:trPr>
          <w:trHeight w:val="469" w:hRule="atLeast"/>
        </w:trPr>
        <w:tc>
          <w:tcPr>
            <w:tcW w:w="4528" w:type="dxa"/>
            <w:tcBorders>
              <w:bottom w:val="single" w:sz="18" w:space="0" w:color="000000"/>
            </w:tcBorders>
          </w:tcPr>
          <w:p>
            <w:pPr>
              <w:pStyle w:val="TableParagraph"/>
              <w:rPr>
                <w:rFonts w:ascii="Times New Roman"/>
                <w:sz w:val="12"/>
              </w:rPr>
            </w:pPr>
          </w:p>
        </w:tc>
        <w:tc>
          <w:tcPr>
            <w:tcW w:w="1036" w:type="dxa"/>
            <w:tcBorders>
              <w:bottom w:val="single" w:sz="18" w:space="0" w:color="000000"/>
            </w:tcBorders>
          </w:tcPr>
          <w:p>
            <w:pPr>
              <w:pStyle w:val="TableParagraph"/>
              <w:spacing w:before="8"/>
              <w:ind w:left="277"/>
              <w:rPr>
                <w:sz w:val="14"/>
              </w:rPr>
            </w:pPr>
            <w:r>
              <w:rPr>
                <w:sz w:val="14"/>
              </w:rPr>
              <w:t>Q1 -4</w:t>
            </w:r>
          </w:p>
          <w:p>
            <w:pPr>
              <w:pStyle w:val="TableParagraph"/>
              <w:spacing w:before="16"/>
              <w:ind w:left="181"/>
              <w:rPr>
                <w:sz w:val="14"/>
              </w:rPr>
            </w:pPr>
            <w:r>
              <w:rPr>
                <w:sz w:val="14"/>
              </w:rPr>
              <w:t>Jan-Dec</w:t>
            </w:r>
          </w:p>
        </w:tc>
        <w:tc>
          <w:tcPr>
            <w:tcW w:w="973" w:type="dxa"/>
            <w:tcBorders>
              <w:bottom w:val="single" w:sz="18" w:space="0" w:color="000000"/>
            </w:tcBorders>
          </w:tcPr>
          <w:p>
            <w:pPr>
              <w:pStyle w:val="TableParagraph"/>
              <w:spacing w:before="8"/>
              <w:ind w:left="292"/>
              <w:rPr>
                <w:sz w:val="14"/>
              </w:rPr>
            </w:pPr>
            <w:r>
              <w:rPr>
                <w:sz w:val="14"/>
              </w:rPr>
              <w:t>GPD</w:t>
            </w:r>
          </w:p>
        </w:tc>
        <w:tc>
          <w:tcPr>
            <w:tcW w:w="1057" w:type="dxa"/>
            <w:tcBorders>
              <w:bottom w:val="single" w:sz="18" w:space="0" w:color="000000"/>
            </w:tcBorders>
          </w:tcPr>
          <w:p>
            <w:pPr>
              <w:pStyle w:val="TableParagraph"/>
              <w:spacing w:before="8"/>
              <w:ind w:left="244" w:right="224"/>
              <w:jc w:val="center"/>
              <w:rPr>
                <w:b/>
                <w:sz w:val="14"/>
              </w:rPr>
            </w:pPr>
            <w:r>
              <w:rPr>
                <w:b/>
                <w:sz w:val="14"/>
              </w:rPr>
              <w:t>Q1-4</w:t>
            </w:r>
          </w:p>
          <w:p>
            <w:pPr>
              <w:pStyle w:val="TableParagraph"/>
              <w:spacing w:before="16"/>
              <w:ind w:left="244" w:right="228"/>
              <w:jc w:val="center"/>
              <w:rPr>
                <w:b/>
                <w:sz w:val="14"/>
              </w:rPr>
            </w:pPr>
            <w:r>
              <w:rPr>
                <w:b/>
                <w:sz w:val="14"/>
              </w:rPr>
              <w:t>Jan-Dec</w:t>
            </w:r>
          </w:p>
        </w:tc>
        <w:tc>
          <w:tcPr>
            <w:tcW w:w="928" w:type="dxa"/>
            <w:tcBorders>
              <w:bottom w:val="single" w:sz="18" w:space="0" w:color="000000"/>
            </w:tcBorders>
          </w:tcPr>
          <w:p>
            <w:pPr>
              <w:pStyle w:val="TableParagraph"/>
              <w:spacing w:before="8"/>
              <w:ind w:left="249"/>
              <w:rPr>
                <w:sz w:val="14"/>
              </w:rPr>
            </w:pPr>
            <w:r>
              <w:rPr>
                <w:sz w:val="14"/>
              </w:rPr>
              <w:t>GPD</w:t>
            </w:r>
          </w:p>
        </w:tc>
        <w:tc>
          <w:tcPr>
            <w:tcW w:w="1223" w:type="dxa"/>
            <w:tcBorders>
              <w:bottom w:val="single" w:sz="18" w:space="0" w:color="000000"/>
            </w:tcBorders>
          </w:tcPr>
          <w:p>
            <w:pPr>
              <w:pStyle w:val="TableParagraph"/>
              <w:spacing w:before="8"/>
              <w:ind w:left="300" w:right="333"/>
              <w:jc w:val="center"/>
              <w:rPr>
                <w:b/>
                <w:sz w:val="14"/>
              </w:rPr>
            </w:pPr>
            <w:r>
              <w:rPr>
                <w:b/>
                <w:sz w:val="14"/>
              </w:rPr>
              <w:t>Q1-4</w:t>
            </w:r>
          </w:p>
          <w:p>
            <w:pPr>
              <w:pStyle w:val="TableParagraph"/>
              <w:spacing w:before="16"/>
              <w:ind w:left="300" w:right="337"/>
              <w:jc w:val="center"/>
              <w:rPr>
                <w:b/>
                <w:sz w:val="14"/>
              </w:rPr>
            </w:pPr>
            <w:r>
              <w:rPr>
                <w:b/>
                <w:sz w:val="14"/>
              </w:rPr>
              <w:t>Jan-Dec</w:t>
            </w:r>
          </w:p>
        </w:tc>
        <w:tc>
          <w:tcPr>
            <w:tcW w:w="916" w:type="dxa"/>
            <w:tcBorders>
              <w:bottom w:val="single" w:sz="18" w:space="0" w:color="000000"/>
            </w:tcBorders>
          </w:tcPr>
          <w:p>
            <w:pPr>
              <w:pStyle w:val="TableParagraph"/>
              <w:spacing w:before="8"/>
              <w:ind w:left="364"/>
              <w:rPr>
                <w:sz w:val="14"/>
              </w:rPr>
            </w:pPr>
            <w:r>
              <w:rPr>
                <w:sz w:val="14"/>
              </w:rPr>
              <w:t>GPD</w:t>
            </w:r>
          </w:p>
        </w:tc>
        <w:tc>
          <w:tcPr>
            <w:tcW w:w="1126" w:type="dxa"/>
            <w:tcBorders>
              <w:bottom w:val="single" w:sz="18" w:space="0" w:color="000000"/>
            </w:tcBorders>
          </w:tcPr>
          <w:p>
            <w:pPr>
              <w:pStyle w:val="TableParagraph"/>
              <w:spacing w:before="8"/>
              <w:ind w:left="436"/>
              <w:rPr>
                <w:sz w:val="14"/>
              </w:rPr>
            </w:pPr>
            <w:r>
              <w:rPr>
                <w:sz w:val="14"/>
              </w:rPr>
              <w:t>Q1 -4</w:t>
            </w:r>
          </w:p>
          <w:p>
            <w:pPr>
              <w:pStyle w:val="TableParagraph"/>
              <w:spacing w:before="16"/>
              <w:ind w:left="341"/>
              <w:rPr>
                <w:sz w:val="14"/>
              </w:rPr>
            </w:pPr>
            <w:r>
              <w:rPr>
                <w:sz w:val="14"/>
              </w:rPr>
              <w:t>Jan-Dec</w:t>
            </w:r>
          </w:p>
        </w:tc>
        <w:tc>
          <w:tcPr>
            <w:tcW w:w="861" w:type="dxa"/>
            <w:tcBorders>
              <w:bottom w:val="single" w:sz="18" w:space="0" w:color="000000"/>
            </w:tcBorders>
          </w:tcPr>
          <w:p>
            <w:pPr>
              <w:pStyle w:val="TableParagraph"/>
              <w:spacing w:before="8"/>
              <w:ind w:left="182" w:right="134"/>
              <w:jc w:val="center"/>
              <w:rPr>
                <w:sz w:val="14"/>
              </w:rPr>
            </w:pPr>
            <w:r>
              <w:rPr>
                <w:sz w:val="14"/>
              </w:rPr>
              <w:t>GPD</w:t>
            </w:r>
          </w:p>
        </w:tc>
        <w:tc>
          <w:tcPr>
            <w:tcW w:w="1129" w:type="dxa"/>
            <w:tcBorders>
              <w:bottom w:val="single" w:sz="18" w:space="0" w:color="000000"/>
            </w:tcBorders>
          </w:tcPr>
          <w:p>
            <w:pPr>
              <w:pStyle w:val="TableParagraph"/>
              <w:spacing w:before="8"/>
              <w:ind w:left="268" w:right="295"/>
              <w:jc w:val="center"/>
              <w:rPr>
                <w:sz w:val="14"/>
              </w:rPr>
            </w:pPr>
            <w:r>
              <w:rPr>
                <w:sz w:val="14"/>
              </w:rPr>
              <w:t>Q1 -4</w:t>
            </w:r>
          </w:p>
          <w:p>
            <w:pPr>
              <w:pStyle w:val="TableParagraph"/>
              <w:spacing w:before="16"/>
              <w:ind w:left="268" w:right="298"/>
              <w:jc w:val="center"/>
              <w:rPr>
                <w:sz w:val="14"/>
              </w:rPr>
            </w:pPr>
            <w:r>
              <w:rPr>
                <w:sz w:val="14"/>
              </w:rPr>
              <w:t>Jan-Dec</w:t>
            </w:r>
          </w:p>
        </w:tc>
        <w:tc>
          <w:tcPr>
            <w:tcW w:w="1011" w:type="dxa"/>
            <w:tcBorders>
              <w:bottom w:val="single" w:sz="18" w:space="0" w:color="000000"/>
            </w:tcBorders>
          </w:tcPr>
          <w:p>
            <w:pPr>
              <w:pStyle w:val="TableParagraph"/>
              <w:spacing w:before="8"/>
              <w:ind w:left="244"/>
              <w:rPr>
                <w:sz w:val="14"/>
              </w:rPr>
            </w:pPr>
            <w:r>
              <w:rPr>
                <w:sz w:val="14"/>
              </w:rPr>
              <w:t>GPD</w:t>
            </w:r>
          </w:p>
        </w:tc>
      </w:tr>
      <w:tr>
        <w:trPr>
          <w:trHeight w:val="366" w:hRule="atLeast"/>
        </w:trPr>
        <w:tc>
          <w:tcPr>
            <w:tcW w:w="4528" w:type="dxa"/>
            <w:tcBorders>
              <w:top w:val="single" w:sz="18" w:space="0" w:color="000000"/>
            </w:tcBorders>
          </w:tcPr>
          <w:p>
            <w:pPr>
              <w:pStyle w:val="TableParagraph"/>
              <w:spacing w:before="103"/>
              <w:rPr>
                <w:b/>
                <w:sz w:val="14"/>
              </w:rPr>
            </w:pPr>
            <w:r>
              <w:rPr>
                <w:b/>
                <w:sz w:val="14"/>
              </w:rPr>
              <w:t>Total Expenditure and Lending minus Repayments</w:t>
            </w:r>
          </w:p>
        </w:tc>
        <w:tc>
          <w:tcPr>
            <w:tcW w:w="1036" w:type="dxa"/>
            <w:tcBorders>
              <w:top w:val="single" w:sz="18" w:space="0" w:color="000000"/>
            </w:tcBorders>
          </w:tcPr>
          <w:p>
            <w:pPr>
              <w:pStyle w:val="TableParagraph"/>
              <w:spacing w:before="103"/>
              <w:ind w:left="119"/>
              <w:rPr>
                <w:b/>
                <w:i/>
                <w:sz w:val="14"/>
              </w:rPr>
            </w:pPr>
            <w:r>
              <w:rPr>
                <w:b/>
                <w:i/>
                <w:sz w:val="14"/>
              </w:rPr>
              <w:t>6,830,697</w:t>
            </w:r>
          </w:p>
        </w:tc>
        <w:tc>
          <w:tcPr>
            <w:tcW w:w="973" w:type="dxa"/>
            <w:tcBorders>
              <w:top w:val="single" w:sz="18" w:space="0" w:color="000000"/>
            </w:tcBorders>
          </w:tcPr>
          <w:p>
            <w:pPr>
              <w:pStyle w:val="TableParagraph"/>
              <w:spacing w:before="103"/>
              <w:ind w:right="215"/>
              <w:jc w:val="right"/>
              <w:rPr>
                <w:b/>
                <w:sz w:val="14"/>
              </w:rPr>
            </w:pPr>
            <w:r>
              <w:rPr>
                <w:b/>
                <w:sz w:val="14"/>
              </w:rPr>
              <w:t>21.1%</w:t>
            </w:r>
          </w:p>
        </w:tc>
        <w:tc>
          <w:tcPr>
            <w:tcW w:w="1057" w:type="dxa"/>
            <w:tcBorders>
              <w:top w:val="single" w:sz="18" w:space="0" w:color="000000"/>
            </w:tcBorders>
          </w:tcPr>
          <w:p>
            <w:pPr>
              <w:pStyle w:val="TableParagraph"/>
              <w:spacing w:before="103"/>
              <w:ind w:left="241"/>
              <w:rPr>
                <w:b/>
                <w:sz w:val="14"/>
              </w:rPr>
            </w:pPr>
            <w:r>
              <w:rPr>
                <w:b/>
                <w:sz w:val="14"/>
              </w:rPr>
              <w:t>7,836,285</w:t>
            </w:r>
          </w:p>
        </w:tc>
        <w:tc>
          <w:tcPr>
            <w:tcW w:w="928" w:type="dxa"/>
            <w:tcBorders>
              <w:top w:val="single" w:sz="18" w:space="0" w:color="000000"/>
            </w:tcBorders>
          </w:tcPr>
          <w:p>
            <w:pPr>
              <w:pStyle w:val="TableParagraph"/>
              <w:spacing w:before="103"/>
              <w:ind w:left="259"/>
              <w:rPr>
                <w:i/>
                <w:sz w:val="14"/>
              </w:rPr>
            </w:pPr>
            <w:r>
              <w:rPr>
                <w:i/>
                <w:sz w:val="14"/>
              </w:rPr>
              <w:t>20.9%</w:t>
            </w:r>
          </w:p>
        </w:tc>
        <w:tc>
          <w:tcPr>
            <w:tcW w:w="1223" w:type="dxa"/>
            <w:tcBorders>
              <w:top w:val="single" w:sz="18" w:space="0" w:color="000000"/>
            </w:tcBorders>
          </w:tcPr>
          <w:p>
            <w:pPr>
              <w:pStyle w:val="TableParagraph"/>
              <w:spacing w:before="103"/>
              <w:ind w:right="283"/>
              <w:jc w:val="right"/>
              <w:rPr>
                <w:b/>
                <w:sz w:val="14"/>
              </w:rPr>
            </w:pPr>
            <w:r>
              <w:rPr>
                <w:b/>
                <w:sz w:val="14"/>
              </w:rPr>
              <w:t>9,349,140</w:t>
            </w:r>
          </w:p>
        </w:tc>
        <w:tc>
          <w:tcPr>
            <w:tcW w:w="916" w:type="dxa"/>
            <w:tcBorders>
              <w:top w:val="single" w:sz="18" w:space="0" w:color="000000"/>
            </w:tcBorders>
          </w:tcPr>
          <w:p>
            <w:pPr>
              <w:pStyle w:val="TableParagraph"/>
              <w:spacing w:before="103"/>
              <w:ind w:left="321"/>
              <w:rPr>
                <w:i/>
                <w:sz w:val="14"/>
              </w:rPr>
            </w:pPr>
            <w:r>
              <w:rPr>
                <w:i/>
                <w:sz w:val="14"/>
              </w:rPr>
              <w:t>21.5%</w:t>
            </w:r>
          </w:p>
        </w:tc>
        <w:tc>
          <w:tcPr>
            <w:tcW w:w="1126" w:type="dxa"/>
            <w:tcBorders>
              <w:top w:val="single" w:sz="18" w:space="0" w:color="000000"/>
            </w:tcBorders>
          </w:tcPr>
          <w:p>
            <w:pPr>
              <w:pStyle w:val="TableParagraph"/>
              <w:spacing w:before="103"/>
              <w:ind w:right="235"/>
              <w:jc w:val="right"/>
              <w:rPr>
                <w:b/>
                <w:sz w:val="14"/>
              </w:rPr>
            </w:pPr>
            <w:r>
              <w:rPr>
                <w:b/>
                <w:w w:val="95"/>
                <w:sz w:val="14"/>
              </w:rPr>
              <w:t>10,346,940</w:t>
            </w:r>
          </w:p>
        </w:tc>
        <w:tc>
          <w:tcPr>
            <w:tcW w:w="861" w:type="dxa"/>
            <w:tcBorders>
              <w:top w:val="single" w:sz="18" w:space="0" w:color="000000"/>
            </w:tcBorders>
          </w:tcPr>
          <w:p>
            <w:pPr>
              <w:pStyle w:val="TableParagraph"/>
              <w:spacing w:before="103"/>
              <w:ind w:left="182" w:right="116"/>
              <w:jc w:val="center"/>
              <w:rPr>
                <w:i/>
                <w:sz w:val="14"/>
              </w:rPr>
            </w:pPr>
            <w:r>
              <w:rPr>
                <w:i/>
                <w:sz w:val="14"/>
              </w:rPr>
              <w:t>20.4%</w:t>
            </w:r>
          </w:p>
        </w:tc>
        <w:tc>
          <w:tcPr>
            <w:tcW w:w="1129" w:type="dxa"/>
            <w:tcBorders>
              <w:top w:val="single" w:sz="18" w:space="0" w:color="000000"/>
            </w:tcBorders>
          </w:tcPr>
          <w:p>
            <w:pPr>
              <w:pStyle w:val="TableParagraph"/>
              <w:spacing w:before="103"/>
              <w:ind w:right="238"/>
              <w:jc w:val="right"/>
              <w:rPr>
                <w:b/>
                <w:sz w:val="14"/>
              </w:rPr>
            </w:pPr>
            <w:r>
              <w:rPr>
                <w:b/>
                <w:w w:val="95"/>
                <w:sz w:val="14"/>
              </w:rPr>
              <w:t>11,670,308</w:t>
            </w:r>
          </w:p>
        </w:tc>
        <w:tc>
          <w:tcPr>
            <w:tcW w:w="1011" w:type="dxa"/>
            <w:tcBorders>
              <w:top w:val="single" w:sz="18" w:space="0" w:color="000000"/>
            </w:tcBorders>
          </w:tcPr>
          <w:p>
            <w:pPr>
              <w:pStyle w:val="TableParagraph"/>
              <w:spacing w:before="103"/>
              <w:ind w:left="258"/>
              <w:rPr>
                <w:i/>
                <w:sz w:val="14"/>
              </w:rPr>
            </w:pPr>
            <w:r>
              <w:rPr>
                <w:i/>
                <w:sz w:val="14"/>
              </w:rPr>
              <w:t>20.2%</w:t>
            </w:r>
          </w:p>
        </w:tc>
      </w:tr>
      <w:tr>
        <w:trPr>
          <w:trHeight w:val="268" w:hRule="atLeast"/>
        </w:trPr>
        <w:tc>
          <w:tcPr>
            <w:tcW w:w="4528" w:type="dxa"/>
          </w:tcPr>
          <w:p>
            <w:pPr>
              <w:pStyle w:val="TableParagraph"/>
              <w:spacing w:line="152" w:lineRule="exact" w:before="97"/>
              <w:ind w:left="73"/>
              <w:rPr>
                <w:b/>
                <w:sz w:val="14"/>
              </w:rPr>
            </w:pPr>
            <w:r>
              <w:rPr>
                <w:b/>
                <w:sz w:val="14"/>
              </w:rPr>
              <w:t>Recurrent Expenditure</w:t>
            </w:r>
          </w:p>
        </w:tc>
        <w:tc>
          <w:tcPr>
            <w:tcW w:w="1036" w:type="dxa"/>
          </w:tcPr>
          <w:p>
            <w:pPr>
              <w:pStyle w:val="TableParagraph"/>
              <w:spacing w:line="152" w:lineRule="exact" w:before="97"/>
              <w:ind w:left="119"/>
              <w:rPr>
                <w:b/>
                <w:i/>
                <w:sz w:val="14"/>
              </w:rPr>
            </w:pPr>
            <w:r>
              <w:rPr>
                <w:b/>
                <w:i/>
                <w:sz w:val="14"/>
              </w:rPr>
              <w:t>4,747,560</w:t>
            </w:r>
          </w:p>
        </w:tc>
        <w:tc>
          <w:tcPr>
            <w:tcW w:w="973" w:type="dxa"/>
          </w:tcPr>
          <w:p>
            <w:pPr>
              <w:pStyle w:val="TableParagraph"/>
              <w:spacing w:line="152" w:lineRule="exact" w:before="97"/>
              <w:ind w:right="215"/>
              <w:jc w:val="right"/>
              <w:rPr>
                <w:b/>
                <w:sz w:val="14"/>
              </w:rPr>
            </w:pPr>
            <w:r>
              <w:rPr>
                <w:b/>
                <w:sz w:val="14"/>
              </w:rPr>
              <w:t>14.7%</w:t>
            </w:r>
          </w:p>
        </w:tc>
        <w:tc>
          <w:tcPr>
            <w:tcW w:w="1057" w:type="dxa"/>
          </w:tcPr>
          <w:p>
            <w:pPr>
              <w:pStyle w:val="TableParagraph"/>
              <w:spacing w:line="152" w:lineRule="exact" w:before="97"/>
              <w:ind w:left="241"/>
              <w:rPr>
                <w:b/>
                <w:sz w:val="14"/>
              </w:rPr>
            </w:pPr>
            <w:r>
              <w:rPr>
                <w:b/>
                <w:sz w:val="14"/>
              </w:rPr>
              <w:t>5,794,257</w:t>
            </w:r>
          </w:p>
        </w:tc>
        <w:tc>
          <w:tcPr>
            <w:tcW w:w="928" w:type="dxa"/>
          </w:tcPr>
          <w:p>
            <w:pPr>
              <w:pStyle w:val="TableParagraph"/>
              <w:spacing w:line="152" w:lineRule="exact" w:before="97"/>
              <w:ind w:left="259"/>
              <w:rPr>
                <w:i/>
                <w:sz w:val="14"/>
              </w:rPr>
            </w:pPr>
            <w:r>
              <w:rPr>
                <w:i/>
                <w:sz w:val="14"/>
              </w:rPr>
              <w:t>15.4%</w:t>
            </w:r>
          </w:p>
        </w:tc>
        <w:tc>
          <w:tcPr>
            <w:tcW w:w="1223" w:type="dxa"/>
          </w:tcPr>
          <w:p>
            <w:pPr>
              <w:pStyle w:val="TableParagraph"/>
              <w:spacing w:line="152" w:lineRule="exact" w:before="97"/>
              <w:ind w:right="283"/>
              <w:jc w:val="right"/>
              <w:rPr>
                <w:b/>
                <w:sz w:val="14"/>
              </w:rPr>
            </w:pPr>
            <w:r>
              <w:rPr>
                <w:b/>
                <w:sz w:val="14"/>
              </w:rPr>
              <w:t>6,475,485</w:t>
            </w:r>
          </w:p>
        </w:tc>
        <w:tc>
          <w:tcPr>
            <w:tcW w:w="916" w:type="dxa"/>
          </w:tcPr>
          <w:p>
            <w:pPr>
              <w:pStyle w:val="TableParagraph"/>
              <w:spacing w:line="152" w:lineRule="exact" w:before="97"/>
              <w:ind w:left="321"/>
              <w:rPr>
                <w:i/>
                <w:sz w:val="14"/>
              </w:rPr>
            </w:pPr>
            <w:r>
              <w:rPr>
                <w:i/>
                <w:sz w:val="14"/>
              </w:rPr>
              <w:t>14.9%</w:t>
            </w:r>
          </w:p>
        </w:tc>
        <w:tc>
          <w:tcPr>
            <w:tcW w:w="1126" w:type="dxa"/>
          </w:tcPr>
          <w:p>
            <w:pPr>
              <w:pStyle w:val="TableParagraph"/>
              <w:spacing w:line="152" w:lineRule="exact" w:before="97"/>
              <w:ind w:right="228"/>
              <w:jc w:val="right"/>
              <w:rPr>
                <w:b/>
                <w:sz w:val="14"/>
              </w:rPr>
            </w:pPr>
            <w:r>
              <w:rPr>
                <w:b/>
                <w:sz w:val="14"/>
              </w:rPr>
              <w:t>7,169,573</w:t>
            </w:r>
          </w:p>
        </w:tc>
        <w:tc>
          <w:tcPr>
            <w:tcW w:w="861" w:type="dxa"/>
          </w:tcPr>
          <w:p>
            <w:pPr>
              <w:pStyle w:val="TableParagraph"/>
              <w:spacing w:line="152" w:lineRule="exact" w:before="97"/>
              <w:ind w:left="182" w:right="116"/>
              <w:jc w:val="center"/>
              <w:rPr>
                <w:i/>
                <w:sz w:val="14"/>
              </w:rPr>
            </w:pPr>
            <w:r>
              <w:rPr>
                <w:i/>
                <w:sz w:val="14"/>
              </w:rPr>
              <w:t>14.2%</w:t>
            </w:r>
          </w:p>
        </w:tc>
        <w:tc>
          <w:tcPr>
            <w:tcW w:w="1129" w:type="dxa"/>
          </w:tcPr>
          <w:p>
            <w:pPr>
              <w:pStyle w:val="TableParagraph"/>
              <w:spacing w:line="152" w:lineRule="exact" w:before="97"/>
              <w:ind w:right="235"/>
              <w:jc w:val="right"/>
              <w:rPr>
                <w:b/>
                <w:sz w:val="14"/>
              </w:rPr>
            </w:pPr>
            <w:r>
              <w:rPr>
                <w:b/>
                <w:sz w:val="14"/>
              </w:rPr>
              <w:t>7,951,308</w:t>
            </w:r>
          </w:p>
        </w:tc>
        <w:tc>
          <w:tcPr>
            <w:tcW w:w="1011" w:type="dxa"/>
          </w:tcPr>
          <w:p>
            <w:pPr>
              <w:pStyle w:val="TableParagraph"/>
              <w:spacing w:line="152" w:lineRule="exact" w:before="97"/>
              <w:ind w:left="258"/>
              <w:rPr>
                <w:i/>
                <w:sz w:val="14"/>
              </w:rPr>
            </w:pPr>
            <w:r>
              <w:rPr>
                <w:i/>
                <w:sz w:val="14"/>
              </w:rPr>
              <w:t>13.8%</w:t>
            </w:r>
          </w:p>
        </w:tc>
      </w:tr>
      <w:tr>
        <w:trPr>
          <w:trHeight w:val="180" w:hRule="atLeast"/>
        </w:trPr>
        <w:tc>
          <w:tcPr>
            <w:tcW w:w="4528" w:type="dxa"/>
          </w:tcPr>
          <w:p>
            <w:pPr>
              <w:pStyle w:val="TableParagraph"/>
              <w:spacing w:line="154" w:lineRule="exact" w:before="5"/>
              <w:ind w:left="228"/>
              <w:rPr>
                <w:b/>
                <w:sz w:val="14"/>
              </w:rPr>
            </w:pPr>
            <w:r>
              <w:rPr>
                <w:b/>
                <w:sz w:val="14"/>
              </w:rPr>
              <w:t>Wages &amp; Salaries</w:t>
            </w:r>
          </w:p>
        </w:tc>
        <w:tc>
          <w:tcPr>
            <w:tcW w:w="1036" w:type="dxa"/>
          </w:tcPr>
          <w:p>
            <w:pPr>
              <w:pStyle w:val="TableParagraph"/>
              <w:spacing w:line="154" w:lineRule="exact" w:before="5"/>
              <w:ind w:left="119"/>
              <w:rPr>
                <w:b/>
                <w:i/>
                <w:sz w:val="14"/>
              </w:rPr>
            </w:pPr>
            <w:r>
              <w:rPr>
                <w:b/>
                <w:i/>
                <w:sz w:val="14"/>
              </w:rPr>
              <w:t>2,056,689</w:t>
            </w:r>
          </w:p>
        </w:tc>
        <w:tc>
          <w:tcPr>
            <w:tcW w:w="973" w:type="dxa"/>
          </w:tcPr>
          <w:p>
            <w:pPr>
              <w:pStyle w:val="TableParagraph"/>
              <w:spacing w:line="154" w:lineRule="exact" w:before="5"/>
              <w:ind w:right="208"/>
              <w:jc w:val="right"/>
              <w:rPr>
                <w:b/>
                <w:sz w:val="14"/>
              </w:rPr>
            </w:pPr>
            <w:r>
              <w:rPr>
                <w:b/>
                <w:sz w:val="14"/>
              </w:rPr>
              <w:t>6.3%</w:t>
            </w:r>
          </w:p>
        </w:tc>
        <w:tc>
          <w:tcPr>
            <w:tcW w:w="1057" w:type="dxa"/>
          </w:tcPr>
          <w:p>
            <w:pPr>
              <w:pStyle w:val="TableParagraph"/>
              <w:spacing w:line="154" w:lineRule="exact" w:before="5"/>
              <w:ind w:left="241"/>
              <w:rPr>
                <w:b/>
                <w:sz w:val="14"/>
              </w:rPr>
            </w:pPr>
            <w:r>
              <w:rPr>
                <w:b/>
                <w:sz w:val="14"/>
              </w:rPr>
              <w:t>2,587,945</w:t>
            </w:r>
          </w:p>
        </w:tc>
        <w:tc>
          <w:tcPr>
            <w:tcW w:w="928" w:type="dxa"/>
          </w:tcPr>
          <w:p>
            <w:pPr>
              <w:pStyle w:val="TableParagraph"/>
              <w:spacing w:line="154" w:lineRule="exact" w:before="5"/>
              <w:ind w:right="257"/>
              <w:jc w:val="right"/>
              <w:rPr>
                <w:i/>
                <w:sz w:val="14"/>
              </w:rPr>
            </w:pPr>
            <w:r>
              <w:rPr>
                <w:i/>
                <w:w w:val="95"/>
                <w:sz w:val="14"/>
              </w:rPr>
              <w:t>6.9%</w:t>
            </w:r>
          </w:p>
        </w:tc>
        <w:tc>
          <w:tcPr>
            <w:tcW w:w="1223" w:type="dxa"/>
          </w:tcPr>
          <w:p>
            <w:pPr>
              <w:pStyle w:val="TableParagraph"/>
              <w:spacing w:line="154" w:lineRule="exact" w:before="5"/>
              <w:ind w:right="283"/>
              <w:jc w:val="right"/>
              <w:rPr>
                <w:b/>
                <w:sz w:val="14"/>
              </w:rPr>
            </w:pPr>
            <w:r>
              <w:rPr>
                <w:b/>
                <w:sz w:val="14"/>
              </w:rPr>
              <w:t>3,174,476</w:t>
            </w:r>
          </w:p>
        </w:tc>
        <w:tc>
          <w:tcPr>
            <w:tcW w:w="916" w:type="dxa"/>
          </w:tcPr>
          <w:p>
            <w:pPr>
              <w:pStyle w:val="TableParagraph"/>
              <w:spacing w:line="154" w:lineRule="exact" w:before="5"/>
              <w:ind w:left="412"/>
              <w:rPr>
                <w:i/>
                <w:sz w:val="14"/>
              </w:rPr>
            </w:pPr>
            <w:r>
              <w:rPr>
                <w:i/>
                <w:sz w:val="14"/>
              </w:rPr>
              <w:t>7.3%</w:t>
            </w:r>
          </w:p>
        </w:tc>
        <w:tc>
          <w:tcPr>
            <w:tcW w:w="1126" w:type="dxa"/>
          </w:tcPr>
          <w:p>
            <w:pPr>
              <w:pStyle w:val="TableParagraph"/>
              <w:spacing w:line="154" w:lineRule="exact" w:before="5"/>
              <w:ind w:right="228"/>
              <w:jc w:val="right"/>
              <w:rPr>
                <w:b/>
                <w:sz w:val="14"/>
              </w:rPr>
            </w:pPr>
            <w:r>
              <w:rPr>
                <w:b/>
                <w:sz w:val="14"/>
              </w:rPr>
              <w:t>3,464,805</w:t>
            </w:r>
          </w:p>
        </w:tc>
        <w:tc>
          <w:tcPr>
            <w:tcW w:w="861" w:type="dxa"/>
          </w:tcPr>
          <w:p>
            <w:pPr>
              <w:pStyle w:val="TableParagraph"/>
              <w:spacing w:line="154" w:lineRule="exact" w:before="5"/>
              <w:ind w:left="182" w:right="20"/>
              <w:jc w:val="center"/>
              <w:rPr>
                <w:i/>
                <w:sz w:val="14"/>
              </w:rPr>
            </w:pPr>
            <w:r>
              <w:rPr>
                <w:i/>
                <w:sz w:val="14"/>
              </w:rPr>
              <w:t>6.8%</w:t>
            </w:r>
          </w:p>
        </w:tc>
        <w:tc>
          <w:tcPr>
            <w:tcW w:w="1129" w:type="dxa"/>
          </w:tcPr>
          <w:p>
            <w:pPr>
              <w:pStyle w:val="TableParagraph"/>
              <w:spacing w:line="154" w:lineRule="exact" w:before="5"/>
              <w:ind w:right="235"/>
              <w:jc w:val="right"/>
              <w:rPr>
                <w:b/>
                <w:sz w:val="14"/>
              </w:rPr>
            </w:pPr>
            <w:r>
              <w:rPr>
                <w:b/>
                <w:sz w:val="14"/>
              </w:rPr>
              <w:t>3,783,000</w:t>
            </w:r>
          </w:p>
        </w:tc>
        <w:tc>
          <w:tcPr>
            <w:tcW w:w="1011" w:type="dxa"/>
          </w:tcPr>
          <w:p>
            <w:pPr>
              <w:pStyle w:val="TableParagraph"/>
              <w:spacing w:line="154" w:lineRule="exact" w:before="5"/>
              <w:ind w:right="341"/>
              <w:jc w:val="right"/>
              <w:rPr>
                <w:i/>
                <w:sz w:val="14"/>
              </w:rPr>
            </w:pPr>
            <w:r>
              <w:rPr>
                <w:i/>
                <w:w w:val="95"/>
                <w:sz w:val="14"/>
              </w:rPr>
              <w:t>6.6%</w:t>
            </w:r>
          </w:p>
        </w:tc>
      </w:tr>
      <w:tr>
        <w:trPr>
          <w:trHeight w:val="180" w:hRule="atLeast"/>
        </w:trPr>
        <w:tc>
          <w:tcPr>
            <w:tcW w:w="4528" w:type="dxa"/>
          </w:tcPr>
          <w:p>
            <w:pPr>
              <w:pStyle w:val="TableParagraph"/>
              <w:spacing w:line="152" w:lineRule="exact" w:before="8"/>
              <w:ind w:left="508"/>
              <w:rPr>
                <w:sz w:val="14"/>
              </w:rPr>
            </w:pPr>
            <w:r>
              <w:rPr>
                <w:sz w:val="14"/>
              </w:rPr>
              <w:t>o/ w: Pensions, Gratuities and Other Allowances</w:t>
            </w:r>
          </w:p>
        </w:tc>
        <w:tc>
          <w:tcPr>
            <w:tcW w:w="1036" w:type="dxa"/>
          </w:tcPr>
          <w:p>
            <w:pPr>
              <w:pStyle w:val="TableParagraph"/>
              <w:spacing w:line="152" w:lineRule="exact" w:before="8"/>
              <w:ind w:left="258"/>
              <w:rPr>
                <w:i/>
                <w:sz w:val="14"/>
              </w:rPr>
            </w:pPr>
            <w:r>
              <w:rPr>
                <w:i/>
                <w:sz w:val="14"/>
              </w:rPr>
              <w:t>181,812</w:t>
            </w:r>
          </w:p>
        </w:tc>
        <w:tc>
          <w:tcPr>
            <w:tcW w:w="973" w:type="dxa"/>
          </w:tcPr>
          <w:p>
            <w:pPr>
              <w:pStyle w:val="TableParagraph"/>
              <w:spacing w:line="152" w:lineRule="exact" w:before="8"/>
              <w:ind w:right="202"/>
              <w:jc w:val="right"/>
              <w:rPr>
                <w:sz w:val="14"/>
              </w:rPr>
            </w:pPr>
            <w:r>
              <w:rPr>
                <w:sz w:val="14"/>
              </w:rPr>
              <w:t>0 . 6 %</w:t>
            </w:r>
          </w:p>
        </w:tc>
        <w:tc>
          <w:tcPr>
            <w:tcW w:w="1057" w:type="dxa"/>
          </w:tcPr>
          <w:p>
            <w:pPr>
              <w:pStyle w:val="TableParagraph"/>
              <w:spacing w:line="152" w:lineRule="exact" w:before="8"/>
              <w:ind w:left="342"/>
              <w:rPr>
                <w:sz w:val="14"/>
              </w:rPr>
            </w:pPr>
            <w:r>
              <w:rPr>
                <w:sz w:val="14"/>
              </w:rPr>
              <w:t>214,826</w:t>
            </w:r>
          </w:p>
        </w:tc>
        <w:tc>
          <w:tcPr>
            <w:tcW w:w="928" w:type="dxa"/>
          </w:tcPr>
          <w:p>
            <w:pPr>
              <w:pStyle w:val="TableParagraph"/>
              <w:spacing w:line="152" w:lineRule="exact" w:before="8"/>
              <w:ind w:right="257"/>
              <w:jc w:val="right"/>
              <w:rPr>
                <w:i/>
                <w:sz w:val="14"/>
              </w:rPr>
            </w:pPr>
            <w:r>
              <w:rPr>
                <w:i/>
                <w:w w:val="95"/>
                <w:sz w:val="14"/>
              </w:rPr>
              <w:t>0.6%</w:t>
            </w:r>
          </w:p>
        </w:tc>
        <w:tc>
          <w:tcPr>
            <w:tcW w:w="1223" w:type="dxa"/>
          </w:tcPr>
          <w:p>
            <w:pPr>
              <w:pStyle w:val="TableParagraph"/>
              <w:spacing w:line="152" w:lineRule="exact" w:before="8"/>
              <w:ind w:right="272"/>
              <w:jc w:val="right"/>
              <w:rPr>
                <w:b/>
                <w:sz w:val="14"/>
              </w:rPr>
            </w:pPr>
            <w:r>
              <w:rPr>
                <w:b/>
                <w:sz w:val="14"/>
              </w:rPr>
              <w:t>308,011</w:t>
            </w:r>
          </w:p>
        </w:tc>
        <w:tc>
          <w:tcPr>
            <w:tcW w:w="916" w:type="dxa"/>
          </w:tcPr>
          <w:p>
            <w:pPr>
              <w:pStyle w:val="TableParagraph"/>
              <w:spacing w:line="152" w:lineRule="exact" w:before="8"/>
              <w:ind w:left="412"/>
              <w:rPr>
                <w:i/>
                <w:sz w:val="14"/>
              </w:rPr>
            </w:pPr>
            <w:r>
              <w:rPr>
                <w:i/>
                <w:sz w:val="14"/>
              </w:rPr>
              <w:t>0.7%</w:t>
            </w:r>
          </w:p>
        </w:tc>
        <w:tc>
          <w:tcPr>
            <w:tcW w:w="1126" w:type="dxa"/>
          </w:tcPr>
          <w:p>
            <w:pPr>
              <w:pStyle w:val="TableParagraph"/>
              <w:spacing w:line="152" w:lineRule="exact" w:before="8"/>
              <w:ind w:right="217"/>
              <w:jc w:val="right"/>
              <w:rPr>
                <w:b/>
                <w:sz w:val="14"/>
              </w:rPr>
            </w:pPr>
            <w:r>
              <w:rPr>
                <w:b/>
                <w:sz w:val="14"/>
              </w:rPr>
              <w:t>314,171</w:t>
            </w:r>
          </w:p>
        </w:tc>
        <w:tc>
          <w:tcPr>
            <w:tcW w:w="861" w:type="dxa"/>
          </w:tcPr>
          <w:p>
            <w:pPr>
              <w:pStyle w:val="TableParagraph"/>
              <w:spacing w:line="152" w:lineRule="exact" w:before="8"/>
              <w:ind w:left="182" w:right="20"/>
              <w:jc w:val="center"/>
              <w:rPr>
                <w:i/>
                <w:sz w:val="14"/>
              </w:rPr>
            </w:pPr>
            <w:r>
              <w:rPr>
                <w:i/>
                <w:sz w:val="14"/>
              </w:rPr>
              <w:t>0.6%</w:t>
            </w:r>
          </w:p>
        </w:tc>
        <w:tc>
          <w:tcPr>
            <w:tcW w:w="1129" w:type="dxa"/>
          </w:tcPr>
          <w:p>
            <w:pPr>
              <w:pStyle w:val="TableParagraph"/>
              <w:spacing w:line="152" w:lineRule="exact" w:before="8"/>
              <w:ind w:right="224"/>
              <w:jc w:val="right"/>
              <w:rPr>
                <w:b/>
                <w:sz w:val="14"/>
              </w:rPr>
            </w:pPr>
            <w:r>
              <w:rPr>
                <w:b/>
                <w:sz w:val="14"/>
              </w:rPr>
              <w:t>317,312</w:t>
            </w:r>
          </w:p>
        </w:tc>
        <w:tc>
          <w:tcPr>
            <w:tcW w:w="1011" w:type="dxa"/>
          </w:tcPr>
          <w:p>
            <w:pPr>
              <w:pStyle w:val="TableParagraph"/>
              <w:spacing w:line="152" w:lineRule="exact" w:before="8"/>
              <w:ind w:right="341"/>
              <w:jc w:val="right"/>
              <w:rPr>
                <w:i/>
                <w:sz w:val="14"/>
              </w:rPr>
            </w:pPr>
            <w:r>
              <w:rPr>
                <w:i/>
                <w:w w:val="95"/>
                <w:sz w:val="14"/>
              </w:rPr>
              <w:t>0.6%</w:t>
            </w:r>
          </w:p>
        </w:tc>
      </w:tr>
      <w:tr>
        <w:trPr>
          <w:trHeight w:val="180" w:hRule="atLeast"/>
        </w:trPr>
        <w:tc>
          <w:tcPr>
            <w:tcW w:w="4528" w:type="dxa"/>
          </w:tcPr>
          <w:p>
            <w:pPr>
              <w:pStyle w:val="TableParagraph"/>
              <w:spacing w:line="154" w:lineRule="exact" w:before="5"/>
              <w:ind w:left="508"/>
              <w:rPr>
                <w:sz w:val="14"/>
              </w:rPr>
            </w:pPr>
            <w:r>
              <w:rPr>
                <w:sz w:val="14"/>
              </w:rPr>
              <w:t>o/ w: Contributions to Social Security</w:t>
            </w:r>
          </w:p>
        </w:tc>
        <w:tc>
          <w:tcPr>
            <w:tcW w:w="1036" w:type="dxa"/>
          </w:tcPr>
          <w:p>
            <w:pPr>
              <w:pStyle w:val="TableParagraph"/>
              <w:spacing w:line="154" w:lineRule="exact" w:before="5"/>
              <w:ind w:left="344"/>
              <w:rPr>
                <w:i/>
                <w:sz w:val="14"/>
              </w:rPr>
            </w:pPr>
            <w:r>
              <w:rPr>
                <w:i/>
                <w:sz w:val="14"/>
              </w:rPr>
              <w:t>59 ,501</w:t>
            </w:r>
          </w:p>
        </w:tc>
        <w:tc>
          <w:tcPr>
            <w:tcW w:w="973" w:type="dxa"/>
          </w:tcPr>
          <w:p>
            <w:pPr>
              <w:pStyle w:val="TableParagraph"/>
              <w:spacing w:line="154" w:lineRule="exact" w:before="5"/>
              <w:ind w:right="202"/>
              <w:jc w:val="right"/>
              <w:rPr>
                <w:sz w:val="14"/>
              </w:rPr>
            </w:pPr>
            <w:r>
              <w:rPr>
                <w:sz w:val="14"/>
              </w:rPr>
              <w:t>0 . 2 %</w:t>
            </w:r>
          </w:p>
        </w:tc>
        <w:tc>
          <w:tcPr>
            <w:tcW w:w="1057" w:type="dxa"/>
          </w:tcPr>
          <w:p>
            <w:pPr>
              <w:pStyle w:val="TableParagraph"/>
              <w:spacing w:line="154" w:lineRule="exact" w:before="5"/>
              <w:ind w:left="433"/>
              <w:rPr>
                <w:sz w:val="14"/>
              </w:rPr>
            </w:pPr>
            <w:r>
              <w:rPr>
                <w:sz w:val="14"/>
              </w:rPr>
              <w:t>82 ,103</w:t>
            </w:r>
          </w:p>
        </w:tc>
        <w:tc>
          <w:tcPr>
            <w:tcW w:w="928" w:type="dxa"/>
          </w:tcPr>
          <w:p>
            <w:pPr>
              <w:pStyle w:val="TableParagraph"/>
              <w:spacing w:line="154" w:lineRule="exact" w:before="5"/>
              <w:ind w:right="257"/>
              <w:jc w:val="right"/>
              <w:rPr>
                <w:i/>
                <w:sz w:val="14"/>
              </w:rPr>
            </w:pPr>
            <w:r>
              <w:rPr>
                <w:i/>
                <w:w w:val="95"/>
                <w:sz w:val="14"/>
              </w:rPr>
              <w:t>0.2%</w:t>
            </w:r>
          </w:p>
        </w:tc>
        <w:tc>
          <w:tcPr>
            <w:tcW w:w="1223" w:type="dxa"/>
          </w:tcPr>
          <w:p>
            <w:pPr>
              <w:pStyle w:val="TableParagraph"/>
              <w:spacing w:line="154" w:lineRule="exact" w:before="5"/>
              <w:ind w:right="265"/>
              <w:jc w:val="right"/>
              <w:rPr>
                <w:b/>
                <w:sz w:val="14"/>
              </w:rPr>
            </w:pPr>
            <w:r>
              <w:rPr>
                <w:b/>
                <w:w w:val="95"/>
                <w:sz w:val="14"/>
              </w:rPr>
              <w:t>82,103</w:t>
            </w:r>
          </w:p>
        </w:tc>
        <w:tc>
          <w:tcPr>
            <w:tcW w:w="916" w:type="dxa"/>
          </w:tcPr>
          <w:p>
            <w:pPr>
              <w:pStyle w:val="TableParagraph"/>
              <w:spacing w:line="154" w:lineRule="exact" w:before="5"/>
              <w:ind w:left="412"/>
              <w:rPr>
                <w:i/>
                <w:sz w:val="14"/>
              </w:rPr>
            </w:pPr>
            <w:r>
              <w:rPr>
                <w:i/>
                <w:sz w:val="14"/>
              </w:rPr>
              <w:t>0.2%</w:t>
            </w:r>
          </w:p>
        </w:tc>
        <w:tc>
          <w:tcPr>
            <w:tcW w:w="1126" w:type="dxa"/>
          </w:tcPr>
          <w:p>
            <w:pPr>
              <w:pStyle w:val="TableParagraph"/>
              <w:spacing w:line="154" w:lineRule="exact" w:before="5"/>
              <w:ind w:right="217"/>
              <w:jc w:val="right"/>
              <w:rPr>
                <w:b/>
                <w:sz w:val="14"/>
              </w:rPr>
            </w:pPr>
            <w:r>
              <w:rPr>
                <w:b/>
                <w:sz w:val="14"/>
              </w:rPr>
              <w:t>100,881</w:t>
            </w:r>
          </w:p>
        </w:tc>
        <w:tc>
          <w:tcPr>
            <w:tcW w:w="861" w:type="dxa"/>
          </w:tcPr>
          <w:p>
            <w:pPr>
              <w:pStyle w:val="TableParagraph"/>
              <w:spacing w:line="154" w:lineRule="exact" w:before="5"/>
              <w:ind w:left="182" w:right="20"/>
              <w:jc w:val="center"/>
              <w:rPr>
                <w:i/>
                <w:sz w:val="14"/>
              </w:rPr>
            </w:pPr>
            <w:r>
              <w:rPr>
                <w:i/>
                <w:sz w:val="14"/>
              </w:rPr>
              <w:t>0.2%</w:t>
            </w:r>
          </w:p>
        </w:tc>
        <w:tc>
          <w:tcPr>
            <w:tcW w:w="1129" w:type="dxa"/>
          </w:tcPr>
          <w:p>
            <w:pPr>
              <w:pStyle w:val="TableParagraph"/>
              <w:spacing w:line="154" w:lineRule="exact" w:before="5"/>
              <w:ind w:right="224"/>
              <w:jc w:val="right"/>
              <w:rPr>
                <w:b/>
                <w:sz w:val="14"/>
              </w:rPr>
            </w:pPr>
            <w:r>
              <w:rPr>
                <w:b/>
                <w:sz w:val="14"/>
              </w:rPr>
              <w:t>101,890</w:t>
            </w:r>
          </w:p>
        </w:tc>
        <w:tc>
          <w:tcPr>
            <w:tcW w:w="1011" w:type="dxa"/>
          </w:tcPr>
          <w:p>
            <w:pPr>
              <w:pStyle w:val="TableParagraph"/>
              <w:spacing w:line="154" w:lineRule="exact" w:before="5"/>
              <w:ind w:right="341"/>
              <w:jc w:val="right"/>
              <w:rPr>
                <w:i/>
                <w:sz w:val="14"/>
              </w:rPr>
            </w:pPr>
            <w:r>
              <w:rPr>
                <w:i/>
                <w:w w:val="95"/>
                <w:sz w:val="14"/>
              </w:rPr>
              <w:t>0.2%</w:t>
            </w:r>
          </w:p>
        </w:tc>
      </w:tr>
      <w:tr>
        <w:trPr>
          <w:trHeight w:val="180" w:hRule="atLeast"/>
        </w:trPr>
        <w:tc>
          <w:tcPr>
            <w:tcW w:w="4528" w:type="dxa"/>
          </w:tcPr>
          <w:p>
            <w:pPr>
              <w:pStyle w:val="TableParagraph"/>
              <w:spacing w:line="152" w:lineRule="exact" w:before="8"/>
              <w:ind w:left="167"/>
              <w:rPr>
                <w:b/>
                <w:sz w:val="14"/>
              </w:rPr>
            </w:pPr>
            <w:r>
              <w:rPr>
                <w:b/>
                <w:sz w:val="14"/>
              </w:rPr>
              <w:t>Non-Salary, Non-Interest Recurrent Expenditure</w:t>
            </w:r>
          </w:p>
        </w:tc>
        <w:tc>
          <w:tcPr>
            <w:tcW w:w="1036" w:type="dxa"/>
          </w:tcPr>
          <w:p>
            <w:pPr>
              <w:pStyle w:val="TableParagraph"/>
              <w:spacing w:line="152" w:lineRule="exact" w:before="8"/>
              <w:ind w:left="119"/>
              <w:rPr>
                <w:b/>
                <w:i/>
                <w:sz w:val="14"/>
              </w:rPr>
            </w:pPr>
            <w:r>
              <w:rPr>
                <w:b/>
                <w:i/>
                <w:sz w:val="14"/>
              </w:rPr>
              <w:t>1,784,575</w:t>
            </w:r>
          </w:p>
        </w:tc>
        <w:tc>
          <w:tcPr>
            <w:tcW w:w="973" w:type="dxa"/>
          </w:tcPr>
          <w:p>
            <w:pPr>
              <w:pStyle w:val="TableParagraph"/>
              <w:spacing w:line="152" w:lineRule="exact" w:before="8"/>
              <w:ind w:right="208"/>
              <w:jc w:val="right"/>
              <w:rPr>
                <w:b/>
                <w:sz w:val="14"/>
              </w:rPr>
            </w:pPr>
            <w:r>
              <w:rPr>
                <w:b/>
                <w:sz w:val="14"/>
              </w:rPr>
              <w:t>5.2%</w:t>
            </w:r>
          </w:p>
        </w:tc>
        <w:tc>
          <w:tcPr>
            <w:tcW w:w="1057" w:type="dxa"/>
          </w:tcPr>
          <w:p>
            <w:pPr>
              <w:pStyle w:val="TableParagraph"/>
              <w:spacing w:line="152" w:lineRule="exact" w:before="8"/>
              <w:ind w:left="208"/>
              <w:rPr>
                <w:b/>
                <w:i/>
                <w:sz w:val="14"/>
              </w:rPr>
            </w:pPr>
            <w:r>
              <w:rPr>
                <w:b/>
                <w:i/>
                <w:sz w:val="14"/>
              </w:rPr>
              <w:t>2,079,262</w:t>
            </w:r>
          </w:p>
        </w:tc>
        <w:tc>
          <w:tcPr>
            <w:tcW w:w="928" w:type="dxa"/>
          </w:tcPr>
          <w:p>
            <w:pPr>
              <w:pStyle w:val="TableParagraph"/>
              <w:spacing w:line="152" w:lineRule="exact" w:before="8"/>
              <w:ind w:right="257"/>
              <w:jc w:val="right"/>
              <w:rPr>
                <w:i/>
                <w:sz w:val="14"/>
              </w:rPr>
            </w:pPr>
            <w:r>
              <w:rPr>
                <w:i/>
                <w:w w:val="95"/>
                <w:sz w:val="14"/>
              </w:rPr>
              <w:t>5.5%</w:t>
            </w:r>
          </w:p>
        </w:tc>
        <w:tc>
          <w:tcPr>
            <w:tcW w:w="1223" w:type="dxa"/>
          </w:tcPr>
          <w:p>
            <w:pPr>
              <w:pStyle w:val="TableParagraph"/>
              <w:spacing w:line="152" w:lineRule="exact" w:before="8"/>
              <w:ind w:right="296"/>
              <w:jc w:val="right"/>
              <w:rPr>
                <w:b/>
                <w:i/>
                <w:sz w:val="14"/>
              </w:rPr>
            </w:pPr>
            <w:r>
              <w:rPr>
                <w:b/>
                <w:i/>
                <w:sz w:val="14"/>
              </w:rPr>
              <w:t>2,075,970</w:t>
            </w:r>
          </w:p>
        </w:tc>
        <w:tc>
          <w:tcPr>
            <w:tcW w:w="916" w:type="dxa"/>
          </w:tcPr>
          <w:p>
            <w:pPr>
              <w:pStyle w:val="TableParagraph"/>
              <w:spacing w:line="152" w:lineRule="exact" w:before="8"/>
              <w:ind w:left="412"/>
              <w:rPr>
                <w:i/>
                <w:sz w:val="14"/>
              </w:rPr>
            </w:pPr>
            <w:r>
              <w:rPr>
                <w:i/>
                <w:sz w:val="14"/>
              </w:rPr>
              <w:t>4.8%</w:t>
            </w:r>
          </w:p>
        </w:tc>
        <w:tc>
          <w:tcPr>
            <w:tcW w:w="1126" w:type="dxa"/>
          </w:tcPr>
          <w:p>
            <w:pPr>
              <w:pStyle w:val="TableParagraph"/>
              <w:spacing w:line="152" w:lineRule="exact" w:before="8"/>
              <w:ind w:right="241"/>
              <w:jc w:val="right"/>
              <w:rPr>
                <w:b/>
                <w:i/>
                <w:sz w:val="14"/>
              </w:rPr>
            </w:pPr>
            <w:r>
              <w:rPr>
                <w:b/>
                <w:i/>
                <w:sz w:val="14"/>
              </w:rPr>
              <w:t>2,398,168</w:t>
            </w:r>
          </w:p>
        </w:tc>
        <w:tc>
          <w:tcPr>
            <w:tcW w:w="861" w:type="dxa"/>
          </w:tcPr>
          <w:p>
            <w:pPr>
              <w:pStyle w:val="TableParagraph"/>
              <w:spacing w:line="152" w:lineRule="exact" w:before="8"/>
              <w:ind w:left="182" w:right="20"/>
              <w:jc w:val="center"/>
              <w:rPr>
                <w:i/>
                <w:sz w:val="14"/>
              </w:rPr>
            </w:pPr>
            <w:r>
              <w:rPr>
                <w:i/>
                <w:sz w:val="14"/>
              </w:rPr>
              <w:t>4.7%</w:t>
            </w:r>
          </w:p>
        </w:tc>
        <w:tc>
          <w:tcPr>
            <w:tcW w:w="1129" w:type="dxa"/>
          </w:tcPr>
          <w:p>
            <w:pPr>
              <w:pStyle w:val="TableParagraph"/>
              <w:spacing w:line="152" w:lineRule="exact" w:before="8"/>
              <w:ind w:right="248"/>
              <w:jc w:val="right"/>
              <w:rPr>
                <w:b/>
                <w:i/>
                <w:sz w:val="14"/>
              </w:rPr>
            </w:pPr>
            <w:r>
              <w:rPr>
                <w:b/>
                <w:i/>
                <w:sz w:val="14"/>
              </w:rPr>
              <w:t>2,827,308</w:t>
            </w:r>
          </w:p>
        </w:tc>
        <w:tc>
          <w:tcPr>
            <w:tcW w:w="1011" w:type="dxa"/>
          </w:tcPr>
          <w:p>
            <w:pPr>
              <w:pStyle w:val="TableParagraph"/>
              <w:spacing w:line="152" w:lineRule="exact" w:before="8"/>
              <w:ind w:right="341"/>
              <w:jc w:val="right"/>
              <w:rPr>
                <w:i/>
                <w:sz w:val="14"/>
              </w:rPr>
            </w:pPr>
            <w:r>
              <w:rPr>
                <w:i/>
                <w:w w:val="95"/>
                <w:sz w:val="14"/>
              </w:rPr>
              <w:t>4.9%</w:t>
            </w:r>
          </w:p>
        </w:tc>
      </w:tr>
      <w:tr>
        <w:trPr>
          <w:trHeight w:val="180" w:hRule="atLeast"/>
        </w:trPr>
        <w:tc>
          <w:tcPr>
            <w:tcW w:w="4528" w:type="dxa"/>
          </w:tcPr>
          <w:p>
            <w:pPr>
              <w:pStyle w:val="TableParagraph"/>
              <w:spacing w:line="154" w:lineRule="exact" w:before="5"/>
              <w:ind w:left="336"/>
              <w:rPr>
                <w:b/>
                <w:sz w:val="14"/>
              </w:rPr>
            </w:pPr>
            <w:r>
              <w:rPr>
                <w:b/>
                <w:sz w:val="14"/>
              </w:rPr>
              <w:t>Goods and Services</w:t>
            </w:r>
          </w:p>
        </w:tc>
        <w:tc>
          <w:tcPr>
            <w:tcW w:w="1036" w:type="dxa"/>
          </w:tcPr>
          <w:p>
            <w:pPr>
              <w:pStyle w:val="TableParagraph"/>
              <w:spacing w:line="154" w:lineRule="exact" w:before="5"/>
              <w:ind w:left="119"/>
              <w:rPr>
                <w:b/>
                <w:i/>
                <w:sz w:val="14"/>
              </w:rPr>
            </w:pPr>
            <w:r>
              <w:rPr>
                <w:b/>
                <w:i/>
                <w:sz w:val="14"/>
              </w:rPr>
              <w:t>1,064,912</w:t>
            </w:r>
          </w:p>
        </w:tc>
        <w:tc>
          <w:tcPr>
            <w:tcW w:w="973" w:type="dxa"/>
          </w:tcPr>
          <w:p>
            <w:pPr>
              <w:pStyle w:val="TableParagraph"/>
              <w:spacing w:line="154" w:lineRule="exact" w:before="5"/>
              <w:ind w:right="208"/>
              <w:jc w:val="right"/>
              <w:rPr>
                <w:b/>
                <w:sz w:val="14"/>
              </w:rPr>
            </w:pPr>
            <w:r>
              <w:rPr>
                <w:b/>
                <w:sz w:val="14"/>
              </w:rPr>
              <w:t>3.3%</w:t>
            </w:r>
          </w:p>
        </w:tc>
        <w:tc>
          <w:tcPr>
            <w:tcW w:w="1057" w:type="dxa"/>
          </w:tcPr>
          <w:p>
            <w:pPr>
              <w:pStyle w:val="TableParagraph"/>
              <w:spacing w:line="154" w:lineRule="exact" w:before="5"/>
              <w:ind w:left="241"/>
              <w:rPr>
                <w:b/>
                <w:sz w:val="14"/>
              </w:rPr>
            </w:pPr>
            <w:r>
              <w:rPr>
                <w:b/>
                <w:sz w:val="14"/>
              </w:rPr>
              <w:t>1,175,829</w:t>
            </w:r>
          </w:p>
        </w:tc>
        <w:tc>
          <w:tcPr>
            <w:tcW w:w="928" w:type="dxa"/>
          </w:tcPr>
          <w:p>
            <w:pPr>
              <w:pStyle w:val="TableParagraph"/>
              <w:spacing w:line="154" w:lineRule="exact" w:before="5"/>
              <w:ind w:right="257"/>
              <w:jc w:val="right"/>
              <w:rPr>
                <w:i/>
                <w:sz w:val="14"/>
              </w:rPr>
            </w:pPr>
            <w:r>
              <w:rPr>
                <w:i/>
                <w:w w:val="95"/>
                <w:sz w:val="14"/>
              </w:rPr>
              <w:t>3.1%</w:t>
            </w:r>
          </w:p>
        </w:tc>
        <w:tc>
          <w:tcPr>
            <w:tcW w:w="1223" w:type="dxa"/>
          </w:tcPr>
          <w:p>
            <w:pPr>
              <w:pStyle w:val="TableParagraph"/>
              <w:spacing w:line="154" w:lineRule="exact" w:before="5"/>
              <w:ind w:right="283"/>
              <w:jc w:val="right"/>
              <w:rPr>
                <w:b/>
                <w:sz w:val="14"/>
              </w:rPr>
            </w:pPr>
            <w:r>
              <w:rPr>
                <w:b/>
                <w:sz w:val="14"/>
              </w:rPr>
              <w:t>1,057,970</w:t>
            </w:r>
          </w:p>
        </w:tc>
        <w:tc>
          <w:tcPr>
            <w:tcW w:w="916" w:type="dxa"/>
          </w:tcPr>
          <w:p>
            <w:pPr>
              <w:pStyle w:val="TableParagraph"/>
              <w:spacing w:line="154" w:lineRule="exact" w:before="5"/>
              <w:ind w:left="412"/>
              <w:rPr>
                <w:i/>
                <w:sz w:val="14"/>
              </w:rPr>
            </w:pPr>
            <w:r>
              <w:rPr>
                <w:i/>
                <w:sz w:val="14"/>
              </w:rPr>
              <w:t>2.4%</w:t>
            </w:r>
          </w:p>
        </w:tc>
        <w:tc>
          <w:tcPr>
            <w:tcW w:w="1126" w:type="dxa"/>
          </w:tcPr>
          <w:p>
            <w:pPr>
              <w:pStyle w:val="TableParagraph"/>
              <w:spacing w:line="154" w:lineRule="exact" w:before="5"/>
              <w:ind w:right="228"/>
              <w:jc w:val="right"/>
              <w:rPr>
                <w:b/>
                <w:sz w:val="14"/>
              </w:rPr>
            </w:pPr>
            <w:r>
              <w:rPr>
                <w:b/>
                <w:sz w:val="14"/>
              </w:rPr>
              <w:t>1,237,961</w:t>
            </w:r>
          </w:p>
        </w:tc>
        <w:tc>
          <w:tcPr>
            <w:tcW w:w="861" w:type="dxa"/>
          </w:tcPr>
          <w:p>
            <w:pPr>
              <w:pStyle w:val="TableParagraph"/>
              <w:spacing w:line="154" w:lineRule="exact" w:before="5"/>
              <w:ind w:left="182" w:right="20"/>
              <w:jc w:val="center"/>
              <w:rPr>
                <w:i/>
                <w:sz w:val="14"/>
              </w:rPr>
            </w:pPr>
            <w:r>
              <w:rPr>
                <w:i/>
                <w:sz w:val="14"/>
              </w:rPr>
              <w:t>2.4%</w:t>
            </w:r>
          </w:p>
        </w:tc>
        <w:tc>
          <w:tcPr>
            <w:tcW w:w="1129" w:type="dxa"/>
          </w:tcPr>
          <w:p>
            <w:pPr>
              <w:pStyle w:val="TableParagraph"/>
              <w:spacing w:line="154" w:lineRule="exact" w:before="5"/>
              <w:ind w:right="235"/>
              <w:jc w:val="right"/>
              <w:rPr>
                <w:b/>
                <w:sz w:val="14"/>
              </w:rPr>
            </w:pPr>
            <w:r>
              <w:rPr>
                <w:b/>
                <w:sz w:val="14"/>
              </w:rPr>
              <w:t>1,452,509</w:t>
            </w:r>
          </w:p>
        </w:tc>
        <w:tc>
          <w:tcPr>
            <w:tcW w:w="1011" w:type="dxa"/>
          </w:tcPr>
          <w:p>
            <w:pPr>
              <w:pStyle w:val="TableParagraph"/>
              <w:spacing w:line="154" w:lineRule="exact" w:before="5"/>
              <w:ind w:right="341"/>
              <w:jc w:val="right"/>
              <w:rPr>
                <w:i/>
                <w:sz w:val="14"/>
              </w:rPr>
            </w:pPr>
            <w:r>
              <w:rPr>
                <w:i/>
                <w:w w:val="95"/>
                <w:sz w:val="14"/>
              </w:rPr>
              <w:t>2.5%</w:t>
            </w:r>
          </w:p>
        </w:tc>
      </w:tr>
      <w:tr>
        <w:trPr>
          <w:trHeight w:val="180" w:hRule="atLeast"/>
        </w:trPr>
        <w:tc>
          <w:tcPr>
            <w:tcW w:w="4528" w:type="dxa"/>
          </w:tcPr>
          <w:p>
            <w:pPr>
              <w:pStyle w:val="TableParagraph"/>
              <w:spacing w:line="152" w:lineRule="exact" w:before="8"/>
              <w:ind w:left="508"/>
              <w:rPr>
                <w:i/>
                <w:sz w:val="14"/>
              </w:rPr>
            </w:pPr>
            <w:r>
              <w:rPr>
                <w:i/>
                <w:sz w:val="14"/>
              </w:rPr>
              <w:t>o/ w Social and Economic</w:t>
            </w:r>
          </w:p>
        </w:tc>
        <w:tc>
          <w:tcPr>
            <w:tcW w:w="1036" w:type="dxa"/>
          </w:tcPr>
          <w:p>
            <w:pPr>
              <w:pStyle w:val="TableParagraph"/>
              <w:spacing w:line="152" w:lineRule="exact" w:before="8"/>
              <w:ind w:left="258"/>
              <w:rPr>
                <w:i/>
                <w:sz w:val="14"/>
              </w:rPr>
            </w:pPr>
            <w:r>
              <w:rPr>
                <w:i/>
                <w:sz w:val="14"/>
              </w:rPr>
              <w:t>446,218</w:t>
            </w:r>
          </w:p>
        </w:tc>
        <w:tc>
          <w:tcPr>
            <w:tcW w:w="973" w:type="dxa"/>
          </w:tcPr>
          <w:p>
            <w:pPr>
              <w:pStyle w:val="TableParagraph"/>
              <w:spacing w:line="152" w:lineRule="exact" w:before="8"/>
              <w:ind w:right="202"/>
              <w:jc w:val="right"/>
              <w:rPr>
                <w:sz w:val="14"/>
              </w:rPr>
            </w:pPr>
            <w:r>
              <w:rPr>
                <w:sz w:val="14"/>
              </w:rPr>
              <w:t>1 . 4 %</w:t>
            </w:r>
          </w:p>
        </w:tc>
        <w:tc>
          <w:tcPr>
            <w:tcW w:w="1057" w:type="dxa"/>
          </w:tcPr>
          <w:p>
            <w:pPr>
              <w:pStyle w:val="TableParagraph"/>
              <w:spacing w:line="152" w:lineRule="exact" w:before="8"/>
              <w:ind w:left="342"/>
              <w:rPr>
                <w:sz w:val="14"/>
              </w:rPr>
            </w:pPr>
            <w:r>
              <w:rPr>
                <w:sz w:val="14"/>
              </w:rPr>
              <w:t>589,408</w:t>
            </w:r>
          </w:p>
        </w:tc>
        <w:tc>
          <w:tcPr>
            <w:tcW w:w="928" w:type="dxa"/>
          </w:tcPr>
          <w:p>
            <w:pPr>
              <w:pStyle w:val="TableParagraph"/>
              <w:spacing w:line="152" w:lineRule="exact" w:before="8"/>
              <w:ind w:right="257"/>
              <w:jc w:val="right"/>
              <w:rPr>
                <w:i/>
                <w:sz w:val="14"/>
              </w:rPr>
            </w:pPr>
            <w:r>
              <w:rPr>
                <w:i/>
                <w:w w:val="95"/>
                <w:sz w:val="14"/>
              </w:rPr>
              <w:t>1.6%</w:t>
            </w:r>
          </w:p>
        </w:tc>
        <w:tc>
          <w:tcPr>
            <w:tcW w:w="1223" w:type="dxa"/>
          </w:tcPr>
          <w:p>
            <w:pPr>
              <w:pStyle w:val="TableParagraph"/>
              <w:spacing w:line="152" w:lineRule="exact" w:before="8"/>
              <w:ind w:right="272"/>
              <w:jc w:val="right"/>
              <w:rPr>
                <w:b/>
                <w:sz w:val="14"/>
              </w:rPr>
            </w:pPr>
            <w:r>
              <w:rPr>
                <w:b/>
                <w:sz w:val="14"/>
              </w:rPr>
              <w:t>384,693</w:t>
            </w:r>
          </w:p>
        </w:tc>
        <w:tc>
          <w:tcPr>
            <w:tcW w:w="916" w:type="dxa"/>
          </w:tcPr>
          <w:p>
            <w:pPr>
              <w:pStyle w:val="TableParagraph"/>
              <w:spacing w:line="152" w:lineRule="exact" w:before="8"/>
              <w:ind w:left="412"/>
              <w:rPr>
                <w:i/>
                <w:sz w:val="14"/>
              </w:rPr>
            </w:pPr>
            <w:r>
              <w:rPr>
                <w:i/>
                <w:sz w:val="14"/>
              </w:rPr>
              <w:t>0.9%</w:t>
            </w:r>
          </w:p>
        </w:tc>
        <w:tc>
          <w:tcPr>
            <w:tcW w:w="1126" w:type="dxa"/>
          </w:tcPr>
          <w:p>
            <w:pPr>
              <w:pStyle w:val="TableParagraph"/>
              <w:spacing w:line="152" w:lineRule="exact" w:before="8"/>
              <w:ind w:right="197"/>
              <w:jc w:val="right"/>
              <w:rPr>
                <w:sz w:val="14"/>
              </w:rPr>
            </w:pPr>
            <w:r>
              <w:rPr>
                <w:sz w:val="14"/>
              </w:rPr>
              <w:t>450,645</w:t>
            </w:r>
          </w:p>
        </w:tc>
        <w:tc>
          <w:tcPr>
            <w:tcW w:w="861" w:type="dxa"/>
          </w:tcPr>
          <w:p>
            <w:pPr>
              <w:pStyle w:val="TableParagraph"/>
              <w:spacing w:line="152" w:lineRule="exact" w:before="8"/>
              <w:ind w:left="182" w:right="20"/>
              <w:jc w:val="center"/>
              <w:rPr>
                <w:i/>
                <w:sz w:val="14"/>
              </w:rPr>
            </w:pPr>
            <w:r>
              <w:rPr>
                <w:i/>
                <w:sz w:val="14"/>
              </w:rPr>
              <w:t>0.9%</w:t>
            </w:r>
          </w:p>
        </w:tc>
        <w:tc>
          <w:tcPr>
            <w:tcW w:w="1129" w:type="dxa"/>
          </w:tcPr>
          <w:p>
            <w:pPr>
              <w:pStyle w:val="TableParagraph"/>
              <w:spacing w:line="152" w:lineRule="exact" w:before="8"/>
              <w:ind w:right="205"/>
              <w:jc w:val="right"/>
              <w:rPr>
                <w:sz w:val="14"/>
              </w:rPr>
            </w:pPr>
            <w:r>
              <w:rPr>
                <w:sz w:val="14"/>
              </w:rPr>
              <w:t>640,273</w:t>
            </w:r>
          </w:p>
        </w:tc>
        <w:tc>
          <w:tcPr>
            <w:tcW w:w="1011" w:type="dxa"/>
          </w:tcPr>
          <w:p>
            <w:pPr>
              <w:pStyle w:val="TableParagraph"/>
              <w:spacing w:line="152" w:lineRule="exact" w:before="8"/>
              <w:ind w:right="341"/>
              <w:jc w:val="right"/>
              <w:rPr>
                <w:i/>
                <w:sz w:val="14"/>
              </w:rPr>
            </w:pPr>
            <w:r>
              <w:rPr>
                <w:i/>
                <w:w w:val="95"/>
                <w:sz w:val="14"/>
              </w:rPr>
              <w:t>1.1%</w:t>
            </w:r>
          </w:p>
        </w:tc>
      </w:tr>
      <w:tr>
        <w:trPr>
          <w:trHeight w:val="180" w:hRule="atLeast"/>
        </w:trPr>
        <w:tc>
          <w:tcPr>
            <w:tcW w:w="4528" w:type="dxa"/>
          </w:tcPr>
          <w:p>
            <w:pPr>
              <w:pStyle w:val="TableParagraph"/>
              <w:spacing w:line="154" w:lineRule="exact" w:before="5"/>
              <w:ind w:left="676"/>
              <w:rPr>
                <w:b/>
                <w:i/>
                <w:sz w:val="14"/>
              </w:rPr>
            </w:pPr>
            <w:r>
              <w:rPr>
                <w:b/>
                <w:i/>
                <w:sz w:val="14"/>
              </w:rPr>
              <w:t>o/w Free Education Programme (Senior Secondary)</w:t>
            </w:r>
          </w:p>
        </w:tc>
        <w:tc>
          <w:tcPr>
            <w:tcW w:w="1036" w:type="dxa"/>
          </w:tcPr>
          <w:p>
            <w:pPr>
              <w:pStyle w:val="TableParagraph"/>
              <w:spacing w:line="154" w:lineRule="exact" w:before="5"/>
              <w:ind w:left="258"/>
              <w:rPr>
                <w:b/>
                <w:i/>
                <w:sz w:val="14"/>
              </w:rPr>
            </w:pPr>
            <w:r>
              <w:rPr>
                <w:b/>
                <w:i/>
                <w:sz w:val="14"/>
              </w:rPr>
              <w:t>120,003</w:t>
            </w:r>
          </w:p>
        </w:tc>
        <w:tc>
          <w:tcPr>
            <w:tcW w:w="973" w:type="dxa"/>
          </w:tcPr>
          <w:p>
            <w:pPr>
              <w:pStyle w:val="TableParagraph"/>
              <w:spacing w:line="154" w:lineRule="exact" w:before="5"/>
              <w:ind w:right="208"/>
              <w:jc w:val="right"/>
              <w:rPr>
                <w:b/>
                <w:sz w:val="14"/>
              </w:rPr>
            </w:pPr>
            <w:r>
              <w:rPr>
                <w:b/>
                <w:sz w:val="14"/>
              </w:rPr>
              <w:t>0.4%</w:t>
            </w:r>
          </w:p>
        </w:tc>
        <w:tc>
          <w:tcPr>
            <w:tcW w:w="1057" w:type="dxa"/>
          </w:tcPr>
          <w:p>
            <w:pPr>
              <w:pStyle w:val="TableParagraph"/>
              <w:spacing w:line="154" w:lineRule="exact" w:before="5"/>
              <w:ind w:left="361"/>
              <w:rPr>
                <w:b/>
                <w:sz w:val="14"/>
              </w:rPr>
            </w:pPr>
            <w:r>
              <w:rPr>
                <w:b/>
                <w:sz w:val="14"/>
              </w:rPr>
              <w:t>127,165</w:t>
            </w:r>
          </w:p>
        </w:tc>
        <w:tc>
          <w:tcPr>
            <w:tcW w:w="928" w:type="dxa"/>
          </w:tcPr>
          <w:p>
            <w:pPr>
              <w:pStyle w:val="TableParagraph"/>
              <w:spacing w:line="154" w:lineRule="exact" w:before="5"/>
              <w:ind w:right="257"/>
              <w:jc w:val="right"/>
              <w:rPr>
                <w:i/>
                <w:sz w:val="14"/>
              </w:rPr>
            </w:pPr>
            <w:r>
              <w:rPr>
                <w:i/>
                <w:w w:val="95"/>
                <w:sz w:val="14"/>
              </w:rPr>
              <w:t>0.3%</w:t>
            </w:r>
          </w:p>
        </w:tc>
        <w:tc>
          <w:tcPr>
            <w:tcW w:w="1223" w:type="dxa"/>
          </w:tcPr>
          <w:p>
            <w:pPr>
              <w:pStyle w:val="TableParagraph"/>
              <w:spacing w:line="154" w:lineRule="exact" w:before="5"/>
              <w:ind w:right="265"/>
              <w:jc w:val="right"/>
              <w:rPr>
                <w:b/>
                <w:sz w:val="14"/>
              </w:rPr>
            </w:pPr>
            <w:r>
              <w:rPr>
                <w:b/>
                <w:w w:val="95"/>
                <w:sz w:val="14"/>
              </w:rPr>
              <w:t>16,870</w:t>
            </w:r>
          </w:p>
        </w:tc>
        <w:tc>
          <w:tcPr>
            <w:tcW w:w="916" w:type="dxa"/>
          </w:tcPr>
          <w:p>
            <w:pPr>
              <w:pStyle w:val="TableParagraph"/>
              <w:spacing w:line="154" w:lineRule="exact" w:before="5"/>
              <w:ind w:left="412"/>
              <w:rPr>
                <w:i/>
                <w:sz w:val="14"/>
              </w:rPr>
            </w:pPr>
            <w:r>
              <w:rPr>
                <w:i/>
                <w:sz w:val="14"/>
              </w:rPr>
              <w:t>0.0%</w:t>
            </w:r>
          </w:p>
        </w:tc>
        <w:tc>
          <w:tcPr>
            <w:tcW w:w="1126" w:type="dxa"/>
          </w:tcPr>
          <w:p>
            <w:pPr>
              <w:pStyle w:val="TableParagraph"/>
              <w:spacing w:line="154" w:lineRule="exact" w:before="5"/>
              <w:ind w:right="193"/>
              <w:jc w:val="right"/>
              <w:rPr>
                <w:sz w:val="14"/>
              </w:rPr>
            </w:pPr>
            <w:r>
              <w:rPr>
                <w:sz w:val="14"/>
              </w:rPr>
              <w:t>20 ,564</w:t>
            </w:r>
          </w:p>
        </w:tc>
        <w:tc>
          <w:tcPr>
            <w:tcW w:w="861" w:type="dxa"/>
          </w:tcPr>
          <w:p>
            <w:pPr>
              <w:pStyle w:val="TableParagraph"/>
              <w:spacing w:line="154" w:lineRule="exact" w:before="5"/>
              <w:ind w:left="182" w:right="20"/>
              <w:jc w:val="center"/>
              <w:rPr>
                <w:i/>
                <w:sz w:val="14"/>
              </w:rPr>
            </w:pPr>
            <w:r>
              <w:rPr>
                <w:i/>
                <w:sz w:val="14"/>
              </w:rPr>
              <w:t>0.0%</w:t>
            </w:r>
          </w:p>
        </w:tc>
        <w:tc>
          <w:tcPr>
            <w:tcW w:w="1129" w:type="dxa"/>
          </w:tcPr>
          <w:p>
            <w:pPr>
              <w:pStyle w:val="TableParagraph"/>
              <w:spacing w:line="154" w:lineRule="exact" w:before="5"/>
              <w:ind w:right="201"/>
              <w:jc w:val="right"/>
              <w:rPr>
                <w:sz w:val="14"/>
              </w:rPr>
            </w:pPr>
            <w:r>
              <w:rPr>
                <w:sz w:val="14"/>
              </w:rPr>
              <w:t>21 ,796</w:t>
            </w:r>
          </w:p>
        </w:tc>
        <w:tc>
          <w:tcPr>
            <w:tcW w:w="1011" w:type="dxa"/>
          </w:tcPr>
          <w:p>
            <w:pPr>
              <w:pStyle w:val="TableParagraph"/>
              <w:spacing w:line="154" w:lineRule="exact" w:before="5"/>
              <w:ind w:right="341"/>
              <w:jc w:val="right"/>
              <w:rPr>
                <w:i/>
                <w:sz w:val="14"/>
              </w:rPr>
            </w:pPr>
            <w:r>
              <w:rPr>
                <w:i/>
                <w:w w:val="95"/>
                <w:sz w:val="14"/>
              </w:rPr>
              <w:t>0.0%</w:t>
            </w:r>
          </w:p>
        </w:tc>
      </w:tr>
      <w:tr>
        <w:trPr>
          <w:trHeight w:val="180" w:hRule="atLeast"/>
        </w:trPr>
        <w:tc>
          <w:tcPr>
            <w:tcW w:w="4528" w:type="dxa"/>
          </w:tcPr>
          <w:p>
            <w:pPr>
              <w:pStyle w:val="TableParagraph"/>
              <w:spacing w:line="152" w:lineRule="exact" w:before="8"/>
              <w:ind w:left="508"/>
              <w:rPr>
                <w:i/>
                <w:sz w:val="14"/>
              </w:rPr>
            </w:pPr>
            <w:r>
              <w:rPr>
                <w:i/>
                <w:sz w:val="14"/>
              </w:rPr>
              <w:t>General and Others</w:t>
            </w:r>
          </w:p>
        </w:tc>
        <w:tc>
          <w:tcPr>
            <w:tcW w:w="1036" w:type="dxa"/>
          </w:tcPr>
          <w:p>
            <w:pPr>
              <w:pStyle w:val="TableParagraph"/>
              <w:spacing w:line="152" w:lineRule="exact" w:before="8"/>
              <w:ind w:left="258"/>
              <w:rPr>
                <w:i/>
                <w:sz w:val="14"/>
              </w:rPr>
            </w:pPr>
            <w:r>
              <w:rPr>
                <w:i/>
                <w:sz w:val="14"/>
              </w:rPr>
              <w:t>400,153</w:t>
            </w:r>
          </w:p>
        </w:tc>
        <w:tc>
          <w:tcPr>
            <w:tcW w:w="973" w:type="dxa"/>
          </w:tcPr>
          <w:p>
            <w:pPr>
              <w:pStyle w:val="TableParagraph"/>
              <w:spacing w:line="152" w:lineRule="exact" w:before="8"/>
              <w:ind w:right="202"/>
              <w:jc w:val="right"/>
              <w:rPr>
                <w:sz w:val="14"/>
              </w:rPr>
            </w:pPr>
            <w:r>
              <w:rPr>
                <w:sz w:val="14"/>
              </w:rPr>
              <w:t>1 . 2 %</w:t>
            </w:r>
          </w:p>
        </w:tc>
        <w:tc>
          <w:tcPr>
            <w:tcW w:w="1057" w:type="dxa"/>
          </w:tcPr>
          <w:p>
            <w:pPr>
              <w:pStyle w:val="TableParagraph"/>
              <w:spacing w:line="152" w:lineRule="exact" w:before="8"/>
              <w:ind w:left="342"/>
              <w:rPr>
                <w:sz w:val="14"/>
              </w:rPr>
            </w:pPr>
            <w:r>
              <w:rPr>
                <w:sz w:val="14"/>
              </w:rPr>
              <w:t>350,343</w:t>
            </w:r>
          </w:p>
        </w:tc>
        <w:tc>
          <w:tcPr>
            <w:tcW w:w="928" w:type="dxa"/>
          </w:tcPr>
          <w:p>
            <w:pPr>
              <w:pStyle w:val="TableParagraph"/>
              <w:spacing w:line="152" w:lineRule="exact" w:before="8"/>
              <w:ind w:right="257"/>
              <w:jc w:val="right"/>
              <w:rPr>
                <w:i/>
                <w:sz w:val="14"/>
              </w:rPr>
            </w:pPr>
            <w:r>
              <w:rPr>
                <w:i/>
                <w:w w:val="95"/>
                <w:sz w:val="14"/>
              </w:rPr>
              <w:t>0.9%</w:t>
            </w:r>
          </w:p>
        </w:tc>
        <w:tc>
          <w:tcPr>
            <w:tcW w:w="1223" w:type="dxa"/>
          </w:tcPr>
          <w:p>
            <w:pPr>
              <w:pStyle w:val="TableParagraph"/>
              <w:spacing w:line="152" w:lineRule="exact" w:before="8"/>
              <w:ind w:right="272"/>
              <w:jc w:val="right"/>
              <w:rPr>
                <w:b/>
                <w:sz w:val="14"/>
              </w:rPr>
            </w:pPr>
            <w:r>
              <w:rPr>
                <w:b/>
                <w:sz w:val="14"/>
              </w:rPr>
              <w:t>498,629</w:t>
            </w:r>
          </w:p>
        </w:tc>
        <w:tc>
          <w:tcPr>
            <w:tcW w:w="916" w:type="dxa"/>
          </w:tcPr>
          <w:p>
            <w:pPr>
              <w:pStyle w:val="TableParagraph"/>
              <w:spacing w:line="152" w:lineRule="exact" w:before="8"/>
              <w:ind w:left="412"/>
              <w:rPr>
                <w:i/>
                <w:sz w:val="14"/>
              </w:rPr>
            </w:pPr>
            <w:r>
              <w:rPr>
                <w:i/>
                <w:sz w:val="14"/>
              </w:rPr>
              <w:t>1.1%</w:t>
            </w:r>
          </w:p>
        </w:tc>
        <w:tc>
          <w:tcPr>
            <w:tcW w:w="1126" w:type="dxa"/>
          </w:tcPr>
          <w:p>
            <w:pPr>
              <w:pStyle w:val="TableParagraph"/>
              <w:spacing w:line="152" w:lineRule="exact" w:before="8"/>
              <w:ind w:right="197"/>
              <w:jc w:val="right"/>
              <w:rPr>
                <w:sz w:val="14"/>
              </w:rPr>
            </w:pPr>
            <w:r>
              <w:rPr>
                <w:sz w:val="14"/>
              </w:rPr>
              <w:t>524,921</w:t>
            </w:r>
          </w:p>
        </w:tc>
        <w:tc>
          <w:tcPr>
            <w:tcW w:w="861" w:type="dxa"/>
          </w:tcPr>
          <w:p>
            <w:pPr>
              <w:pStyle w:val="TableParagraph"/>
              <w:spacing w:line="152" w:lineRule="exact" w:before="8"/>
              <w:ind w:left="182" w:right="20"/>
              <w:jc w:val="center"/>
              <w:rPr>
                <w:i/>
                <w:sz w:val="14"/>
              </w:rPr>
            </w:pPr>
            <w:r>
              <w:rPr>
                <w:i/>
                <w:sz w:val="14"/>
              </w:rPr>
              <w:t>1.0%</w:t>
            </w:r>
          </w:p>
        </w:tc>
        <w:tc>
          <w:tcPr>
            <w:tcW w:w="1129" w:type="dxa"/>
          </w:tcPr>
          <w:p>
            <w:pPr>
              <w:pStyle w:val="TableParagraph"/>
              <w:spacing w:line="152" w:lineRule="exact" w:before="8"/>
              <w:ind w:right="205"/>
              <w:jc w:val="right"/>
              <w:rPr>
                <w:sz w:val="14"/>
              </w:rPr>
            </w:pPr>
            <w:r>
              <w:rPr>
                <w:sz w:val="14"/>
              </w:rPr>
              <w:t>534,123</w:t>
            </w:r>
          </w:p>
        </w:tc>
        <w:tc>
          <w:tcPr>
            <w:tcW w:w="1011" w:type="dxa"/>
          </w:tcPr>
          <w:p>
            <w:pPr>
              <w:pStyle w:val="TableParagraph"/>
              <w:spacing w:line="152" w:lineRule="exact" w:before="8"/>
              <w:ind w:right="341"/>
              <w:jc w:val="right"/>
              <w:rPr>
                <w:i/>
                <w:sz w:val="14"/>
              </w:rPr>
            </w:pPr>
            <w:r>
              <w:rPr>
                <w:i/>
                <w:w w:val="95"/>
                <w:sz w:val="14"/>
              </w:rPr>
              <w:t>0.9%</w:t>
            </w:r>
          </w:p>
        </w:tc>
      </w:tr>
      <w:tr>
        <w:trPr>
          <w:trHeight w:val="180" w:hRule="atLeast"/>
        </w:trPr>
        <w:tc>
          <w:tcPr>
            <w:tcW w:w="4528" w:type="dxa"/>
          </w:tcPr>
          <w:p>
            <w:pPr>
              <w:pStyle w:val="TableParagraph"/>
              <w:spacing w:line="154" w:lineRule="exact" w:before="5"/>
              <w:ind w:left="1017"/>
              <w:rPr>
                <w:i/>
                <w:sz w:val="14"/>
              </w:rPr>
            </w:pPr>
            <w:r>
              <w:rPr>
                <w:i/>
                <w:sz w:val="14"/>
              </w:rPr>
              <w:t>Statistics - Sierra Leone</w:t>
            </w:r>
          </w:p>
        </w:tc>
        <w:tc>
          <w:tcPr>
            <w:tcW w:w="1036" w:type="dxa"/>
          </w:tcPr>
          <w:p>
            <w:pPr>
              <w:pStyle w:val="TableParagraph"/>
              <w:spacing w:line="154" w:lineRule="exact" w:before="5"/>
              <w:ind w:left="450"/>
              <w:rPr>
                <w:i/>
                <w:sz w:val="14"/>
              </w:rPr>
            </w:pPr>
            <w:r>
              <w:rPr>
                <w:i/>
                <w:sz w:val="14"/>
              </w:rPr>
              <w:t>5,223</w:t>
            </w:r>
          </w:p>
        </w:tc>
        <w:tc>
          <w:tcPr>
            <w:tcW w:w="973" w:type="dxa"/>
          </w:tcPr>
          <w:p>
            <w:pPr>
              <w:pStyle w:val="TableParagraph"/>
              <w:spacing w:line="154" w:lineRule="exact" w:before="5"/>
              <w:ind w:right="202"/>
              <w:jc w:val="right"/>
              <w:rPr>
                <w:sz w:val="14"/>
              </w:rPr>
            </w:pPr>
            <w:r>
              <w:rPr>
                <w:sz w:val="14"/>
              </w:rPr>
              <w:t>0 . 0 %</w:t>
            </w:r>
          </w:p>
        </w:tc>
        <w:tc>
          <w:tcPr>
            <w:tcW w:w="1057" w:type="dxa"/>
          </w:tcPr>
          <w:p>
            <w:pPr>
              <w:pStyle w:val="TableParagraph"/>
              <w:spacing w:line="154" w:lineRule="exact" w:before="5"/>
              <w:ind w:right="138"/>
              <w:jc w:val="right"/>
              <w:rPr>
                <w:sz w:val="14"/>
              </w:rPr>
            </w:pPr>
            <w:r>
              <w:rPr>
                <w:sz w:val="14"/>
              </w:rPr>
              <w:t>7,290</w:t>
            </w:r>
          </w:p>
        </w:tc>
        <w:tc>
          <w:tcPr>
            <w:tcW w:w="928" w:type="dxa"/>
          </w:tcPr>
          <w:p>
            <w:pPr>
              <w:pStyle w:val="TableParagraph"/>
              <w:spacing w:line="154" w:lineRule="exact" w:before="5"/>
              <w:ind w:right="257"/>
              <w:jc w:val="right"/>
              <w:rPr>
                <w:i/>
                <w:sz w:val="14"/>
              </w:rPr>
            </w:pPr>
            <w:r>
              <w:rPr>
                <w:i/>
                <w:w w:val="95"/>
                <w:sz w:val="14"/>
              </w:rPr>
              <w:t>0.0%</w:t>
            </w:r>
          </w:p>
        </w:tc>
        <w:tc>
          <w:tcPr>
            <w:tcW w:w="1223" w:type="dxa"/>
          </w:tcPr>
          <w:p>
            <w:pPr>
              <w:pStyle w:val="TableParagraph"/>
              <w:spacing w:line="154" w:lineRule="exact" w:before="5"/>
              <w:ind w:right="263"/>
              <w:jc w:val="right"/>
              <w:rPr>
                <w:b/>
                <w:sz w:val="14"/>
              </w:rPr>
            </w:pPr>
            <w:r>
              <w:rPr>
                <w:b/>
                <w:sz w:val="14"/>
              </w:rPr>
              <w:t>5,641</w:t>
            </w:r>
          </w:p>
        </w:tc>
        <w:tc>
          <w:tcPr>
            <w:tcW w:w="916" w:type="dxa"/>
          </w:tcPr>
          <w:p>
            <w:pPr>
              <w:pStyle w:val="TableParagraph"/>
              <w:spacing w:line="154" w:lineRule="exact" w:before="5"/>
              <w:ind w:left="412"/>
              <w:rPr>
                <w:i/>
                <w:sz w:val="14"/>
              </w:rPr>
            </w:pPr>
            <w:r>
              <w:rPr>
                <w:i/>
                <w:sz w:val="14"/>
              </w:rPr>
              <w:t>0.0%</w:t>
            </w:r>
          </w:p>
        </w:tc>
        <w:tc>
          <w:tcPr>
            <w:tcW w:w="1126" w:type="dxa"/>
          </w:tcPr>
          <w:p>
            <w:pPr>
              <w:pStyle w:val="TableParagraph"/>
              <w:spacing w:line="154" w:lineRule="exact" w:before="5"/>
              <w:ind w:right="193"/>
              <w:jc w:val="right"/>
              <w:rPr>
                <w:sz w:val="14"/>
              </w:rPr>
            </w:pPr>
            <w:r>
              <w:rPr>
                <w:sz w:val="14"/>
              </w:rPr>
              <w:t>5,717</w:t>
            </w:r>
          </w:p>
        </w:tc>
        <w:tc>
          <w:tcPr>
            <w:tcW w:w="861" w:type="dxa"/>
          </w:tcPr>
          <w:p>
            <w:pPr>
              <w:pStyle w:val="TableParagraph"/>
              <w:spacing w:line="154" w:lineRule="exact" w:before="5"/>
              <w:ind w:left="182" w:right="20"/>
              <w:jc w:val="center"/>
              <w:rPr>
                <w:i/>
                <w:sz w:val="14"/>
              </w:rPr>
            </w:pPr>
            <w:r>
              <w:rPr>
                <w:i/>
                <w:sz w:val="14"/>
              </w:rPr>
              <w:t>0.0%</w:t>
            </w:r>
          </w:p>
        </w:tc>
        <w:tc>
          <w:tcPr>
            <w:tcW w:w="1129" w:type="dxa"/>
          </w:tcPr>
          <w:p>
            <w:pPr>
              <w:pStyle w:val="TableParagraph"/>
              <w:spacing w:line="154" w:lineRule="exact" w:before="5"/>
              <w:ind w:right="196"/>
              <w:jc w:val="right"/>
              <w:rPr>
                <w:sz w:val="14"/>
              </w:rPr>
            </w:pPr>
            <w:r>
              <w:rPr>
                <w:sz w:val="14"/>
              </w:rPr>
              <w:t>6,060</w:t>
            </w:r>
          </w:p>
        </w:tc>
        <w:tc>
          <w:tcPr>
            <w:tcW w:w="1011" w:type="dxa"/>
          </w:tcPr>
          <w:p>
            <w:pPr>
              <w:pStyle w:val="TableParagraph"/>
              <w:spacing w:line="154" w:lineRule="exact" w:before="5"/>
              <w:ind w:right="341"/>
              <w:jc w:val="right"/>
              <w:rPr>
                <w:i/>
                <w:sz w:val="14"/>
              </w:rPr>
            </w:pPr>
            <w:r>
              <w:rPr>
                <w:i/>
                <w:w w:val="95"/>
                <w:sz w:val="14"/>
              </w:rPr>
              <w:t>0.0%</w:t>
            </w:r>
          </w:p>
        </w:tc>
      </w:tr>
      <w:tr>
        <w:trPr>
          <w:trHeight w:val="180" w:hRule="atLeast"/>
        </w:trPr>
        <w:tc>
          <w:tcPr>
            <w:tcW w:w="4528" w:type="dxa"/>
          </w:tcPr>
          <w:p>
            <w:pPr>
              <w:pStyle w:val="TableParagraph"/>
              <w:spacing w:line="152" w:lineRule="exact" w:before="8"/>
              <w:ind w:left="508"/>
              <w:rPr>
                <w:i/>
                <w:sz w:val="14"/>
              </w:rPr>
            </w:pPr>
            <w:r>
              <w:rPr>
                <w:i/>
                <w:sz w:val="14"/>
              </w:rPr>
              <w:t>Defence Expenditure</w:t>
            </w:r>
          </w:p>
        </w:tc>
        <w:tc>
          <w:tcPr>
            <w:tcW w:w="1036" w:type="dxa"/>
          </w:tcPr>
          <w:p>
            <w:pPr>
              <w:pStyle w:val="TableParagraph"/>
              <w:spacing w:line="152" w:lineRule="exact" w:before="8"/>
              <w:ind w:left="344"/>
              <w:rPr>
                <w:i/>
                <w:sz w:val="14"/>
              </w:rPr>
            </w:pPr>
            <w:r>
              <w:rPr>
                <w:i/>
                <w:sz w:val="14"/>
              </w:rPr>
              <w:t>74 ,245</w:t>
            </w:r>
          </w:p>
        </w:tc>
        <w:tc>
          <w:tcPr>
            <w:tcW w:w="973" w:type="dxa"/>
          </w:tcPr>
          <w:p>
            <w:pPr>
              <w:pStyle w:val="TableParagraph"/>
              <w:spacing w:line="152" w:lineRule="exact" w:before="8"/>
              <w:ind w:right="202"/>
              <w:jc w:val="right"/>
              <w:rPr>
                <w:sz w:val="14"/>
              </w:rPr>
            </w:pPr>
            <w:r>
              <w:rPr>
                <w:sz w:val="14"/>
              </w:rPr>
              <w:t>0 . 2 %</w:t>
            </w:r>
          </w:p>
        </w:tc>
        <w:tc>
          <w:tcPr>
            <w:tcW w:w="1057" w:type="dxa"/>
          </w:tcPr>
          <w:p>
            <w:pPr>
              <w:pStyle w:val="TableParagraph"/>
              <w:spacing w:line="152" w:lineRule="exact" w:before="8"/>
              <w:ind w:left="433"/>
              <w:rPr>
                <w:sz w:val="14"/>
              </w:rPr>
            </w:pPr>
            <w:r>
              <w:rPr>
                <w:sz w:val="14"/>
              </w:rPr>
              <w:t>95 ,986</w:t>
            </w:r>
          </w:p>
        </w:tc>
        <w:tc>
          <w:tcPr>
            <w:tcW w:w="928" w:type="dxa"/>
          </w:tcPr>
          <w:p>
            <w:pPr>
              <w:pStyle w:val="TableParagraph"/>
              <w:spacing w:line="152" w:lineRule="exact" w:before="8"/>
              <w:ind w:right="257"/>
              <w:jc w:val="right"/>
              <w:rPr>
                <w:i/>
                <w:sz w:val="14"/>
              </w:rPr>
            </w:pPr>
            <w:r>
              <w:rPr>
                <w:i/>
                <w:w w:val="95"/>
                <w:sz w:val="14"/>
              </w:rPr>
              <w:t>0.3%</w:t>
            </w:r>
          </w:p>
        </w:tc>
        <w:tc>
          <w:tcPr>
            <w:tcW w:w="1223" w:type="dxa"/>
          </w:tcPr>
          <w:p>
            <w:pPr>
              <w:pStyle w:val="TableParagraph"/>
              <w:spacing w:line="152" w:lineRule="exact" w:before="8"/>
              <w:ind w:right="265"/>
              <w:jc w:val="right"/>
              <w:rPr>
                <w:b/>
                <w:sz w:val="14"/>
              </w:rPr>
            </w:pPr>
            <w:r>
              <w:rPr>
                <w:b/>
                <w:w w:val="95"/>
                <w:sz w:val="14"/>
              </w:rPr>
              <w:t>70,756</w:t>
            </w:r>
          </w:p>
        </w:tc>
        <w:tc>
          <w:tcPr>
            <w:tcW w:w="916" w:type="dxa"/>
          </w:tcPr>
          <w:p>
            <w:pPr>
              <w:pStyle w:val="TableParagraph"/>
              <w:spacing w:line="152" w:lineRule="exact" w:before="8"/>
              <w:ind w:left="412"/>
              <w:rPr>
                <w:i/>
                <w:sz w:val="14"/>
              </w:rPr>
            </w:pPr>
            <w:r>
              <w:rPr>
                <w:i/>
                <w:sz w:val="14"/>
              </w:rPr>
              <w:t>0.2%</w:t>
            </w:r>
          </w:p>
        </w:tc>
        <w:tc>
          <w:tcPr>
            <w:tcW w:w="1126" w:type="dxa"/>
          </w:tcPr>
          <w:p>
            <w:pPr>
              <w:pStyle w:val="TableParagraph"/>
              <w:spacing w:line="152" w:lineRule="exact" w:before="8"/>
              <w:ind w:right="197"/>
              <w:jc w:val="right"/>
              <w:rPr>
                <w:sz w:val="14"/>
              </w:rPr>
            </w:pPr>
            <w:r>
              <w:rPr>
                <w:sz w:val="14"/>
              </w:rPr>
              <w:t>119,689</w:t>
            </w:r>
          </w:p>
        </w:tc>
        <w:tc>
          <w:tcPr>
            <w:tcW w:w="861" w:type="dxa"/>
          </w:tcPr>
          <w:p>
            <w:pPr>
              <w:pStyle w:val="TableParagraph"/>
              <w:spacing w:line="152" w:lineRule="exact" w:before="8"/>
              <w:ind w:left="182" w:right="20"/>
              <w:jc w:val="center"/>
              <w:rPr>
                <w:i/>
                <w:sz w:val="14"/>
              </w:rPr>
            </w:pPr>
            <w:r>
              <w:rPr>
                <w:i/>
                <w:sz w:val="14"/>
              </w:rPr>
              <w:t>0.2%</w:t>
            </w:r>
          </w:p>
        </w:tc>
        <w:tc>
          <w:tcPr>
            <w:tcW w:w="1129" w:type="dxa"/>
          </w:tcPr>
          <w:p>
            <w:pPr>
              <w:pStyle w:val="TableParagraph"/>
              <w:spacing w:line="152" w:lineRule="exact" w:before="8"/>
              <w:ind w:right="205"/>
              <w:jc w:val="right"/>
              <w:rPr>
                <w:sz w:val="14"/>
              </w:rPr>
            </w:pPr>
            <w:r>
              <w:rPr>
                <w:sz w:val="14"/>
              </w:rPr>
              <w:t>126,858</w:t>
            </w:r>
          </w:p>
        </w:tc>
        <w:tc>
          <w:tcPr>
            <w:tcW w:w="1011" w:type="dxa"/>
          </w:tcPr>
          <w:p>
            <w:pPr>
              <w:pStyle w:val="TableParagraph"/>
              <w:spacing w:line="152" w:lineRule="exact" w:before="8"/>
              <w:ind w:right="341"/>
              <w:jc w:val="right"/>
              <w:rPr>
                <w:i/>
                <w:sz w:val="14"/>
              </w:rPr>
            </w:pPr>
            <w:r>
              <w:rPr>
                <w:i/>
                <w:w w:val="95"/>
                <w:sz w:val="14"/>
              </w:rPr>
              <w:t>0.2%</w:t>
            </w:r>
          </w:p>
        </w:tc>
      </w:tr>
      <w:tr>
        <w:trPr>
          <w:trHeight w:val="180" w:hRule="atLeast"/>
        </w:trPr>
        <w:tc>
          <w:tcPr>
            <w:tcW w:w="4528" w:type="dxa"/>
          </w:tcPr>
          <w:p>
            <w:pPr>
              <w:pStyle w:val="TableParagraph"/>
              <w:spacing w:line="154" w:lineRule="exact" w:before="5"/>
              <w:ind w:left="508"/>
              <w:rPr>
                <w:i/>
                <w:sz w:val="14"/>
              </w:rPr>
            </w:pPr>
            <w:r>
              <w:rPr>
                <w:i/>
                <w:sz w:val="14"/>
              </w:rPr>
              <w:t>Police</w:t>
            </w:r>
          </w:p>
        </w:tc>
        <w:tc>
          <w:tcPr>
            <w:tcW w:w="1036" w:type="dxa"/>
          </w:tcPr>
          <w:p>
            <w:pPr>
              <w:pStyle w:val="TableParagraph"/>
              <w:spacing w:line="154" w:lineRule="exact" w:before="5"/>
              <w:ind w:left="344"/>
              <w:rPr>
                <w:i/>
                <w:sz w:val="14"/>
              </w:rPr>
            </w:pPr>
            <w:r>
              <w:rPr>
                <w:i/>
                <w:sz w:val="14"/>
              </w:rPr>
              <w:t>97 ,470</w:t>
            </w:r>
          </w:p>
        </w:tc>
        <w:tc>
          <w:tcPr>
            <w:tcW w:w="973" w:type="dxa"/>
          </w:tcPr>
          <w:p>
            <w:pPr>
              <w:pStyle w:val="TableParagraph"/>
              <w:spacing w:line="154" w:lineRule="exact" w:before="5"/>
              <w:ind w:right="202"/>
              <w:jc w:val="right"/>
              <w:rPr>
                <w:sz w:val="14"/>
              </w:rPr>
            </w:pPr>
            <w:r>
              <w:rPr>
                <w:sz w:val="14"/>
              </w:rPr>
              <w:t>0 . 3 %</w:t>
            </w:r>
          </w:p>
        </w:tc>
        <w:tc>
          <w:tcPr>
            <w:tcW w:w="1057" w:type="dxa"/>
          </w:tcPr>
          <w:p>
            <w:pPr>
              <w:pStyle w:val="TableParagraph"/>
              <w:spacing w:line="154" w:lineRule="exact" w:before="5"/>
              <w:ind w:left="433"/>
              <w:rPr>
                <w:sz w:val="14"/>
              </w:rPr>
            </w:pPr>
            <w:r>
              <w:rPr>
                <w:sz w:val="14"/>
              </w:rPr>
              <w:t>76 ,231</w:t>
            </w:r>
          </w:p>
        </w:tc>
        <w:tc>
          <w:tcPr>
            <w:tcW w:w="928" w:type="dxa"/>
          </w:tcPr>
          <w:p>
            <w:pPr>
              <w:pStyle w:val="TableParagraph"/>
              <w:spacing w:line="154" w:lineRule="exact" w:before="5"/>
              <w:ind w:right="257"/>
              <w:jc w:val="right"/>
              <w:rPr>
                <w:i/>
                <w:sz w:val="14"/>
              </w:rPr>
            </w:pPr>
            <w:r>
              <w:rPr>
                <w:i/>
                <w:w w:val="95"/>
                <w:sz w:val="14"/>
              </w:rPr>
              <w:t>0.2%</w:t>
            </w:r>
          </w:p>
        </w:tc>
        <w:tc>
          <w:tcPr>
            <w:tcW w:w="1223" w:type="dxa"/>
          </w:tcPr>
          <w:p>
            <w:pPr>
              <w:pStyle w:val="TableParagraph"/>
              <w:spacing w:line="154" w:lineRule="exact" w:before="5"/>
              <w:ind w:right="265"/>
              <w:jc w:val="right"/>
              <w:rPr>
                <w:b/>
                <w:sz w:val="14"/>
              </w:rPr>
            </w:pPr>
            <w:r>
              <w:rPr>
                <w:b/>
                <w:w w:val="95"/>
                <w:sz w:val="14"/>
              </w:rPr>
              <w:t>60,075</w:t>
            </w:r>
          </w:p>
        </w:tc>
        <w:tc>
          <w:tcPr>
            <w:tcW w:w="916" w:type="dxa"/>
          </w:tcPr>
          <w:p>
            <w:pPr>
              <w:pStyle w:val="TableParagraph"/>
              <w:spacing w:line="154" w:lineRule="exact" w:before="5"/>
              <w:ind w:left="412"/>
              <w:rPr>
                <w:i/>
                <w:sz w:val="14"/>
              </w:rPr>
            </w:pPr>
            <w:r>
              <w:rPr>
                <w:i/>
                <w:sz w:val="14"/>
              </w:rPr>
              <w:t>0.1%</w:t>
            </w:r>
          </w:p>
        </w:tc>
        <w:tc>
          <w:tcPr>
            <w:tcW w:w="1126" w:type="dxa"/>
          </w:tcPr>
          <w:p>
            <w:pPr>
              <w:pStyle w:val="TableParagraph"/>
              <w:spacing w:line="154" w:lineRule="exact" w:before="5"/>
              <w:ind w:right="193"/>
              <w:jc w:val="right"/>
              <w:rPr>
                <w:sz w:val="14"/>
              </w:rPr>
            </w:pPr>
            <w:r>
              <w:rPr>
                <w:sz w:val="14"/>
              </w:rPr>
              <w:t>81 ,408</w:t>
            </w:r>
          </w:p>
        </w:tc>
        <w:tc>
          <w:tcPr>
            <w:tcW w:w="861" w:type="dxa"/>
          </w:tcPr>
          <w:p>
            <w:pPr>
              <w:pStyle w:val="TableParagraph"/>
              <w:spacing w:line="154" w:lineRule="exact" w:before="5"/>
              <w:ind w:left="182" w:right="20"/>
              <w:jc w:val="center"/>
              <w:rPr>
                <w:i/>
                <w:sz w:val="14"/>
              </w:rPr>
            </w:pPr>
            <w:r>
              <w:rPr>
                <w:i/>
                <w:sz w:val="14"/>
              </w:rPr>
              <w:t>0.2%</w:t>
            </w:r>
          </w:p>
        </w:tc>
        <w:tc>
          <w:tcPr>
            <w:tcW w:w="1129" w:type="dxa"/>
          </w:tcPr>
          <w:p>
            <w:pPr>
              <w:pStyle w:val="TableParagraph"/>
              <w:spacing w:line="154" w:lineRule="exact" w:before="5"/>
              <w:ind w:right="201"/>
              <w:jc w:val="right"/>
              <w:rPr>
                <w:sz w:val="14"/>
              </w:rPr>
            </w:pPr>
            <w:r>
              <w:rPr>
                <w:sz w:val="14"/>
              </w:rPr>
              <w:t>86 ,284</w:t>
            </w:r>
          </w:p>
        </w:tc>
        <w:tc>
          <w:tcPr>
            <w:tcW w:w="1011" w:type="dxa"/>
          </w:tcPr>
          <w:p>
            <w:pPr>
              <w:pStyle w:val="TableParagraph"/>
              <w:spacing w:line="154" w:lineRule="exact" w:before="5"/>
              <w:ind w:right="341"/>
              <w:jc w:val="right"/>
              <w:rPr>
                <w:i/>
                <w:sz w:val="14"/>
              </w:rPr>
            </w:pPr>
            <w:r>
              <w:rPr>
                <w:i/>
                <w:w w:val="95"/>
                <w:sz w:val="14"/>
              </w:rPr>
              <w:t>0.1%</w:t>
            </w:r>
          </w:p>
        </w:tc>
      </w:tr>
      <w:tr>
        <w:trPr>
          <w:trHeight w:val="180" w:hRule="atLeast"/>
        </w:trPr>
        <w:tc>
          <w:tcPr>
            <w:tcW w:w="4528" w:type="dxa"/>
          </w:tcPr>
          <w:p>
            <w:pPr>
              <w:pStyle w:val="TableParagraph"/>
              <w:spacing w:line="152" w:lineRule="exact" w:before="8"/>
              <w:ind w:left="508"/>
              <w:rPr>
                <w:i/>
                <w:sz w:val="14"/>
              </w:rPr>
            </w:pPr>
            <w:r>
              <w:rPr>
                <w:i/>
                <w:sz w:val="14"/>
              </w:rPr>
              <w:t>Correctional Services</w:t>
            </w:r>
          </w:p>
        </w:tc>
        <w:tc>
          <w:tcPr>
            <w:tcW w:w="1036" w:type="dxa"/>
          </w:tcPr>
          <w:p>
            <w:pPr>
              <w:pStyle w:val="TableParagraph"/>
              <w:spacing w:line="152" w:lineRule="exact" w:before="8"/>
              <w:ind w:left="344"/>
              <w:rPr>
                <w:i/>
                <w:sz w:val="14"/>
              </w:rPr>
            </w:pPr>
            <w:r>
              <w:rPr>
                <w:i/>
                <w:sz w:val="14"/>
              </w:rPr>
              <w:t>46 ,826</w:t>
            </w:r>
          </w:p>
        </w:tc>
        <w:tc>
          <w:tcPr>
            <w:tcW w:w="973" w:type="dxa"/>
          </w:tcPr>
          <w:p>
            <w:pPr>
              <w:pStyle w:val="TableParagraph"/>
              <w:spacing w:line="152" w:lineRule="exact" w:before="8"/>
              <w:ind w:right="202"/>
              <w:jc w:val="right"/>
              <w:rPr>
                <w:sz w:val="14"/>
              </w:rPr>
            </w:pPr>
            <w:r>
              <w:rPr>
                <w:sz w:val="14"/>
              </w:rPr>
              <w:t>0 . 1 %</w:t>
            </w:r>
          </w:p>
        </w:tc>
        <w:tc>
          <w:tcPr>
            <w:tcW w:w="1057" w:type="dxa"/>
          </w:tcPr>
          <w:p>
            <w:pPr>
              <w:pStyle w:val="TableParagraph"/>
              <w:spacing w:line="152" w:lineRule="exact" w:before="8"/>
              <w:ind w:left="433"/>
              <w:rPr>
                <w:sz w:val="14"/>
              </w:rPr>
            </w:pPr>
            <w:r>
              <w:rPr>
                <w:sz w:val="14"/>
              </w:rPr>
              <w:t>63 ,861</w:t>
            </w:r>
          </w:p>
        </w:tc>
        <w:tc>
          <w:tcPr>
            <w:tcW w:w="928" w:type="dxa"/>
          </w:tcPr>
          <w:p>
            <w:pPr>
              <w:pStyle w:val="TableParagraph"/>
              <w:spacing w:line="152" w:lineRule="exact" w:before="8"/>
              <w:ind w:right="257"/>
              <w:jc w:val="right"/>
              <w:rPr>
                <w:i/>
                <w:sz w:val="14"/>
              </w:rPr>
            </w:pPr>
            <w:r>
              <w:rPr>
                <w:i/>
                <w:w w:val="95"/>
                <w:sz w:val="14"/>
              </w:rPr>
              <w:t>0.2%</w:t>
            </w:r>
          </w:p>
        </w:tc>
        <w:tc>
          <w:tcPr>
            <w:tcW w:w="1223" w:type="dxa"/>
          </w:tcPr>
          <w:p>
            <w:pPr>
              <w:pStyle w:val="TableParagraph"/>
              <w:spacing w:line="152" w:lineRule="exact" w:before="8"/>
              <w:ind w:right="265"/>
              <w:jc w:val="right"/>
              <w:rPr>
                <w:b/>
                <w:sz w:val="14"/>
              </w:rPr>
            </w:pPr>
            <w:r>
              <w:rPr>
                <w:b/>
                <w:w w:val="95"/>
                <w:sz w:val="14"/>
              </w:rPr>
              <w:t>43,817</w:t>
            </w:r>
          </w:p>
        </w:tc>
        <w:tc>
          <w:tcPr>
            <w:tcW w:w="916" w:type="dxa"/>
          </w:tcPr>
          <w:p>
            <w:pPr>
              <w:pStyle w:val="TableParagraph"/>
              <w:spacing w:line="152" w:lineRule="exact" w:before="8"/>
              <w:ind w:left="412"/>
              <w:rPr>
                <w:i/>
                <w:sz w:val="14"/>
              </w:rPr>
            </w:pPr>
            <w:r>
              <w:rPr>
                <w:i/>
                <w:sz w:val="14"/>
              </w:rPr>
              <w:t>0.1%</w:t>
            </w:r>
          </w:p>
        </w:tc>
        <w:tc>
          <w:tcPr>
            <w:tcW w:w="1126" w:type="dxa"/>
          </w:tcPr>
          <w:p>
            <w:pPr>
              <w:pStyle w:val="TableParagraph"/>
              <w:spacing w:line="152" w:lineRule="exact" w:before="8"/>
              <w:ind w:right="193"/>
              <w:jc w:val="right"/>
              <w:rPr>
                <w:sz w:val="14"/>
              </w:rPr>
            </w:pPr>
            <w:r>
              <w:rPr>
                <w:sz w:val="14"/>
              </w:rPr>
              <w:t>61 ,299</w:t>
            </w:r>
          </w:p>
        </w:tc>
        <w:tc>
          <w:tcPr>
            <w:tcW w:w="861" w:type="dxa"/>
          </w:tcPr>
          <w:p>
            <w:pPr>
              <w:pStyle w:val="TableParagraph"/>
              <w:spacing w:line="152" w:lineRule="exact" w:before="8"/>
              <w:ind w:left="182" w:right="20"/>
              <w:jc w:val="center"/>
              <w:rPr>
                <w:i/>
                <w:sz w:val="14"/>
              </w:rPr>
            </w:pPr>
            <w:r>
              <w:rPr>
                <w:i/>
                <w:sz w:val="14"/>
              </w:rPr>
              <w:t>0.1%</w:t>
            </w:r>
          </w:p>
        </w:tc>
        <w:tc>
          <w:tcPr>
            <w:tcW w:w="1129" w:type="dxa"/>
          </w:tcPr>
          <w:p>
            <w:pPr>
              <w:pStyle w:val="TableParagraph"/>
              <w:spacing w:line="152" w:lineRule="exact" w:before="8"/>
              <w:ind w:right="201"/>
              <w:jc w:val="right"/>
              <w:rPr>
                <w:sz w:val="14"/>
              </w:rPr>
            </w:pPr>
            <w:r>
              <w:rPr>
                <w:sz w:val="14"/>
              </w:rPr>
              <w:t>64 ,971</w:t>
            </w:r>
          </w:p>
        </w:tc>
        <w:tc>
          <w:tcPr>
            <w:tcW w:w="1011" w:type="dxa"/>
          </w:tcPr>
          <w:p>
            <w:pPr>
              <w:pStyle w:val="TableParagraph"/>
              <w:spacing w:line="152" w:lineRule="exact" w:before="8"/>
              <w:ind w:right="341"/>
              <w:jc w:val="right"/>
              <w:rPr>
                <w:i/>
                <w:sz w:val="14"/>
              </w:rPr>
            </w:pPr>
            <w:r>
              <w:rPr>
                <w:i/>
                <w:w w:val="95"/>
                <w:sz w:val="14"/>
              </w:rPr>
              <w:t>0.1%</w:t>
            </w:r>
          </w:p>
        </w:tc>
      </w:tr>
      <w:tr>
        <w:trPr>
          <w:trHeight w:val="180" w:hRule="atLeast"/>
        </w:trPr>
        <w:tc>
          <w:tcPr>
            <w:tcW w:w="4528" w:type="dxa"/>
          </w:tcPr>
          <w:p>
            <w:pPr>
              <w:pStyle w:val="TableParagraph"/>
              <w:spacing w:line="154" w:lineRule="exact" w:before="5"/>
              <w:ind w:left="336"/>
              <w:rPr>
                <w:b/>
                <w:i/>
                <w:sz w:val="14"/>
              </w:rPr>
            </w:pPr>
            <w:r>
              <w:rPr>
                <w:b/>
                <w:i/>
                <w:sz w:val="14"/>
              </w:rPr>
              <w:t>Subsidies and Transfers</w:t>
            </w:r>
          </w:p>
        </w:tc>
        <w:tc>
          <w:tcPr>
            <w:tcW w:w="1036" w:type="dxa"/>
          </w:tcPr>
          <w:p>
            <w:pPr>
              <w:pStyle w:val="TableParagraph"/>
              <w:spacing w:line="154" w:lineRule="exact" w:before="5"/>
              <w:ind w:left="258"/>
              <w:rPr>
                <w:b/>
                <w:i/>
                <w:sz w:val="14"/>
              </w:rPr>
            </w:pPr>
            <w:r>
              <w:rPr>
                <w:b/>
                <w:i/>
                <w:sz w:val="14"/>
              </w:rPr>
              <w:t>719,663</w:t>
            </w:r>
          </w:p>
        </w:tc>
        <w:tc>
          <w:tcPr>
            <w:tcW w:w="973" w:type="dxa"/>
          </w:tcPr>
          <w:p>
            <w:pPr>
              <w:pStyle w:val="TableParagraph"/>
              <w:spacing w:line="154" w:lineRule="exact" w:before="5"/>
              <w:ind w:right="208"/>
              <w:jc w:val="right"/>
              <w:rPr>
                <w:b/>
                <w:sz w:val="14"/>
              </w:rPr>
            </w:pPr>
            <w:r>
              <w:rPr>
                <w:b/>
                <w:sz w:val="14"/>
              </w:rPr>
              <w:t>2.2%</w:t>
            </w:r>
          </w:p>
        </w:tc>
        <w:tc>
          <w:tcPr>
            <w:tcW w:w="1057" w:type="dxa"/>
          </w:tcPr>
          <w:p>
            <w:pPr>
              <w:pStyle w:val="TableParagraph"/>
              <w:spacing w:line="154" w:lineRule="exact" w:before="5"/>
              <w:ind w:left="342"/>
              <w:rPr>
                <w:b/>
                <w:i/>
                <w:sz w:val="14"/>
              </w:rPr>
            </w:pPr>
            <w:r>
              <w:rPr>
                <w:b/>
                <w:i/>
                <w:sz w:val="14"/>
              </w:rPr>
              <w:t>903,433</w:t>
            </w:r>
          </w:p>
        </w:tc>
        <w:tc>
          <w:tcPr>
            <w:tcW w:w="928" w:type="dxa"/>
          </w:tcPr>
          <w:p>
            <w:pPr>
              <w:pStyle w:val="TableParagraph"/>
              <w:spacing w:line="154" w:lineRule="exact" w:before="5"/>
              <w:ind w:right="257"/>
              <w:jc w:val="right"/>
              <w:rPr>
                <w:i/>
                <w:sz w:val="14"/>
              </w:rPr>
            </w:pPr>
            <w:r>
              <w:rPr>
                <w:i/>
                <w:w w:val="95"/>
                <w:sz w:val="14"/>
              </w:rPr>
              <w:t>2.4%</w:t>
            </w:r>
          </w:p>
        </w:tc>
        <w:tc>
          <w:tcPr>
            <w:tcW w:w="1223" w:type="dxa"/>
          </w:tcPr>
          <w:p>
            <w:pPr>
              <w:pStyle w:val="TableParagraph"/>
              <w:spacing w:line="154" w:lineRule="exact" w:before="5"/>
              <w:ind w:right="296"/>
              <w:jc w:val="right"/>
              <w:rPr>
                <w:b/>
                <w:i/>
                <w:sz w:val="14"/>
              </w:rPr>
            </w:pPr>
            <w:r>
              <w:rPr>
                <w:b/>
                <w:i/>
                <w:sz w:val="14"/>
              </w:rPr>
              <w:t>1,018,000</w:t>
            </w:r>
          </w:p>
        </w:tc>
        <w:tc>
          <w:tcPr>
            <w:tcW w:w="916" w:type="dxa"/>
          </w:tcPr>
          <w:p>
            <w:pPr>
              <w:pStyle w:val="TableParagraph"/>
              <w:spacing w:line="154" w:lineRule="exact" w:before="5"/>
              <w:ind w:left="412"/>
              <w:rPr>
                <w:i/>
                <w:sz w:val="14"/>
              </w:rPr>
            </w:pPr>
            <w:r>
              <w:rPr>
                <w:i/>
                <w:sz w:val="14"/>
              </w:rPr>
              <w:t>2.3%</w:t>
            </w:r>
          </w:p>
        </w:tc>
        <w:tc>
          <w:tcPr>
            <w:tcW w:w="1126" w:type="dxa"/>
          </w:tcPr>
          <w:p>
            <w:pPr>
              <w:pStyle w:val="TableParagraph"/>
              <w:spacing w:line="154" w:lineRule="exact" w:before="5"/>
              <w:ind w:right="241"/>
              <w:jc w:val="right"/>
              <w:rPr>
                <w:b/>
                <w:i/>
                <w:sz w:val="14"/>
              </w:rPr>
            </w:pPr>
            <w:r>
              <w:rPr>
                <w:b/>
                <w:i/>
                <w:sz w:val="14"/>
              </w:rPr>
              <w:t>1,160,207</w:t>
            </w:r>
          </w:p>
        </w:tc>
        <w:tc>
          <w:tcPr>
            <w:tcW w:w="861" w:type="dxa"/>
          </w:tcPr>
          <w:p>
            <w:pPr>
              <w:pStyle w:val="TableParagraph"/>
              <w:spacing w:line="154" w:lineRule="exact" w:before="5"/>
              <w:ind w:left="182" w:right="20"/>
              <w:jc w:val="center"/>
              <w:rPr>
                <w:i/>
                <w:sz w:val="14"/>
              </w:rPr>
            </w:pPr>
            <w:r>
              <w:rPr>
                <w:i/>
                <w:sz w:val="14"/>
              </w:rPr>
              <w:t>2.3%</w:t>
            </w:r>
          </w:p>
        </w:tc>
        <w:tc>
          <w:tcPr>
            <w:tcW w:w="1129" w:type="dxa"/>
          </w:tcPr>
          <w:p>
            <w:pPr>
              <w:pStyle w:val="TableParagraph"/>
              <w:spacing w:line="154" w:lineRule="exact" w:before="5"/>
              <w:ind w:right="248"/>
              <w:jc w:val="right"/>
              <w:rPr>
                <w:b/>
                <w:i/>
                <w:sz w:val="14"/>
              </w:rPr>
            </w:pPr>
            <w:r>
              <w:rPr>
                <w:b/>
                <w:i/>
                <w:sz w:val="14"/>
              </w:rPr>
              <w:t>1,374,799</w:t>
            </w:r>
          </w:p>
        </w:tc>
        <w:tc>
          <w:tcPr>
            <w:tcW w:w="1011" w:type="dxa"/>
          </w:tcPr>
          <w:p>
            <w:pPr>
              <w:pStyle w:val="TableParagraph"/>
              <w:spacing w:line="154" w:lineRule="exact" w:before="5"/>
              <w:ind w:right="341"/>
              <w:jc w:val="right"/>
              <w:rPr>
                <w:i/>
                <w:sz w:val="14"/>
              </w:rPr>
            </w:pPr>
            <w:r>
              <w:rPr>
                <w:i/>
                <w:w w:val="95"/>
                <w:sz w:val="14"/>
              </w:rPr>
              <w:t>2.4%</w:t>
            </w:r>
          </w:p>
        </w:tc>
      </w:tr>
      <w:tr>
        <w:trPr>
          <w:trHeight w:val="180" w:hRule="atLeast"/>
        </w:trPr>
        <w:tc>
          <w:tcPr>
            <w:tcW w:w="4528" w:type="dxa"/>
          </w:tcPr>
          <w:p>
            <w:pPr>
              <w:pStyle w:val="TableParagraph"/>
              <w:spacing w:line="152" w:lineRule="exact" w:before="8"/>
              <w:ind w:left="509"/>
              <w:rPr>
                <w:b/>
                <w:i/>
                <w:sz w:val="14"/>
              </w:rPr>
            </w:pPr>
            <w:r>
              <w:rPr>
                <w:b/>
                <w:i/>
                <w:sz w:val="14"/>
              </w:rPr>
              <w:t>Transfers to Local Councils</w:t>
            </w:r>
          </w:p>
        </w:tc>
        <w:tc>
          <w:tcPr>
            <w:tcW w:w="1036" w:type="dxa"/>
          </w:tcPr>
          <w:p>
            <w:pPr>
              <w:pStyle w:val="TableParagraph"/>
              <w:spacing w:line="152" w:lineRule="exact" w:before="8"/>
              <w:ind w:left="258"/>
              <w:rPr>
                <w:b/>
                <w:i/>
                <w:sz w:val="14"/>
              </w:rPr>
            </w:pPr>
            <w:r>
              <w:rPr>
                <w:b/>
                <w:i/>
                <w:sz w:val="14"/>
              </w:rPr>
              <w:t>101,650</w:t>
            </w:r>
          </w:p>
        </w:tc>
        <w:tc>
          <w:tcPr>
            <w:tcW w:w="973" w:type="dxa"/>
          </w:tcPr>
          <w:p>
            <w:pPr>
              <w:pStyle w:val="TableParagraph"/>
              <w:spacing w:line="152" w:lineRule="exact" w:before="8"/>
              <w:ind w:right="208"/>
              <w:jc w:val="right"/>
              <w:rPr>
                <w:b/>
                <w:sz w:val="14"/>
              </w:rPr>
            </w:pPr>
            <w:r>
              <w:rPr>
                <w:b/>
                <w:sz w:val="14"/>
              </w:rPr>
              <w:t>0.3%</w:t>
            </w:r>
          </w:p>
        </w:tc>
        <w:tc>
          <w:tcPr>
            <w:tcW w:w="1057" w:type="dxa"/>
          </w:tcPr>
          <w:p>
            <w:pPr>
              <w:pStyle w:val="TableParagraph"/>
              <w:spacing w:line="152" w:lineRule="exact" w:before="8"/>
              <w:ind w:left="361"/>
              <w:rPr>
                <w:b/>
                <w:sz w:val="14"/>
              </w:rPr>
            </w:pPr>
            <w:r>
              <w:rPr>
                <w:b/>
                <w:sz w:val="14"/>
              </w:rPr>
              <w:t>145,259</w:t>
            </w:r>
          </w:p>
        </w:tc>
        <w:tc>
          <w:tcPr>
            <w:tcW w:w="928" w:type="dxa"/>
          </w:tcPr>
          <w:p>
            <w:pPr>
              <w:pStyle w:val="TableParagraph"/>
              <w:spacing w:line="152" w:lineRule="exact" w:before="8"/>
              <w:ind w:right="257"/>
              <w:jc w:val="right"/>
              <w:rPr>
                <w:i/>
                <w:sz w:val="14"/>
              </w:rPr>
            </w:pPr>
            <w:r>
              <w:rPr>
                <w:i/>
                <w:w w:val="95"/>
                <w:sz w:val="14"/>
              </w:rPr>
              <w:t>0.4%</w:t>
            </w:r>
          </w:p>
        </w:tc>
        <w:tc>
          <w:tcPr>
            <w:tcW w:w="1223" w:type="dxa"/>
          </w:tcPr>
          <w:p>
            <w:pPr>
              <w:pStyle w:val="TableParagraph"/>
              <w:spacing w:line="152" w:lineRule="exact" w:before="8"/>
              <w:ind w:right="272"/>
              <w:jc w:val="right"/>
              <w:rPr>
                <w:b/>
                <w:sz w:val="14"/>
              </w:rPr>
            </w:pPr>
            <w:r>
              <w:rPr>
                <w:b/>
                <w:sz w:val="14"/>
              </w:rPr>
              <w:t>113,183</w:t>
            </w:r>
          </w:p>
        </w:tc>
        <w:tc>
          <w:tcPr>
            <w:tcW w:w="916" w:type="dxa"/>
          </w:tcPr>
          <w:p>
            <w:pPr>
              <w:pStyle w:val="TableParagraph"/>
              <w:spacing w:line="152" w:lineRule="exact" w:before="8"/>
              <w:ind w:left="412"/>
              <w:rPr>
                <w:i/>
                <w:sz w:val="14"/>
              </w:rPr>
            </w:pPr>
            <w:r>
              <w:rPr>
                <w:i/>
                <w:sz w:val="14"/>
              </w:rPr>
              <w:t>0.3%</w:t>
            </w:r>
          </w:p>
        </w:tc>
        <w:tc>
          <w:tcPr>
            <w:tcW w:w="1126" w:type="dxa"/>
          </w:tcPr>
          <w:p>
            <w:pPr>
              <w:pStyle w:val="TableParagraph"/>
              <w:spacing w:line="152" w:lineRule="exact" w:before="8"/>
              <w:ind w:right="217"/>
              <w:jc w:val="right"/>
              <w:rPr>
                <w:b/>
                <w:sz w:val="14"/>
              </w:rPr>
            </w:pPr>
            <w:r>
              <w:rPr>
                <w:b/>
                <w:sz w:val="14"/>
              </w:rPr>
              <w:t>118,842</w:t>
            </w:r>
          </w:p>
        </w:tc>
        <w:tc>
          <w:tcPr>
            <w:tcW w:w="861" w:type="dxa"/>
          </w:tcPr>
          <w:p>
            <w:pPr>
              <w:pStyle w:val="TableParagraph"/>
              <w:spacing w:line="152" w:lineRule="exact" w:before="8"/>
              <w:ind w:left="182" w:right="20"/>
              <w:jc w:val="center"/>
              <w:rPr>
                <w:i/>
                <w:sz w:val="14"/>
              </w:rPr>
            </w:pPr>
            <w:r>
              <w:rPr>
                <w:i/>
                <w:sz w:val="14"/>
              </w:rPr>
              <w:t>0.2%</w:t>
            </w:r>
          </w:p>
        </w:tc>
        <w:tc>
          <w:tcPr>
            <w:tcW w:w="1129" w:type="dxa"/>
          </w:tcPr>
          <w:p>
            <w:pPr>
              <w:pStyle w:val="TableParagraph"/>
              <w:spacing w:line="152" w:lineRule="exact" w:before="8"/>
              <w:ind w:right="224"/>
              <w:jc w:val="right"/>
              <w:rPr>
                <w:b/>
                <w:sz w:val="14"/>
              </w:rPr>
            </w:pPr>
            <w:r>
              <w:rPr>
                <w:b/>
                <w:sz w:val="14"/>
              </w:rPr>
              <w:t>142,611</w:t>
            </w:r>
          </w:p>
        </w:tc>
        <w:tc>
          <w:tcPr>
            <w:tcW w:w="1011" w:type="dxa"/>
          </w:tcPr>
          <w:p>
            <w:pPr>
              <w:pStyle w:val="TableParagraph"/>
              <w:spacing w:line="152" w:lineRule="exact" w:before="8"/>
              <w:ind w:right="341"/>
              <w:jc w:val="right"/>
              <w:rPr>
                <w:i/>
                <w:sz w:val="14"/>
              </w:rPr>
            </w:pPr>
            <w:r>
              <w:rPr>
                <w:i/>
                <w:w w:val="95"/>
                <w:sz w:val="14"/>
              </w:rPr>
              <w:t>0.2%</w:t>
            </w:r>
          </w:p>
        </w:tc>
      </w:tr>
      <w:tr>
        <w:trPr>
          <w:trHeight w:val="180" w:hRule="atLeast"/>
        </w:trPr>
        <w:tc>
          <w:tcPr>
            <w:tcW w:w="4528" w:type="dxa"/>
          </w:tcPr>
          <w:p>
            <w:pPr>
              <w:pStyle w:val="TableParagraph"/>
              <w:spacing w:line="154" w:lineRule="exact" w:before="5"/>
              <w:ind w:left="676"/>
              <w:rPr>
                <w:i/>
                <w:sz w:val="14"/>
              </w:rPr>
            </w:pPr>
            <w:r>
              <w:rPr>
                <w:i/>
                <w:sz w:val="14"/>
              </w:rPr>
              <w:t>Grants for Admin. Expenses</w:t>
            </w:r>
          </w:p>
        </w:tc>
        <w:tc>
          <w:tcPr>
            <w:tcW w:w="1036" w:type="dxa"/>
          </w:tcPr>
          <w:p>
            <w:pPr>
              <w:pStyle w:val="TableParagraph"/>
              <w:spacing w:line="154" w:lineRule="exact" w:before="5"/>
              <w:ind w:left="344"/>
              <w:rPr>
                <w:i/>
                <w:sz w:val="14"/>
              </w:rPr>
            </w:pPr>
            <w:r>
              <w:rPr>
                <w:i/>
                <w:sz w:val="14"/>
              </w:rPr>
              <w:t>21 ,478</w:t>
            </w:r>
          </w:p>
        </w:tc>
        <w:tc>
          <w:tcPr>
            <w:tcW w:w="973" w:type="dxa"/>
          </w:tcPr>
          <w:p>
            <w:pPr>
              <w:pStyle w:val="TableParagraph"/>
              <w:spacing w:line="154" w:lineRule="exact" w:before="5"/>
              <w:ind w:right="202"/>
              <w:jc w:val="right"/>
              <w:rPr>
                <w:sz w:val="14"/>
              </w:rPr>
            </w:pPr>
            <w:r>
              <w:rPr>
                <w:sz w:val="14"/>
              </w:rPr>
              <w:t>0 . 1 %</w:t>
            </w:r>
          </w:p>
        </w:tc>
        <w:tc>
          <w:tcPr>
            <w:tcW w:w="1057" w:type="dxa"/>
          </w:tcPr>
          <w:p>
            <w:pPr>
              <w:pStyle w:val="TableParagraph"/>
              <w:spacing w:line="154" w:lineRule="exact" w:before="5"/>
              <w:ind w:left="433"/>
              <w:rPr>
                <w:sz w:val="14"/>
              </w:rPr>
            </w:pPr>
            <w:r>
              <w:rPr>
                <w:sz w:val="14"/>
              </w:rPr>
              <w:t>32 ,966</w:t>
            </w:r>
          </w:p>
        </w:tc>
        <w:tc>
          <w:tcPr>
            <w:tcW w:w="928" w:type="dxa"/>
          </w:tcPr>
          <w:p>
            <w:pPr>
              <w:pStyle w:val="TableParagraph"/>
              <w:spacing w:line="154" w:lineRule="exact" w:before="5"/>
              <w:ind w:right="257"/>
              <w:jc w:val="right"/>
              <w:rPr>
                <w:i/>
                <w:sz w:val="14"/>
              </w:rPr>
            </w:pPr>
            <w:r>
              <w:rPr>
                <w:i/>
                <w:w w:val="95"/>
                <w:sz w:val="14"/>
              </w:rPr>
              <w:t>0.1%</w:t>
            </w:r>
          </w:p>
        </w:tc>
        <w:tc>
          <w:tcPr>
            <w:tcW w:w="1223" w:type="dxa"/>
          </w:tcPr>
          <w:p>
            <w:pPr>
              <w:pStyle w:val="TableParagraph"/>
              <w:spacing w:line="154" w:lineRule="exact" w:before="5"/>
              <w:ind w:right="263"/>
              <w:jc w:val="right"/>
              <w:rPr>
                <w:b/>
                <w:sz w:val="14"/>
              </w:rPr>
            </w:pPr>
            <w:r>
              <w:rPr>
                <w:b/>
                <w:sz w:val="14"/>
              </w:rPr>
              <w:t>4,072</w:t>
            </w:r>
          </w:p>
        </w:tc>
        <w:tc>
          <w:tcPr>
            <w:tcW w:w="916" w:type="dxa"/>
          </w:tcPr>
          <w:p>
            <w:pPr>
              <w:pStyle w:val="TableParagraph"/>
              <w:spacing w:line="154" w:lineRule="exact" w:before="5"/>
              <w:ind w:left="412"/>
              <w:rPr>
                <w:i/>
                <w:sz w:val="14"/>
              </w:rPr>
            </w:pPr>
            <w:r>
              <w:rPr>
                <w:i/>
                <w:sz w:val="14"/>
              </w:rPr>
              <w:t>0.0%</w:t>
            </w:r>
          </w:p>
        </w:tc>
        <w:tc>
          <w:tcPr>
            <w:tcW w:w="1126" w:type="dxa"/>
          </w:tcPr>
          <w:p>
            <w:pPr>
              <w:pStyle w:val="TableParagraph"/>
              <w:spacing w:line="154" w:lineRule="exact" w:before="5"/>
              <w:ind w:right="193"/>
              <w:jc w:val="right"/>
              <w:rPr>
                <w:sz w:val="14"/>
              </w:rPr>
            </w:pPr>
            <w:r>
              <w:rPr>
                <w:sz w:val="14"/>
              </w:rPr>
              <w:t>4,275</w:t>
            </w:r>
          </w:p>
        </w:tc>
        <w:tc>
          <w:tcPr>
            <w:tcW w:w="861" w:type="dxa"/>
          </w:tcPr>
          <w:p>
            <w:pPr>
              <w:pStyle w:val="TableParagraph"/>
              <w:spacing w:line="154" w:lineRule="exact" w:before="5"/>
              <w:ind w:left="182" w:right="20"/>
              <w:jc w:val="center"/>
              <w:rPr>
                <w:i/>
                <w:sz w:val="14"/>
              </w:rPr>
            </w:pPr>
            <w:r>
              <w:rPr>
                <w:i/>
                <w:sz w:val="14"/>
              </w:rPr>
              <w:t>0.0%</w:t>
            </w:r>
          </w:p>
        </w:tc>
        <w:tc>
          <w:tcPr>
            <w:tcW w:w="1129" w:type="dxa"/>
          </w:tcPr>
          <w:p>
            <w:pPr>
              <w:pStyle w:val="TableParagraph"/>
              <w:spacing w:line="154" w:lineRule="exact" w:before="5"/>
              <w:ind w:right="196"/>
              <w:jc w:val="right"/>
              <w:rPr>
                <w:sz w:val="14"/>
              </w:rPr>
            </w:pPr>
            <w:r>
              <w:rPr>
                <w:sz w:val="14"/>
              </w:rPr>
              <w:t>5,130</w:t>
            </w:r>
          </w:p>
        </w:tc>
        <w:tc>
          <w:tcPr>
            <w:tcW w:w="1011" w:type="dxa"/>
          </w:tcPr>
          <w:p>
            <w:pPr>
              <w:pStyle w:val="TableParagraph"/>
              <w:spacing w:line="154" w:lineRule="exact" w:before="5"/>
              <w:ind w:right="341"/>
              <w:jc w:val="right"/>
              <w:rPr>
                <w:i/>
                <w:sz w:val="14"/>
              </w:rPr>
            </w:pPr>
            <w:r>
              <w:rPr>
                <w:i/>
                <w:w w:val="95"/>
                <w:sz w:val="14"/>
              </w:rPr>
              <w:t>0.0%</w:t>
            </w:r>
          </w:p>
        </w:tc>
      </w:tr>
      <w:tr>
        <w:trPr>
          <w:trHeight w:val="180" w:hRule="atLeast"/>
        </w:trPr>
        <w:tc>
          <w:tcPr>
            <w:tcW w:w="4528" w:type="dxa"/>
          </w:tcPr>
          <w:p>
            <w:pPr>
              <w:pStyle w:val="TableParagraph"/>
              <w:spacing w:line="152" w:lineRule="exact" w:before="8"/>
              <w:ind w:left="676"/>
              <w:rPr>
                <w:i/>
                <w:sz w:val="14"/>
              </w:rPr>
            </w:pPr>
            <w:r>
              <w:rPr>
                <w:i/>
                <w:sz w:val="14"/>
              </w:rPr>
              <w:t>Grants for Devolved Functions</w:t>
            </w:r>
          </w:p>
        </w:tc>
        <w:tc>
          <w:tcPr>
            <w:tcW w:w="1036" w:type="dxa"/>
          </w:tcPr>
          <w:p>
            <w:pPr>
              <w:pStyle w:val="TableParagraph"/>
              <w:spacing w:line="152" w:lineRule="exact" w:before="8"/>
              <w:ind w:left="344"/>
              <w:rPr>
                <w:i/>
                <w:sz w:val="14"/>
              </w:rPr>
            </w:pPr>
            <w:r>
              <w:rPr>
                <w:i/>
                <w:sz w:val="14"/>
              </w:rPr>
              <w:t>80 ,172</w:t>
            </w:r>
          </w:p>
        </w:tc>
        <w:tc>
          <w:tcPr>
            <w:tcW w:w="973" w:type="dxa"/>
          </w:tcPr>
          <w:p>
            <w:pPr>
              <w:pStyle w:val="TableParagraph"/>
              <w:spacing w:line="152" w:lineRule="exact" w:before="8"/>
              <w:ind w:right="202"/>
              <w:jc w:val="right"/>
              <w:rPr>
                <w:sz w:val="14"/>
              </w:rPr>
            </w:pPr>
            <w:r>
              <w:rPr>
                <w:sz w:val="14"/>
              </w:rPr>
              <w:t>0 . 2 %</w:t>
            </w:r>
          </w:p>
        </w:tc>
        <w:tc>
          <w:tcPr>
            <w:tcW w:w="1057" w:type="dxa"/>
          </w:tcPr>
          <w:p>
            <w:pPr>
              <w:pStyle w:val="TableParagraph"/>
              <w:spacing w:line="152" w:lineRule="exact" w:before="8"/>
              <w:ind w:left="342"/>
              <w:rPr>
                <w:sz w:val="14"/>
              </w:rPr>
            </w:pPr>
            <w:r>
              <w:rPr>
                <w:sz w:val="14"/>
              </w:rPr>
              <w:t>112,293</w:t>
            </w:r>
          </w:p>
        </w:tc>
        <w:tc>
          <w:tcPr>
            <w:tcW w:w="928" w:type="dxa"/>
          </w:tcPr>
          <w:p>
            <w:pPr>
              <w:pStyle w:val="TableParagraph"/>
              <w:spacing w:line="152" w:lineRule="exact" w:before="8"/>
              <w:ind w:right="257"/>
              <w:jc w:val="right"/>
              <w:rPr>
                <w:i/>
                <w:sz w:val="14"/>
              </w:rPr>
            </w:pPr>
            <w:r>
              <w:rPr>
                <w:i/>
                <w:w w:val="95"/>
                <w:sz w:val="14"/>
              </w:rPr>
              <w:t>0.3%</w:t>
            </w:r>
          </w:p>
        </w:tc>
        <w:tc>
          <w:tcPr>
            <w:tcW w:w="1223" w:type="dxa"/>
          </w:tcPr>
          <w:p>
            <w:pPr>
              <w:pStyle w:val="TableParagraph"/>
              <w:spacing w:line="152" w:lineRule="exact" w:before="8"/>
              <w:ind w:right="272"/>
              <w:jc w:val="right"/>
              <w:rPr>
                <w:b/>
                <w:sz w:val="14"/>
              </w:rPr>
            </w:pPr>
            <w:r>
              <w:rPr>
                <w:b/>
                <w:sz w:val="14"/>
              </w:rPr>
              <w:t>109,112</w:t>
            </w:r>
          </w:p>
        </w:tc>
        <w:tc>
          <w:tcPr>
            <w:tcW w:w="916" w:type="dxa"/>
          </w:tcPr>
          <w:p>
            <w:pPr>
              <w:pStyle w:val="TableParagraph"/>
              <w:spacing w:line="152" w:lineRule="exact" w:before="8"/>
              <w:ind w:left="412"/>
              <w:rPr>
                <w:i/>
                <w:sz w:val="14"/>
              </w:rPr>
            </w:pPr>
            <w:r>
              <w:rPr>
                <w:i/>
                <w:sz w:val="14"/>
              </w:rPr>
              <w:t>0.3%</w:t>
            </w:r>
          </w:p>
        </w:tc>
        <w:tc>
          <w:tcPr>
            <w:tcW w:w="1126" w:type="dxa"/>
          </w:tcPr>
          <w:p>
            <w:pPr>
              <w:pStyle w:val="TableParagraph"/>
              <w:spacing w:line="152" w:lineRule="exact" w:before="8"/>
              <w:ind w:right="197"/>
              <w:jc w:val="right"/>
              <w:rPr>
                <w:sz w:val="14"/>
              </w:rPr>
            </w:pPr>
            <w:r>
              <w:rPr>
                <w:sz w:val="14"/>
              </w:rPr>
              <w:t>114,567</w:t>
            </w:r>
          </w:p>
        </w:tc>
        <w:tc>
          <w:tcPr>
            <w:tcW w:w="861" w:type="dxa"/>
          </w:tcPr>
          <w:p>
            <w:pPr>
              <w:pStyle w:val="TableParagraph"/>
              <w:spacing w:line="152" w:lineRule="exact" w:before="8"/>
              <w:ind w:left="182" w:right="20"/>
              <w:jc w:val="center"/>
              <w:rPr>
                <w:i/>
                <w:sz w:val="14"/>
              </w:rPr>
            </w:pPr>
            <w:r>
              <w:rPr>
                <w:i/>
                <w:sz w:val="14"/>
              </w:rPr>
              <w:t>0.2%</w:t>
            </w:r>
          </w:p>
        </w:tc>
        <w:tc>
          <w:tcPr>
            <w:tcW w:w="1129" w:type="dxa"/>
          </w:tcPr>
          <w:p>
            <w:pPr>
              <w:pStyle w:val="TableParagraph"/>
              <w:spacing w:line="152" w:lineRule="exact" w:before="8"/>
              <w:ind w:right="205"/>
              <w:jc w:val="right"/>
              <w:rPr>
                <w:sz w:val="14"/>
              </w:rPr>
            </w:pPr>
            <w:r>
              <w:rPr>
                <w:sz w:val="14"/>
              </w:rPr>
              <w:t>137,481</w:t>
            </w:r>
          </w:p>
        </w:tc>
        <w:tc>
          <w:tcPr>
            <w:tcW w:w="1011" w:type="dxa"/>
          </w:tcPr>
          <w:p>
            <w:pPr>
              <w:pStyle w:val="TableParagraph"/>
              <w:spacing w:line="152" w:lineRule="exact" w:before="8"/>
              <w:ind w:right="341"/>
              <w:jc w:val="right"/>
              <w:rPr>
                <w:i/>
                <w:sz w:val="14"/>
              </w:rPr>
            </w:pPr>
            <w:r>
              <w:rPr>
                <w:i/>
                <w:w w:val="95"/>
                <w:sz w:val="14"/>
              </w:rPr>
              <w:t>0.2%</w:t>
            </w:r>
          </w:p>
        </w:tc>
      </w:tr>
      <w:tr>
        <w:trPr>
          <w:trHeight w:val="180" w:hRule="atLeast"/>
        </w:trPr>
        <w:tc>
          <w:tcPr>
            <w:tcW w:w="4528" w:type="dxa"/>
          </w:tcPr>
          <w:p>
            <w:pPr>
              <w:pStyle w:val="TableParagraph"/>
              <w:spacing w:line="154" w:lineRule="exact" w:before="5"/>
              <w:ind w:left="849"/>
              <w:rPr>
                <w:b/>
                <w:i/>
                <w:sz w:val="14"/>
              </w:rPr>
            </w:pPr>
            <w:r>
              <w:rPr>
                <w:b/>
                <w:i/>
                <w:sz w:val="14"/>
              </w:rPr>
              <w:t>o/w Free Education Programme (Pre/Primary &amp; JSS)</w:t>
            </w:r>
          </w:p>
        </w:tc>
        <w:tc>
          <w:tcPr>
            <w:tcW w:w="1036" w:type="dxa"/>
          </w:tcPr>
          <w:p>
            <w:pPr>
              <w:pStyle w:val="TableParagraph"/>
              <w:spacing w:line="154" w:lineRule="exact" w:before="5"/>
              <w:ind w:left="345"/>
              <w:rPr>
                <w:b/>
                <w:i/>
                <w:sz w:val="14"/>
              </w:rPr>
            </w:pPr>
            <w:r>
              <w:rPr>
                <w:b/>
                <w:i/>
                <w:sz w:val="14"/>
              </w:rPr>
              <w:t>80,172</w:t>
            </w:r>
          </w:p>
        </w:tc>
        <w:tc>
          <w:tcPr>
            <w:tcW w:w="973" w:type="dxa"/>
          </w:tcPr>
          <w:p>
            <w:pPr>
              <w:pStyle w:val="TableParagraph"/>
              <w:spacing w:line="154" w:lineRule="exact" w:before="5"/>
              <w:ind w:right="208"/>
              <w:jc w:val="right"/>
              <w:rPr>
                <w:b/>
                <w:sz w:val="14"/>
              </w:rPr>
            </w:pPr>
            <w:r>
              <w:rPr>
                <w:b/>
                <w:sz w:val="14"/>
              </w:rPr>
              <w:t>0.2%</w:t>
            </w:r>
          </w:p>
        </w:tc>
        <w:tc>
          <w:tcPr>
            <w:tcW w:w="1057" w:type="dxa"/>
          </w:tcPr>
          <w:p>
            <w:pPr>
              <w:pStyle w:val="TableParagraph"/>
              <w:spacing w:line="154" w:lineRule="exact" w:before="5"/>
              <w:ind w:left="361"/>
              <w:rPr>
                <w:b/>
                <w:sz w:val="14"/>
              </w:rPr>
            </w:pPr>
            <w:r>
              <w:rPr>
                <w:b/>
                <w:sz w:val="14"/>
              </w:rPr>
              <w:t>107,192</w:t>
            </w:r>
          </w:p>
        </w:tc>
        <w:tc>
          <w:tcPr>
            <w:tcW w:w="928" w:type="dxa"/>
          </w:tcPr>
          <w:p>
            <w:pPr>
              <w:pStyle w:val="TableParagraph"/>
              <w:spacing w:line="154" w:lineRule="exact" w:before="5"/>
              <w:ind w:right="257"/>
              <w:jc w:val="right"/>
              <w:rPr>
                <w:i/>
                <w:sz w:val="14"/>
              </w:rPr>
            </w:pPr>
            <w:r>
              <w:rPr>
                <w:i/>
                <w:w w:val="95"/>
                <w:sz w:val="14"/>
              </w:rPr>
              <w:t>0.3%</w:t>
            </w:r>
          </w:p>
        </w:tc>
        <w:tc>
          <w:tcPr>
            <w:tcW w:w="1223" w:type="dxa"/>
          </w:tcPr>
          <w:p>
            <w:pPr>
              <w:pStyle w:val="TableParagraph"/>
              <w:spacing w:line="154" w:lineRule="exact" w:before="5"/>
              <w:ind w:right="263"/>
              <w:jc w:val="right"/>
              <w:rPr>
                <w:b/>
                <w:sz w:val="14"/>
              </w:rPr>
            </w:pPr>
            <w:r>
              <w:rPr>
                <w:b/>
                <w:sz w:val="14"/>
              </w:rPr>
              <w:t>1,560</w:t>
            </w:r>
          </w:p>
        </w:tc>
        <w:tc>
          <w:tcPr>
            <w:tcW w:w="916" w:type="dxa"/>
          </w:tcPr>
          <w:p>
            <w:pPr>
              <w:pStyle w:val="TableParagraph"/>
              <w:spacing w:line="154" w:lineRule="exact" w:before="5"/>
              <w:ind w:left="412"/>
              <w:rPr>
                <w:i/>
                <w:sz w:val="14"/>
              </w:rPr>
            </w:pPr>
            <w:r>
              <w:rPr>
                <w:i/>
                <w:sz w:val="14"/>
              </w:rPr>
              <w:t>0.0%</w:t>
            </w:r>
          </w:p>
        </w:tc>
        <w:tc>
          <w:tcPr>
            <w:tcW w:w="1126" w:type="dxa"/>
          </w:tcPr>
          <w:p>
            <w:pPr>
              <w:pStyle w:val="TableParagraph"/>
              <w:spacing w:line="154" w:lineRule="exact" w:before="5"/>
              <w:ind w:right="193"/>
              <w:jc w:val="right"/>
              <w:rPr>
                <w:sz w:val="14"/>
              </w:rPr>
            </w:pPr>
            <w:r>
              <w:rPr>
                <w:sz w:val="14"/>
              </w:rPr>
              <w:t>1,699</w:t>
            </w:r>
          </w:p>
        </w:tc>
        <w:tc>
          <w:tcPr>
            <w:tcW w:w="861" w:type="dxa"/>
          </w:tcPr>
          <w:p>
            <w:pPr>
              <w:pStyle w:val="TableParagraph"/>
              <w:spacing w:line="154" w:lineRule="exact" w:before="5"/>
              <w:ind w:left="182" w:right="20"/>
              <w:jc w:val="center"/>
              <w:rPr>
                <w:i/>
                <w:sz w:val="14"/>
              </w:rPr>
            </w:pPr>
            <w:r>
              <w:rPr>
                <w:i/>
                <w:sz w:val="14"/>
              </w:rPr>
              <w:t>0.0%</w:t>
            </w:r>
          </w:p>
        </w:tc>
        <w:tc>
          <w:tcPr>
            <w:tcW w:w="1129" w:type="dxa"/>
          </w:tcPr>
          <w:p>
            <w:pPr>
              <w:pStyle w:val="TableParagraph"/>
              <w:spacing w:line="154" w:lineRule="exact" w:before="5"/>
              <w:ind w:right="196"/>
              <w:jc w:val="right"/>
              <w:rPr>
                <w:sz w:val="14"/>
              </w:rPr>
            </w:pPr>
            <w:r>
              <w:rPr>
                <w:sz w:val="14"/>
              </w:rPr>
              <w:t>1,995</w:t>
            </w:r>
          </w:p>
        </w:tc>
        <w:tc>
          <w:tcPr>
            <w:tcW w:w="1011" w:type="dxa"/>
          </w:tcPr>
          <w:p>
            <w:pPr>
              <w:pStyle w:val="TableParagraph"/>
              <w:spacing w:line="154" w:lineRule="exact" w:before="5"/>
              <w:ind w:right="341"/>
              <w:jc w:val="right"/>
              <w:rPr>
                <w:i/>
                <w:sz w:val="14"/>
              </w:rPr>
            </w:pPr>
            <w:r>
              <w:rPr>
                <w:i/>
                <w:w w:val="95"/>
                <w:sz w:val="14"/>
              </w:rPr>
              <w:t>0.0%</w:t>
            </w:r>
          </w:p>
        </w:tc>
      </w:tr>
      <w:tr>
        <w:trPr>
          <w:trHeight w:val="179" w:hRule="atLeast"/>
        </w:trPr>
        <w:tc>
          <w:tcPr>
            <w:tcW w:w="4528" w:type="dxa"/>
          </w:tcPr>
          <w:p>
            <w:pPr>
              <w:pStyle w:val="TableParagraph"/>
              <w:spacing w:line="152" w:lineRule="exact" w:before="8"/>
              <w:ind w:left="508"/>
              <w:rPr>
                <w:b/>
                <w:i/>
                <w:sz w:val="14"/>
              </w:rPr>
            </w:pPr>
            <w:r>
              <w:rPr>
                <w:b/>
                <w:i/>
                <w:sz w:val="14"/>
              </w:rPr>
              <w:t>Grants toTertiary Educational Institutions</w:t>
            </w:r>
          </w:p>
        </w:tc>
        <w:tc>
          <w:tcPr>
            <w:tcW w:w="1036" w:type="dxa"/>
          </w:tcPr>
          <w:p>
            <w:pPr>
              <w:pStyle w:val="TableParagraph"/>
              <w:spacing w:line="152" w:lineRule="exact" w:before="8"/>
              <w:ind w:left="258"/>
              <w:rPr>
                <w:b/>
                <w:i/>
                <w:sz w:val="14"/>
              </w:rPr>
            </w:pPr>
            <w:r>
              <w:rPr>
                <w:b/>
                <w:i/>
                <w:sz w:val="14"/>
              </w:rPr>
              <w:t>223,853</w:t>
            </w:r>
          </w:p>
        </w:tc>
        <w:tc>
          <w:tcPr>
            <w:tcW w:w="973" w:type="dxa"/>
          </w:tcPr>
          <w:p>
            <w:pPr>
              <w:pStyle w:val="TableParagraph"/>
              <w:spacing w:line="152" w:lineRule="exact" w:before="8"/>
              <w:ind w:right="208"/>
              <w:jc w:val="right"/>
              <w:rPr>
                <w:b/>
                <w:sz w:val="14"/>
              </w:rPr>
            </w:pPr>
            <w:r>
              <w:rPr>
                <w:b/>
                <w:sz w:val="14"/>
              </w:rPr>
              <w:t>0.7%</w:t>
            </w:r>
          </w:p>
        </w:tc>
        <w:tc>
          <w:tcPr>
            <w:tcW w:w="1057" w:type="dxa"/>
          </w:tcPr>
          <w:p>
            <w:pPr>
              <w:pStyle w:val="TableParagraph"/>
              <w:spacing w:line="152" w:lineRule="exact" w:before="8"/>
              <w:ind w:left="361"/>
              <w:rPr>
                <w:b/>
                <w:sz w:val="14"/>
              </w:rPr>
            </w:pPr>
            <w:r>
              <w:rPr>
                <w:b/>
                <w:sz w:val="14"/>
              </w:rPr>
              <w:t>100,935</w:t>
            </w:r>
          </w:p>
        </w:tc>
        <w:tc>
          <w:tcPr>
            <w:tcW w:w="928" w:type="dxa"/>
          </w:tcPr>
          <w:p>
            <w:pPr>
              <w:pStyle w:val="TableParagraph"/>
              <w:spacing w:line="152" w:lineRule="exact" w:before="8"/>
              <w:ind w:right="257"/>
              <w:jc w:val="right"/>
              <w:rPr>
                <w:i/>
                <w:sz w:val="14"/>
              </w:rPr>
            </w:pPr>
            <w:r>
              <w:rPr>
                <w:i/>
                <w:w w:val="95"/>
                <w:sz w:val="14"/>
              </w:rPr>
              <w:t>0.3%</w:t>
            </w:r>
          </w:p>
        </w:tc>
        <w:tc>
          <w:tcPr>
            <w:tcW w:w="1223" w:type="dxa"/>
          </w:tcPr>
          <w:p>
            <w:pPr>
              <w:pStyle w:val="TableParagraph"/>
              <w:spacing w:line="152" w:lineRule="exact" w:before="8"/>
              <w:ind w:right="265"/>
              <w:jc w:val="right"/>
              <w:rPr>
                <w:b/>
                <w:sz w:val="14"/>
              </w:rPr>
            </w:pPr>
            <w:r>
              <w:rPr>
                <w:b/>
                <w:w w:val="95"/>
                <w:sz w:val="14"/>
              </w:rPr>
              <w:t>82,216</w:t>
            </w:r>
          </w:p>
        </w:tc>
        <w:tc>
          <w:tcPr>
            <w:tcW w:w="916" w:type="dxa"/>
          </w:tcPr>
          <w:p>
            <w:pPr>
              <w:pStyle w:val="TableParagraph"/>
              <w:spacing w:line="152" w:lineRule="exact" w:before="8"/>
              <w:ind w:left="412"/>
              <w:rPr>
                <w:i/>
                <w:sz w:val="14"/>
              </w:rPr>
            </w:pPr>
            <w:r>
              <w:rPr>
                <w:i/>
                <w:sz w:val="14"/>
              </w:rPr>
              <w:t>0.2%</w:t>
            </w:r>
          </w:p>
        </w:tc>
        <w:tc>
          <w:tcPr>
            <w:tcW w:w="1126" w:type="dxa"/>
          </w:tcPr>
          <w:p>
            <w:pPr>
              <w:pStyle w:val="TableParagraph"/>
              <w:spacing w:line="152" w:lineRule="exact" w:before="8"/>
              <w:ind w:right="193"/>
              <w:jc w:val="right"/>
              <w:rPr>
                <w:sz w:val="14"/>
              </w:rPr>
            </w:pPr>
            <w:r>
              <w:rPr>
                <w:sz w:val="14"/>
              </w:rPr>
              <w:t>86 ,157</w:t>
            </w:r>
          </w:p>
        </w:tc>
        <w:tc>
          <w:tcPr>
            <w:tcW w:w="861" w:type="dxa"/>
          </w:tcPr>
          <w:p>
            <w:pPr>
              <w:pStyle w:val="TableParagraph"/>
              <w:spacing w:line="152" w:lineRule="exact" w:before="8"/>
              <w:ind w:left="182" w:right="20"/>
              <w:jc w:val="center"/>
              <w:rPr>
                <w:i/>
                <w:sz w:val="14"/>
              </w:rPr>
            </w:pPr>
            <w:r>
              <w:rPr>
                <w:i/>
                <w:sz w:val="14"/>
              </w:rPr>
              <w:t>0.2%</w:t>
            </w:r>
          </w:p>
        </w:tc>
        <w:tc>
          <w:tcPr>
            <w:tcW w:w="1129" w:type="dxa"/>
          </w:tcPr>
          <w:p>
            <w:pPr>
              <w:pStyle w:val="TableParagraph"/>
              <w:spacing w:line="152" w:lineRule="exact" w:before="8"/>
              <w:ind w:right="205"/>
              <w:jc w:val="right"/>
              <w:rPr>
                <w:sz w:val="14"/>
              </w:rPr>
            </w:pPr>
            <w:r>
              <w:rPr>
                <w:sz w:val="14"/>
              </w:rPr>
              <w:t>103,412</w:t>
            </w:r>
          </w:p>
        </w:tc>
        <w:tc>
          <w:tcPr>
            <w:tcW w:w="1011" w:type="dxa"/>
          </w:tcPr>
          <w:p>
            <w:pPr>
              <w:pStyle w:val="TableParagraph"/>
              <w:spacing w:line="152" w:lineRule="exact" w:before="8"/>
              <w:ind w:right="341"/>
              <w:jc w:val="right"/>
              <w:rPr>
                <w:i/>
                <w:sz w:val="14"/>
              </w:rPr>
            </w:pPr>
            <w:r>
              <w:rPr>
                <w:i/>
                <w:w w:val="95"/>
                <w:sz w:val="14"/>
              </w:rPr>
              <w:t>0.2%</w:t>
            </w:r>
          </w:p>
        </w:tc>
      </w:tr>
      <w:tr>
        <w:trPr>
          <w:trHeight w:val="180" w:hRule="atLeast"/>
        </w:trPr>
        <w:tc>
          <w:tcPr>
            <w:tcW w:w="4528" w:type="dxa"/>
          </w:tcPr>
          <w:p>
            <w:pPr>
              <w:pStyle w:val="TableParagraph"/>
              <w:spacing w:line="154" w:lineRule="exact" w:before="5"/>
              <w:ind w:left="509"/>
              <w:rPr>
                <w:b/>
                <w:i/>
                <w:sz w:val="14"/>
              </w:rPr>
            </w:pPr>
            <w:r>
              <w:rPr>
                <w:b/>
                <w:i/>
                <w:sz w:val="14"/>
              </w:rPr>
              <w:t>Transfer to Road Maintenance Fund</w:t>
            </w:r>
          </w:p>
        </w:tc>
        <w:tc>
          <w:tcPr>
            <w:tcW w:w="1036" w:type="dxa"/>
          </w:tcPr>
          <w:p>
            <w:pPr>
              <w:pStyle w:val="TableParagraph"/>
              <w:spacing w:line="154" w:lineRule="exact" w:before="5"/>
              <w:ind w:left="345"/>
              <w:rPr>
                <w:b/>
                <w:i/>
                <w:sz w:val="14"/>
              </w:rPr>
            </w:pPr>
            <w:r>
              <w:rPr>
                <w:b/>
                <w:i/>
                <w:sz w:val="14"/>
              </w:rPr>
              <w:t>81,896</w:t>
            </w:r>
          </w:p>
        </w:tc>
        <w:tc>
          <w:tcPr>
            <w:tcW w:w="973" w:type="dxa"/>
          </w:tcPr>
          <w:p>
            <w:pPr>
              <w:pStyle w:val="TableParagraph"/>
              <w:spacing w:line="154" w:lineRule="exact" w:before="5"/>
              <w:ind w:right="208"/>
              <w:jc w:val="right"/>
              <w:rPr>
                <w:b/>
                <w:sz w:val="14"/>
              </w:rPr>
            </w:pPr>
            <w:r>
              <w:rPr>
                <w:b/>
                <w:sz w:val="14"/>
              </w:rPr>
              <w:t>0.3%</w:t>
            </w:r>
          </w:p>
        </w:tc>
        <w:tc>
          <w:tcPr>
            <w:tcW w:w="1057" w:type="dxa"/>
          </w:tcPr>
          <w:p>
            <w:pPr>
              <w:pStyle w:val="TableParagraph"/>
              <w:spacing w:line="154" w:lineRule="exact" w:before="5"/>
              <w:ind w:left="361"/>
              <w:rPr>
                <w:b/>
                <w:sz w:val="14"/>
              </w:rPr>
            </w:pPr>
            <w:r>
              <w:rPr>
                <w:b/>
                <w:sz w:val="14"/>
              </w:rPr>
              <w:t>141,338</w:t>
            </w:r>
          </w:p>
        </w:tc>
        <w:tc>
          <w:tcPr>
            <w:tcW w:w="928" w:type="dxa"/>
          </w:tcPr>
          <w:p>
            <w:pPr>
              <w:pStyle w:val="TableParagraph"/>
              <w:spacing w:line="154" w:lineRule="exact" w:before="5"/>
              <w:ind w:right="257"/>
              <w:jc w:val="right"/>
              <w:rPr>
                <w:i/>
                <w:sz w:val="14"/>
              </w:rPr>
            </w:pPr>
            <w:r>
              <w:rPr>
                <w:i/>
                <w:w w:val="95"/>
                <w:sz w:val="14"/>
              </w:rPr>
              <w:t>0.4%</w:t>
            </w:r>
          </w:p>
        </w:tc>
        <w:tc>
          <w:tcPr>
            <w:tcW w:w="1223" w:type="dxa"/>
          </w:tcPr>
          <w:p>
            <w:pPr>
              <w:pStyle w:val="TableParagraph"/>
              <w:spacing w:line="154" w:lineRule="exact" w:before="5"/>
              <w:ind w:right="272"/>
              <w:jc w:val="right"/>
              <w:rPr>
                <w:b/>
                <w:sz w:val="14"/>
              </w:rPr>
            </w:pPr>
            <w:r>
              <w:rPr>
                <w:b/>
                <w:sz w:val="14"/>
              </w:rPr>
              <w:t>124,829</w:t>
            </w:r>
          </w:p>
        </w:tc>
        <w:tc>
          <w:tcPr>
            <w:tcW w:w="916" w:type="dxa"/>
          </w:tcPr>
          <w:p>
            <w:pPr>
              <w:pStyle w:val="TableParagraph"/>
              <w:spacing w:line="154" w:lineRule="exact" w:before="5"/>
              <w:ind w:left="412"/>
              <w:rPr>
                <w:i/>
                <w:sz w:val="14"/>
              </w:rPr>
            </w:pPr>
            <w:r>
              <w:rPr>
                <w:i/>
                <w:sz w:val="14"/>
              </w:rPr>
              <w:t>0.3%</w:t>
            </w:r>
          </w:p>
        </w:tc>
        <w:tc>
          <w:tcPr>
            <w:tcW w:w="1126" w:type="dxa"/>
          </w:tcPr>
          <w:p>
            <w:pPr>
              <w:pStyle w:val="TableParagraph"/>
              <w:spacing w:line="154" w:lineRule="exact" w:before="5"/>
              <w:ind w:right="217"/>
              <w:jc w:val="right"/>
              <w:rPr>
                <w:b/>
                <w:sz w:val="14"/>
              </w:rPr>
            </w:pPr>
            <w:r>
              <w:rPr>
                <w:b/>
                <w:sz w:val="14"/>
              </w:rPr>
              <w:t>145,369</w:t>
            </w:r>
          </w:p>
        </w:tc>
        <w:tc>
          <w:tcPr>
            <w:tcW w:w="861" w:type="dxa"/>
          </w:tcPr>
          <w:p>
            <w:pPr>
              <w:pStyle w:val="TableParagraph"/>
              <w:spacing w:line="154" w:lineRule="exact" w:before="5"/>
              <w:ind w:left="182" w:right="20"/>
              <w:jc w:val="center"/>
              <w:rPr>
                <w:i/>
                <w:sz w:val="14"/>
              </w:rPr>
            </w:pPr>
            <w:r>
              <w:rPr>
                <w:i/>
                <w:sz w:val="14"/>
              </w:rPr>
              <w:t>0.3%</w:t>
            </w:r>
          </w:p>
        </w:tc>
        <w:tc>
          <w:tcPr>
            <w:tcW w:w="1129" w:type="dxa"/>
          </w:tcPr>
          <w:p>
            <w:pPr>
              <w:pStyle w:val="TableParagraph"/>
              <w:spacing w:line="154" w:lineRule="exact" w:before="5"/>
              <w:ind w:right="205"/>
              <w:jc w:val="right"/>
              <w:rPr>
                <w:sz w:val="14"/>
              </w:rPr>
            </w:pPr>
            <w:r>
              <w:rPr>
                <w:sz w:val="14"/>
              </w:rPr>
              <w:t>174,442</w:t>
            </w:r>
          </w:p>
        </w:tc>
        <w:tc>
          <w:tcPr>
            <w:tcW w:w="1011" w:type="dxa"/>
          </w:tcPr>
          <w:p>
            <w:pPr>
              <w:pStyle w:val="TableParagraph"/>
              <w:spacing w:line="154" w:lineRule="exact" w:before="5"/>
              <w:ind w:right="341"/>
              <w:jc w:val="right"/>
              <w:rPr>
                <w:i/>
                <w:sz w:val="14"/>
              </w:rPr>
            </w:pPr>
            <w:r>
              <w:rPr>
                <w:i/>
                <w:w w:val="95"/>
                <w:sz w:val="14"/>
              </w:rPr>
              <w:t>0.3%</w:t>
            </w:r>
          </w:p>
        </w:tc>
      </w:tr>
      <w:tr>
        <w:trPr>
          <w:trHeight w:val="180" w:hRule="atLeast"/>
        </w:trPr>
        <w:tc>
          <w:tcPr>
            <w:tcW w:w="4528" w:type="dxa"/>
          </w:tcPr>
          <w:p>
            <w:pPr>
              <w:pStyle w:val="TableParagraph"/>
              <w:spacing w:line="152" w:lineRule="exact" w:before="8"/>
              <w:ind w:left="509"/>
              <w:rPr>
                <w:b/>
                <w:i/>
                <w:sz w:val="14"/>
              </w:rPr>
            </w:pPr>
            <w:r>
              <w:rPr>
                <w:b/>
                <w:i/>
                <w:sz w:val="14"/>
              </w:rPr>
              <w:t>Transfers to Other Agencies Including (TSA Agencies)</w:t>
            </w:r>
          </w:p>
        </w:tc>
        <w:tc>
          <w:tcPr>
            <w:tcW w:w="1036" w:type="dxa"/>
          </w:tcPr>
          <w:p>
            <w:pPr>
              <w:pStyle w:val="TableParagraph"/>
              <w:spacing w:line="152" w:lineRule="exact" w:before="8"/>
              <w:ind w:left="258"/>
              <w:rPr>
                <w:b/>
                <w:i/>
                <w:sz w:val="14"/>
              </w:rPr>
            </w:pPr>
            <w:r>
              <w:rPr>
                <w:b/>
                <w:i/>
                <w:sz w:val="14"/>
              </w:rPr>
              <w:t>132,537</w:t>
            </w:r>
          </w:p>
        </w:tc>
        <w:tc>
          <w:tcPr>
            <w:tcW w:w="973" w:type="dxa"/>
          </w:tcPr>
          <w:p>
            <w:pPr>
              <w:pStyle w:val="TableParagraph"/>
              <w:spacing w:line="152" w:lineRule="exact" w:before="8"/>
              <w:ind w:right="208"/>
              <w:jc w:val="right"/>
              <w:rPr>
                <w:b/>
                <w:sz w:val="14"/>
              </w:rPr>
            </w:pPr>
            <w:r>
              <w:rPr>
                <w:b/>
                <w:sz w:val="14"/>
              </w:rPr>
              <w:t>0.4%</w:t>
            </w:r>
          </w:p>
        </w:tc>
        <w:tc>
          <w:tcPr>
            <w:tcW w:w="1057" w:type="dxa"/>
          </w:tcPr>
          <w:p>
            <w:pPr>
              <w:pStyle w:val="TableParagraph"/>
              <w:spacing w:line="152" w:lineRule="exact" w:before="8"/>
              <w:ind w:left="361"/>
              <w:rPr>
                <w:b/>
                <w:sz w:val="14"/>
              </w:rPr>
            </w:pPr>
            <w:r>
              <w:rPr>
                <w:b/>
                <w:sz w:val="14"/>
              </w:rPr>
              <w:t>202,341</w:t>
            </w:r>
          </w:p>
        </w:tc>
        <w:tc>
          <w:tcPr>
            <w:tcW w:w="928" w:type="dxa"/>
          </w:tcPr>
          <w:p>
            <w:pPr>
              <w:pStyle w:val="TableParagraph"/>
              <w:spacing w:line="152" w:lineRule="exact" w:before="8"/>
              <w:ind w:right="257"/>
              <w:jc w:val="right"/>
              <w:rPr>
                <w:i/>
                <w:sz w:val="14"/>
              </w:rPr>
            </w:pPr>
            <w:r>
              <w:rPr>
                <w:i/>
                <w:w w:val="95"/>
                <w:sz w:val="14"/>
              </w:rPr>
              <w:t>0.5%</w:t>
            </w:r>
          </w:p>
        </w:tc>
        <w:tc>
          <w:tcPr>
            <w:tcW w:w="1223" w:type="dxa"/>
          </w:tcPr>
          <w:p>
            <w:pPr>
              <w:pStyle w:val="TableParagraph"/>
              <w:spacing w:line="152" w:lineRule="exact" w:before="8"/>
              <w:ind w:right="272"/>
              <w:jc w:val="right"/>
              <w:rPr>
                <w:b/>
                <w:sz w:val="14"/>
              </w:rPr>
            </w:pPr>
            <w:r>
              <w:rPr>
                <w:b/>
                <w:sz w:val="14"/>
              </w:rPr>
              <w:t>330,753</w:t>
            </w:r>
          </w:p>
        </w:tc>
        <w:tc>
          <w:tcPr>
            <w:tcW w:w="916" w:type="dxa"/>
          </w:tcPr>
          <w:p>
            <w:pPr>
              <w:pStyle w:val="TableParagraph"/>
              <w:spacing w:line="152" w:lineRule="exact" w:before="8"/>
              <w:ind w:left="412"/>
              <w:rPr>
                <w:i/>
                <w:sz w:val="14"/>
              </w:rPr>
            </w:pPr>
            <w:r>
              <w:rPr>
                <w:i/>
                <w:sz w:val="14"/>
              </w:rPr>
              <w:t>0.8%</w:t>
            </w:r>
          </w:p>
        </w:tc>
        <w:tc>
          <w:tcPr>
            <w:tcW w:w="1126" w:type="dxa"/>
          </w:tcPr>
          <w:p>
            <w:pPr>
              <w:pStyle w:val="TableParagraph"/>
              <w:spacing w:line="152" w:lineRule="exact" w:before="8"/>
              <w:ind w:right="217"/>
              <w:jc w:val="right"/>
              <w:rPr>
                <w:b/>
                <w:sz w:val="14"/>
              </w:rPr>
            </w:pPr>
            <w:r>
              <w:rPr>
                <w:b/>
                <w:sz w:val="14"/>
              </w:rPr>
              <w:t>284,653</w:t>
            </w:r>
          </w:p>
        </w:tc>
        <w:tc>
          <w:tcPr>
            <w:tcW w:w="861" w:type="dxa"/>
          </w:tcPr>
          <w:p>
            <w:pPr>
              <w:pStyle w:val="TableParagraph"/>
              <w:spacing w:line="152" w:lineRule="exact" w:before="8"/>
              <w:ind w:left="182" w:right="20"/>
              <w:jc w:val="center"/>
              <w:rPr>
                <w:i/>
                <w:sz w:val="14"/>
              </w:rPr>
            </w:pPr>
            <w:r>
              <w:rPr>
                <w:i/>
                <w:sz w:val="14"/>
              </w:rPr>
              <w:t>0.6%</w:t>
            </w:r>
          </w:p>
        </w:tc>
        <w:tc>
          <w:tcPr>
            <w:tcW w:w="1129" w:type="dxa"/>
          </w:tcPr>
          <w:p>
            <w:pPr>
              <w:pStyle w:val="TableParagraph"/>
              <w:spacing w:line="152" w:lineRule="exact" w:before="8"/>
              <w:ind w:right="205"/>
              <w:jc w:val="right"/>
              <w:rPr>
                <w:sz w:val="14"/>
              </w:rPr>
            </w:pPr>
            <w:r>
              <w:rPr>
                <w:sz w:val="14"/>
              </w:rPr>
              <w:t>341,584</w:t>
            </w:r>
          </w:p>
        </w:tc>
        <w:tc>
          <w:tcPr>
            <w:tcW w:w="1011" w:type="dxa"/>
          </w:tcPr>
          <w:p>
            <w:pPr>
              <w:pStyle w:val="TableParagraph"/>
              <w:spacing w:line="152" w:lineRule="exact" w:before="8"/>
              <w:ind w:right="341"/>
              <w:jc w:val="right"/>
              <w:rPr>
                <w:i/>
                <w:sz w:val="14"/>
              </w:rPr>
            </w:pPr>
            <w:r>
              <w:rPr>
                <w:i/>
                <w:w w:val="95"/>
                <w:sz w:val="14"/>
              </w:rPr>
              <w:t>0.6%</w:t>
            </w:r>
          </w:p>
        </w:tc>
      </w:tr>
      <w:tr>
        <w:trPr>
          <w:trHeight w:val="180" w:hRule="atLeast"/>
        </w:trPr>
        <w:tc>
          <w:tcPr>
            <w:tcW w:w="4528" w:type="dxa"/>
          </w:tcPr>
          <w:p>
            <w:pPr>
              <w:pStyle w:val="TableParagraph"/>
              <w:spacing w:line="154" w:lineRule="exact" w:before="5"/>
              <w:ind w:left="508"/>
              <w:rPr>
                <w:b/>
                <w:i/>
                <w:sz w:val="14"/>
              </w:rPr>
            </w:pPr>
            <w:r>
              <w:rPr>
                <w:b/>
                <w:i/>
                <w:sz w:val="14"/>
              </w:rPr>
              <w:t>National Revenue Authority</w:t>
            </w:r>
          </w:p>
        </w:tc>
        <w:tc>
          <w:tcPr>
            <w:tcW w:w="1036" w:type="dxa"/>
          </w:tcPr>
          <w:p>
            <w:pPr>
              <w:pStyle w:val="TableParagraph"/>
              <w:spacing w:line="154" w:lineRule="exact" w:before="5"/>
              <w:ind w:left="345"/>
              <w:rPr>
                <w:b/>
                <w:i/>
                <w:sz w:val="14"/>
              </w:rPr>
            </w:pPr>
            <w:r>
              <w:rPr>
                <w:b/>
                <w:i/>
                <w:sz w:val="14"/>
              </w:rPr>
              <w:t>90,462</w:t>
            </w:r>
          </w:p>
        </w:tc>
        <w:tc>
          <w:tcPr>
            <w:tcW w:w="973" w:type="dxa"/>
          </w:tcPr>
          <w:p>
            <w:pPr>
              <w:pStyle w:val="TableParagraph"/>
              <w:spacing w:line="154" w:lineRule="exact" w:before="5"/>
              <w:ind w:right="208"/>
              <w:jc w:val="right"/>
              <w:rPr>
                <w:b/>
                <w:sz w:val="14"/>
              </w:rPr>
            </w:pPr>
            <w:r>
              <w:rPr>
                <w:b/>
                <w:sz w:val="14"/>
              </w:rPr>
              <w:t>0.3%</w:t>
            </w:r>
          </w:p>
        </w:tc>
        <w:tc>
          <w:tcPr>
            <w:tcW w:w="1057" w:type="dxa"/>
          </w:tcPr>
          <w:p>
            <w:pPr>
              <w:pStyle w:val="TableParagraph"/>
              <w:spacing w:line="154" w:lineRule="exact" w:before="5"/>
              <w:ind w:left="361"/>
              <w:rPr>
                <w:b/>
                <w:sz w:val="14"/>
              </w:rPr>
            </w:pPr>
            <w:r>
              <w:rPr>
                <w:b/>
                <w:sz w:val="14"/>
              </w:rPr>
              <w:t>151,883</w:t>
            </w:r>
          </w:p>
        </w:tc>
        <w:tc>
          <w:tcPr>
            <w:tcW w:w="928" w:type="dxa"/>
          </w:tcPr>
          <w:p>
            <w:pPr>
              <w:pStyle w:val="TableParagraph"/>
              <w:spacing w:line="154" w:lineRule="exact" w:before="5"/>
              <w:ind w:right="257"/>
              <w:jc w:val="right"/>
              <w:rPr>
                <w:i/>
                <w:sz w:val="14"/>
              </w:rPr>
            </w:pPr>
            <w:r>
              <w:rPr>
                <w:i/>
                <w:w w:val="95"/>
                <w:sz w:val="14"/>
              </w:rPr>
              <w:t>0.4%</w:t>
            </w:r>
          </w:p>
        </w:tc>
        <w:tc>
          <w:tcPr>
            <w:tcW w:w="1223" w:type="dxa"/>
          </w:tcPr>
          <w:p>
            <w:pPr>
              <w:pStyle w:val="TableParagraph"/>
              <w:spacing w:line="154" w:lineRule="exact" w:before="5"/>
              <w:ind w:right="272"/>
              <w:jc w:val="right"/>
              <w:rPr>
                <w:b/>
                <w:sz w:val="14"/>
              </w:rPr>
            </w:pPr>
            <w:r>
              <w:rPr>
                <w:b/>
                <w:sz w:val="14"/>
              </w:rPr>
              <w:t>193,861</w:t>
            </w:r>
          </w:p>
        </w:tc>
        <w:tc>
          <w:tcPr>
            <w:tcW w:w="916" w:type="dxa"/>
          </w:tcPr>
          <w:p>
            <w:pPr>
              <w:pStyle w:val="TableParagraph"/>
              <w:spacing w:line="154" w:lineRule="exact" w:before="5"/>
              <w:ind w:left="412"/>
              <w:rPr>
                <w:i/>
                <w:sz w:val="14"/>
              </w:rPr>
            </w:pPr>
            <w:r>
              <w:rPr>
                <w:i/>
                <w:sz w:val="14"/>
              </w:rPr>
              <w:t>0.4%</w:t>
            </w:r>
          </w:p>
        </w:tc>
        <w:tc>
          <w:tcPr>
            <w:tcW w:w="1126" w:type="dxa"/>
          </w:tcPr>
          <w:p>
            <w:pPr>
              <w:pStyle w:val="TableParagraph"/>
              <w:spacing w:line="154" w:lineRule="exact" w:before="5"/>
              <w:ind w:right="217"/>
              <w:jc w:val="right"/>
              <w:rPr>
                <w:b/>
                <w:sz w:val="14"/>
              </w:rPr>
            </w:pPr>
            <w:r>
              <w:rPr>
                <w:b/>
                <w:sz w:val="14"/>
              </w:rPr>
              <w:t>228,082</w:t>
            </w:r>
          </w:p>
        </w:tc>
        <w:tc>
          <w:tcPr>
            <w:tcW w:w="861" w:type="dxa"/>
          </w:tcPr>
          <w:p>
            <w:pPr>
              <w:pStyle w:val="TableParagraph"/>
              <w:spacing w:line="154" w:lineRule="exact" w:before="5"/>
              <w:ind w:left="182" w:right="20"/>
              <w:jc w:val="center"/>
              <w:rPr>
                <w:i/>
                <w:sz w:val="14"/>
              </w:rPr>
            </w:pPr>
            <w:r>
              <w:rPr>
                <w:i/>
                <w:sz w:val="14"/>
              </w:rPr>
              <w:t>0.5%</w:t>
            </w:r>
          </w:p>
        </w:tc>
        <w:tc>
          <w:tcPr>
            <w:tcW w:w="1129" w:type="dxa"/>
          </w:tcPr>
          <w:p>
            <w:pPr>
              <w:pStyle w:val="TableParagraph"/>
              <w:spacing w:line="154" w:lineRule="exact" w:before="5"/>
              <w:ind w:right="224"/>
              <w:jc w:val="right"/>
              <w:rPr>
                <w:b/>
                <w:sz w:val="14"/>
              </w:rPr>
            </w:pPr>
            <w:r>
              <w:rPr>
                <w:b/>
                <w:sz w:val="14"/>
              </w:rPr>
              <w:t>270,170</w:t>
            </w:r>
          </w:p>
        </w:tc>
        <w:tc>
          <w:tcPr>
            <w:tcW w:w="1011" w:type="dxa"/>
          </w:tcPr>
          <w:p>
            <w:pPr>
              <w:pStyle w:val="TableParagraph"/>
              <w:spacing w:line="154" w:lineRule="exact" w:before="5"/>
              <w:ind w:right="341"/>
              <w:jc w:val="right"/>
              <w:rPr>
                <w:i/>
                <w:sz w:val="14"/>
              </w:rPr>
            </w:pPr>
            <w:r>
              <w:rPr>
                <w:i/>
                <w:w w:val="95"/>
                <w:sz w:val="14"/>
              </w:rPr>
              <w:t>0.5%</w:t>
            </w:r>
          </w:p>
        </w:tc>
      </w:tr>
      <w:tr>
        <w:trPr>
          <w:trHeight w:val="180" w:hRule="atLeast"/>
        </w:trPr>
        <w:tc>
          <w:tcPr>
            <w:tcW w:w="4528" w:type="dxa"/>
          </w:tcPr>
          <w:p>
            <w:pPr>
              <w:pStyle w:val="TableParagraph"/>
              <w:spacing w:line="152" w:lineRule="exact" w:before="8"/>
              <w:ind w:left="509"/>
              <w:rPr>
                <w:b/>
                <w:i/>
                <w:sz w:val="14"/>
              </w:rPr>
            </w:pPr>
            <w:r>
              <w:rPr>
                <w:b/>
                <w:i/>
                <w:sz w:val="14"/>
              </w:rPr>
              <w:t>Transfer to ECOWAS Fund</w:t>
            </w:r>
          </w:p>
        </w:tc>
        <w:tc>
          <w:tcPr>
            <w:tcW w:w="1036" w:type="dxa"/>
          </w:tcPr>
          <w:p>
            <w:pPr>
              <w:pStyle w:val="TableParagraph"/>
              <w:spacing w:line="152" w:lineRule="exact" w:before="8"/>
              <w:ind w:right="188"/>
              <w:jc w:val="right"/>
              <w:rPr>
                <w:b/>
                <w:i/>
                <w:sz w:val="14"/>
              </w:rPr>
            </w:pPr>
            <w:r>
              <w:rPr>
                <w:b/>
                <w:i/>
                <w:w w:val="99"/>
                <w:sz w:val="14"/>
              </w:rPr>
              <w:t>0</w:t>
            </w:r>
          </w:p>
        </w:tc>
        <w:tc>
          <w:tcPr>
            <w:tcW w:w="973" w:type="dxa"/>
          </w:tcPr>
          <w:p>
            <w:pPr>
              <w:pStyle w:val="TableParagraph"/>
              <w:spacing w:line="152" w:lineRule="exact" w:before="8"/>
              <w:ind w:right="208"/>
              <w:jc w:val="right"/>
              <w:rPr>
                <w:b/>
                <w:sz w:val="14"/>
              </w:rPr>
            </w:pPr>
            <w:r>
              <w:rPr>
                <w:b/>
                <w:sz w:val="14"/>
              </w:rPr>
              <w:t>0.0%</w:t>
            </w:r>
          </w:p>
        </w:tc>
        <w:tc>
          <w:tcPr>
            <w:tcW w:w="1057" w:type="dxa"/>
          </w:tcPr>
          <w:p>
            <w:pPr>
              <w:pStyle w:val="TableParagraph"/>
              <w:spacing w:line="152" w:lineRule="exact" w:before="8"/>
              <w:ind w:right="121"/>
              <w:jc w:val="right"/>
              <w:rPr>
                <w:b/>
                <w:sz w:val="14"/>
              </w:rPr>
            </w:pPr>
            <w:r>
              <w:rPr>
                <w:b/>
                <w:w w:val="99"/>
                <w:sz w:val="14"/>
              </w:rPr>
              <w:t>0</w:t>
            </w:r>
          </w:p>
        </w:tc>
        <w:tc>
          <w:tcPr>
            <w:tcW w:w="928" w:type="dxa"/>
          </w:tcPr>
          <w:p>
            <w:pPr>
              <w:pStyle w:val="TableParagraph"/>
              <w:spacing w:line="152" w:lineRule="exact" w:before="8"/>
              <w:ind w:right="257"/>
              <w:jc w:val="right"/>
              <w:rPr>
                <w:i/>
                <w:sz w:val="14"/>
              </w:rPr>
            </w:pPr>
            <w:r>
              <w:rPr>
                <w:i/>
                <w:w w:val="95"/>
                <w:sz w:val="14"/>
              </w:rPr>
              <w:t>0.0%</w:t>
            </w:r>
          </w:p>
        </w:tc>
        <w:tc>
          <w:tcPr>
            <w:tcW w:w="1223" w:type="dxa"/>
          </w:tcPr>
          <w:p>
            <w:pPr>
              <w:pStyle w:val="TableParagraph"/>
              <w:spacing w:line="152" w:lineRule="exact" w:before="8"/>
              <w:ind w:right="265"/>
              <w:jc w:val="right"/>
              <w:rPr>
                <w:b/>
                <w:sz w:val="14"/>
              </w:rPr>
            </w:pPr>
            <w:r>
              <w:rPr>
                <w:b/>
                <w:w w:val="95"/>
                <w:sz w:val="14"/>
              </w:rPr>
              <w:t>30,105</w:t>
            </w:r>
          </w:p>
        </w:tc>
        <w:tc>
          <w:tcPr>
            <w:tcW w:w="916" w:type="dxa"/>
          </w:tcPr>
          <w:p>
            <w:pPr>
              <w:pStyle w:val="TableParagraph"/>
              <w:spacing w:line="152" w:lineRule="exact" w:before="8"/>
              <w:ind w:left="412"/>
              <w:rPr>
                <w:i/>
                <w:sz w:val="14"/>
              </w:rPr>
            </w:pPr>
            <w:r>
              <w:rPr>
                <w:i/>
                <w:sz w:val="14"/>
              </w:rPr>
              <w:t>0.1%</w:t>
            </w:r>
          </w:p>
        </w:tc>
        <w:tc>
          <w:tcPr>
            <w:tcW w:w="1126" w:type="dxa"/>
          </w:tcPr>
          <w:p>
            <w:pPr>
              <w:pStyle w:val="TableParagraph"/>
              <w:spacing w:line="152" w:lineRule="exact" w:before="8"/>
              <w:ind w:right="209"/>
              <w:jc w:val="right"/>
              <w:rPr>
                <w:b/>
                <w:sz w:val="14"/>
              </w:rPr>
            </w:pPr>
            <w:r>
              <w:rPr>
                <w:b/>
                <w:w w:val="95"/>
                <w:sz w:val="14"/>
              </w:rPr>
              <w:t>31,000</w:t>
            </w:r>
          </w:p>
        </w:tc>
        <w:tc>
          <w:tcPr>
            <w:tcW w:w="861" w:type="dxa"/>
          </w:tcPr>
          <w:p>
            <w:pPr>
              <w:pStyle w:val="TableParagraph"/>
              <w:spacing w:line="152" w:lineRule="exact" w:before="8"/>
              <w:ind w:left="182" w:right="20"/>
              <w:jc w:val="center"/>
              <w:rPr>
                <w:i/>
                <w:sz w:val="14"/>
              </w:rPr>
            </w:pPr>
            <w:r>
              <w:rPr>
                <w:i/>
                <w:sz w:val="14"/>
              </w:rPr>
              <w:t>0.1%</w:t>
            </w:r>
          </w:p>
        </w:tc>
        <w:tc>
          <w:tcPr>
            <w:tcW w:w="1129" w:type="dxa"/>
          </w:tcPr>
          <w:p>
            <w:pPr>
              <w:pStyle w:val="TableParagraph"/>
              <w:spacing w:line="152" w:lineRule="exact" w:before="8"/>
              <w:ind w:right="217"/>
              <w:jc w:val="right"/>
              <w:rPr>
                <w:b/>
                <w:sz w:val="14"/>
              </w:rPr>
            </w:pPr>
            <w:r>
              <w:rPr>
                <w:b/>
                <w:w w:val="95"/>
                <w:sz w:val="14"/>
              </w:rPr>
              <w:t>33,000</w:t>
            </w:r>
          </w:p>
        </w:tc>
        <w:tc>
          <w:tcPr>
            <w:tcW w:w="1011" w:type="dxa"/>
          </w:tcPr>
          <w:p>
            <w:pPr>
              <w:pStyle w:val="TableParagraph"/>
              <w:spacing w:line="152" w:lineRule="exact" w:before="8"/>
              <w:ind w:right="341"/>
              <w:jc w:val="right"/>
              <w:rPr>
                <w:i/>
                <w:sz w:val="14"/>
              </w:rPr>
            </w:pPr>
            <w:r>
              <w:rPr>
                <w:i/>
                <w:w w:val="95"/>
                <w:sz w:val="14"/>
              </w:rPr>
              <w:t>0.1%</w:t>
            </w:r>
          </w:p>
        </w:tc>
      </w:tr>
      <w:tr>
        <w:trPr>
          <w:trHeight w:val="180" w:hRule="atLeast"/>
        </w:trPr>
        <w:tc>
          <w:tcPr>
            <w:tcW w:w="4528" w:type="dxa"/>
          </w:tcPr>
          <w:p>
            <w:pPr>
              <w:pStyle w:val="TableParagraph"/>
              <w:spacing w:line="154" w:lineRule="exact" w:before="5"/>
              <w:ind w:left="509"/>
              <w:rPr>
                <w:b/>
                <w:i/>
                <w:sz w:val="14"/>
              </w:rPr>
            </w:pPr>
            <w:r>
              <w:rPr>
                <w:b/>
                <w:i/>
                <w:sz w:val="14"/>
              </w:rPr>
              <w:t>Energy Subsidies(Incl. Fuel)</w:t>
            </w:r>
          </w:p>
        </w:tc>
        <w:tc>
          <w:tcPr>
            <w:tcW w:w="1036" w:type="dxa"/>
          </w:tcPr>
          <w:p>
            <w:pPr>
              <w:pStyle w:val="TableParagraph"/>
              <w:spacing w:line="154" w:lineRule="exact" w:before="5"/>
              <w:ind w:left="345"/>
              <w:rPr>
                <w:b/>
                <w:i/>
                <w:sz w:val="14"/>
              </w:rPr>
            </w:pPr>
            <w:r>
              <w:rPr>
                <w:b/>
                <w:i/>
                <w:sz w:val="14"/>
              </w:rPr>
              <w:t>46,238</w:t>
            </w:r>
          </w:p>
        </w:tc>
        <w:tc>
          <w:tcPr>
            <w:tcW w:w="973" w:type="dxa"/>
          </w:tcPr>
          <w:p>
            <w:pPr>
              <w:pStyle w:val="TableParagraph"/>
              <w:spacing w:line="154" w:lineRule="exact" w:before="5"/>
              <w:ind w:right="208"/>
              <w:jc w:val="right"/>
              <w:rPr>
                <w:b/>
                <w:sz w:val="14"/>
              </w:rPr>
            </w:pPr>
            <w:r>
              <w:rPr>
                <w:b/>
                <w:sz w:val="14"/>
              </w:rPr>
              <w:t>0.1%</w:t>
            </w:r>
          </w:p>
        </w:tc>
        <w:tc>
          <w:tcPr>
            <w:tcW w:w="1057" w:type="dxa"/>
          </w:tcPr>
          <w:p>
            <w:pPr>
              <w:pStyle w:val="TableParagraph"/>
              <w:spacing w:line="154" w:lineRule="exact" w:before="5"/>
              <w:ind w:left="342"/>
              <w:rPr>
                <w:b/>
                <w:i/>
                <w:sz w:val="14"/>
              </w:rPr>
            </w:pPr>
            <w:r>
              <w:rPr>
                <w:b/>
                <w:i/>
                <w:sz w:val="14"/>
              </w:rPr>
              <w:t>144,637</w:t>
            </w:r>
          </w:p>
        </w:tc>
        <w:tc>
          <w:tcPr>
            <w:tcW w:w="928" w:type="dxa"/>
          </w:tcPr>
          <w:p>
            <w:pPr>
              <w:pStyle w:val="TableParagraph"/>
              <w:spacing w:line="154" w:lineRule="exact" w:before="5"/>
              <w:ind w:right="257"/>
              <w:jc w:val="right"/>
              <w:rPr>
                <w:i/>
                <w:sz w:val="14"/>
              </w:rPr>
            </w:pPr>
            <w:r>
              <w:rPr>
                <w:i/>
                <w:w w:val="95"/>
                <w:sz w:val="14"/>
              </w:rPr>
              <w:t>0.4%</w:t>
            </w:r>
          </w:p>
        </w:tc>
        <w:tc>
          <w:tcPr>
            <w:tcW w:w="1223" w:type="dxa"/>
          </w:tcPr>
          <w:p>
            <w:pPr>
              <w:pStyle w:val="TableParagraph"/>
              <w:spacing w:line="154" w:lineRule="exact" w:before="5"/>
              <w:ind w:right="284"/>
              <w:jc w:val="right"/>
              <w:rPr>
                <w:b/>
                <w:i/>
                <w:sz w:val="14"/>
              </w:rPr>
            </w:pPr>
            <w:r>
              <w:rPr>
                <w:b/>
                <w:i/>
                <w:w w:val="95"/>
                <w:sz w:val="14"/>
              </w:rPr>
              <w:t>124,153</w:t>
            </w:r>
          </w:p>
        </w:tc>
        <w:tc>
          <w:tcPr>
            <w:tcW w:w="916" w:type="dxa"/>
          </w:tcPr>
          <w:p>
            <w:pPr>
              <w:pStyle w:val="TableParagraph"/>
              <w:spacing w:line="154" w:lineRule="exact" w:before="5"/>
              <w:ind w:left="412"/>
              <w:rPr>
                <w:i/>
                <w:sz w:val="14"/>
              </w:rPr>
            </w:pPr>
            <w:r>
              <w:rPr>
                <w:i/>
                <w:sz w:val="14"/>
              </w:rPr>
              <w:t>0.3%</w:t>
            </w:r>
          </w:p>
        </w:tc>
        <w:tc>
          <w:tcPr>
            <w:tcW w:w="1126" w:type="dxa"/>
          </w:tcPr>
          <w:p>
            <w:pPr>
              <w:pStyle w:val="TableParagraph"/>
              <w:spacing w:line="154" w:lineRule="exact" w:before="5"/>
              <w:ind w:right="228"/>
              <w:jc w:val="right"/>
              <w:rPr>
                <w:b/>
                <w:i/>
                <w:sz w:val="14"/>
              </w:rPr>
            </w:pPr>
            <w:r>
              <w:rPr>
                <w:b/>
                <w:i/>
                <w:w w:val="95"/>
                <w:sz w:val="14"/>
              </w:rPr>
              <w:t>179,237</w:t>
            </w:r>
          </w:p>
        </w:tc>
        <w:tc>
          <w:tcPr>
            <w:tcW w:w="861" w:type="dxa"/>
          </w:tcPr>
          <w:p>
            <w:pPr>
              <w:pStyle w:val="TableParagraph"/>
              <w:spacing w:line="154" w:lineRule="exact" w:before="5"/>
              <w:ind w:left="182" w:right="20"/>
              <w:jc w:val="center"/>
              <w:rPr>
                <w:i/>
                <w:sz w:val="14"/>
              </w:rPr>
            </w:pPr>
            <w:r>
              <w:rPr>
                <w:i/>
                <w:sz w:val="14"/>
              </w:rPr>
              <w:t>0.4%</w:t>
            </w:r>
          </w:p>
        </w:tc>
        <w:tc>
          <w:tcPr>
            <w:tcW w:w="1129" w:type="dxa"/>
          </w:tcPr>
          <w:p>
            <w:pPr>
              <w:pStyle w:val="TableParagraph"/>
              <w:spacing w:line="154" w:lineRule="exact" w:before="5"/>
              <w:ind w:right="236"/>
              <w:jc w:val="right"/>
              <w:rPr>
                <w:b/>
                <w:i/>
                <w:sz w:val="14"/>
              </w:rPr>
            </w:pPr>
            <w:r>
              <w:rPr>
                <w:b/>
                <w:i/>
                <w:w w:val="95"/>
                <w:sz w:val="14"/>
              </w:rPr>
              <w:t>106,211</w:t>
            </w:r>
          </w:p>
        </w:tc>
        <w:tc>
          <w:tcPr>
            <w:tcW w:w="1011" w:type="dxa"/>
          </w:tcPr>
          <w:p>
            <w:pPr>
              <w:pStyle w:val="TableParagraph"/>
              <w:spacing w:line="154" w:lineRule="exact" w:before="5"/>
              <w:ind w:right="341"/>
              <w:jc w:val="right"/>
              <w:rPr>
                <w:i/>
                <w:sz w:val="14"/>
              </w:rPr>
            </w:pPr>
            <w:r>
              <w:rPr>
                <w:i/>
                <w:w w:val="95"/>
                <w:sz w:val="14"/>
              </w:rPr>
              <w:t>0.2%</w:t>
            </w:r>
          </w:p>
        </w:tc>
      </w:tr>
      <w:tr>
        <w:trPr>
          <w:trHeight w:val="180" w:hRule="atLeast"/>
        </w:trPr>
        <w:tc>
          <w:tcPr>
            <w:tcW w:w="4528" w:type="dxa"/>
          </w:tcPr>
          <w:p>
            <w:pPr>
              <w:pStyle w:val="TableParagraph"/>
              <w:spacing w:line="152" w:lineRule="exact" w:before="8"/>
              <w:ind w:left="676"/>
              <w:rPr>
                <w:i/>
                <w:sz w:val="14"/>
              </w:rPr>
            </w:pPr>
            <w:r>
              <w:rPr>
                <w:i/>
                <w:sz w:val="14"/>
              </w:rPr>
              <w:t>Energy Subsidies for IPPs</w:t>
            </w:r>
          </w:p>
        </w:tc>
        <w:tc>
          <w:tcPr>
            <w:tcW w:w="1036" w:type="dxa"/>
          </w:tcPr>
          <w:p>
            <w:pPr>
              <w:pStyle w:val="TableParagraph"/>
              <w:spacing w:line="152" w:lineRule="exact" w:before="8"/>
              <w:ind w:left="344"/>
              <w:rPr>
                <w:i/>
                <w:sz w:val="14"/>
              </w:rPr>
            </w:pPr>
            <w:r>
              <w:rPr>
                <w:i/>
                <w:sz w:val="14"/>
              </w:rPr>
              <w:t>46 ,238</w:t>
            </w:r>
          </w:p>
        </w:tc>
        <w:tc>
          <w:tcPr>
            <w:tcW w:w="973" w:type="dxa"/>
          </w:tcPr>
          <w:p>
            <w:pPr>
              <w:pStyle w:val="TableParagraph"/>
              <w:spacing w:line="152" w:lineRule="exact" w:before="8"/>
              <w:ind w:right="202"/>
              <w:jc w:val="right"/>
              <w:rPr>
                <w:sz w:val="14"/>
              </w:rPr>
            </w:pPr>
            <w:r>
              <w:rPr>
                <w:sz w:val="14"/>
              </w:rPr>
              <w:t>0 . 1 %</w:t>
            </w:r>
          </w:p>
        </w:tc>
        <w:tc>
          <w:tcPr>
            <w:tcW w:w="1057" w:type="dxa"/>
          </w:tcPr>
          <w:p>
            <w:pPr>
              <w:pStyle w:val="TableParagraph"/>
              <w:spacing w:line="152" w:lineRule="exact" w:before="8"/>
              <w:ind w:left="342"/>
              <w:rPr>
                <w:sz w:val="14"/>
              </w:rPr>
            </w:pPr>
            <w:r>
              <w:rPr>
                <w:sz w:val="14"/>
              </w:rPr>
              <w:t>144,637</w:t>
            </w:r>
          </w:p>
        </w:tc>
        <w:tc>
          <w:tcPr>
            <w:tcW w:w="928" w:type="dxa"/>
          </w:tcPr>
          <w:p>
            <w:pPr>
              <w:pStyle w:val="TableParagraph"/>
              <w:spacing w:line="152" w:lineRule="exact" w:before="8"/>
              <w:ind w:right="257"/>
              <w:jc w:val="right"/>
              <w:rPr>
                <w:i/>
                <w:sz w:val="14"/>
              </w:rPr>
            </w:pPr>
            <w:r>
              <w:rPr>
                <w:i/>
                <w:w w:val="95"/>
                <w:sz w:val="14"/>
              </w:rPr>
              <w:t>0.4%</w:t>
            </w:r>
          </w:p>
        </w:tc>
        <w:tc>
          <w:tcPr>
            <w:tcW w:w="1223" w:type="dxa"/>
          </w:tcPr>
          <w:p>
            <w:pPr>
              <w:pStyle w:val="TableParagraph"/>
              <w:spacing w:line="152" w:lineRule="exact" w:before="8"/>
              <w:ind w:right="272"/>
              <w:jc w:val="right"/>
              <w:rPr>
                <w:b/>
                <w:sz w:val="14"/>
              </w:rPr>
            </w:pPr>
            <w:r>
              <w:rPr>
                <w:b/>
                <w:sz w:val="14"/>
              </w:rPr>
              <w:t>102,735</w:t>
            </w:r>
          </w:p>
        </w:tc>
        <w:tc>
          <w:tcPr>
            <w:tcW w:w="916" w:type="dxa"/>
          </w:tcPr>
          <w:p>
            <w:pPr>
              <w:pStyle w:val="TableParagraph"/>
              <w:spacing w:line="152" w:lineRule="exact" w:before="8"/>
              <w:ind w:left="412"/>
              <w:rPr>
                <w:i/>
                <w:sz w:val="14"/>
              </w:rPr>
            </w:pPr>
            <w:r>
              <w:rPr>
                <w:i/>
                <w:sz w:val="14"/>
              </w:rPr>
              <w:t>0.2%</w:t>
            </w:r>
          </w:p>
        </w:tc>
        <w:tc>
          <w:tcPr>
            <w:tcW w:w="1126" w:type="dxa"/>
          </w:tcPr>
          <w:p>
            <w:pPr>
              <w:pStyle w:val="TableParagraph"/>
              <w:spacing w:line="152" w:lineRule="exact" w:before="8"/>
              <w:ind w:right="197"/>
              <w:jc w:val="right"/>
              <w:rPr>
                <w:sz w:val="14"/>
              </w:rPr>
            </w:pPr>
            <w:r>
              <w:rPr>
                <w:sz w:val="14"/>
              </w:rPr>
              <w:t>156,748</w:t>
            </w:r>
          </w:p>
        </w:tc>
        <w:tc>
          <w:tcPr>
            <w:tcW w:w="861" w:type="dxa"/>
          </w:tcPr>
          <w:p>
            <w:pPr>
              <w:pStyle w:val="TableParagraph"/>
              <w:spacing w:line="152" w:lineRule="exact" w:before="8"/>
              <w:ind w:left="182" w:right="20"/>
              <w:jc w:val="center"/>
              <w:rPr>
                <w:i/>
                <w:sz w:val="14"/>
              </w:rPr>
            </w:pPr>
            <w:r>
              <w:rPr>
                <w:i/>
                <w:sz w:val="14"/>
              </w:rPr>
              <w:t>0.3%</w:t>
            </w:r>
          </w:p>
        </w:tc>
        <w:tc>
          <w:tcPr>
            <w:tcW w:w="1129" w:type="dxa"/>
          </w:tcPr>
          <w:p>
            <w:pPr>
              <w:pStyle w:val="TableParagraph"/>
              <w:spacing w:line="152" w:lineRule="exact" w:before="8"/>
              <w:ind w:right="201"/>
              <w:jc w:val="right"/>
              <w:rPr>
                <w:sz w:val="14"/>
              </w:rPr>
            </w:pPr>
            <w:r>
              <w:rPr>
                <w:sz w:val="14"/>
              </w:rPr>
              <w:t>79 ,225</w:t>
            </w:r>
          </w:p>
        </w:tc>
        <w:tc>
          <w:tcPr>
            <w:tcW w:w="1011" w:type="dxa"/>
          </w:tcPr>
          <w:p>
            <w:pPr>
              <w:pStyle w:val="TableParagraph"/>
              <w:spacing w:line="152" w:lineRule="exact" w:before="8"/>
              <w:ind w:right="341"/>
              <w:jc w:val="right"/>
              <w:rPr>
                <w:i/>
                <w:sz w:val="14"/>
              </w:rPr>
            </w:pPr>
            <w:r>
              <w:rPr>
                <w:i/>
                <w:w w:val="95"/>
                <w:sz w:val="14"/>
              </w:rPr>
              <w:t>0.1%</w:t>
            </w:r>
          </w:p>
        </w:tc>
      </w:tr>
      <w:tr>
        <w:trPr>
          <w:trHeight w:val="180" w:hRule="atLeast"/>
        </w:trPr>
        <w:tc>
          <w:tcPr>
            <w:tcW w:w="4528" w:type="dxa"/>
          </w:tcPr>
          <w:p>
            <w:pPr>
              <w:pStyle w:val="TableParagraph"/>
              <w:spacing w:line="154" w:lineRule="exact" w:before="5"/>
              <w:ind w:left="676"/>
              <w:rPr>
                <w:i/>
                <w:sz w:val="14"/>
              </w:rPr>
            </w:pPr>
            <w:r>
              <w:rPr>
                <w:i/>
                <w:sz w:val="14"/>
              </w:rPr>
              <w:t>Other SOEs Loans and Structural Interventions</w:t>
            </w:r>
          </w:p>
        </w:tc>
        <w:tc>
          <w:tcPr>
            <w:tcW w:w="1036" w:type="dxa"/>
          </w:tcPr>
          <w:p>
            <w:pPr>
              <w:pStyle w:val="TableParagraph"/>
              <w:spacing w:line="154" w:lineRule="exact" w:before="5"/>
              <w:ind w:right="189"/>
              <w:jc w:val="right"/>
              <w:rPr>
                <w:i/>
                <w:sz w:val="14"/>
              </w:rPr>
            </w:pPr>
            <w:r>
              <w:rPr>
                <w:i/>
                <w:w w:val="99"/>
                <w:sz w:val="14"/>
              </w:rPr>
              <w:t>0</w:t>
            </w:r>
          </w:p>
        </w:tc>
        <w:tc>
          <w:tcPr>
            <w:tcW w:w="973" w:type="dxa"/>
          </w:tcPr>
          <w:p>
            <w:pPr>
              <w:pStyle w:val="TableParagraph"/>
              <w:spacing w:line="154" w:lineRule="exact" w:before="5"/>
              <w:ind w:right="202"/>
              <w:jc w:val="right"/>
              <w:rPr>
                <w:sz w:val="14"/>
              </w:rPr>
            </w:pPr>
            <w:r>
              <w:rPr>
                <w:sz w:val="14"/>
              </w:rPr>
              <w:t>0 . 0 %</w:t>
            </w:r>
          </w:p>
        </w:tc>
        <w:tc>
          <w:tcPr>
            <w:tcW w:w="1057" w:type="dxa"/>
          </w:tcPr>
          <w:p>
            <w:pPr>
              <w:pStyle w:val="TableParagraph"/>
              <w:spacing w:line="154" w:lineRule="exact" w:before="5"/>
              <w:ind w:right="121"/>
              <w:jc w:val="right"/>
              <w:rPr>
                <w:sz w:val="14"/>
              </w:rPr>
            </w:pPr>
            <w:r>
              <w:rPr>
                <w:w w:val="99"/>
                <w:sz w:val="14"/>
              </w:rPr>
              <w:t>0</w:t>
            </w:r>
          </w:p>
        </w:tc>
        <w:tc>
          <w:tcPr>
            <w:tcW w:w="928" w:type="dxa"/>
          </w:tcPr>
          <w:p>
            <w:pPr>
              <w:pStyle w:val="TableParagraph"/>
              <w:spacing w:line="154" w:lineRule="exact" w:before="5"/>
              <w:ind w:right="257"/>
              <w:jc w:val="right"/>
              <w:rPr>
                <w:i/>
                <w:sz w:val="14"/>
              </w:rPr>
            </w:pPr>
            <w:r>
              <w:rPr>
                <w:i/>
                <w:w w:val="95"/>
                <w:sz w:val="14"/>
              </w:rPr>
              <w:t>0.0%</w:t>
            </w:r>
          </w:p>
        </w:tc>
        <w:tc>
          <w:tcPr>
            <w:tcW w:w="1223" w:type="dxa"/>
          </w:tcPr>
          <w:p>
            <w:pPr>
              <w:pStyle w:val="TableParagraph"/>
              <w:spacing w:line="154" w:lineRule="exact" w:before="5"/>
              <w:ind w:right="265"/>
              <w:jc w:val="right"/>
              <w:rPr>
                <w:b/>
                <w:sz w:val="14"/>
              </w:rPr>
            </w:pPr>
            <w:r>
              <w:rPr>
                <w:b/>
                <w:w w:val="95"/>
                <w:sz w:val="14"/>
              </w:rPr>
              <w:t>21,418</w:t>
            </w:r>
          </w:p>
        </w:tc>
        <w:tc>
          <w:tcPr>
            <w:tcW w:w="916" w:type="dxa"/>
          </w:tcPr>
          <w:p>
            <w:pPr>
              <w:pStyle w:val="TableParagraph"/>
              <w:spacing w:line="154" w:lineRule="exact" w:before="5"/>
              <w:ind w:left="412"/>
              <w:rPr>
                <w:i/>
                <w:sz w:val="14"/>
              </w:rPr>
            </w:pPr>
            <w:r>
              <w:rPr>
                <w:i/>
                <w:sz w:val="14"/>
              </w:rPr>
              <w:t>0.0%</w:t>
            </w:r>
          </w:p>
        </w:tc>
        <w:tc>
          <w:tcPr>
            <w:tcW w:w="1126" w:type="dxa"/>
          </w:tcPr>
          <w:p>
            <w:pPr>
              <w:pStyle w:val="TableParagraph"/>
              <w:spacing w:line="154" w:lineRule="exact" w:before="5"/>
              <w:ind w:right="193"/>
              <w:jc w:val="right"/>
              <w:rPr>
                <w:sz w:val="14"/>
              </w:rPr>
            </w:pPr>
            <w:r>
              <w:rPr>
                <w:sz w:val="14"/>
              </w:rPr>
              <w:t>22 ,489</w:t>
            </w:r>
          </w:p>
        </w:tc>
        <w:tc>
          <w:tcPr>
            <w:tcW w:w="861" w:type="dxa"/>
          </w:tcPr>
          <w:p>
            <w:pPr>
              <w:pStyle w:val="TableParagraph"/>
              <w:spacing w:line="154" w:lineRule="exact" w:before="5"/>
              <w:ind w:left="182" w:right="20"/>
              <w:jc w:val="center"/>
              <w:rPr>
                <w:i/>
                <w:sz w:val="14"/>
              </w:rPr>
            </w:pPr>
            <w:r>
              <w:rPr>
                <w:i/>
                <w:sz w:val="14"/>
              </w:rPr>
              <w:t>0.0%</w:t>
            </w:r>
          </w:p>
        </w:tc>
        <w:tc>
          <w:tcPr>
            <w:tcW w:w="1129" w:type="dxa"/>
          </w:tcPr>
          <w:p>
            <w:pPr>
              <w:pStyle w:val="TableParagraph"/>
              <w:spacing w:line="154" w:lineRule="exact" w:before="5"/>
              <w:ind w:right="201"/>
              <w:jc w:val="right"/>
              <w:rPr>
                <w:sz w:val="14"/>
              </w:rPr>
            </w:pPr>
            <w:r>
              <w:rPr>
                <w:sz w:val="14"/>
              </w:rPr>
              <w:t>26 ,987</w:t>
            </w:r>
          </w:p>
        </w:tc>
        <w:tc>
          <w:tcPr>
            <w:tcW w:w="1011" w:type="dxa"/>
          </w:tcPr>
          <w:p>
            <w:pPr>
              <w:pStyle w:val="TableParagraph"/>
              <w:spacing w:line="154" w:lineRule="exact" w:before="5"/>
              <w:ind w:right="341"/>
              <w:jc w:val="right"/>
              <w:rPr>
                <w:i/>
                <w:sz w:val="14"/>
              </w:rPr>
            </w:pPr>
            <w:r>
              <w:rPr>
                <w:i/>
                <w:w w:val="95"/>
                <w:sz w:val="14"/>
              </w:rPr>
              <w:t>0.0%</w:t>
            </w:r>
          </w:p>
        </w:tc>
      </w:tr>
      <w:tr>
        <w:trPr>
          <w:trHeight w:val="180" w:hRule="atLeast"/>
        </w:trPr>
        <w:tc>
          <w:tcPr>
            <w:tcW w:w="4528" w:type="dxa"/>
          </w:tcPr>
          <w:p>
            <w:pPr>
              <w:pStyle w:val="TableParagraph"/>
              <w:spacing w:line="152" w:lineRule="exact" w:before="8"/>
              <w:ind w:left="509"/>
              <w:rPr>
                <w:b/>
                <w:i/>
                <w:sz w:val="14"/>
              </w:rPr>
            </w:pPr>
            <w:r>
              <w:rPr>
                <w:b/>
                <w:i/>
                <w:sz w:val="14"/>
              </w:rPr>
              <w:t>Elections and Democratisation</w:t>
            </w:r>
          </w:p>
        </w:tc>
        <w:tc>
          <w:tcPr>
            <w:tcW w:w="1036" w:type="dxa"/>
          </w:tcPr>
          <w:p>
            <w:pPr>
              <w:pStyle w:val="TableParagraph"/>
              <w:spacing w:line="152" w:lineRule="exact" w:before="8"/>
              <w:ind w:left="345"/>
              <w:rPr>
                <w:b/>
                <w:i/>
                <w:sz w:val="14"/>
              </w:rPr>
            </w:pPr>
            <w:r>
              <w:rPr>
                <w:b/>
                <w:i/>
                <w:sz w:val="14"/>
              </w:rPr>
              <w:t>43,027</w:t>
            </w:r>
          </w:p>
        </w:tc>
        <w:tc>
          <w:tcPr>
            <w:tcW w:w="973" w:type="dxa"/>
          </w:tcPr>
          <w:p>
            <w:pPr>
              <w:pStyle w:val="TableParagraph"/>
              <w:spacing w:line="152" w:lineRule="exact" w:before="8"/>
              <w:ind w:right="208"/>
              <w:jc w:val="right"/>
              <w:rPr>
                <w:b/>
                <w:sz w:val="14"/>
              </w:rPr>
            </w:pPr>
            <w:r>
              <w:rPr>
                <w:b/>
                <w:sz w:val="14"/>
              </w:rPr>
              <w:t>0.1%</w:t>
            </w:r>
          </w:p>
        </w:tc>
        <w:tc>
          <w:tcPr>
            <w:tcW w:w="1057" w:type="dxa"/>
          </w:tcPr>
          <w:p>
            <w:pPr>
              <w:pStyle w:val="TableParagraph"/>
              <w:spacing w:line="152" w:lineRule="exact" w:before="8"/>
              <w:ind w:left="433"/>
              <w:rPr>
                <w:b/>
                <w:i/>
                <w:sz w:val="14"/>
              </w:rPr>
            </w:pPr>
            <w:r>
              <w:rPr>
                <w:b/>
                <w:i/>
                <w:sz w:val="14"/>
              </w:rPr>
              <w:t>17,040</w:t>
            </w:r>
          </w:p>
        </w:tc>
        <w:tc>
          <w:tcPr>
            <w:tcW w:w="928" w:type="dxa"/>
          </w:tcPr>
          <w:p>
            <w:pPr>
              <w:pStyle w:val="TableParagraph"/>
              <w:spacing w:line="152" w:lineRule="exact" w:before="8"/>
              <w:ind w:right="257"/>
              <w:jc w:val="right"/>
              <w:rPr>
                <w:i/>
                <w:sz w:val="14"/>
              </w:rPr>
            </w:pPr>
            <w:r>
              <w:rPr>
                <w:i/>
                <w:w w:val="95"/>
                <w:sz w:val="14"/>
              </w:rPr>
              <w:t>0.0%</w:t>
            </w:r>
          </w:p>
        </w:tc>
        <w:tc>
          <w:tcPr>
            <w:tcW w:w="1223" w:type="dxa"/>
          </w:tcPr>
          <w:p>
            <w:pPr>
              <w:pStyle w:val="TableParagraph"/>
              <w:spacing w:line="152" w:lineRule="exact" w:before="8"/>
              <w:ind w:right="280"/>
              <w:jc w:val="right"/>
              <w:rPr>
                <w:b/>
                <w:i/>
                <w:sz w:val="14"/>
              </w:rPr>
            </w:pPr>
            <w:r>
              <w:rPr>
                <w:b/>
                <w:i/>
                <w:w w:val="95"/>
                <w:sz w:val="14"/>
              </w:rPr>
              <w:t>18,900</w:t>
            </w:r>
          </w:p>
        </w:tc>
        <w:tc>
          <w:tcPr>
            <w:tcW w:w="916" w:type="dxa"/>
          </w:tcPr>
          <w:p>
            <w:pPr>
              <w:pStyle w:val="TableParagraph"/>
              <w:spacing w:line="152" w:lineRule="exact" w:before="8"/>
              <w:ind w:left="412"/>
              <w:rPr>
                <w:i/>
                <w:sz w:val="14"/>
              </w:rPr>
            </w:pPr>
            <w:r>
              <w:rPr>
                <w:i/>
                <w:sz w:val="14"/>
              </w:rPr>
              <w:t>0.0%</w:t>
            </w:r>
          </w:p>
        </w:tc>
        <w:tc>
          <w:tcPr>
            <w:tcW w:w="1126" w:type="dxa"/>
          </w:tcPr>
          <w:p>
            <w:pPr>
              <w:pStyle w:val="TableParagraph"/>
              <w:spacing w:line="152" w:lineRule="exact" w:before="8"/>
              <w:ind w:right="219"/>
              <w:jc w:val="right"/>
              <w:rPr>
                <w:b/>
                <w:i/>
                <w:sz w:val="14"/>
              </w:rPr>
            </w:pPr>
            <w:r>
              <w:rPr>
                <w:b/>
                <w:i/>
                <w:w w:val="95"/>
                <w:sz w:val="14"/>
              </w:rPr>
              <w:t>86,867</w:t>
            </w:r>
          </w:p>
        </w:tc>
        <w:tc>
          <w:tcPr>
            <w:tcW w:w="861" w:type="dxa"/>
          </w:tcPr>
          <w:p>
            <w:pPr>
              <w:pStyle w:val="TableParagraph"/>
              <w:spacing w:line="152" w:lineRule="exact" w:before="8"/>
              <w:ind w:left="182" w:right="20"/>
              <w:jc w:val="center"/>
              <w:rPr>
                <w:i/>
                <w:sz w:val="14"/>
              </w:rPr>
            </w:pPr>
            <w:r>
              <w:rPr>
                <w:i/>
                <w:sz w:val="14"/>
              </w:rPr>
              <w:t>0.2%</w:t>
            </w:r>
          </w:p>
        </w:tc>
        <w:tc>
          <w:tcPr>
            <w:tcW w:w="1129" w:type="dxa"/>
          </w:tcPr>
          <w:p>
            <w:pPr>
              <w:pStyle w:val="TableParagraph"/>
              <w:spacing w:line="152" w:lineRule="exact" w:before="8"/>
              <w:ind w:right="236"/>
              <w:jc w:val="right"/>
              <w:rPr>
                <w:b/>
                <w:i/>
                <w:sz w:val="14"/>
              </w:rPr>
            </w:pPr>
            <w:r>
              <w:rPr>
                <w:b/>
                <w:i/>
                <w:w w:val="95"/>
                <w:sz w:val="14"/>
              </w:rPr>
              <w:t>203,369</w:t>
            </w:r>
          </w:p>
        </w:tc>
        <w:tc>
          <w:tcPr>
            <w:tcW w:w="1011" w:type="dxa"/>
          </w:tcPr>
          <w:p>
            <w:pPr>
              <w:pStyle w:val="TableParagraph"/>
              <w:spacing w:line="152" w:lineRule="exact" w:before="8"/>
              <w:ind w:right="341"/>
              <w:jc w:val="right"/>
              <w:rPr>
                <w:i/>
                <w:sz w:val="14"/>
              </w:rPr>
            </w:pPr>
            <w:r>
              <w:rPr>
                <w:i/>
                <w:w w:val="95"/>
                <w:sz w:val="14"/>
              </w:rPr>
              <w:t>0.4%</w:t>
            </w:r>
          </w:p>
        </w:tc>
      </w:tr>
      <w:tr>
        <w:trPr>
          <w:trHeight w:val="180" w:hRule="atLeast"/>
        </w:trPr>
        <w:tc>
          <w:tcPr>
            <w:tcW w:w="4528" w:type="dxa"/>
          </w:tcPr>
          <w:p>
            <w:pPr>
              <w:pStyle w:val="TableParagraph"/>
              <w:spacing w:line="154" w:lineRule="exact" w:before="5"/>
              <w:ind w:left="676"/>
              <w:rPr>
                <w:i/>
                <w:sz w:val="14"/>
              </w:rPr>
            </w:pPr>
            <w:r>
              <w:rPr>
                <w:i/>
                <w:sz w:val="14"/>
              </w:rPr>
              <w:t>Domestic contribution</w:t>
            </w:r>
          </w:p>
        </w:tc>
        <w:tc>
          <w:tcPr>
            <w:tcW w:w="1036" w:type="dxa"/>
          </w:tcPr>
          <w:p>
            <w:pPr>
              <w:pStyle w:val="TableParagraph"/>
              <w:spacing w:line="154" w:lineRule="exact" w:before="5"/>
              <w:ind w:left="344"/>
              <w:rPr>
                <w:i/>
                <w:sz w:val="14"/>
              </w:rPr>
            </w:pPr>
            <w:r>
              <w:rPr>
                <w:i/>
                <w:sz w:val="14"/>
              </w:rPr>
              <w:t>43 ,027</w:t>
            </w:r>
          </w:p>
        </w:tc>
        <w:tc>
          <w:tcPr>
            <w:tcW w:w="973" w:type="dxa"/>
          </w:tcPr>
          <w:p>
            <w:pPr>
              <w:pStyle w:val="TableParagraph"/>
              <w:spacing w:line="154" w:lineRule="exact" w:before="5"/>
              <w:ind w:right="202"/>
              <w:jc w:val="right"/>
              <w:rPr>
                <w:sz w:val="14"/>
              </w:rPr>
            </w:pPr>
            <w:r>
              <w:rPr>
                <w:sz w:val="14"/>
              </w:rPr>
              <w:t>0 . 1 %</w:t>
            </w:r>
          </w:p>
        </w:tc>
        <w:tc>
          <w:tcPr>
            <w:tcW w:w="1057" w:type="dxa"/>
          </w:tcPr>
          <w:p>
            <w:pPr>
              <w:pStyle w:val="TableParagraph"/>
              <w:spacing w:line="154" w:lineRule="exact" w:before="5"/>
              <w:ind w:left="433"/>
              <w:rPr>
                <w:sz w:val="14"/>
              </w:rPr>
            </w:pPr>
            <w:r>
              <w:rPr>
                <w:sz w:val="14"/>
              </w:rPr>
              <w:t>17 ,040</w:t>
            </w:r>
          </w:p>
        </w:tc>
        <w:tc>
          <w:tcPr>
            <w:tcW w:w="928" w:type="dxa"/>
          </w:tcPr>
          <w:p>
            <w:pPr>
              <w:pStyle w:val="TableParagraph"/>
              <w:spacing w:line="154" w:lineRule="exact" w:before="5"/>
              <w:ind w:right="257"/>
              <w:jc w:val="right"/>
              <w:rPr>
                <w:i/>
                <w:sz w:val="14"/>
              </w:rPr>
            </w:pPr>
            <w:r>
              <w:rPr>
                <w:i/>
                <w:w w:val="95"/>
                <w:sz w:val="14"/>
              </w:rPr>
              <w:t>0.0%</w:t>
            </w:r>
          </w:p>
        </w:tc>
        <w:tc>
          <w:tcPr>
            <w:tcW w:w="1223" w:type="dxa"/>
          </w:tcPr>
          <w:p>
            <w:pPr>
              <w:pStyle w:val="TableParagraph"/>
              <w:spacing w:line="154" w:lineRule="exact" w:before="5"/>
              <w:ind w:right="265"/>
              <w:jc w:val="right"/>
              <w:rPr>
                <w:b/>
                <w:sz w:val="14"/>
              </w:rPr>
            </w:pPr>
            <w:r>
              <w:rPr>
                <w:b/>
                <w:w w:val="95"/>
                <w:sz w:val="14"/>
              </w:rPr>
              <w:t>18,900</w:t>
            </w:r>
          </w:p>
        </w:tc>
        <w:tc>
          <w:tcPr>
            <w:tcW w:w="916" w:type="dxa"/>
          </w:tcPr>
          <w:p>
            <w:pPr>
              <w:pStyle w:val="TableParagraph"/>
              <w:spacing w:line="154" w:lineRule="exact" w:before="5"/>
              <w:ind w:left="412"/>
              <w:rPr>
                <w:i/>
                <w:sz w:val="14"/>
              </w:rPr>
            </w:pPr>
            <w:r>
              <w:rPr>
                <w:i/>
                <w:sz w:val="14"/>
              </w:rPr>
              <w:t>0.0%</w:t>
            </w:r>
          </w:p>
        </w:tc>
        <w:tc>
          <w:tcPr>
            <w:tcW w:w="1126" w:type="dxa"/>
          </w:tcPr>
          <w:p>
            <w:pPr>
              <w:pStyle w:val="TableParagraph"/>
              <w:spacing w:line="154" w:lineRule="exact" w:before="5"/>
              <w:ind w:right="209"/>
              <w:jc w:val="right"/>
              <w:rPr>
                <w:b/>
                <w:sz w:val="14"/>
              </w:rPr>
            </w:pPr>
            <w:r>
              <w:rPr>
                <w:b/>
                <w:w w:val="95"/>
                <w:sz w:val="14"/>
              </w:rPr>
              <w:t>86,867</w:t>
            </w:r>
          </w:p>
        </w:tc>
        <w:tc>
          <w:tcPr>
            <w:tcW w:w="861" w:type="dxa"/>
          </w:tcPr>
          <w:p>
            <w:pPr>
              <w:pStyle w:val="TableParagraph"/>
              <w:spacing w:line="154" w:lineRule="exact" w:before="5"/>
              <w:ind w:left="182" w:right="20"/>
              <w:jc w:val="center"/>
              <w:rPr>
                <w:i/>
                <w:sz w:val="14"/>
              </w:rPr>
            </w:pPr>
            <w:r>
              <w:rPr>
                <w:i/>
                <w:sz w:val="14"/>
              </w:rPr>
              <w:t>0.2%</w:t>
            </w:r>
          </w:p>
        </w:tc>
        <w:tc>
          <w:tcPr>
            <w:tcW w:w="1129" w:type="dxa"/>
          </w:tcPr>
          <w:p>
            <w:pPr>
              <w:pStyle w:val="TableParagraph"/>
              <w:spacing w:line="154" w:lineRule="exact" w:before="5"/>
              <w:ind w:right="224"/>
              <w:jc w:val="right"/>
              <w:rPr>
                <w:b/>
                <w:sz w:val="14"/>
              </w:rPr>
            </w:pPr>
            <w:r>
              <w:rPr>
                <w:b/>
                <w:sz w:val="14"/>
              </w:rPr>
              <w:t>203,369</w:t>
            </w:r>
          </w:p>
        </w:tc>
        <w:tc>
          <w:tcPr>
            <w:tcW w:w="1011" w:type="dxa"/>
          </w:tcPr>
          <w:p>
            <w:pPr>
              <w:pStyle w:val="TableParagraph"/>
              <w:spacing w:line="154" w:lineRule="exact" w:before="5"/>
              <w:ind w:right="341"/>
              <w:jc w:val="right"/>
              <w:rPr>
                <w:i/>
                <w:sz w:val="14"/>
              </w:rPr>
            </w:pPr>
            <w:r>
              <w:rPr>
                <w:i/>
                <w:w w:val="95"/>
                <w:sz w:val="14"/>
              </w:rPr>
              <w:t>0.4%</w:t>
            </w:r>
          </w:p>
        </w:tc>
      </w:tr>
      <w:tr>
        <w:trPr>
          <w:trHeight w:val="180" w:hRule="atLeast"/>
        </w:trPr>
        <w:tc>
          <w:tcPr>
            <w:tcW w:w="4528" w:type="dxa"/>
          </w:tcPr>
          <w:p>
            <w:pPr>
              <w:pStyle w:val="TableParagraph"/>
              <w:spacing w:line="152" w:lineRule="exact" w:before="8"/>
              <w:ind w:left="849"/>
              <w:rPr>
                <w:i/>
                <w:sz w:val="14"/>
              </w:rPr>
            </w:pPr>
            <w:r>
              <w:rPr>
                <w:i/>
                <w:sz w:val="14"/>
              </w:rPr>
              <w:t>National Electoral Commission</w:t>
            </w:r>
          </w:p>
        </w:tc>
        <w:tc>
          <w:tcPr>
            <w:tcW w:w="1036" w:type="dxa"/>
          </w:tcPr>
          <w:p>
            <w:pPr>
              <w:pStyle w:val="TableParagraph"/>
              <w:spacing w:line="152" w:lineRule="exact" w:before="8"/>
              <w:ind w:left="344"/>
              <w:rPr>
                <w:i/>
                <w:sz w:val="14"/>
              </w:rPr>
            </w:pPr>
            <w:r>
              <w:rPr>
                <w:i/>
                <w:sz w:val="14"/>
              </w:rPr>
              <w:t>43 ,027</w:t>
            </w:r>
          </w:p>
        </w:tc>
        <w:tc>
          <w:tcPr>
            <w:tcW w:w="973" w:type="dxa"/>
          </w:tcPr>
          <w:p>
            <w:pPr>
              <w:pStyle w:val="TableParagraph"/>
              <w:spacing w:line="152" w:lineRule="exact" w:before="8"/>
              <w:ind w:right="202"/>
              <w:jc w:val="right"/>
              <w:rPr>
                <w:sz w:val="14"/>
              </w:rPr>
            </w:pPr>
            <w:r>
              <w:rPr>
                <w:sz w:val="14"/>
              </w:rPr>
              <w:t>0 . 1 %</w:t>
            </w:r>
          </w:p>
        </w:tc>
        <w:tc>
          <w:tcPr>
            <w:tcW w:w="1057" w:type="dxa"/>
          </w:tcPr>
          <w:p>
            <w:pPr>
              <w:pStyle w:val="TableParagraph"/>
              <w:spacing w:line="152" w:lineRule="exact" w:before="8"/>
              <w:ind w:left="433"/>
              <w:rPr>
                <w:sz w:val="14"/>
              </w:rPr>
            </w:pPr>
            <w:r>
              <w:rPr>
                <w:sz w:val="14"/>
              </w:rPr>
              <w:t>17 ,040</w:t>
            </w:r>
          </w:p>
        </w:tc>
        <w:tc>
          <w:tcPr>
            <w:tcW w:w="928" w:type="dxa"/>
          </w:tcPr>
          <w:p>
            <w:pPr>
              <w:pStyle w:val="TableParagraph"/>
              <w:spacing w:line="152" w:lineRule="exact" w:before="8"/>
              <w:ind w:right="257"/>
              <w:jc w:val="right"/>
              <w:rPr>
                <w:i/>
                <w:sz w:val="14"/>
              </w:rPr>
            </w:pPr>
            <w:r>
              <w:rPr>
                <w:i/>
                <w:w w:val="95"/>
                <w:sz w:val="14"/>
              </w:rPr>
              <w:t>0.0%</w:t>
            </w:r>
          </w:p>
        </w:tc>
        <w:tc>
          <w:tcPr>
            <w:tcW w:w="1223" w:type="dxa"/>
          </w:tcPr>
          <w:p>
            <w:pPr>
              <w:pStyle w:val="TableParagraph"/>
              <w:spacing w:line="152" w:lineRule="exact" w:before="8"/>
              <w:ind w:right="265"/>
              <w:jc w:val="right"/>
              <w:rPr>
                <w:b/>
                <w:sz w:val="14"/>
              </w:rPr>
            </w:pPr>
            <w:r>
              <w:rPr>
                <w:b/>
                <w:w w:val="95"/>
                <w:sz w:val="14"/>
              </w:rPr>
              <w:t>18,900</w:t>
            </w:r>
          </w:p>
        </w:tc>
        <w:tc>
          <w:tcPr>
            <w:tcW w:w="916" w:type="dxa"/>
          </w:tcPr>
          <w:p>
            <w:pPr>
              <w:pStyle w:val="TableParagraph"/>
              <w:spacing w:line="152" w:lineRule="exact" w:before="8"/>
              <w:ind w:left="412"/>
              <w:rPr>
                <w:i/>
                <w:sz w:val="14"/>
              </w:rPr>
            </w:pPr>
            <w:r>
              <w:rPr>
                <w:i/>
                <w:sz w:val="14"/>
              </w:rPr>
              <w:t>0.0%</w:t>
            </w:r>
          </w:p>
        </w:tc>
        <w:tc>
          <w:tcPr>
            <w:tcW w:w="1126" w:type="dxa"/>
          </w:tcPr>
          <w:p>
            <w:pPr>
              <w:pStyle w:val="TableParagraph"/>
              <w:spacing w:line="152" w:lineRule="exact" w:before="8"/>
              <w:ind w:right="209"/>
              <w:jc w:val="right"/>
              <w:rPr>
                <w:b/>
                <w:sz w:val="14"/>
              </w:rPr>
            </w:pPr>
            <w:r>
              <w:rPr>
                <w:b/>
                <w:w w:val="95"/>
                <w:sz w:val="14"/>
              </w:rPr>
              <w:t>86,867</w:t>
            </w:r>
          </w:p>
        </w:tc>
        <w:tc>
          <w:tcPr>
            <w:tcW w:w="861" w:type="dxa"/>
          </w:tcPr>
          <w:p>
            <w:pPr>
              <w:pStyle w:val="TableParagraph"/>
              <w:spacing w:line="152" w:lineRule="exact" w:before="8"/>
              <w:ind w:left="182" w:right="20"/>
              <w:jc w:val="center"/>
              <w:rPr>
                <w:i/>
                <w:sz w:val="14"/>
              </w:rPr>
            </w:pPr>
            <w:r>
              <w:rPr>
                <w:i/>
                <w:sz w:val="14"/>
              </w:rPr>
              <w:t>0.2%</w:t>
            </w:r>
          </w:p>
        </w:tc>
        <w:tc>
          <w:tcPr>
            <w:tcW w:w="1129" w:type="dxa"/>
          </w:tcPr>
          <w:p>
            <w:pPr>
              <w:pStyle w:val="TableParagraph"/>
              <w:spacing w:line="152" w:lineRule="exact" w:before="8"/>
              <w:ind w:right="224"/>
              <w:jc w:val="right"/>
              <w:rPr>
                <w:b/>
                <w:sz w:val="14"/>
              </w:rPr>
            </w:pPr>
            <w:r>
              <w:rPr>
                <w:b/>
                <w:sz w:val="14"/>
              </w:rPr>
              <w:t>203,369</w:t>
            </w:r>
          </w:p>
        </w:tc>
        <w:tc>
          <w:tcPr>
            <w:tcW w:w="1011" w:type="dxa"/>
          </w:tcPr>
          <w:p>
            <w:pPr>
              <w:pStyle w:val="TableParagraph"/>
              <w:spacing w:line="152" w:lineRule="exact" w:before="8"/>
              <w:ind w:right="341"/>
              <w:jc w:val="right"/>
              <w:rPr>
                <w:i/>
                <w:sz w:val="14"/>
              </w:rPr>
            </w:pPr>
            <w:r>
              <w:rPr>
                <w:i/>
                <w:w w:val="95"/>
                <w:sz w:val="14"/>
              </w:rPr>
              <w:t>0.4%</w:t>
            </w:r>
          </w:p>
        </w:tc>
      </w:tr>
      <w:tr>
        <w:trPr>
          <w:trHeight w:val="180" w:hRule="atLeast"/>
        </w:trPr>
        <w:tc>
          <w:tcPr>
            <w:tcW w:w="4528" w:type="dxa"/>
          </w:tcPr>
          <w:p>
            <w:pPr>
              <w:pStyle w:val="TableParagraph"/>
              <w:spacing w:line="154" w:lineRule="exact" w:before="5"/>
              <w:ind w:left="168"/>
              <w:rPr>
                <w:b/>
                <w:sz w:val="14"/>
              </w:rPr>
            </w:pPr>
            <w:r>
              <w:rPr>
                <w:b/>
                <w:sz w:val="14"/>
              </w:rPr>
              <w:t>Total interest payments</w:t>
            </w:r>
          </w:p>
        </w:tc>
        <w:tc>
          <w:tcPr>
            <w:tcW w:w="1036" w:type="dxa"/>
          </w:tcPr>
          <w:p>
            <w:pPr>
              <w:pStyle w:val="TableParagraph"/>
              <w:spacing w:line="154" w:lineRule="exact" w:before="5"/>
              <w:ind w:left="273"/>
              <w:rPr>
                <w:b/>
                <w:sz w:val="14"/>
              </w:rPr>
            </w:pPr>
            <w:r>
              <w:rPr>
                <w:b/>
                <w:sz w:val="14"/>
              </w:rPr>
              <w:t>906,296</w:t>
            </w:r>
          </w:p>
        </w:tc>
        <w:tc>
          <w:tcPr>
            <w:tcW w:w="973" w:type="dxa"/>
          </w:tcPr>
          <w:p>
            <w:pPr>
              <w:pStyle w:val="TableParagraph"/>
              <w:spacing w:line="154" w:lineRule="exact" w:before="5"/>
              <w:ind w:right="208"/>
              <w:jc w:val="right"/>
              <w:rPr>
                <w:b/>
                <w:sz w:val="14"/>
              </w:rPr>
            </w:pPr>
            <w:r>
              <w:rPr>
                <w:b/>
                <w:sz w:val="14"/>
              </w:rPr>
              <w:t>2.8%</w:t>
            </w:r>
          </w:p>
        </w:tc>
        <w:tc>
          <w:tcPr>
            <w:tcW w:w="1057" w:type="dxa"/>
          </w:tcPr>
          <w:p>
            <w:pPr>
              <w:pStyle w:val="TableParagraph"/>
              <w:spacing w:line="154" w:lineRule="exact" w:before="5"/>
              <w:ind w:left="241"/>
              <w:rPr>
                <w:b/>
                <w:sz w:val="14"/>
              </w:rPr>
            </w:pPr>
            <w:r>
              <w:rPr>
                <w:b/>
                <w:sz w:val="14"/>
              </w:rPr>
              <w:t>1,127,050</w:t>
            </w:r>
          </w:p>
        </w:tc>
        <w:tc>
          <w:tcPr>
            <w:tcW w:w="928" w:type="dxa"/>
          </w:tcPr>
          <w:p>
            <w:pPr>
              <w:pStyle w:val="TableParagraph"/>
              <w:spacing w:line="154" w:lineRule="exact" w:before="5"/>
              <w:ind w:right="257"/>
              <w:jc w:val="right"/>
              <w:rPr>
                <w:i/>
                <w:sz w:val="14"/>
              </w:rPr>
            </w:pPr>
            <w:r>
              <w:rPr>
                <w:i/>
                <w:w w:val="95"/>
                <w:sz w:val="14"/>
              </w:rPr>
              <w:t>3.0%</w:t>
            </w:r>
          </w:p>
        </w:tc>
        <w:tc>
          <w:tcPr>
            <w:tcW w:w="1223" w:type="dxa"/>
          </w:tcPr>
          <w:p>
            <w:pPr>
              <w:pStyle w:val="TableParagraph"/>
              <w:spacing w:line="154" w:lineRule="exact" w:before="5"/>
              <w:ind w:right="283"/>
              <w:jc w:val="right"/>
              <w:rPr>
                <w:b/>
                <w:sz w:val="14"/>
              </w:rPr>
            </w:pPr>
            <w:r>
              <w:rPr>
                <w:b/>
                <w:sz w:val="14"/>
              </w:rPr>
              <w:t>1,225,038</w:t>
            </w:r>
          </w:p>
        </w:tc>
        <w:tc>
          <w:tcPr>
            <w:tcW w:w="916" w:type="dxa"/>
          </w:tcPr>
          <w:p>
            <w:pPr>
              <w:pStyle w:val="TableParagraph"/>
              <w:spacing w:line="154" w:lineRule="exact" w:before="5"/>
              <w:ind w:left="412"/>
              <w:rPr>
                <w:i/>
                <w:sz w:val="14"/>
              </w:rPr>
            </w:pPr>
            <w:r>
              <w:rPr>
                <w:i/>
                <w:sz w:val="14"/>
              </w:rPr>
              <w:t>2.8%</w:t>
            </w:r>
          </w:p>
        </w:tc>
        <w:tc>
          <w:tcPr>
            <w:tcW w:w="1126" w:type="dxa"/>
          </w:tcPr>
          <w:p>
            <w:pPr>
              <w:pStyle w:val="TableParagraph"/>
              <w:spacing w:line="154" w:lineRule="exact" w:before="5"/>
              <w:ind w:right="228"/>
              <w:jc w:val="right"/>
              <w:rPr>
                <w:b/>
                <w:sz w:val="14"/>
              </w:rPr>
            </w:pPr>
            <w:r>
              <w:rPr>
                <w:b/>
                <w:sz w:val="14"/>
              </w:rPr>
              <w:t>1,306,600</w:t>
            </w:r>
          </w:p>
        </w:tc>
        <w:tc>
          <w:tcPr>
            <w:tcW w:w="861" w:type="dxa"/>
          </w:tcPr>
          <w:p>
            <w:pPr>
              <w:pStyle w:val="TableParagraph"/>
              <w:spacing w:line="154" w:lineRule="exact" w:before="5"/>
              <w:ind w:left="182" w:right="20"/>
              <w:jc w:val="center"/>
              <w:rPr>
                <w:i/>
                <w:sz w:val="14"/>
              </w:rPr>
            </w:pPr>
            <w:r>
              <w:rPr>
                <w:i/>
                <w:sz w:val="14"/>
              </w:rPr>
              <w:t>2.6%</w:t>
            </w:r>
          </w:p>
        </w:tc>
        <w:tc>
          <w:tcPr>
            <w:tcW w:w="1129" w:type="dxa"/>
          </w:tcPr>
          <w:p>
            <w:pPr>
              <w:pStyle w:val="TableParagraph"/>
              <w:spacing w:line="154" w:lineRule="exact" w:before="5"/>
              <w:ind w:right="235"/>
              <w:jc w:val="right"/>
              <w:rPr>
                <w:b/>
                <w:sz w:val="14"/>
              </w:rPr>
            </w:pPr>
            <w:r>
              <w:rPr>
                <w:b/>
                <w:sz w:val="14"/>
              </w:rPr>
              <w:t>1,341,000</w:t>
            </w:r>
          </w:p>
        </w:tc>
        <w:tc>
          <w:tcPr>
            <w:tcW w:w="1011" w:type="dxa"/>
          </w:tcPr>
          <w:p>
            <w:pPr>
              <w:pStyle w:val="TableParagraph"/>
              <w:spacing w:line="154" w:lineRule="exact" w:before="5"/>
              <w:ind w:right="341"/>
              <w:jc w:val="right"/>
              <w:rPr>
                <w:i/>
                <w:sz w:val="14"/>
              </w:rPr>
            </w:pPr>
            <w:r>
              <w:rPr>
                <w:i/>
                <w:w w:val="95"/>
                <w:sz w:val="14"/>
              </w:rPr>
              <w:t>2.3%</w:t>
            </w:r>
          </w:p>
        </w:tc>
      </w:tr>
      <w:tr>
        <w:trPr>
          <w:trHeight w:val="180" w:hRule="atLeast"/>
        </w:trPr>
        <w:tc>
          <w:tcPr>
            <w:tcW w:w="4528" w:type="dxa"/>
          </w:tcPr>
          <w:p>
            <w:pPr>
              <w:pStyle w:val="TableParagraph"/>
              <w:spacing w:line="152" w:lineRule="exact" w:before="8"/>
              <w:ind w:left="336"/>
              <w:rPr>
                <w:sz w:val="14"/>
              </w:rPr>
            </w:pPr>
            <w:r>
              <w:rPr>
                <w:sz w:val="14"/>
              </w:rPr>
              <w:t>Domestic Interest</w:t>
            </w:r>
          </w:p>
        </w:tc>
        <w:tc>
          <w:tcPr>
            <w:tcW w:w="1036" w:type="dxa"/>
          </w:tcPr>
          <w:p>
            <w:pPr>
              <w:pStyle w:val="TableParagraph"/>
              <w:spacing w:line="152" w:lineRule="exact" w:before="8"/>
              <w:ind w:left="258"/>
              <w:rPr>
                <w:i/>
                <w:sz w:val="14"/>
              </w:rPr>
            </w:pPr>
            <w:r>
              <w:rPr>
                <w:i/>
                <w:sz w:val="14"/>
              </w:rPr>
              <w:t>811,501</w:t>
            </w:r>
          </w:p>
        </w:tc>
        <w:tc>
          <w:tcPr>
            <w:tcW w:w="973" w:type="dxa"/>
          </w:tcPr>
          <w:p>
            <w:pPr>
              <w:pStyle w:val="TableParagraph"/>
              <w:spacing w:line="152" w:lineRule="exact" w:before="8"/>
              <w:ind w:right="202"/>
              <w:jc w:val="right"/>
              <w:rPr>
                <w:sz w:val="14"/>
              </w:rPr>
            </w:pPr>
            <w:r>
              <w:rPr>
                <w:sz w:val="14"/>
              </w:rPr>
              <w:t>2 . 5 %</w:t>
            </w:r>
          </w:p>
        </w:tc>
        <w:tc>
          <w:tcPr>
            <w:tcW w:w="1057" w:type="dxa"/>
          </w:tcPr>
          <w:p>
            <w:pPr>
              <w:pStyle w:val="TableParagraph"/>
              <w:spacing w:line="152" w:lineRule="exact" w:before="8"/>
              <w:ind w:left="207"/>
              <w:rPr>
                <w:sz w:val="14"/>
              </w:rPr>
            </w:pPr>
            <w:r>
              <w:rPr>
                <w:sz w:val="14"/>
              </w:rPr>
              <w:t>1,017 ,331</w:t>
            </w:r>
          </w:p>
        </w:tc>
        <w:tc>
          <w:tcPr>
            <w:tcW w:w="928" w:type="dxa"/>
          </w:tcPr>
          <w:p>
            <w:pPr>
              <w:pStyle w:val="TableParagraph"/>
              <w:spacing w:line="152" w:lineRule="exact" w:before="8"/>
              <w:ind w:right="257"/>
              <w:jc w:val="right"/>
              <w:rPr>
                <w:i/>
                <w:sz w:val="14"/>
              </w:rPr>
            </w:pPr>
            <w:r>
              <w:rPr>
                <w:i/>
                <w:w w:val="95"/>
                <w:sz w:val="14"/>
              </w:rPr>
              <w:t>2.7%</w:t>
            </w:r>
          </w:p>
        </w:tc>
        <w:tc>
          <w:tcPr>
            <w:tcW w:w="1223" w:type="dxa"/>
          </w:tcPr>
          <w:p>
            <w:pPr>
              <w:pStyle w:val="TableParagraph"/>
              <w:spacing w:line="152" w:lineRule="exact" w:before="8"/>
              <w:ind w:right="283"/>
              <w:jc w:val="right"/>
              <w:rPr>
                <w:b/>
                <w:sz w:val="14"/>
              </w:rPr>
            </w:pPr>
            <w:r>
              <w:rPr>
                <w:b/>
                <w:sz w:val="14"/>
              </w:rPr>
              <w:t>1,104,521</w:t>
            </w:r>
          </w:p>
        </w:tc>
        <w:tc>
          <w:tcPr>
            <w:tcW w:w="916" w:type="dxa"/>
          </w:tcPr>
          <w:p>
            <w:pPr>
              <w:pStyle w:val="TableParagraph"/>
              <w:spacing w:line="152" w:lineRule="exact" w:before="8"/>
              <w:ind w:left="412"/>
              <w:rPr>
                <w:i/>
                <w:sz w:val="14"/>
              </w:rPr>
            </w:pPr>
            <w:r>
              <w:rPr>
                <w:i/>
                <w:sz w:val="14"/>
              </w:rPr>
              <w:t>2.5%</w:t>
            </w:r>
          </w:p>
        </w:tc>
        <w:tc>
          <w:tcPr>
            <w:tcW w:w="1126" w:type="dxa"/>
          </w:tcPr>
          <w:p>
            <w:pPr>
              <w:pStyle w:val="TableParagraph"/>
              <w:spacing w:line="152" w:lineRule="exact" w:before="8"/>
              <w:ind w:right="228"/>
              <w:jc w:val="right"/>
              <w:rPr>
                <w:b/>
                <w:sz w:val="14"/>
              </w:rPr>
            </w:pPr>
            <w:r>
              <w:rPr>
                <w:b/>
                <w:sz w:val="14"/>
              </w:rPr>
              <w:t>1,183,238</w:t>
            </w:r>
          </w:p>
        </w:tc>
        <w:tc>
          <w:tcPr>
            <w:tcW w:w="861" w:type="dxa"/>
          </w:tcPr>
          <w:p>
            <w:pPr>
              <w:pStyle w:val="TableParagraph"/>
              <w:spacing w:line="152" w:lineRule="exact" w:before="8"/>
              <w:ind w:left="182" w:right="20"/>
              <w:jc w:val="center"/>
              <w:rPr>
                <w:i/>
                <w:sz w:val="14"/>
              </w:rPr>
            </w:pPr>
            <w:r>
              <w:rPr>
                <w:i/>
                <w:sz w:val="14"/>
              </w:rPr>
              <w:t>2.3%</w:t>
            </w:r>
          </w:p>
        </w:tc>
        <w:tc>
          <w:tcPr>
            <w:tcW w:w="1129" w:type="dxa"/>
          </w:tcPr>
          <w:p>
            <w:pPr>
              <w:pStyle w:val="TableParagraph"/>
              <w:spacing w:line="152" w:lineRule="exact" w:before="8"/>
              <w:ind w:right="235"/>
              <w:jc w:val="right"/>
              <w:rPr>
                <w:b/>
                <w:sz w:val="14"/>
              </w:rPr>
            </w:pPr>
            <w:r>
              <w:rPr>
                <w:b/>
                <w:sz w:val="14"/>
              </w:rPr>
              <w:t>1,210,000</w:t>
            </w:r>
          </w:p>
        </w:tc>
        <w:tc>
          <w:tcPr>
            <w:tcW w:w="1011" w:type="dxa"/>
          </w:tcPr>
          <w:p>
            <w:pPr>
              <w:pStyle w:val="TableParagraph"/>
              <w:spacing w:line="152" w:lineRule="exact" w:before="8"/>
              <w:ind w:right="341"/>
              <w:jc w:val="right"/>
              <w:rPr>
                <w:i/>
                <w:sz w:val="14"/>
              </w:rPr>
            </w:pPr>
            <w:r>
              <w:rPr>
                <w:i/>
                <w:w w:val="95"/>
                <w:sz w:val="14"/>
              </w:rPr>
              <w:t>2.1%</w:t>
            </w:r>
          </w:p>
        </w:tc>
      </w:tr>
      <w:tr>
        <w:trPr>
          <w:trHeight w:val="268" w:hRule="atLeast"/>
        </w:trPr>
        <w:tc>
          <w:tcPr>
            <w:tcW w:w="4528" w:type="dxa"/>
          </w:tcPr>
          <w:p>
            <w:pPr>
              <w:pStyle w:val="TableParagraph"/>
              <w:spacing w:before="5"/>
              <w:ind w:left="336"/>
              <w:rPr>
                <w:sz w:val="14"/>
              </w:rPr>
            </w:pPr>
            <w:r>
              <w:rPr>
                <w:sz w:val="14"/>
              </w:rPr>
              <w:t>Foreign Interest</w:t>
            </w:r>
          </w:p>
        </w:tc>
        <w:tc>
          <w:tcPr>
            <w:tcW w:w="1036" w:type="dxa"/>
          </w:tcPr>
          <w:p>
            <w:pPr>
              <w:pStyle w:val="TableParagraph"/>
              <w:spacing w:before="5"/>
              <w:ind w:left="344"/>
              <w:rPr>
                <w:i/>
                <w:sz w:val="14"/>
              </w:rPr>
            </w:pPr>
            <w:r>
              <w:rPr>
                <w:i/>
                <w:sz w:val="14"/>
              </w:rPr>
              <w:t>94 ,795</w:t>
            </w:r>
          </w:p>
        </w:tc>
        <w:tc>
          <w:tcPr>
            <w:tcW w:w="973" w:type="dxa"/>
          </w:tcPr>
          <w:p>
            <w:pPr>
              <w:pStyle w:val="TableParagraph"/>
              <w:spacing w:before="5"/>
              <w:ind w:right="202"/>
              <w:jc w:val="right"/>
              <w:rPr>
                <w:sz w:val="14"/>
              </w:rPr>
            </w:pPr>
            <w:r>
              <w:rPr>
                <w:sz w:val="14"/>
              </w:rPr>
              <w:t>0 . 3 %</w:t>
            </w:r>
          </w:p>
        </w:tc>
        <w:tc>
          <w:tcPr>
            <w:tcW w:w="1057" w:type="dxa"/>
          </w:tcPr>
          <w:p>
            <w:pPr>
              <w:pStyle w:val="TableParagraph"/>
              <w:spacing w:before="5"/>
              <w:ind w:left="342"/>
              <w:rPr>
                <w:sz w:val="14"/>
              </w:rPr>
            </w:pPr>
            <w:r>
              <w:rPr>
                <w:sz w:val="14"/>
              </w:rPr>
              <w:t>109,719</w:t>
            </w:r>
          </w:p>
        </w:tc>
        <w:tc>
          <w:tcPr>
            <w:tcW w:w="928" w:type="dxa"/>
          </w:tcPr>
          <w:p>
            <w:pPr>
              <w:pStyle w:val="TableParagraph"/>
              <w:spacing w:before="5"/>
              <w:ind w:right="257"/>
              <w:jc w:val="right"/>
              <w:rPr>
                <w:i/>
                <w:sz w:val="14"/>
              </w:rPr>
            </w:pPr>
            <w:r>
              <w:rPr>
                <w:i/>
                <w:w w:val="95"/>
                <w:sz w:val="14"/>
              </w:rPr>
              <w:t>0.3%</w:t>
            </w:r>
          </w:p>
        </w:tc>
        <w:tc>
          <w:tcPr>
            <w:tcW w:w="1223" w:type="dxa"/>
          </w:tcPr>
          <w:p>
            <w:pPr>
              <w:pStyle w:val="TableParagraph"/>
              <w:spacing w:before="5"/>
              <w:ind w:right="272"/>
              <w:jc w:val="right"/>
              <w:rPr>
                <w:b/>
                <w:sz w:val="14"/>
              </w:rPr>
            </w:pPr>
            <w:r>
              <w:rPr>
                <w:b/>
                <w:sz w:val="14"/>
              </w:rPr>
              <w:t>120,517</w:t>
            </w:r>
          </w:p>
        </w:tc>
        <w:tc>
          <w:tcPr>
            <w:tcW w:w="916" w:type="dxa"/>
          </w:tcPr>
          <w:p>
            <w:pPr>
              <w:pStyle w:val="TableParagraph"/>
              <w:spacing w:before="5"/>
              <w:ind w:left="412"/>
              <w:rPr>
                <w:i/>
                <w:sz w:val="14"/>
              </w:rPr>
            </w:pPr>
            <w:r>
              <w:rPr>
                <w:i/>
                <w:sz w:val="14"/>
              </w:rPr>
              <w:t>0.3%</w:t>
            </w:r>
          </w:p>
        </w:tc>
        <w:tc>
          <w:tcPr>
            <w:tcW w:w="1126" w:type="dxa"/>
          </w:tcPr>
          <w:p>
            <w:pPr>
              <w:pStyle w:val="TableParagraph"/>
              <w:spacing w:before="5"/>
              <w:ind w:right="217"/>
              <w:jc w:val="right"/>
              <w:rPr>
                <w:b/>
                <w:sz w:val="14"/>
              </w:rPr>
            </w:pPr>
            <w:r>
              <w:rPr>
                <w:b/>
                <w:sz w:val="14"/>
              </w:rPr>
              <w:t>123,362</w:t>
            </w:r>
          </w:p>
        </w:tc>
        <w:tc>
          <w:tcPr>
            <w:tcW w:w="861" w:type="dxa"/>
          </w:tcPr>
          <w:p>
            <w:pPr>
              <w:pStyle w:val="TableParagraph"/>
              <w:spacing w:before="5"/>
              <w:ind w:left="182" w:right="20"/>
              <w:jc w:val="center"/>
              <w:rPr>
                <w:i/>
                <w:sz w:val="14"/>
              </w:rPr>
            </w:pPr>
            <w:r>
              <w:rPr>
                <w:i/>
                <w:sz w:val="14"/>
              </w:rPr>
              <w:t>0.2%</w:t>
            </w:r>
          </w:p>
        </w:tc>
        <w:tc>
          <w:tcPr>
            <w:tcW w:w="1129" w:type="dxa"/>
          </w:tcPr>
          <w:p>
            <w:pPr>
              <w:pStyle w:val="TableParagraph"/>
              <w:spacing w:before="5"/>
              <w:ind w:right="224"/>
              <w:jc w:val="right"/>
              <w:rPr>
                <w:b/>
                <w:sz w:val="14"/>
              </w:rPr>
            </w:pPr>
            <w:r>
              <w:rPr>
                <w:b/>
                <w:sz w:val="14"/>
              </w:rPr>
              <w:t>131,000</w:t>
            </w:r>
          </w:p>
        </w:tc>
        <w:tc>
          <w:tcPr>
            <w:tcW w:w="1011" w:type="dxa"/>
          </w:tcPr>
          <w:p>
            <w:pPr>
              <w:pStyle w:val="TableParagraph"/>
              <w:spacing w:before="5"/>
              <w:ind w:right="341"/>
              <w:jc w:val="right"/>
              <w:rPr>
                <w:i/>
                <w:sz w:val="14"/>
              </w:rPr>
            </w:pPr>
            <w:r>
              <w:rPr>
                <w:i/>
                <w:w w:val="95"/>
                <w:sz w:val="14"/>
              </w:rPr>
              <w:t>0.2%</w:t>
            </w:r>
          </w:p>
        </w:tc>
      </w:tr>
      <w:tr>
        <w:trPr>
          <w:trHeight w:val="360" w:hRule="atLeast"/>
        </w:trPr>
        <w:tc>
          <w:tcPr>
            <w:tcW w:w="4528" w:type="dxa"/>
          </w:tcPr>
          <w:p>
            <w:pPr>
              <w:pStyle w:val="TableParagraph"/>
              <w:spacing w:before="97"/>
              <w:ind w:left="167"/>
              <w:rPr>
                <w:b/>
                <w:sz w:val="14"/>
              </w:rPr>
            </w:pPr>
            <w:r>
              <w:rPr>
                <w:b/>
                <w:sz w:val="14"/>
              </w:rPr>
              <w:t>Capital Expenditure and Net Lending</w:t>
            </w:r>
          </w:p>
        </w:tc>
        <w:tc>
          <w:tcPr>
            <w:tcW w:w="1036" w:type="dxa"/>
          </w:tcPr>
          <w:p>
            <w:pPr>
              <w:pStyle w:val="TableParagraph"/>
              <w:spacing w:before="97"/>
              <w:ind w:left="119"/>
              <w:rPr>
                <w:b/>
                <w:i/>
                <w:sz w:val="14"/>
              </w:rPr>
            </w:pPr>
            <w:r>
              <w:rPr>
                <w:b/>
                <w:i/>
                <w:sz w:val="14"/>
              </w:rPr>
              <w:t>2,083,137</w:t>
            </w:r>
          </w:p>
        </w:tc>
        <w:tc>
          <w:tcPr>
            <w:tcW w:w="973" w:type="dxa"/>
          </w:tcPr>
          <w:p>
            <w:pPr>
              <w:pStyle w:val="TableParagraph"/>
              <w:spacing w:before="97"/>
              <w:ind w:right="208"/>
              <w:jc w:val="right"/>
              <w:rPr>
                <w:b/>
                <w:sz w:val="14"/>
              </w:rPr>
            </w:pPr>
            <w:r>
              <w:rPr>
                <w:b/>
                <w:sz w:val="14"/>
              </w:rPr>
              <w:t>6.4%</w:t>
            </w:r>
          </w:p>
        </w:tc>
        <w:tc>
          <w:tcPr>
            <w:tcW w:w="1057" w:type="dxa"/>
          </w:tcPr>
          <w:p>
            <w:pPr>
              <w:pStyle w:val="TableParagraph"/>
              <w:spacing w:before="97"/>
              <w:ind w:left="241"/>
              <w:rPr>
                <w:b/>
                <w:sz w:val="14"/>
              </w:rPr>
            </w:pPr>
            <w:r>
              <w:rPr>
                <w:b/>
                <w:sz w:val="14"/>
              </w:rPr>
              <w:t>2,042,028</w:t>
            </w:r>
          </w:p>
        </w:tc>
        <w:tc>
          <w:tcPr>
            <w:tcW w:w="928" w:type="dxa"/>
          </w:tcPr>
          <w:p>
            <w:pPr>
              <w:pStyle w:val="TableParagraph"/>
              <w:spacing w:before="97"/>
              <w:ind w:right="257"/>
              <w:jc w:val="right"/>
              <w:rPr>
                <w:i/>
                <w:sz w:val="14"/>
              </w:rPr>
            </w:pPr>
            <w:r>
              <w:rPr>
                <w:i/>
                <w:w w:val="95"/>
                <w:sz w:val="14"/>
              </w:rPr>
              <w:t>5.4%</w:t>
            </w:r>
          </w:p>
        </w:tc>
        <w:tc>
          <w:tcPr>
            <w:tcW w:w="1223" w:type="dxa"/>
          </w:tcPr>
          <w:p>
            <w:pPr>
              <w:pStyle w:val="TableParagraph"/>
              <w:spacing w:before="97"/>
              <w:ind w:right="283"/>
              <w:jc w:val="right"/>
              <w:rPr>
                <w:b/>
                <w:sz w:val="14"/>
              </w:rPr>
            </w:pPr>
            <w:r>
              <w:rPr>
                <w:b/>
                <w:sz w:val="14"/>
              </w:rPr>
              <w:t>2,873,656</w:t>
            </w:r>
          </w:p>
        </w:tc>
        <w:tc>
          <w:tcPr>
            <w:tcW w:w="916" w:type="dxa"/>
          </w:tcPr>
          <w:p>
            <w:pPr>
              <w:pStyle w:val="TableParagraph"/>
              <w:spacing w:before="97"/>
              <w:ind w:left="412"/>
              <w:rPr>
                <w:i/>
                <w:sz w:val="14"/>
              </w:rPr>
            </w:pPr>
            <w:r>
              <w:rPr>
                <w:i/>
                <w:sz w:val="14"/>
              </w:rPr>
              <w:t>6.6%</w:t>
            </w:r>
          </w:p>
        </w:tc>
        <w:tc>
          <w:tcPr>
            <w:tcW w:w="1126" w:type="dxa"/>
          </w:tcPr>
          <w:p>
            <w:pPr>
              <w:pStyle w:val="TableParagraph"/>
              <w:spacing w:before="97"/>
              <w:ind w:right="228"/>
              <w:jc w:val="right"/>
              <w:rPr>
                <w:b/>
                <w:sz w:val="14"/>
              </w:rPr>
            </w:pPr>
            <w:r>
              <w:rPr>
                <w:b/>
                <w:sz w:val="14"/>
              </w:rPr>
              <w:t>3,177,368</w:t>
            </w:r>
          </w:p>
        </w:tc>
        <w:tc>
          <w:tcPr>
            <w:tcW w:w="861" w:type="dxa"/>
          </w:tcPr>
          <w:p>
            <w:pPr>
              <w:pStyle w:val="TableParagraph"/>
              <w:spacing w:before="97"/>
              <w:ind w:left="182" w:right="20"/>
              <w:jc w:val="center"/>
              <w:rPr>
                <w:i/>
                <w:sz w:val="14"/>
              </w:rPr>
            </w:pPr>
            <w:r>
              <w:rPr>
                <w:i/>
                <w:sz w:val="14"/>
              </w:rPr>
              <w:t>6.3%</w:t>
            </w:r>
          </w:p>
        </w:tc>
        <w:tc>
          <w:tcPr>
            <w:tcW w:w="1129" w:type="dxa"/>
          </w:tcPr>
          <w:p>
            <w:pPr>
              <w:pStyle w:val="TableParagraph"/>
              <w:spacing w:before="97"/>
              <w:ind w:right="235"/>
              <w:jc w:val="right"/>
              <w:rPr>
                <w:b/>
                <w:sz w:val="14"/>
              </w:rPr>
            </w:pPr>
            <w:r>
              <w:rPr>
                <w:b/>
                <w:sz w:val="14"/>
              </w:rPr>
              <w:t>3,719,000</w:t>
            </w:r>
          </w:p>
        </w:tc>
        <w:tc>
          <w:tcPr>
            <w:tcW w:w="1011" w:type="dxa"/>
          </w:tcPr>
          <w:p>
            <w:pPr>
              <w:pStyle w:val="TableParagraph"/>
              <w:spacing w:before="97"/>
              <w:ind w:right="341"/>
              <w:jc w:val="right"/>
              <w:rPr>
                <w:i/>
                <w:sz w:val="14"/>
              </w:rPr>
            </w:pPr>
            <w:r>
              <w:rPr>
                <w:i/>
                <w:w w:val="95"/>
                <w:sz w:val="14"/>
              </w:rPr>
              <w:t>6.5%</w:t>
            </w:r>
          </w:p>
        </w:tc>
      </w:tr>
      <w:tr>
        <w:trPr>
          <w:trHeight w:val="271" w:hRule="atLeast"/>
        </w:trPr>
        <w:tc>
          <w:tcPr>
            <w:tcW w:w="4528" w:type="dxa"/>
          </w:tcPr>
          <w:p>
            <w:pPr>
              <w:pStyle w:val="TableParagraph"/>
              <w:spacing w:line="154" w:lineRule="exact" w:before="97"/>
              <w:ind w:left="214"/>
              <w:rPr>
                <w:b/>
                <w:sz w:val="14"/>
              </w:rPr>
            </w:pPr>
            <w:r>
              <w:rPr>
                <w:b/>
                <w:sz w:val="14"/>
              </w:rPr>
              <w:t>Capital Expenditure</w:t>
            </w:r>
          </w:p>
        </w:tc>
        <w:tc>
          <w:tcPr>
            <w:tcW w:w="1036" w:type="dxa"/>
          </w:tcPr>
          <w:p>
            <w:pPr>
              <w:pStyle w:val="TableParagraph"/>
              <w:spacing w:line="154" w:lineRule="exact" w:before="97"/>
              <w:ind w:left="119"/>
              <w:rPr>
                <w:b/>
                <w:i/>
                <w:sz w:val="14"/>
              </w:rPr>
            </w:pPr>
            <w:r>
              <w:rPr>
                <w:b/>
                <w:i/>
                <w:sz w:val="14"/>
              </w:rPr>
              <w:t>2,083,137</w:t>
            </w:r>
          </w:p>
        </w:tc>
        <w:tc>
          <w:tcPr>
            <w:tcW w:w="973" w:type="dxa"/>
          </w:tcPr>
          <w:p>
            <w:pPr>
              <w:pStyle w:val="TableParagraph"/>
              <w:spacing w:line="154" w:lineRule="exact" w:before="97"/>
              <w:ind w:right="208"/>
              <w:jc w:val="right"/>
              <w:rPr>
                <w:b/>
                <w:sz w:val="14"/>
              </w:rPr>
            </w:pPr>
            <w:r>
              <w:rPr>
                <w:b/>
                <w:sz w:val="14"/>
              </w:rPr>
              <w:t>6.4%</w:t>
            </w:r>
          </w:p>
        </w:tc>
        <w:tc>
          <w:tcPr>
            <w:tcW w:w="1057" w:type="dxa"/>
          </w:tcPr>
          <w:p>
            <w:pPr>
              <w:pStyle w:val="TableParagraph"/>
              <w:spacing w:line="154" w:lineRule="exact" w:before="97"/>
              <w:ind w:left="241"/>
              <w:rPr>
                <w:b/>
                <w:sz w:val="14"/>
              </w:rPr>
            </w:pPr>
            <w:r>
              <w:rPr>
                <w:b/>
                <w:sz w:val="14"/>
              </w:rPr>
              <w:t>2,042,028</w:t>
            </w:r>
          </w:p>
        </w:tc>
        <w:tc>
          <w:tcPr>
            <w:tcW w:w="928" w:type="dxa"/>
          </w:tcPr>
          <w:p>
            <w:pPr>
              <w:pStyle w:val="TableParagraph"/>
              <w:spacing w:line="154" w:lineRule="exact" w:before="97"/>
              <w:ind w:right="257"/>
              <w:jc w:val="right"/>
              <w:rPr>
                <w:i/>
                <w:sz w:val="14"/>
              </w:rPr>
            </w:pPr>
            <w:r>
              <w:rPr>
                <w:i/>
                <w:w w:val="95"/>
                <w:sz w:val="14"/>
              </w:rPr>
              <w:t>5.4%</w:t>
            </w:r>
          </w:p>
        </w:tc>
        <w:tc>
          <w:tcPr>
            <w:tcW w:w="1223" w:type="dxa"/>
          </w:tcPr>
          <w:p>
            <w:pPr>
              <w:pStyle w:val="TableParagraph"/>
              <w:spacing w:line="154" w:lineRule="exact" w:before="97"/>
              <w:ind w:right="283"/>
              <w:jc w:val="right"/>
              <w:rPr>
                <w:b/>
                <w:sz w:val="14"/>
              </w:rPr>
            </w:pPr>
            <w:r>
              <w:rPr>
                <w:b/>
                <w:sz w:val="14"/>
              </w:rPr>
              <w:t>2,873,656</w:t>
            </w:r>
          </w:p>
        </w:tc>
        <w:tc>
          <w:tcPr>
            <w:tcW w:w="916" w:type="dxa"/>
          </w:tcPr>
          <w:p>
            <w:pPr>
              <w:pStyle w:val="TableParagraph"/>
              <w:spacing w:line="154" w:lineRule="exact" w:before="97"/>
              <w:ind w:left="412"/>
              <w:rPr>
                <w:i/>
                <w:sz w:val="14"/>
              </w:rPr>
            </w:pPr>
            <w:r>
              <w:rPr>
                <w:i/>
                <w:sz w:val="14"/>
              </w:rPr>
              <w:t>6.6%</w:t>
            </w:r>
          </w:p>
        </w:tc>
        <w:tc>
          <w:tcPr>
            <w:tcW w:w="1126" w:type="dxa"/>
          </w:tcPr>
          <w:p>
            <w:pPr>
              <w:pStyle w:val="TableParagraph"/>
              <w:spacing w:line="154" w:lineRule="exact" w:before="97"/>
              <w:ind w:right="228"/>
              <w:jc w:val="right"/>
              <w:rPr>
                <w:b/>
                <w:sz w:val="14"/>
              </w:rPr>
            </w:pPr>
            <w:r>
              <w:rPr>
                <w:b/>
                <w:sz w:val="14"/>
              </w:rPr>
              <w:t>3,177,368</w:t>
            </w:r>
          </w:p>
        </w:tc>
        <w:tc>
          <w:tcPr>
            <w:tcW w:w="861" w:type="dxa"/>
          </w:tcPr>
          <w:p>
            <w:pPr>
              <w:pStyle w:val="TableParagraph"/>
              <w:spacing w:line="154" w:lineRule="exact" w:before="97"/>
              <w:ind w:left="182" w:right="20"/>
              <w:jc w:val="center"/>
              <w:rPr>
                <w:i/>
                <w:sz w:val="14"/>
              </w:rPr>
            </w:pPr>
            <w:r>
              <w:rPr>
                <w:i/>
                <w:sz w:val="14"/>
              </w:rPr>
              <w:t>6.3%</w:t>
            </w:r>
          </w:p>
        </w:tc>
        <w:tc>
          <w:tcPr>
            <w:tcW w:w="1129" w:type="dxa"/>
          </w:tcPr>
          <w:p>
            <w:pPr>
              <w:pStyle w:val="TableParagraph"/>
              <w:spacing w:line="154" w:lineRule="exact" w:before="97"/>
              <w:ind w:right="235"/>
              <w:jc w:val="right"/>
              <w:rPr>
                <w:b/>
                <w:sz w:val="14"/>
              </w:rPr>
            </w:pPr>
            <w:r>
              <w:rPr>
                <w:b/>
                <w:sz w:val="14"/>
              </w:rPr>
              <w:t>3,719,000</w:t>
            </w:r>
          </w:p>
        </w:tc>
        <w:tc>
          <w:tcPr>
            <w:tcW w:w="1011" w:type="dxa"/>
          </w:tcPr>
          <w:p>
            <w:pPr>
              <w:pStyle w:val="TableParagraph"/>
              <w:spacing w:line="154" w:lineRule="exact" w:before="97"/>
              <w:ind w:right="341"/>
              <w:jc w:val="right"/>
              <w:rPr>
                <w:i/>
                <w:sz w:val="14"/>
              </w:rPr>
            </w:pPr>
            <w:r>
              <w:rPr>
                <w:i/>
                <w:w w:val="95"/>
                <w:sz w:val="14"/>
              </w:rPr>
              <w:t>6.5%</w:t>
            </w:r>
          </w:p>
        </w:tc>
      </w:tr>
      <w:tr>
        <w:trPr>
          <w:trHeight w:val="180" w:hRule="atLeast"/>
        </w:trPr>
        <w:tc>
          <w:tcPr>
            <w:tcW w:w="4528" w:type="dxa"/>
          </w:tcPr>
          <w:p>
            <w:pPr>
              <w:pStyle w:val="TableParagraph"/>
              <w:spacing w:line="152" w:lineRule="exact" w:before="8"/>
              <w:ind w:left="509"/>
              <w:rPr>
                <w:b/>
                <w:sz w:val="14"/>
              </w:rPr>
            </w:pPr>
            <w:r>
              <w:rPr>
                <w:b/>
                <w:sz w:val="14"/>
              </w:rPr>
              <w:t>Foreign Loans and Grants</w:t>
            </w:r>
          </w:p>
        </w:tc>
        <w:tc>
          <w:tcPr>
            <w:tcW w:w="1036" w:type="dxa"/>
          </w:tcPr>
          <w:p>
            <w:pPr>
              <w:pStyle w:val="TableParagraph"/>
              <w:spacing w:line="152" w:lineRule="exact" w:before="8"/>
              <w:ind w:left="119"/>
              <w:rPr>
                <w:b/>
                <w:i/>
                <w:sz w:val="14"/>
              </w:rPr>
            </w:pPr>
            <w:r>
              <w:rPr>
                <w:b/>
                <w:i/>
                <w:sz w:val="14"/>
              </w:rPr>
              <w:t>1,409,000</w:t>
            </w:r>
          </w:p>
        </w:tc>
        <w:tc>
          <w:tcPr>
            <w:tcW w:w="973" w:type="dxa"/>
          </w:tcPr>
          <w:p>
            <w:pPr>
              <w:pStyle w:val="TableParagraph"/>
              <w:spacing w:line="152" w:lineRule="exact" w:before="8"/>
              <w:ind w:right="208"/>
              <w:jc w:val="right"/>
              <w:rPr>
                <w:b/>
                <w:sz w:val="14"/>
              </w:rPr>
            </w:pPr>
            <w:r>
              <w:rPr>
                <w:b/>
                <w:sz w:val="14"/>
              </w:rPr>
              <w:t>4.3%</w:t>
            </w:r>
          </w:p>
        </w:tc>
        <w:tc>
          <w:tcPr>
            <w:tcW w:w="1057" w:type="dxa"/>
          </w:tcPr>
          <w:p>
            <w:pPr>
              <w:pStyle w:val="TableParagraph"/>
              <w:spacing w:line="152" w:lineRule="exact" w:before="8"/>
              <w:ind w:left="241"/>
              <w:rPr>
                <w:b/>
                <w:sz w:val="14"/>
              </w:rPr>
            </w:pPr>
            <w:r>
              <w:rPr>
                <w:b/>
                <w:sz w:val="14"/>
              </w:rPr>
              <w:t>1,143,022</w:t>
            </w:r>
          </w:p>
        </w:tc>
        <w:tc>
          <w:tcPr>
            <w:tcW w:w="928" w:type="dxa"/>
          </w:tcPr>
          <w:p>
            <w:pPr>
              <w:pStyle w:val="TableParagraph"/>
              <w:spacing w:line="152" w:lineRule="exact" w:before="8"/>
              <w:ind w:right="257"/>
              <w:jc w:val="right"/>
              <w:rPr>
                <w:i/>
                <w:sz w:val="14"/>
              </w:rPr>
            </w:pPr>
            <w:r>
              <w:rPr>
                <w:i/>
                <w:w w:val="95"/>
                <w:sz w:val="14"/>
              </w:rPr>
              <w:t>3.0%</w:t>
            </w:r>
          </w:p>
        </w:tc>
        <w:tc>
          <w:tcPr>
            <w:tcW w:w="1223" w:type="dxa"/>
          </w:tcPr>
          <w:p>
            <w:pPr>
              <w:pStyle w:val="TableParagraph"/>
              <w:spacing w:line="152" w:lineRule="exact" w:before="8"/>
              <w:ind w:right="283"/>
              <w:jc w:val="right"/>
              <w:rPr>
                <w:b/>
                <w:sz w:val="14"/>
              </w:rPr>
            </w:pPr>
            <w:r>
              <w:rPr>
                <w:b/>
                <w:sz w:val="14"/>
              </w:rPr>
              <w:t>1,813,625</w:t>
            </w:r>
          </w:p>
        </w:tc>
        <w:tc>
          <w:tcPr>
            <w:tcW w:w="916" w:type="dxa"/>
          </w:tcPr>
          <w:p>
            <w:pPr>
              <w:pStyle w:val="TableParagraph"/>
              <w:spacing w:line="152" w:lineRule="exact" w:before="8"/>
              <w:ind w:left="412"/>
              <w:rPr>
                <w:i/>
                <w:sz w:val="14"/>
              </w:rPr>
            </w:pPr>
            <w:r>
              <w:rPr>
                <w:i/>
                <w:sz w:val="14"/>
              </w:rPr>
              <w:t>4.2%</w:t>
            </w:r>
          </w:p>
        </w:tc>
        <w:tc>
          <w:tcPr>
            <w:tcW w:w="1126" w:type="dxa"/>
          </w:tcPr>
          <w:p>
            <w:pPr>
              <w:pStyle w:val="TableParagraph"/>
              <w:spacing w:line="152" w:lineRule="exact" w:before="8"/>
              <w:ind w:right="228"/>
              <w:jc w:val="right"/>
              <w:rPr>
                <w:b/>
                <w:sz w:val="14"/>
              </w:rPr>
            </w:pPr>
            <w:r>
              <w:rPr>
                <w:b/>
                <w:sz w:val="14"/>
              </w:rPr>
              <w:t>1,851,307</w:t>
            </w:r>
          </w:p>
        </w:tc>
        <w:tc>
          <w:tcPr>
            <w:tcW w:w="861" w:type="dxa"/>
          </w:tcPr>
          <w:p>
            <w:pPr>
              <w:pStyle w:val="TableParagraph"/>
              <w:spacing w:line="152" w:lineRule="exact" w:before="8"/>
              <w:ind w:left="182" w:right="20"/>
              <w:jc w:val="center"/>
              <w:rPr>
                <w:i/>
                <w:sz w:val="14"/>
              </w:rPr>
            </w:pPr>
            <w:r>
              <w:rPr>
                <w:i/>
                <w:sz w:val="14"/>
              </w:rPr>
              <w:t>3.7%</w:t>
            </w:r>
          </w:p>
        </w:tc>
        <w:tc>
          <w:tcPr>
            <w:tcW w:w="1129" w:type="dxa"/>
          </w:tcPr>
          <w:p>
            <w:pPr>
              <w:pStyle w:val="TableParagraph"/>
              <w:spacing w:line="152" w:lineRule="exact" w:before="8"/>
              <w:ind w:right="235"/>
              <w:jc w:val="right"/>
              <w:rPr>
                <w:b/>
                <w:sz w:val="14"/>
              </w:rPr>
            </w:pPr>
            <w:r>
              <w:rPr>
                <w:b/>
                <w:sz w:val="14"/>
              </w:rPr>
              <w:t>2,059,000</w:t>
            </w:r>
          </w:p>
        </w:tc>
        <w:tc>
          <w:tcPr>
            <w:tcW w:w="1011" w:type="dxa"/>
          </w:tcPr>
          <w:p>
            <w:pPr>
              <w:pStyle w:val="TableParagraph"/>
              <w:spacing w:line="152" w:lineRule="exact" w:before="8"/>
              <w:ind w:right="341"/>
              <w:jc w:val="right"/>
              <w:rPr>
                <w:i/>
                <w:sz w:val="14"/>
              </w:rPr>
            </w:pPr>
            <w:r>
              <w:rPr>
                <w:i/>
                <w:w w:val="95"/>
                <w:sz w:val="14"/>
              </w:rPr>
              <w:t>3.6%</w:t>
            </w:r>
          </w:p>
        </w:tc>
      </w:tr>
      <w:tr>
        <w:trPr>
          <w:trHeight w:val="180" w:hRule="atLeast"/>
        </w:trPr>
        <w:tc>
          <w:tcPr>
            <w:tcW w:w="4528" w:type="dxa"/>
          </w:tcPr>
          <w:p>
            <w:pPr>
              <w:pStyle w:val="TableParagraph"/>
              <w:spacing w:line="154" w:lineRule="exact" w:before="5"/>
              <w:ind w:left="548"/>
              <w:rPr>
                <w:sz w:val="14"/>
              </w:rPr>
            </w:pPr>
            <w:r>
              <w:rPr>
                <w:sz w:val="14"/>
              </w:rPr>
              <w:t>Loans</w:t>
            </w:r>
          </w:p>
        </w:tc>
        <w:tc>
          <w:tcPr>
            <w:tcW w:w="1036" w:type="dxa"/>
          </w:tcPr>
          <w:p>
            <w:pPr>
              <w:pStyle w:val="TableParagraph"/>
              <w:spacing w:line="154" w:lineRule="exact" w:before="5"/>
              <w:ind w:left="119"/>
              <w:rPr>
                <w:i/>
                <w:sz w:val="14"/>
              </w:rPr>
            </w:pPr>
            <w:r>
              <w:rPr>
                <w:i/>
                <w:sz w:val="14"/>
              </w:rPr>
              <w:t>1,023 ,000</w:t>
            </w:r>
          </w:p>
        </w:tc>
        <w:tc>
          <w:tcPr>
            <w:tcW w:w="973" w:type="dxa"/>
          </w:tcPr>
          <w:p>
            <w:pPr>
              <w:pStyle w:val="TableParagraph"/>
              <w:spacing w:line="154" w:lineRule="exact" w:before="5"/>
              <w:ind w:right="202"/>
              <w:jc w:val="right"/>
              <w:rPr>
                <w:sz w:val="14"/>
              </w:rPr>
            </w:pPr>
            <w:r>
              <w:rPr>
                <w:sz w:val="14"/>
              </w:rPr>
              <w:t>3 . 2 %</w:t>
            </w:r>
          </w:p>
        </w:tc>
        <w:tc>
          <w:tcPr>
            <w:tcW w:w="1057" w:type="dxa"/>
          </w:tcPr>
          <w:p>
            <w:pPr>
              <w:pStyle w:val="TableParagraph"/>
              <w:spacing w:line="154" w:lineRule="exact" w:before="5"/>
              <w:ind w:left="342"/>
              <w:rPr>
                <w:sz w:val="14"/>
              </w:rPr>
            </w:pPr>
            <w:r>
              <w:rPr>
                <w:sz w:val="14"/>
              </w:rPr>
              <w:t>630,442</w:t>
            </w:r>
          </w:p>
        </w:tc>
        <w:tc>
          <w:tcPr>
            <w:tcW w:w="928" w:type="dxa"/>
          </w:tcPr>
          <w:p>
            <w:pPr>
              <w:pStyle w:val="TableParagraph"/>
              <w:spacing w:line="154" w:lineRule="exact" w:before="5"/>
              <w:ind w:right="257"/>
              <w:jc w:val="right"/>
              <w:rPr>
                <w:i/>
                <w:sz w:val="14"/>
              </w:rPr>
            </w:pPr>
            <w:r>
              <w:rPr>
                <w:i/>
                <w:w w:val="95"/>
                <w:sz w:val="14"/>
              </w:rPr>
              <w:t>1.7%</w:t>
            </w:r>
          </w:p>
        </w:tc>
        <w:tc>
          <w:tcPr>
            <w:tcW w:w="1223" w:type="dxa"/>
          </w:tcPr>
          <w:p>
            <w:pPr>
              <w:pStyle w:val="TableParagraph"/>
              <w:spacing w:line="154" w:lineRule="exact" w:before="5"/>
              <w:ind w:right="283"/>
              <w:jc w:val="right"/>
              <w:rPr>
                <w:b/>
                <w:sz w:val="14"/>
              </w:rPr>
            </w:pPr>
            <w:r>
              <w:rPr>
                <w:b/>
                <w:sz w:val="14"/>
              </w:rPr>
              <w:t>1,078,465</w:t>
            </w:r>
          </w:p>
        </w:tc>
        <w:tc>
          <w:tcPr>
            <w:tcW w:w="916" w:type="dxa"/>
          </w:tcPr>
          <w:p>
            <w:pPr>
              <w:pStyle w:val="TableParagraph"/>
              <w:spacing w:line="154" w:lineRule="exact" w:before="5"/>
              <w:ind w:left="412"/>
              <w:rPr>
                <w:i/>
                <w:sz w:val="14"/>
              </w:rPr>
            </w:pPr>
            <w:r>
              <w:rPr>
                <w:i/>
                <w:sz w:val="14"/>
              </w:rPr>
              <w:t>2.5%</w:t>
            </w:r>
          </w:p>
        </w:tc>
        <w:tc>
          <w:tcPr>
            <w:tcW w:w="1126" w:type="dxa"/>
          </w:tcPr>
          <w:p>
            <w:pPr>
              <w:pStyle w:val="TableParagraph"/>
              <w:spacing w:line="154" w:lineRule="exact" w:before="5"/>
              <w:ind w:right="228"/>
              <w:jc w:val="right"/>
              <w:rPr>
                <w:b/>
                <w:sz w:val="14"/>
              </w:rPr>
            </w:pPr>
            <w:r>
              <w:rPr>
                <w:b/>
                <w:sz w:val="14"/>
              </w:rPr>
              <w:t>1,296,000</w:t>
            </w:r>
          </w:p>
        </w:tc>
        <w:tc>
          <w:tcPr>
            <w:tcW w:w="861" w:type="dxa"/>
          </w:tcPr>
          <w:p>
            <w:pPr>
              <w:pStyle w:val="TableParagraph"/>
              <w:spacing w:line="154" w:lineRule="exact" w:before="5"/>
              <w:ind w:left="182" w:right="20"/>
              <w:jc w:val="center"/>
              <w:rPr>
                <w:i/>
                <w:sz w:val="14"/>
              </w:rPr>
            </w:pPr>
            <w:r>
              <w:rPr>
                <w:i/>
                <w:sz w:val="14"/>
              </w:rPr>
              <w:t>2.6%</w:t>
            </w:r>
          </w:p>
        </w:tc>
        <w:tc>
          <w:tcPr>
            <w:tcW w:w="1129" w:type="dxa"/>
          </w:tcPr>
          <w:p>
            <w:pPr>
              <w:pStyle w:val="TableParagraph"/>
              <w:spacing w:line="154" w:lineRule="exact" w:before="5"/>
              <w:ind w:right="235"/>
              <w:jc w:val="right"/>
              <w:rPr>
                <w:b/>
                <w:sz w:val="14"/>
              </w:rPr>
            </w:pPr>
            <w:r>
              <w:rPr>
                <w:b/>
                <w:sz w:val="14"/>
              </w:rPr>
              <w:t>1,496,000</w:t>
            </w:r>
          </w:p>
        </w:tc>
        <w:tc>
          <w:tcPr>
            <w:tcW w:w="1011" w:type="dxa"/>
          </w:tcPr>
          <w:p>
            <w:pPr>
              <w:pStyle w:val="TableParagraph"/>
              <w:spacing w:line="154" w:lineRule="exact" w:before="5"/>
              <w:ind w:right="341"/>
              <w:jc w:val="right"/>
              <w:rPr>
                <w:i/>
                <w:sz w:val="14"/>
              </w:rPr>
            </w:pPr>
            <w:r>
              <w:rPr>
                <w:i/>
                <w:w w:val="95"/>
                <w:sz w:val="14"/>
              </w:rPr>
              <w:t>2.6%</w:t>
            </w:r>
          </w:p>
        </w:tc>
      </w:tr>
      <w:tr>
        <w:trPr>
          <w:trHeight w:val="180" w:hRule="atLeast"/>
        </w:trPr>
        <w:tc>
          <w:tcPr>
            <w:tcW w:w="4528" w:type="dxa"/>
          </w:tcPr>
          <w:p>
            <w:pPr>
              <w:pStyle w:val="TableParagraph"/>
              <w:spacing w:line="152" w:lineRule="exact" w:before="8"/>
              <w:ind w:left="509"/>
              <w:rPr>
                <w:sz w:val="14"/>
              </w:rPr>
            </w:pPr>
            <w:r>
              <w:rPr>
                <w:sz w:val="14"/>
              </w:rPr>
              <w:t>Grants</w:t>
            </w:r>
          </w:p>
        </w:tc>
        <w:tc>
          <w:tcPr>
            <w:tcW w:w="1036" w:type="dxa"/>
          </w:tcPr>
          <w:p>
            <w:pPr>
              <w:pStyle w:val="TableParagraph"/>
              <w:spacing w:line="152" w:lineRule="exact" w:before="8"/>
              <w:ind w:left="258"/>
              <w:rPr>
                <w:i/>
                <w:sz w:val="14"/>
              </w:rPr>
            </w:pPr>
            <w:r>
              <w:rPr>
                <w:i/>
                <w:sz w:val="14"/>
              </w:rPr>
              <w:t>386,000</w:t>
            </w:r>
          </w:p>
        </w:tc>
        <w:tc>
          <w:tcPr>
            <w:tcW w:w="973" w:type="dxa"/>
          </w:tcPr>
          <w:p>
            <w:pPr>
              <w:pStyle w:val="TableParagraph"/>
              <w:spacing w:line="152" w:lineRule="exact" w:before="8"/>
              <w:ind w:right="202"/>
              <w:jc w:val="right"/>
              <w:rPr>
                <w:sz w:val="14"/>
              </w:rPr>
            </w:pPr>
            <w:r>
              <w:rPr>
                <w:sz w:val="14"/>
              </w:rPr>
              <w:t>1 . 2 %</w:t>
            </w:r>
          </w:p>
        </w:tc>
        <w:tc>
          <w:tcPr>
            <w:tcW w:w="1057" w:type="dxa"/>
          </w:tcPr>
          <w:p>
            <w:pPr>
              <w:pStyle w:val="TableParagraph"/>
              <w:spacing w:line="152" w:lineRule="exact" w:before="8"/>
              <w:ind w:left="342"/>
              <w:rPr>
                <w:sz w:val="14"/>
              </w:rPr>
            </w:pPr>
            <w:r>
              <w:rPr>
                <w:sz w:val="14"/>
              </w:rPr>
              <w:t>512,580</w:t>
            </w:r>
          </w:p>
        </w:tc>
        <w:tc>
          <w:tcPr>
            <w:tcW w:w="928" w:type="dxa"/>
          </w:tcPr>
          <w:p>
            <w:pPr>
              <w:pStyle w:val="TableParagraph"/>
              <w:spacing w:line="152" w:lineRule="exact" w:before="8"/>
              <w:ind w:right="257"/>
              <w:jc w:val="right"/>
              <w:rPr>
                <w:i/>
                <w:sz w:val="14"/>
              </w:rPr>
            </w:pPr>
            <w:r>
              <w:rPr>
                <w:i/>
                <w:w w:val="95"/>
                <w:sz w:val="14"/>
              </w:rPr>
              <w:t>1.4%</w:t>
            </w:r>
          </w:p>
        </w:tc>
        <w:tc>
          <w:tcPr>
            <w:tcW w:w="1223" w:type="dxa"/>
          </w:tcPr>
          <w:p>
            <w:pPr>
              <w:pStyle w:val="TableParagraph"/>
              <w:spacing w:line="152" w:lineRule="exact" w:before="8"/>
              <w:ind w:right="272"/>
              <w:jc w:val="right"/>
              <w:rPr>
                <w:b/>
                <w:sz w:val="14"/>
              </w:rPr>
            </w:pPr>
            <w:r>
              <w:rPr>
                <w:b/>
                <w:sz w:val="14"/>
              </w:rPr>
              <w:t>735,160</w:t>
            </w:r>
          </w:p>
        </w:tc>
        <w:tc>
          <w:tcPr>
            <w:tcW w:w="916" w:type="dxa"/>
          </w:tcPr>
          <w:p>
            <w:pPr>
              <w:pStyle w:val="TableParagraph"/>
              <w:spacing w:line="152" w:lineRule="exact" w:before="8"/>
              <w:ind w:left="412"/>
              <w:rPr>
                <w:i/>
                <w:sz w:val="14"/>
              </w:rPr>
            </w:pPr>
            <w:r>
              <w:rPr>
                <w:i/>
                <w:sz w:val="14"/>
              </w:rPr>
              <w:t>1.7%</w:t>
            </w:r>
          </w:p>
        </w:tc>
        <w:tc>
          <w:tcPr>
            <w:tcW w:w="1126" w:type="dxa"/>
          </w:tcPr>
          <w:p>
            <w:pPr>
              <w:pStyle w:val="TableParagraph"/>
              <w:spacing w:line="152" w:lineRule="exact" w:before="8"/>
              <w:ind w:right="217"/>
              <w:jc w:val="right"/>
              <w:rPr>
                <w:b/>
                <w:sz w:val="14"/>
              </w:rPr>
            </w:pPr>
            <w:r>
              <w:rPr>
                <w:b/>
                <w:sz w:val="14"/>
              </w:rPr>
              <w:t>555,307</w:t>
            </w:r>
          </w:p>
        </w:tc>
        <w:tc>
          <w:tcPr>
            <w:tcW w:w="861" w:type="dxa"/>
          </w:tcPr>
          <w:p>
            <w:pPr>
              <w:pStyle w:val="TableParagraph"/>
              <w:spacing w:line="152" w:lineRule="exact" w:before="8"/>
              <w:ind w:left="182" w:right="20"/>
              <w:jc w:val="center"/>
              <w:rPr>
                <w:i/>
                <w:sz w:val="14"/>
              </w:rPr>
            </w:pPr>
            <w:r>
              <w:rPr>
                <w:i/>
                <w:sz w:val="14"/>
              </w:rPr>
              <w:t>1.1%</w:t>
            </w:r>
          </w:p>
        </w:tc>
        <w:tc>
          <w:tcPr>
            <w:tcW w:w="1129" w:type="dxa"/>
          </w:tcPr>
          <w:p>
            <w:pPr>
              <w:pStyle w:val="TableParagraph"/>
              <w:spacing w:line="152" w:lineRule="exact" w:before="8"/>
              <w:ind w:right="224"/>
              <w:jc w:val="right"/>
              <w:rPr>
                <w:b/>
                <w:sz w:val="14"/>
              </w:rPr>
            </w:pPr>
            <w:r>
              <w:rPr>
                <w:b/>
                <w:sz w:val="14"/>
              </w:rPr>
              <w:t>563,000</w:t>
            </w:r>
          </w:p>
        </w:tc>
        <w:tc>
          <w:tcPr>
            <w:tcW w:w="1011" w:type="dxa"/>
          </w:tcPr>
          <w:p>
            <w:pPr>
              <w:pStyle w:val="TableParagraph"/>
              <w:spacing w:line="152" w:lineRule="exact" w:before="8"/>
              <w:ind w:right="341"/>
              <w:jc w:val="right"/>
              <w:rPr>
                <w:i/>
                <w:sz w:val="14"/>
              </w:rPr>
            </w:pPr>
            <w:r>
              <w:rPr>
                <w:i/>
                <w:w w:val="95"/>
                <w:sz w:val="14"/>
              </w:rPr>
              <w:t>1.0%</w:t>
            </w:r>
          </w:p>
        </w:tc>
      </w:tr>
      <w:tr>
        <w:trPr>
          <w:trHeight w:val="180" w:hRule="atLeast"/>
        </w:trPr>
        <w:tc>
          <w:tcPr>
            <w:tcW w:w="4528" w:type="dxa"/>
          </w:tcPr>
          <w:p>
            <w:pPr>
              <w:pStyle w:val="TableParagraph"/>
              <w:spacing w:line="154" w:lineRule="exact" w:before="5"/>
              <w:ind w:left="509"/>
              <w:rPr>
                <w:b/>
                <w:sz w:val="14"/>
              </w:rPr>
            </w:pPr>
            <w:r>
              <w:rPr>
                <w:b/>
                <w:sz w:val="14"/>
              </w:rPr>
              <w:t>Domestic</w:t>
            </w:r>
          </w:p>
        </w:tc>
        <w:tc>
          <w:tcPr>
            <w:tcW w:w="1036" w:type="dxa"/>
          </w:tcPr>
          <w:p>
            <w:pPr>
              <w:pStyle w:val="TableParagraph"/>
              <w:spacing w:line="154" w:lineRule="exact" w:before="5"/>
              <w:ind w:left="258"/>
              <w:rPr>
                <w:b/>
                <w:i/>
                <w:sz w:val="14"/>
              </w:rPr>
            </w:pPr>
            <w:r>
              <w:rPr>
                <w:b/>
                <w:i/>
                <w:sz w:val="14"/>
              </w:rPr>
              <w:t>674,137</w:t>
            </w:r>
          </w:p>
        </w:tc>
        <w:tc>
          <w:tcPr>
            <w:tcW w:w="973" w:type="dxa"/>
          </w:tcPr>
          <w:p>
            <w:pPr>
              <w:pStyle w:val="TableParagraph"/>
              <w:spacing w:line="154" w:lineRule="exact" w:before="5"/>
              <w:ind w:right="208"/>
              <w:jc w:val="right"/>
              <w:rPr>
                <w:b/>
                <w:sz w:val="14"/>
              </w:rPr>
            </w:pPr>
            <w:r>
              <w:rPr>
                <w:b/>
                <w:sz w:val="14"/>
              </w:rPr>
              <w:t>2.1%</w:t>
            </w:r>
          </w:p>
        </w:tc>
        <w:tc>
          <w:tcPr>
            <w:tcW w:w="1057" w:type="dxa"/>
          </w:tcPr>
          <w:p>
            <w:pPr>
              <w:pStyle w:val="TableParagraph"/>
              <w:spacing w:line="154" w:lineRule="exact" w:before="5"/>
              <w:ind w:left="361"/>
              <w:rPr>
                <w:b/>
                <w:sz w:val="14"/>
              </w:rPr>
            </w:pPr>
            <w:r>
              <w:rPr>
                <w:b/>
                <w:sz w:val="14"/>
              </w:rPr>
              <w:t>899,006</w:t>
            </w:r>
          </w:p>
        </w:tc>
        <w:tc>
          <w:tcPr>
            <w:tcW w:w="928" w:type="dxa"/>
          </w:tcPr>
          <w:p>
            <w:pPr>
              <w:pStyle w:val="TableParagraph"/>
              <w:spacing w:line="154" w:lineRule="exact" w:before="5"/>
              <w:ind w:right="257"/>
              <w:jc w:val="right"/>
              <w:rPr>
                <w:i/>
                <w:sz w:val="14"/>
              </w:rPr>
            </w:pPr>
            <w:r>
              <w:rPr>
                <w:i/>
                <w:w w:val="95"/>
                <w:sz w:val="14"/>
              </w:rPr>
              <w:t>2.4%</w:t>
            </w:r>
          </w:p>
        </w:tc>
        <w:tc>
          <w:tcPr>
            <w:tcW w:w="1223" w:type="dxa"/>
          </w:tcPr>
          <w:p>
            <w:pPr>
              <w:pStyle w:val="TableParagraph"/>
              <w:spacing w:line="154" w:lineRule="exact" w:before="5"/>
              <w:ind w:right="283"/>
              <w:jc w:val="right"/>
              <w:rPr>
                <w:b/>
                <w:sz w:val="14"/>
              </w:rPr>
            </w:pPr>
            <w:r>
              <w:rPr>
                <w:b/>
                <w:sz w:val="14"/>
              </w:rPr>
              <w:t>1,060,031</w:t>
            </w:r>
          </w:p>
        </w:tc>
        <w:tc>
          <w:tcPr>
            <w:tcW w:w="916" w:type="dxa"/>
          </w:tcPr>
          <w:p>
            <w:pPr>
              <w:pStyle w:val="TableParagraph"/>
              <w:spacing w:line="154" w:lineRule="exact" w:before="5"/>
              <w:ind w:left="412"/>
              <w:rPr>
                <w:i/>
                <w:sz w:val="14"/>
              </w:rPr>
            </w:pPr>
            <w:r>
              <w:rPr>
                <w:i/>
                <w:sz w:val="14"/>
              </w:rPr>
              <w:t>2.4%</w:t>
            </w:r>
          </w:p>
        </w:tc>
        <w:tc>
          <w:tcPr>
            <w:tcW w:w="1126" w:type="dxa"/>
          </w:tcPr>
          <w:p>
            <w:pPr>
              <w:pStyle w:val="TableParagraph"/>
              <w:spacing w:line="154" w:lineRule="exact" w:before="5"/>
              <w:ind w:right="228"/>
              <w:jc w:val="right"/>
              <w:rPr>
                <w:b/>
                <w:sz w:val="14"/>
              </w:rPr>
            </w:pPr>
            <w:r>
              <w:rPr>
                <w:b/>
                <w:sz w:val="14"/>
              </w:rPr>
              <w:t>1,326,061</w:t>
            </w:r>
          </w:p>
        </w:tc>
        <w:tc>
          <w:tcPr>
            <w:tcW w:w="861" w:type="dxa"/>
          </w:tcPr>
          <w:p>
            <w:pPr>
              <w:pStyle w:val="TableParagraph"/>
              <w:spacing w:line="154" w:lineRule="exact" w:before="5"/>
              <w:ind w:left="182" w:right="20"/>
              <w:jc w:val="center"/>
              <w:rPr>
                <w:i/>
                <w:sz w:val="14"/>
              </w:rPr>
            </w:pPr>
            <w:r>
              <w:rPr>
                <w:i/>
                <w:sz w:val="14"/>
              </w:rPr>
              <w:t>2.6%</w:t>
            </w:r>
          </w:p>
        </w:tc>
        <w:tc>
          <w:tcPr>
            <w:tcW w:w="1129" w:type="dxa"/>
          </w:tcPr>
          <w:p>
            <w:pPr>
              <w:pStyle w:val="TableParagraph"/>
              <w:spacing w:line="154" w:lineRule="exact" w:before="5"/>
              <w:ind w:right="235"/>
              <w:jc w:val="right"/>
              <w:rPr>
                <w:b/>
                <w:sz w:val="14"/>
              </w:rPr>
            </w:pPr>
            <w:r>
              <w:rPr>
                <w:b/>
                <w:sz w:val="14"/>
              </w:rPr>
              <w:t>1,660,000</w:t>
            </w:r>
          </w:p>
        </w:tc>
        <w:tc>
          <w:tcPr>
            <w:tcW w:w="1011" w:type="dxa"/>
          </w:tcPr>
          <w:p>
            <w:pPr>
              <w:pStyle w:val="TableParagraph"/>
              <w:spacing w:line="154" w:lineRule="exact" w:before="5"/>
              <w:ind w:right="341"/>
              <w:jc w:val="right"/>
              <w:rPr>
                <w:i/>
                <w:sz w:val="14"/>
              </w:rPr>
            </w:pPr>
            <w:r>
              <w:rPr>
                <w:i/>
                <w:w w:val="95"/>
                <w:sz w:val="14"/>
              </w:rPr>
              <w:t>2.9%</w:t>
            </w:r>
          </w:p>
        </w:tc>
      </w:tr>
      <w:tr>
        <w:trPr>
          <w:trHeight w:val="203" w:hRule="atLeast"/>
        </w:trPr>
        <w:tc>
          <w:tcPr>
            <w:tcW w:w="4528" w:type="dxa"/>
          </w:tcPr>
          <w:p>
            <w:pPr>
              <w:pStyle w:val="TableParagraph"/>
              <w:spacing w:before="8"/>
              <w:ind w:left="336"/>
              <w:rPr>
                <w:b/>
                <w:sz w:val="14"/>
              </w:rPr>
            </w:pPr>
            <w:r>
              <w:rPr>
                <w:b/>
                <w:sz w:val="14"/>
              </w:rPr>
              <w:t>Lending minus Repayment</w:t>
            </w:r>
          </w:p>
        </w:tc>
        <w:tc>
          <w:tcPr>
            <w:tcW w:w="1036" w:type="dxa"/>
          </w:tcPr>
          <w:p>
            <w:pPr>
              <w:pStyle w:val="TableParagraph"/>
              <w:spacing w:before="8"/>
              <w:ind w:right="168"/>
              <w:jc w:val="right"/>
              <w:rPr>
                <w:b/>
                <w:i/>
                <w:sz w:val="14"/>
              </w:rPr>
            </w:pPr>
            <w:r>
              <w:rPr>
                <w:b/>
                <w:i/>
                <w:w w:val="83"/>
                <w:sz w:val="14"/>
              </w:rPr>
              <w:t>-</w:t>
            </w:r>
          </w:p>
        </w:tc>
        <w:tc>
          <w:tcPr>
            <w:tcW w:w="973" w:type="dxa"/>
          </w:tcPr>
          <w:p>
            <w:pPr>
              <w:pStyle w:val="TableParagraph"/>
              <w:spacing w:before="8"/>
              <w:ind w:right="208"/>
              <w:jc w:val="right"/>
              <w:rPr>
                <w:b/>
                <w:sz w:val="14"/>
              </w:rPr>
            </w:pPr>
            <w:r>
              <w:rPr>
                <w:b/>
                <w:sz w:val="14"/>
              </w:rPr>
              <w:t>0.0%</w:t>
            </w:r>
          </w:p>
        </w:tc>
        <w:tc>
          <w:tcPr>
            <w:tcW w:w="1057" w:type="dxa"/>
          </w:tcPr>
          <w:p>
            <w:pPr>
              <w:pStyle w:val="TableParagraph"/>
              <w:spacing w:before="8"/>
              <w:ind w:right="121"/>
              <w:jc w:val="right"/>
              <w:rPr>
                <w:b/>
                <w:sz w:val="14"/>
              </w:rPr>
            </w:pPr>
            <w:r>
              <w:rPr>
                <w:b/>
                <w:w w:val="99"/>
                <w:sz w:val="14"/>
              </w:rPr>
              <w:t>0</w:t>
            </w:r>
          </w:p>
        </w:tc>
        <w:tc>
          <w:tcPr>
            <w:tcW w:w="928" w:type="dxa"/>
          </w:tcPr>
          <w:p>
            <w:pPr>
              <w:pStyle w:val="TableParagraph"/>
              <w:spacing w:before="8"/>
              <w:ind w:right="257"/>
              <w:jc w:val="right"/>
              <w:rPr>
                <w:i/>
                <w:sz w:val="14"/>
              </w:rPr>
            </w:pPr>
            <w:r>
              <w:rPr>
                <w:i/>
                <w:w w:val="95"/>
                <w:sz w:val="14"/>
              </w:rPr>
              <w:t>0.0%</w:t>
            </w:r>
          </w:p>
        </w:tc>
        <w:tc>
          <w:tcPr>
            <w:tcW w:w="1223" w:type="dxa"/>
          </w:tcPr>
          <w:p>
            <w:pPr>
              <w:pStyle w:val="TableParagraph"/>
              <w:spacing w:before="8"/>
              <w:ind w:right="232"/>
              <w:jc w:val="right"/>
              <w:rPr>
                <w:b/>
                <w:sz w:val="14"/>
              </w:rPr>
            </w:pPr>
            <w:r>
              <w:rPr>
                <w:b/>
                <w:w w:val="99"/>
                <w:sz w:val="14"/>
              </w:rPr>
              <w:t>0</w:t>
            </w:r>
          </w:p>
        </w:tc>
        <w:tc>
          <w:tcPr>
            <w:tcW w:w="916" w:type="dxa"/>
          </w:tcPr>
          <w:p>
            <w:pPr>
              <w:pStyle w:val="TableParagraph"/>
              <w:spacing w:before="8"/>
              <w:ind w:left="412"/>
              <w:rPr>
                <w:i/>
                <w:sz w:val="14"/>
              </w:rPr>
            </w:pPr>
            <w:r>
              <w:rPr>
                <w:i/>
                <w:sz w:val="14"/>
              </w:rPr>
              <w:t>0.0%</w:t>
            </w:r>
          </w:p>
        </w:tc>
        <w:tc>
          <w:tcPr>
            <w:tcW w:w="1126" w:type="dxa"/>
          </w:tcPr>
          <w:p>
            <w:pPr>
              <w:pStyle w:val="TableParagraph"/>
              <w:spacing w:before="8"/>
              <w:ind w:right="176"/>
              <w:jc w:val="right"/>
              <w:rPr>
                <w:b/>
                <w:sz w:val="14"/>
              </w:rPr>
            </w:pPr>
            <w:r>
              <w:rPr>
                <w:b/>
                <w:w w:val="99"/>
                <w:sz w:val="14"/>
              </w:rPr>
              <w:t>0</w:t>
            </w:r>
          </w:p>
        </w:tc>
        <w:tc>
          <w:tcPr>
            <w:tcW w:w="861" w:type="dxa"/>
          </w:tcPr>
          <w:p>
            <w:pPr>
              <w:pStyle w:val="TableParagraph"/>
              <w:spacing w:before="8"/>
              <w:ind w:left="182" w:right="20"/>
              <w:jc w:val="center"/>
              <w:rPr>
                <w:i/>
                <w:sz w:val="14"/>
              </w:rPr>
            </w:pPr>
            <w:r>
              <w:rPr>
                <w:i/>
                <w:sz w:val="14"/>
              </w:rPr>
              <w:t>0.0%</w:t>
            </w:r>
          </w:p>
        </w:tc>
        <w:tc>
          <w:tcPr>
            <w:tcW w:w="1129" w:type="dxa"/>
          </w:tcPr>
          <w:p>
            <w:pPr>
              <w:pStyle w:val="TableParagraph"/>
              <w:spacing w:before="8"/>
              <w:ind w:right="184"/>
              <w:jc w:val="right"/>
              <w:rPr>
                <w:b/>
                <w:sz w:val="14"/>
              </w:rPr>
            </w:pPr>
            <w:r>
              <w:rPr>
                <w:b/>
                <w:w w:val="99"/>
                <w:sz w:val="14"/>
              </w:rPr>
              <w:t>0</w:t>
            </w:r>
          </w:p>
        </w:tc>
        <w:tc>
          <w:tcPr>
            <w:tcW w:w="1011" w:type="dxa"/>
          </w:tcPr>
          <w:p>
            <w:pPr>
              <w:pStyle w:val="TableParagraph"/>
              <w:spacing w:before="8"/>
              <w:ind w:right="341"/>
              <w:jc w:val="right"/>
              <w:rPr>
                <w:i/>
                <w:sz w:val="14"/>
              </w:rPr>
            </w:pPr>
            <w:r>
              <w:rPr>
                <w:i/>
                <w:w w:val="95"/>
                <w:sz w:val="14"/>
              </w:rPr>
              <w:t>0.0%</w:t>
            </w:r>
          </w:p>
        </w:tc>
      </w:tr>
    </w:tbl>
    <w:p>
      <w:pPr>
        <w:spacing w:after="0"/>
        <w:jc w:val="right"/>
        <w:rPr>
          <w:sz w:val="14"/>
        </w:rPr>
        <w:sectPr>
          <w:pgSz w:w="16840" w:h="11900" w:orient="landscape"/>
          <w:pgMar w:header="1123" w:footer="0" w:top="1820" w:bottom="280" w:left="880" w:right="920"/>
        </w:sectPr>
      </w:pPr>
    </w:p>
    <w:p>
      <w:pPr>
        <w:pStyle w:val="BodyText"/>
        <w:spacing w:before="2" w:after="1"/>
        <w:rPr>
          <w:rFonts w:ascii="Times New Roman"/>
          <w:sz w:val="12"/>
        </w:rPr>
      </w:pPr>
      <w:r>
        <w:rPr/>
        <w:pict>
          <v:shape style="position:absolute;margin-left:27.140491pt;margin-top:290.678925pt;width:14.35pt;height:10.35pt;mso-position-horizontal-relative:page;mso-position-vertical-relative:page;z-index:1120" type="#_x0000_t202" filled="false" stroked="false">
            <v:textbox inset="0,0,0,0" style="layout-flow:vertical">
              <w:txbxContent>
                <w:p>
                  <w:pPr>
                    <w:spacing w:before="13"/>
                    <w:ind w:left="20" w:right="0" w:firstLine="0"/>
                    <w:jc w:val="left"/>
                    <w:rPr>
                      <w:rFonts w:ascii="Arial"/>
                      <w:sz w:val="22"/>
                    </w:rPr>
                  </w:pPr>
                  <w:r>
                    <w:rPr>
                      <w:rFonts w:ascii="Arial"/>
                      <w:sz w:val="22"/>
                    </w:rPr>
                    <w:t>iii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94"/>
        <w:gridCol w:w="1756"/>
        <w:gridCol w:w="954"/>
        <w:gridCol w:w="1093"/>
        <w:gridCol w:w="894"/>
        <w:gridCol w:w="1258"/>
        <w:gridCol w:w="914"/>
        <w:gridCol w:w="1118"/>
        <w:gridCol w:w="868"/>
        <w:gridCol w:w="1124"/>
        <w:gridCol w:w="1023"/>
      </w:tblGrid>
      <w:tr>
        <w:trPr>
          <w:trHeight w:val="387" w:hRule="atLeast"/>
        </w:trPr>
        <w:tc>
          <w:tcPr>
            <w:tcW w:w="5550" w:type="dxa"/>
            <w:gridSpan w:val="2"/>
            <w:tcBorders>
              <w:top w:val="single" w:sz="18" w:space="0" w:color="000000"/>
            </w:tcBorders>
          </w:tcPr>
          <w:p>
            <w:pPr>
              <w:pStyle w:val="TableParagraph"/>
              <w:spacing w:before="35"/>
              <w:ind w:right="323"/>
              <w:jc w:val="right"/>
              <w:rPr>
                <w:b/>
                <w:sz w:val="14"/>
              </w:rPr>
            </w:pPr>
            <w:r>
              <w:rPr>
                <w:b/>
                <w:spacing w:val="3"/>
                <w:sz w:val="14"/>
              </w:rPr>
              <w:t>FY2018</w:t>
            </w:r>
          </w:p>
          <w:p>
            <w:pPr>
              <w:pStyle w:val="TableParagraph"/>
              <w:tabs>
                <w:tab w:pos="4670" w:val="left" w:leader="none"/>
              </w:tabs>
              <w:spacing w:line="154" w:lineRule="exact" w:before="17"/>
              <w:ind w:right="286"/>
              <w:jc w:val="right"/>
              <w:rPr>
                <w:b/>
                <w:i/>
                <w:sz w:val="14"/>
              </w:rPr>
            </w:pPr>
            <w:r>
              <w:rPr>
                <w:b/>
                <w:spacing w:val="3"/>
                <w:sz w:val="14"/>
              </w:rPr>
              <w:t>PARTICULARS</w:t>
              <w:tab/>
            </w:r>
            <w:r>
              <w:rPr>
                <w:b/>
                <w:i/>
                <w:spacing w:val="-1"/>
                <w:w w:val="95"/>
                <w:sz w:val="14"/>
              </w:rPr>
              <w:t>Estimate</w:t>
            </w:r>
          </w:p>
        </w:tc>
        <w:tc>
          <w:tcPr>
            <w:tcW w:w="954" w:type="dxa"/>
            <w:tcBorders>
              <w:top w:val="single" w:sz="18" w:space="0" w:color="000000"/>
            </w:tcBorders>
          </w:tcPr>
          <w:p>
            <w:pPr>
              <w:pStyle w:val="TableParagraph"/>
              <w:spacing w:before="35"/>
              <w:ind w:left="181" w:right="242"/>
              <w:jc w:val="center"/>
              <w:rPr>
                <w:sz w:val="14"/>
              </w:rPr>
            </w:pPr>
            <w:r>
              <w:rPr>
                <w:sz w:val="14"/>
              </w:rPr>
              <w:t>FY2018</w:t>
            </w:r>
          </w:p>
          <w:p>
            <w:pPr>
              <w:pStyle w:val="TableParagraph"/>
              <w:spacing w:line="154" w:lineRule="exact" w:before="17"/>
              <w:ind w:left="181" w:right="228"/>
              <w:jc w:val="center"/>
              <w:rPr>
                <w:b/>
                <w:i/>
                <w:sz w:val="14"/>
              </w:rPr>
            </w:pPr>
            <w:r>
              <w:rPr>
                <w:b/>
                <w:i/>
                <w:sz w:val="14"/>
              </w:rPr>
              <w:t>% of</w:t>
            </w:r>
          </w:p>
        </w:tc>
        <w:tc>
          <w:tcPr>
            <w:tcW w:w="1093" w:type="dxa"/>
            <w:tcBorders>
              <w:top w:val="single" w:sz="18" w:space="0" w:color="000000"/>
            </w:tcBorders>
          </w:tcPr>
          <w:p>
            <w:pPr>
              <w:pStyle w:val="TableParagraph"/>
              <w:spacing w:before="35"/>
              <w:ind w:left="303"/>
              <w:rPr>
                <w:b/>
                <w:sz w:val="14"/>
              </w:rPr>
            </w:pPr>
            <w:r>
              <w:rPr>
                <w:b/>
                <w:spacing w:val="4"/>
                <w:sz w:val="14"/>
              </w:rPr>
              <w:t>FY2019</w:t>
            </w:r>
          </w:p>
          <w:p>
            <w:pPr>
              <w:pStyle w:val="TableParagraph"/>
              <w:spacing w:line="154" w:lineRule="exact" w:before="17"/>
              <w:ind w:left="263"/>
              <w:rPr>
                <w:b/>
                <w:i/>
                <w:sz w:val="14"/>
              </w:rPr>
            </w:pPr>
            <w:r>
              <w:rPr>
                <w:b/>
                <w:i/>
                <w:spacing w:val="3"/>
                <w:sz w:val="14"/>
              </w:rPr>
              <w:t>Program</w:t>
            </w:r>
          </w:p>
        </w:tc>
        <w:tc>
          <w:tcPr>
            <w:tcW w:w="894" w:type="dxa"/>
            <w:tcBorders>
              <w:top w:val="single" w:sz="18" w:space="0" w:color="000000"/>
            </w:tcBorders>
          </w:tcPr>
          <w:p>
            <w:pPr>
              <w:pStyle w:val="TableParagraph"/>
              <w:spacing w:before="35"/>
              <w:ind w:left="121" w:right="241"/>
              <w:jc w:val="center"/>
              <w:rPr>
                <w:sz w:val="14"/>
              </w:rPr>
            </w:pPr>
            <w:r>
              <w:rPr>
                <w:sz w:val="14"/>
              </w:rPr>
              <w:t>FY2019</w:t>
            </w:r>
          </w:p>
          <w:p>
            <w:pPr>
              <w:pStyle w:val="TableParagraph"/>
              <w:spacing w:line="154" w:lineRule="exact" w:before="17"/>
              <w:ind w:left="121" w:right="241"/>
              <w:jc w:val="center"/>
              <w:rPr>
                <w:i/>
                <w:sz w:val="14"/>
              </w:rPr>
            </w:pPr>
            <w:r>
              <w:rPr>
                <w:i/>
                <w:sz w:val="14"/>
              </w:rPr>
              <w:t>% of</w:t>
            </w:r>
          </w:p>
        </w:tc>
        <w:tc>
          <w:tcPr>
            <w:tcW w:w="1258" w:type="dxa"/>
            <w:tcBorders>
              <w:top w:val="single" w:sz="18" w:space="0" w:color="000000"/>
            </w:tcBorders>
          </w:tcPr>
          <w:p>
            <w:pPr>
              <w:pStyle w:val="TableParagraph"/>
              <w:spacing w:before="35"/>
              <w:ind w:left="356"/>
              <w:rPr>
                <w:b/>
                <w:sz w:val="14"/>
              </w:rPr>
            </w:pPr>
            <w:r>
              <w:rPr>
                <w:b/>
                <w:spacing w:val="4"/>
                <w:sz w:val="14"/>
              </w:rPr>
              <w:t>FY2020</w:t>
            </w:r>
          </w:p>
          <w:p>
            <w:pPr>
              <w:pStyle w:val="TableParagraph"/>
              <w:spacing w:line="154" w:lineRule="exact" w:before="17"/>
              <w:ind w:left="379"/>
              <w:rPr>
                <w:b/>
                <w:i/>
                <w:sz w:val="14"/>
              </w:rPr>
            </w:pPr>
            <w:r>
              <w:rPr>
                <w:b/>
                <w:i/>
                <w:sz w:val="14"/>
              </w:rPr>
              <w:t>Budget</w:t>
            </w:r>
          </w:p>
        </w:tc>
        <w:tc>
          <w:tcPr>
            <w:tcW w:w="914" w:type="dxa"/>
            <w:tcBorders>
              <w:top w:val="single" w:sz="18" w:space="0" w:color="000000"/>
            </w:tcBorders>
          </w:tcPr>
          <w:p>
            <w:pPr>
              <w:pStyle w:val="TableParagraph"/>
              <w:spacing w:before="35"/>
              <w:ind w:left="233" w:right="149"/>
              <w:jc w:val="center"/>
              <w:rPr>
                <w:sz w:val="14"/>
              </w:rPr>
            </w:pPr>
            <w:r>
              <w:rPr>
                <w:sz w:val="14"/>
              </w:rPr>
              <w:t>FY2020</w:t>
            </w:r>
          </w:p>
          <w:p>
            <w:pPr>
              <w:pStyle w:val="TableParagraph"/>
              <w:spacing w:line="154" w:lineRule="exact" w:before="17"/>
              <w:ind w:left="233" w:right="149"/>
              <w:jc w:val="center"/>
              <w:rPr>
                <w:i/>
                <w:sz w:val="14"/>
              </w:rPr>
            </w:pPr>
            <w:r>
              <w:rPr>
                <w:i/>
                <w:sz w:val="14"/>
              </w:rPr>
              <w:t>% of</w:t>
            </w:r>
          </w:p>
        </w:tc>
        <w:tc>
          <w:tcPr>
            <w:tcW w:w="1118" w:type="dxa"/>
            <w:tcBorders>
              <w:top w:val="single" w:sz="18" w:space="0" w:color="000000"/>
            </w:tcBorders>
          </w:tcPr>
          <w:p>
            <w:pPr>
              <w:pStyle w:val="TableParagraph"/>
              <w:spacing w:before="35"/>
              <w:ind w:left="339"/>
              <w:rPr>
                <w:b/>
                <w:sz w:val="14"/>
              </w:rPr>
            </w:pPr>
            <w:r>
              <w:rPr>
                <w:b/>
                <w:sz w:val="14"/>
              </w:rPr>
              <w:t>FY2021</w:t>
            </w:r>
          </w:p>
          <w:p>
            <w:pPr>
              <w:pStyle w:val="TableParagraph"/>
              <w:spacing w:line="154" w:lineRule="exact" w:before="17"/>
              <w:ind w:left="286"/>
              <w:rPr>
                <w:i/>
                <w:sz w:val="14"/>
              </w:rPr>
            </w:pPr>
            <w:r>
              <w:rPr>
                <w:i/>
                <w:sz w:val="14"/>
              </w:rPr>
              <w:t>Indicative</w:t>
            </w:r>
          </w:p>
        </w:tc>
        <w:tc>
          <w:tcPr>
            <w:tcW w:w="868" w:type="dxa"/>
            <w:tcBorders>
              <w:top w:val="single" w:sz="18" w:space="0" w:color="000000"/>
            </w:tcBorders>
          </w:tcPr>
          <w:p>
            <w:pPr>
              <w:pStyle w:val="TableParagraph"/>
              <w:spacing w:before="35"/>
              <w:ind w:left="188" w:right="148"/>
              <w:jc w:val="center"/>
              <w:rPr>
                <w:sz w:val="14"/>
              </w:rPr>
            </w:pPr>
            <w:r>
              <w:rPr>
                <w:sz w:val="14"/>
              </w:rPr>
              <w:t>FY2021</w:t>
            </w:r>
          </w:p>
          <w:p>
            <w:pPr>
              <w:pStyle w:val="TableParagraph"/>
              <w:spacing w:line="154" w:lineRule="exact" w:before="17"/>
              <w:ind w:left="188" w:right="147"/>
              <w:jc w:val="center"/>
              <w:rPr>
                <w:i/>
                <w:sz w:val="14"/>
              </w:rPr>
            </w:pPr>
            <w:r>
              <w:rPr>
                <w:i/>
                <w:sz w:val="14"/>
              </w:rPr>
              <w:t>% of</w:t>
            </w:r>
          </w:p>
        </w:tc>
        <w:tc>
          <w:tcPr>
            <w:tcW w:w="1124" w:type="dxa"/>
            <w:tcBorders>
              <w:top w:val="single" w:sz="18" w:space="0" w:color="000000"/>
            </w:tcBorders>
          </w:tcPr>
          <w:p>
            <w:pPr>
              <w:pStyle w:val="TableParagraph"/>
              <w:spacing w:before="35"/>
              <w:ind w:left="282"/>
              <w:rPr>
                <w:b/>
                <w:sz w:val="14"/>
              </w:rPr>
            </w:pPr>
            <w:r>
              <w:rPr>
                <w:b/>
                <w:sz w:val="14"/>
              </w:rPr>
              <w:t>FY2022</w:t>
            </w:r>
          </w:p>
          <w:p>
            <w:pPr>
              <w:pStyle w:val="TableParagraph"/>
              <w:spacing w:line="154" w:lineRule="exact" w:before="17"/>
              <w:ind w:left="229"/>
              <w:rPr>
                <w:i/>
                <w:sz w:val="14"/>
              </w:rPr>
            </w:pPr>
            <w:r>
              <w:rPr>
                <w:i/>
                <w:sz w:val="14"/>
              </w:rPr>
              <w:t>Indicative</w:t>
            </w:r>
          </w:p>
        </w:tc>
        <w:tc>
          <w:tcPr>
            <w:tcW w:w="1023" w:type="dxa"/>
            <w:tcBorders>
              <w:top w:val="single" w:sz="18" w:space="0" w:color="000000"/>
            </w:tcBorders>
          </w:tcPr>
          <w:p>
            <w:pPr>
              <w:pStyle w:val="TableParagraph"/>
              <w:spacing w:before="35"/>
              <w:ind w:left="201"/>
              <w:rPr>
                <w:sz w:val="14"/>
              </w:rPr>
            </w:pPr>
            <w:r>
              <w:rPr>
                <w:sz w:val="14"/>
              </w:rPr>
              <w:t>FY2022</w:t>
            </w:r>
          </w:p>
          <w:p>
            <w:pPr>
              <w:pStyle w:val="TableParagraph"/>
              <w:spacing w:line="154" w:lineRule="exact" w:before="17"/>
              <w:ind w:left="252"/>
              <w:rPr>
                <w:i/>
                <w:sz w:val="14"/>
              </w:rPr>
            </w:pPr>
            <w:r>
              <w:rPr>
                <w:i/>
                <w:sz w:val="14"/>
              </w:rPr>
              <w:t>% of</w:t>
            </w:r>
          </w:p>
        </w:tc>
      </w:tr>
      <w:tr>
        <w:trPr>
          <w:trHeight w:val="479" w:hRule="atLeast"/>
        </w:trPr>
        <w:tc>
          <w:tcPr>
            <w:tcW w:w="5550" w:type="dxa"/>
            <w:gridSpan w:val="2"/>
            <w:tcBorders>
              <w:bottom w:val="single" w:sz="18" w:space="0" w:color="000000"/>
            </w:tcBorders>
          </w:tcPr>
          <w:p>
            <w:pPr>
              <w:pStyle w:val="TableParagraph"/>
              <w:spacing w:before="8"/>
              <w:ind w:right="402"/>
              <w:jc w:val="right"/>
              <w:rPr>
                <w:sz w:val="14"/>
              </w:rPr>
            </w:pPr>
            <w:r>
              <w:rPr>
                <w:sz w:val="14"/>
              </w:rPr>
              <w:t>Q1 -4</w:t>
            </w:r>
          </w:p>
          <w:p>
            <w:pPr>
              <w:pStyle w:val="TableParagraph"/>
              <w:spacing w:before="16"/>
              <w:ind w:right="310"/>
              <w:jc w:val="right"/>
              <w:rPr>
                <w:sz w:val="14"/>
              </w:rPr>
            </w:pPr>
            <w:r>
              <w:rPr>
                <w:sz w:val="14"/>
              </w:rPr>
              <w:t>Jan-Dec</w:t>
            </w:r>
          </w:p>
        </w:tc>
        <w:tc>
          <w:tcPr>
            <w:tcW w:w="954" w:type="dxa"/>
            <w:tcBorders>
              <w:bottom w:val="single" w:sz="18" w:space="0" w:color="000000"/>
            </w:tcBorders>
          </w:tcPr>
          <w:p>
            <w:pPr>
              <w:pStyle w:val="TableParagraph"/>
              <w:spacing w:before="8"/>
              <w:ind w:left="306"/>
              <w:rPr>
                <w:sz w:val="14"/>
              </w:rPr>
            </w:pPr>
            <w:r>
              <w:rPr>
                <w:sz w:val="14"/>
              </w:rPr>
              <w:t>GPD</w:t>
            </w:r>
          </w:p>
        </w:tc>
        <w:tc>
          <w:tcPr>
            <w:tcW w:w="1093" w:type="dxa"/>
            <w:tcBorders>
              <w:bottom w:val="single" w:sz="18" w:space="0" w:color="000000"/>
            </w:tcBorders>
          </w:tcPr>
          <w:p>
            <w:pPr>
              <w:pStyle w:val="TableParagraph"/>
              <w:spacing w:before="8"/>
              <w:ind w:left="277" w:right="227"/>
              <w:jc w:val="center"/>
              <w:rPr>
                <w:b/>
                <w:sz w:val="14"/>
              </w:rPr>
            </w:pPr>
            <w:r>
              <w:rPr>
                <w:b/>
                <w:sz w:val="14"/>
              </w:rPr>
              <w:t>Q1-4</w:t>
            </w:r>
          </w:p>
          <w:p>
            <w:pPr>
              <w:pStyle w:val="TableParagraph"/>
              <w:spacing w:before="16"/>
              <w:ind w:left="277" w:right="231"/>
              <w:jc w:val="center"/>
              <w:rPr>
                <w:b/>
                <w:sz w:val="14"/>
              </w:rPr>
            </w:pPr>
            <w:r>
              <w:rPr>
                <w:b/>
                <w:sz w:val="14"/>
              </w:rPr>
              <w:t>Jan-Dec</w:t>
            </w:r>
          </w:p>
        </w:tc>
        <w:tc>
          <w:tcPr>
            <w:tcW w:w="894" w:type="dxa"/>
            <w:tcBorders>
              <w:bottom w:val="single" w:sz="18" w:space="0" w:color="000000"/>
            </w:tcBorders>
          </w:tcPr>
          <w:p>
            <w:pPr>
              <w:pStyle w:val="TableParagraph"/>
              <w:spacing w:before="8"/>
              <w:ind w:left="246"/>
              <w:rPr>
                <w:sz w:val="14"/>
              </w:rPr>
            </w:pPr>
            <w:r>
              <w:rPr>
                <w:sz w:val="14"/>
              </w:rPr>
              <w:t>GPD</w:t>
            </w:r>
          </w:p>
        </w:tc>
        <w:tc>
          <w:tcPr>
            <w:tcW w:w="1258" w:type="dxa"/>
            <w:tcBorders>
              <w:bottom w:val="single" w:sz="18" w:space="0" w:color="000000"/>
            </w:tcBorders>
          </w:tcPr>
          <w:p>
            <w:pPr>
              <w:pStyle w:val="TableParagraph"/>
              <w:spacing w:before="8"/>
              <w:ind w:left="331" w:right="337"/>
              <w:jc w:val="center"/>
              <w:rPr>
                <w:b/>
                <w:sz w:val="14"/>
              </w:rPr>
            </w:pPr>
            <w:r>
              <w:rPr>
                <w:b/>
                <w:sz w:val="14"/>
              </w:rPr>
              <w:t>Q1-4</w:t>
            </w:r>
          </w:p>
          <w:p>
            <w:pPr>
              <w:pStyle w:val="TableParagraph"/>
              <w:spacing w:before="16"/>
              <w:ind w:left="331" w:right="341"/>
              <w:jc w:val="center"/>
              <w:rPr>
                <w:b/>
                <w:sz w:val="14"/>
              </w:rPr>
            </w:pPr>
            <w:r>
              <w:rPr>
                <w:b/>
                <w:sz w:val="14"/>
              </w:rPr>
              <w:t>Jan-Dec</w:t>
            </w:r>
          </w:p>
        </w:tc>
        <w:tc>
          <w:tcPr>
            <w:tcW w:w="914" w:type="dxa"/>
            <w:tcBorders>
              <w:bottom w:val="single" w:sz="18" w:space="0" w:color="000000"/>
            </w:tcBorders>
          </w:tcPr>
          <w:p>
            <w:pPr>
              <w:pStyle w:val="TableParagraph"/>
              <w:spacing w:before="8"/>
              <w:ind w:left="360"/>
              <w:rPr>
                <w:sz w:val="14"/>
              </w:rPr>
            </w:pPr>
            <w:r>
              <w:rPr>
                <w:sz w:val="14"/>
              </w:rPr>
              <w:t>GPD</w:t>
            </w:r>
          </w:p>
        </w:tc>
        <w:tc>
          <w:tcPr>
            <w:tcW w:w="1118" w:type="dxa"/>
            <w:tcBorders>
              <w:bottom w:val="single" w:sz="18" w:space="0" w:color="000000"/>
            </w:tcBorders>
          </w:tcPr>
          <w:p>
            <w:pPr>
              <w:pStyle w:val="TableParagraph"/>
              <w:spacing w:before="8"/>
              <w:ind w:left="434"/>
              <w:rPr>
                <w:sz w:val="14"/>
              </w:rPr>
            </w:pPr>
            <w:r>
              <w:rPr>
                <w:sz w:val="14"/>
              </w:rPr>
              <w:t>Q1 -4</w:t>
            </w:r>
          </w:p>
          <w:p>
            <w:pPr>
              <w:pStyle w:val="TableParagraph"/>
              <w:spacing w:before="16"/>
              <w:ind w:left="339"/>
              <w:rPr>
                <w:sz w:val="14"/>
              </w:rPr>
            </w:pPr>
            <w:r>
              <w:rPr>
                <w:sz w:val="14"/>
              </w:rPr>
              <w:t>Jan-Dec</w:t>
            </w:r>
          </w:p>
        </w:tc>
        <w:tc>
          <w:tcPr>
            <w:tcW w:w="868" w:type="dxa"/>
            <w:tcBorders>
              <w:bottom w:val="single" w:sz="18" w:space="0" w:color="000000"/>
            </w:tcBorders>
          </w:tcPr>
          <w:p>
            <w:pPr>
              <w:pStyle w:val="TableParagraph"/>
              <w:spacing w:before="8"/>
              <w:ind w:right="259"/>
              <w:jc w:val="right"/>
              <w:rPr>
                <w:sz w:val="14"/>
              </w:rPr>
            </w:pPr>
            <w:r>
              <w:rPr>
                <w:w w:val="95"/>
                <w:sz w:val="14"/>
              </w:rPr>
              <w:t>GPD</w:t>
            </w:r>
          </w:p>
        </w:tc>
        <w:tc>
          <w:tcPr>
            <w:tcW w:w="1124" w:type="dxa"/>
            <w:tcBorders>
              <w:bottom w:val="single" w:sz="18" w:space="0" w:color="000000"/>
            </w:tcBorders>
          </w:tcPr>
          <w:p>
            <w:pPr>
              <w:pStyle w:val="TableParagraph"/>
              <w:spacing w:before="8"/>
              <w:ind w:left="267" w:right="291"/>
              <w:jc w:val="center"/>
              <w:rPr>
                <w:sz w:val="14"/>
              </w:rPr>
            </w:pPr>
            <w:r>
              <w:rPr>
                <w:sz w:val="14"/>
              </w:rPr>
              <w:t>Q1 -4</w:t>
            </w:r>
          </w:p>
          <w:p>
            <w:pPr>
              <w:pStyle w:val="TableParagraph"/>
              <w:spacing w:before="16"/>
              <w:ind w:left="267" w:right="294"/>
              <w:jc w:val="center"/>
              <w:rPr>
                <w:sz w:val="14"/>
              </w:rPr>
            </w:pPr>
            <w:r>
              <w:rPr>
                <w:sz w:val="14"/>
              </w:rPr>
              <w:t>Jan-Dec</w:t>
            </w:r>
          </w:p>
        </w:tc>
        <w:tc>
          <w:tcPr>
            <w:tcW w:w="1023" w:type="dxa"/>
            <w:tcBorders>
              <w:bottom w:val="single" w:sz="18" w:space="0" w:color="000000"/>
            </w:tcBorders>
          </w:tcPr>
          <w:p>
            <w:pPr>
              <w:pStyle w:val="TableParagraph"/>
              <w:spacing w:before="8"/>
              <w:ind w:left="248"/>
              <w:rPr>
                <w:sz w:val="14"/>
              </w:rPr>
            </w:pPr>
            <w:r>
              <w:rPr>
                <w:sz w:val="14"/>
              </w:rPr>
              <w:t>GPD</w:t>
            </w:r>
          </w:p>
        </w:tc>
      </w:tr>
      <w:tr>
        <w:trPr>
          <w:trHeight w:val="265" w:hRule="atLeast"/>
        </w:trPr>
        <w:tc>
          <w:tcPr>
            <w:tcW w:w="5550" w:type="dxa"/>
            <w:gridSpan w:val="2"/>
            <w:tcBorders>
              <w:top w:val="single" w:sz="18" w:space="0" w:color="000000"/>
            </w:tcBorders>
          </w:tcPr>
          <w:p>
            <w:pPr>
              <w:pStyle w:val="TableParagraph"/>
              <w:spacing w:line="152" w:lineRule="exact" w:before="93"/>
              <w:ind w:left="168"/>
              <w:rPr>
                <w:sz w:val="14"/>
              </w:rPr>
            </w:pPr>
            <w:r>
              <w:rPr>
                <w:sz w:val="14"/>
              </w:rPr>
              <w:t>OVERALL DEFICIT/ SURPLUS (-) (+)</w:t>
            </w:r>
          </w:p>
        </w:tc>
        <w:tc>
          <w:tcPr>
            <w:tcW w:w="954" w:type="dxa"/>
            <w:tcBorders>
              <w:top w:val="single" w:sz="18" w:space="0" w:color="000000"/>
            </w:tcBorders>
          </w:tcPr>
          <w:p>
            <w:pPr>
              <w:pStyle w:val="TableParagraph"/>
              <w:rPr>
                <w:rFonts w:ascii="Times New Roman"/>
                <w:sz w:val="12"/>
              </w:rPr>
            </w:pPr>
          </w:p>
        </w:tc>
        <w:tc>
          <w:tcPr>
            <w:tcW w:w="1093" w:type="dxa"/>
            <w:tcBorders>
              <w:top w:val="single" w:sz="18" w:space="0" w:color="000000"/>
            </w:tcBorders>
          </w:tcPr>
          <w:p>
            <w:pPr>
              <w:pStyle w:val="TableParagraph"/>
              <w:rPr>
                <w:rFonts w:ascii="Times New Roman"/>
                <w:sz w:val="12"/>
              </w:rPr>
            </w:pPr>
          </w:p>
        </w:tc>
        <w:tc>
          <w:tcPr>
            <w:tcW w:w="894" w:type="dxa"/>
            <w:tcBorders>
              <w:top w:val="single" w:sz="18" w:space="0" w:color="000000"/>
            </w:tcBorders>
          </w:tcPr>
          <w:p>
            <w:pPr>
              <w:pStyle w:val="TableParagraph"/>
              <w:rPr>
                <w:rFonts w:ascii="Times New Roman"/>
                <w:sz w:val="12"/>
              </w:rPr>
            </w:pPr>
          </w:p>
        </w:tc>
        <w:tc>
          <w:tcPr>
            <w:tcW w:w="1258" w:type="dxa"/>
            <w:tcBorders>
              <w:top w:val="single" w:sz="18" w:space="0" w:color="000000"/>
            </w:tcBorders>
          </w:tcPr>
          <w:p>
            <w:pPr>
              <w:pStyle w:val="TableParagraph"/>
              <w:rPr>
                <w:rFonts w:ascii="Times New Roman"/>
                <w:sz w:val="12"/>
              </w:rPr>
            </w:pPr>
          </w:p>
        </w:tc>
        <w:tc>
          <w:tcPr>
            <w:tcW w:w="914" w:type="dxa"/>
            <w:tcBorders>
              <w:top w:val="single" w:sz="18" w:space="0" w:color="000000"/>
            </w:tcBorders>
          </w:tcPr>
          <w:p>
            <w:pPr>
              <w:pStyle w:val="TableParagraph"/>
              <w:rPr>
                <w:rFonts w:ascii="Times New Roman"/>
                <w:sz w:val="12"/>
              </w:rPr>
            </w:pPr>
          </w:p>
        </w:tc>
        <w:tc>
          <w:tcPr>
            <w:tcW w:w="1118" w:type="dxa"/>
            <w:tcBorders>
              <w:top w:val="single" w:sz="18" w:space="0" w:color="000000"/>
            </w:tcBorders>
          </w:tcPr>
          <w:p>
            <w:pPr>
              <w:pStyle w:val="TableParagraph"/>
              <w:rPr>
                <w:rFonts w:ascii="Times New Roman"/>
                <w:sz w:val="12"/>
              </w:rPr>
            </w:pPr>
          </w:p>
        </w:tc>
        <w:tc>
          <w:tcPr>
            <w:tcW w:w="868" w:type="dxa"/>
            <w:tcBorders>
              <w:top w:val="single" w:sz="18" w:space="0" w:color="000000"/>
            </w:tcBorders>
          </w:tcPr>
          <w:p>
            <w:pPr>
              <w:pStyle w:val="TableParagraph"/>
              <w:rPr>
                <w:rFonts w:ascii="Times New Roman"/>
                <w:sz w:val="12"/>
              </w:rPr>
            </w:pPr>
          </w:p>
        </w:tc>
        <w:tc>
          <w:tcPr>
            <w:tcW w:w="1124" w:type="dxa"/>
            <w:tcBorders>
              <w:top w:val="single" w:sz="18" w:space="0" w:color="000000"/>
            </w:tcBorders>
          </w:tcPr>
          <w:p>
            <w:pPr>
              <w:pStyle w:val="TableParagraph"/>
              <w:rPr>
                <w:rFonts w:ascii="Times New Roman"/>
                <w:sz w:val="12"/>
              </w:rPr>
            </w:pPr>
          </w:p>
        </w:tc>
        <w:tc>
          <w:tcPr>
            <w:tcW w:w="1023" w:type="dxa"/>
            <w:tcBorders>
              <w:top w:val="single" w:sz="18" w:space="0" w:color="000000"/>
            </w:tcBorders>
          </w:tcPr>
          <w:p>
            <w:pPr>
              <w:pStyle w:val="TableParagraph"/>
              <w:rPr>
                <w:rFonts w:ascii="Times New Roman"/>
                <w:sz w:val="12"/>
              </w:rPr>
            </w:pPr>
          </w:p>
        </w:tc>
      </w:tr>
      <w:tr>
        <w:trPr>
          <w:trHeight w:val="180" w:hRule="atLeast"/>
        </w:trPr>
        <w:tc>
          <w:tcPr>
            <w:tcW w:w="3794" w:type="dxa"/>
          </w:tcPr>
          <w:p>
            <w:pPr>
              <w:pStyle w:val="TableParagraph"/>
              <w:spacing w:line="154" w:lineRule="exact" w:before="5"/>
              <w:ind w:left="336"/>
              <w:rPr>
                <w:sz w:val="14"/>
              </w:rPr>
            </w:pPr>
            <w:r>
              <w:rPr>
                <w:sz w:val="14"/>
              </w:rPr>
              <w:t>(on commitment basis) including grants</w:t>
            </w:r>
          </w:p>
        </w:tc>
        <w:tc>
          <w:tcPr>
            <w:tcW w:w="1756" w:type="dxa"/>
          </w:tcPr>
          <w:p>
            <w:pPr>
              <w:pStyle w:val="TableParagraph"/>
              <w:spacing w:line="154" w:lineRule="exact" w:before="5"/>
              <w:ind w:right="203"/>
              <w:jc w:val="right"/>
              <w:rPr>
                <w:sz w:val="14"/>
              </w:rPr>
            </w:pPr>
            <w:r>
              <w:rPr>
                <w:w w:val="95"/>
                <w:sz w:val="14"/>
              </w:rPr>
              <w:t>(1,721,946)</w:t>
            </w:r>
          </w:p>
        </w:tc>
        <w:tc>
          <w:tcPr>
            <w:tcW w:w="954" w:type="dxa"/>
          </w:tcPr>
          <w:p>
            <w:pPr>
              <w:pStyle w:val="TableParagraph"/>
              <w:spacing w:line="154" w:lineRule="exact" w:before="5"/>
              <w:ind w:right="169"/>
              <w:jc w:val="right"/>
              <w:rPr>
                <w:sz w:val="14"/>
              </w:rPr>
            </w:pPr>
            <w:r>
              <w:rPr>
                <w:sz w:val="14"/>
              </w:rPr>
              <w:t>- 5 . 3 %</w:t>
            </w:r>
          </w:p>
        </w:tc>
        <w:tc>
          <w:tcPr>
            <w:tcW w:w="1093" w:type="dxa"/>
          </w:tcPr>
          <w:p>
            <w:pPr>
              <w:pStyle w:val="TableParagraph"/>
              <w:spacing w:line="154" w:lineRule="exact" w:before="5"/>
              <w:ind w:right="153"/>
              <w:jc w:val="right"/>
              <w:rPr>
                <w:sz w:val="14"/>
              </w:rPr>
            </w:pPr>
            <w:r>
              <w:rPr>
                <w:w w:val="95"/>
                <w:sz w:val="14"/>
              </w:rPr>
              <w:t>(1,177,657)</w:t>
            </w:r>
          </w:p>
        </w:tc>
        <w:tc>
          <w:tcPr>
            <w:tcW w:w="894" w:type="dxa"/>
          </w:tcPr>
          <w:p>
            <w:pPr>
              <w:pStyle w:val="TableParagraph"/>
              <w:spacing w:line="154" w:lineRule="exact" w:before="5"/>
              <w:ind w:left="303"/>
              <w:rPr>
                <w:i/>
                <w:sz w:val="14"/>
              </w:rPr>
            </w:pPr>
            <w:r>
              <w:rPr>
                <w:i/>
                <w:sz w:val="14"/>
              </w:rPr>
              <w:t>-3.1%</w:t>
            </w:r>
          </w:p>
        </w:tc>
        <w:tc>
          <w:tcPr>
            <w:tcW w:w="1258" w:type="dxa"/>
          </w:tcPr>
          <w:p>
            <w:pPr>
              <w:pStyle w:val="TableParagraph"/>
              <w:spacing w:line="154" w:lineRule="exact" w:before="5"/>
              <w:ind w:right="280"/>
              <w:jc w:val="right"/>
              <w:rPr>
                <w:b/>
                <w:sz w:val="14"/>
              </w:rPr>
            </w:pPr>
            <w:r>
              <w:rPr>
                <w:b/>
                <w:sz w:val="14"/>
              </w:rPr>
              <w:t>(1,113,544)</w:t>
            </w:r>
          </w:p>
        </w:tc>
        <w:tc>
          <w:tcPr>
            <w:tcW w:w="914" w:type="dxa"/>
          </w:tcPr>
          <w:p>
            <w:pPr>
              <w:pStyle w:val="TableParagraph"/>
              <w:spacing w:line="154" w:lineRule="exact" w:before="5"/>
              <w:ind w:left="359"/>
              <w:rPr>
                <w:i/>
                <w:sz w:val="14"/>
              </w:rPr>
            </w:pPr>
            <w:r>
              <w:rPr>
                <w:i/>
                <w:sz w:val="14"/>
              </w:rPr>
              <w:t>-2.6%</w:t>
            </w:r>
          </w:p>
        </w:tc>
        <w:tc>
          <w:tcPr>
            <w:tcW w:w="1118" w:type="dxa"/>
          </w:tcPr>
          <w:p>
            <w:pPr>
              <w:pStyle w:val="TableParagraph"/>
              <w:spacing w:line="154" w:lineRule="exact" w:before="5"/>
              <w:ind w:right="214"/>
              <w:jc w:val="right"/>
              <w:rPr>
                <w:b/>
                <w:sz w:val="14"/>
              </w:rPr>
            </w:pPr>
            <w:r>
              <w:rPr>
                <w:b/>
                <w:sz w:val="14"/>
              </w:rPr>
              <w:t>(1,403,516)</w:t>
            </w:r>
          </w:p>
        </w:tc>
        <w:tc>
          <w:tcPr>
            <w:tcW w:w="868" w:type="dxa"/>
          </w:tcPr>
          <w:p>
            <w:pPr>
              <w:pStyle w:val="TableParagraph"/>
              <w:spacing w:line="154" w:lineRule="exact" w:before="5"/>
              <w:ind w:right="189"/>
              <w:jc w:val="right"/>
              <w:rPr>
                <w:i/>
                <w:sz w:val="14"/>
              </w:rPr>
            </w:pPr>
            <w:r>
              <w:rPr>
                <w:i/>
                <w:w w:val="95"/>
                <w:sz w:val="14"/>
              </w:rPr>
              <w:t>-2.8%</w:t>
            </w:r>
          </w:p>
        </w:tc>
        <w:tc>
          <w:tcPr>
            <w:tcW w:w="1124" w:type="dxa"/>
          </w:tcPr>
          <w:p>
            <w:pPr>
              <w:pStyle w:val="TableParagraph"/>
              <w:spacing w:line="154" w:lineRule="exact" w:before="5"/>
              <w:ind w:right="224"/>
              <w:jc w:val="right"/>
              <w:rPr>
                <w:b/>
                <w:sz w:val="14"/>
              </w:rPr>
            </w:pPr>
            <w:r>
              <w:rPr>
                <w:b/>
                <w:sz w:val="14"/>
              </w:rPr>
              <w:t>(1,188,834)</w:t>
            </w:r>
          </w:p>
        </w:tc>
        <w:tc>
          <w:tcPr>
            <w:tcW w:w="1023" w:type="dxa"/>
          </w:tcPr>
          <w:p>
            <w:pPr>
              <w:pStyle w:val="TableParagraph"/>
              <w:spacing w:line="154" w:lineRule="exact" w:before="5"/>
              <w:ind w:right="354"/>
              <w:jc w:val="right"/>
              <w:rPr>
                <w:i/>
                <w:sz w:val="14"/>
              </w:rPr>
            </w:pPr>
            <w:r>
              <w:rPr>
                <w:i/>
                <w:w w:val="95"/>
                <w:sz w:val="14"/>
              </w:rPr>
              <w:t>-2.1%</w:t>
            </w:r>
          </w:p>
        </w:tc>
      </w:tr>
      <w:tr>
        <w:trPr>
          <w:trHeight w:val="180" w:hRule="atLeast"/>
        </w:trPr>
        <w:tc>
          <w:tcPr>
            <w:tcW w:w="3794" w:type="dxa"/>
          </w:tcPr>
          <w:p>
            <w:pPr>
              <w:pStyle w:val="TableParagraph"/>
              <w:spacing w:line="152" w:lineRule="exact" w:before="8"/>
              <w:ind w:left="1243"/>
              <w:rPr>
                <w:sz w:val="14"/>
              </w:rPr>
            </w:pPr>
            <w:r>
              <w:rPr>
                <w:sz w:val="14"/>
              </w:rPr>
              <w:t>excluding grants</w:t>
            </w:r>
          </w:p>
        </w:tc>
        <w:tc>
          <w:tcPr>
            <w:tcW w:w="1756" w:type="dxa"/>
          </w:tcPr>
          <w:p>
            <w:pPr>
              <w:pStyle w:val="TableParagraph"/>
              <w:spacing w:line="152" w:lineRule="exact" w:before="8"/>
              <w:ind w:right="203"/>
              <w:jc w:val="right"/>
              <w:rPr>
                <w:sz w:val="14"/>
              </w:rPr>
            </w:pPr>
            <w:r>
              <w:rPr>
                <w:w w:val="95"/>
                <w:sz w:val="14"/>
              </w:rPr>
              <w:t>(2,402,239)</w:t>
            </w:r>
          </w:p>
        </w:tc>
        <w:tc>
          <w:tcPr>
            <w:tcW w:w="954" w:type="dxa"/>
          </w:tcPr>
          <w:p>
            <w:pPr>
              <w:pStyle w:val="TableParagraph"/>
              <w:spacing w:line="152" w:lineRule="exact" w:before="8"/>
              <w:ind w:right="169"/>
              <w:jc w:val="right"/>
              <w:rPr>
                <w:sz w:val="14"/>
              </w:rPr>
            </w:pPr>
            <w:r>
              <w:rPr>
                <w:sz w:val="14"/>
              </w:rPr>
              <w:t>- 7 . 4 %</w:t>
            </w:r>
          </w:p>
        </w:tc>
        <w:tc>
          <w:tcPr>
            <w:tcW w:w="1093" w:type="dxa"/>
          </w:tcPr>
          <w:p>
            <w:pPr>
              <w:pStyle w:val="TableParagraph"/>
              <w:spacing w:line="152" w:lineRule="exact" w:before="8"/>
              <w:ind w:right="153"/>
              <w:jc w:val="right"/>
              <w:rPr>
                <w:sz w:val="14"/>
              </w:rPr>
            </w:pPr>
            <w:r>
              <w:rPr>
                <w:w w:val="95"/>
                <w:sz w:val="14"/>
              </w:rPr>
              <w:t>(2,457,295)</w:t>
            </w:r>
          </w:p>
        </w:tc>
        <w:tc>
          <w:tcPr>
            <w:tcW w:w="894" w:type="dxa"/>
          </w:tcPr>
          <w:p>
            <w:pPr>
              <w:pStyle w:val="TableParagraph"/>
              <w:spacing w:line="152" w:lineRule="exact" w:before="8"/>
              <w:ind w:left="303"/>
              <w:rPr>
                <w:i/>
                <w:sz w:val="14"/>
              </w:rPr>
            </w:pPr>
            <w:r>
              <w:rPr>
                <w:i/>
                <w:sz w:val="14"/>
              </w:rPr>
              <w:t>-6.5%</w:t>
            </w:r>
          </w:p>
        </w:tc>
        <w:tc>
          <w:tcPr>
            <w:tcW w:w="1258" w:type="dxa"/>
          </w:tcPr>
          <w:p>
            <w:pPr>
              <w:pStyle w:val="TableParagraph"/>
              <w:spacing w:line="152" w:lineRule="exact" w:before="8"/>
              <w:ind w:right="280"/>
              <w:jc w:val="right"/>
              <w:rPr>
                <w:b/>
                <w:sz w:val="14"/>
              </w:rPr>
            </w:pPr>
            <w:r>
              <w:rPr>
                <w:b/>
                <w:sz w:val="14"/>
              </w:rPr>
              <w:t>(2,878,704)</w:t>
            </w:r>
          </w:p>
        </w:tc>
        <w:tc>
          <w:tcPr>
            <w:tcW w:w="914" w:type="dxa"/>
          </w:tcPr>
          <w:p>
            <w:pPr>
              <w:pStyle w:val="TableParagraph"/>
              <w:spacing w:line="152" w:lineRule="exact" w:before="8"/>
              <w:ind w:left="359"/>
              <w:rPr>
                <w:i/>
                <w:sz w:val="14"/>
              </w:rPr>
            </w:pPr>
            <w:r>
              <w:rPr>
                <w:i/>
                <w:sz w:val="14"/>
              </w:rPr>
              <w:t>-6.6%</w:t>
            </w:r>
          </w:p>
        </w:tc>
        <w:tc>
          <w:tcPr>
            <w:tcW w:w="1118" w:type="dxa"/>
          </w:tcPr>
          <w:p>
            <w:pPr>
              <w:pStyle w:val="TableParagraph"/>
              <w:spacing w:line="152" w:lineRule="exact" w:before="8"/>
              <w:ind w:right="214"/>
              <w:jc w:val="right"/>
              <w:rPr>
                <w:b/>
                <w:sz w:val="14"/>
              </w:rPr>
            </w:pPr>
            <w:r>
              <w:rPr>
                <w:b/>
                <w:sz w:val="14"/>
              </w:rPr>
              <w:t>(2,598,831)</w:t>
            </w:r>
          </w:p>
        </w:tc>
        <w:tc>
          <w:tcPr>
            <w:tcW w:w="868" w:type="dxa"/>
          </w:tcPr>
          <w:p>
            <w:pPr>
              <w:pStyle w:val="TableParagraph"/>
              <w:spacing w:line="152" w:lineRule="exact" w:before="8"/>
              <w:ind w:right="189"/>
              <w:jc w:val="right"/>
              <w:rPr>
                <w:i/>
                <w:sz w:val="14"/>
              </w:rPr>
            </w:pPr>
            <w:r>
              <w:rPr>
                <w:i/>
                <w:w w:val="95"/>
                <w:sz w:val="14"/>
              </w:rPr>
              <w:t>-5.1%</w:t>
            </w:r>
          </w:p>
        </w:tc>
        <w:tc>
          <w:tcPr>
            <w:tcW w:w="1124" w:type="dxa"/>
          </w:tcPr>
          <w:p>
            <w:pPr>
              <w:pStyle w:val="TableParagraph"/>
              <w:spacing w:line="152" w:lineRule="exact" w:before="8"/>
              <w:ind w:right="224"/>
              <w:jc w:val="right"/>
              <w:rPr>
                <w:b/>
                <w:sz w:val="14"/>
              </w:rPr>
            </w:pPr>
            <w:r>
              <w:rPr>
                <w:b/>
                <w:sz w:val="14"/>
              </w:rPr>
              <w:t>(2,489,934)</w:t>
            </w:r>
          </w:p>
        </w:tc>
        <w:tc>
          <w:tcPr>
            <w:tcW w:w="1023" w:type="dxa"/>
          </w:tcPr>
          <w:p>
            <w:pPr>
              <w:pStyle w:val="TableParagraph"/>
              <w:spacing w:line="152" w:lineRule="exact" w:before="8"/>
              <w:ind w:right="354"/>
              <w:jc w:val="right"/>
              <w:rPr>
                <w:i/>
                <w:sz w:val="14"/>
              </w:rPr>
            </w:pPr>
            <w:r>
              <w:rPr>
                <w:i/>
                <w:w w:val="95"/>
                <w:sz w:val="14"/>
              </w:rPr>
              <w:t>-4.3%</w:t>
            </w:r>
          </w:p>
        </w:tc>
      </w:tr>
      <w:tr>
        <w:trPr>
          <w:trHeight w:val="268" w:hRule="atLeast"/>
        </w:trPr>
        <w:tc>
          <w:tcPr>
            <w:tcW w:w="3794" w:type="dxa"/>
          </w:tcPr>
          <w:p>
            <w:pPr>
              <w:pStyle w:val="TableParagraph"/>
              <w:spacing w:before="5"/>
              <w:ind w:left="1243"/>
              <w:rPr>
                <w:b/>
                <w:sz w:val="14"/>
              </w:rPr>
            </w:pPr>
            <w:r>
              <w:rPr>
                <w:b/>
                <w:sz w:val="14"/>
              </w:rPr>
              <w:t>domestic primary balance</w:t>
            </w:r>
          </w:p>
        </w:tc>
        <w:tc>
          <w:tcPr>
            <w:tcW w:w="1756" w:type="dxa"/>
          </w:tcPr>
          <w:p>
            <w:pPr>
              <w:pStyle w:val="TableParagraph"/>
              <w:spacing w:before="5"/>
              <w:ind w:right="204"/>
              <w:jc w:val="right"/>
              <w:rPr>
                <w:b/>
                <w:sz w:val="14"/>
              </w:rPr>
            </w:pPr>
            <w:r>
              <w:rPr>
                <w:b/>
                <w:sz w:val="14"/>
              </w:rPr>
              <w:t>(176,207)</w:t>
            </w:r>
          </w:p>
        </w:tc>
        <w:tc>
          <w:tcPr>
            <w:tcW w:w="954" w:type="dxa"/>
          </w:tcPr>
          <w:p>
            <w:pPr>
              <w:pStyle w:val="TableParagraph"/>
              <w:spacing w:before="5"/>
              <w:ind w:right="183"/>
              <w:jc w:val="right"/>
              <w:rPr>
                <w:b/>
                <w:sz w:val="14"/>
              </w:rPr>
            </w:pPr>
            <w:r>
              <w:rPr>
                <w:b/>
                <w:w w:val="95"/>
                <w:sz w:val="14"/>
              </w:rPr>
              <w:t>-0.5%</w:t>
            </w:r>
          </w:p>
        </w:tc>
        <w:tc>
          <w:tcPr>
            <w:tcW w:w="1093" w:type="dxa"/>
          </w:tcPr>
          <w:p>
            <w:pPr>
              <w:pStyle w:val="TableParagraph"/>
              <w:spacing w:before="5"/>
              <w:ind w:right="159"/>
              <w:jc w:val="right"/>
              <w:rPr>
                <w:b/>
                <w:sz w:val="14"/>
              </w:rPr>
            </w:pPr>
            <w:r>
              <w:rPr>
                <w:b/>
                <w:w w:val="95"/>
                <w:sz w:val="14"/>
              </w:rPr>
              <w:t>(238,392)</w:t>
            </w:r>
          </w:p>
        </w:tc>
        <w:tc>
          <w:tcPr>
            <w:tcW w:w="894" w:type="dxa"/>
          </w:tcPr>
          <w:p>
            <w:pPr>
              <w:pStyle w:val="TableParagraph"/>
              <w:spacing w:before="5"/>
              <w:ind w:left="303"/>
              <w:rPr>
                <w:i/>
                <w:sz w:val="14"/>
              </w:rPr>
            </w:pPr>
            <w:r>
              <w:rPr>
                <w:i/>
                <w:sz w:val="14"/>
              </w:rPr>
              <w:t>-0.6%</w:t>
            </w:r>
          </w:p>
        </w:tc>
        <w:tc>
          <w:tcPr>
            <w:tcW w:w="1258" w:type="dxa"/>
          </w:tcPr>
          <w:p>
            <w:pPr>
              <w:pStyle w:val="TableParagraph"/>
              <w:spacing w:before="5"/>
              <w:ind w:right="273"/>
              <w:jc w:val="right"/>
              <w:rPr>
                <w:b/>
                <w:sz w:val="14"/>
              </w:rPr>
            </w:pPr>
            <w:r>
              <w:rPr>
                <w:b/>
                <w:w w:val="95"/>
                <w:sz w:val="14"/>
              </w:rPr>
              <w:t>156,199</w:t>
            </w:r>
          </w:p>
        </w:tc>
        <w:tc>
          <w:tcPr>
            <w:tcW w:w="914" w:type="dxa"/>
          </w:tcPr>
          <w:p>
            <w:pPr>
              <w:pStyle w:val="TableParagraph"/>
              <w:spacing w:before="5"/>
              <w:ind w:left="408"/>
              <w:rPr>
                <w:i/>
                <w:sz w:val="14"/>
              </w:rPr>
            </w:pPr>
            <w:r>
              <w:rPr>
                <w:i/>
                <w:sz w:val="14"/>
              </w:rPr>
              <w:t>0.4%</w:t>
            </w:r>
          </w:p>
        </w:tc>
        <w:tc>
          <w:tcPr>
            <w:tcW w:w="1118" w:type="dxa"/>
          </w:tcPr>
          <w:p>
            <w:pPr>
              <w:pStyle w:val="TableParagraph"/>
              <w:spacing w:before="5"/>
              <w:ind w:right="207"/>
              <w:jc w:val="right"/>
              <w:rPr>
                <w:b/>
                <w:sz w:val="14"/>
              </w:rPr>
            </w:pPr>
            <w:r>
              <w:rPr>
                <w:b/>
                <w:w w:val="95"/>
                <w:sz w:val="14"/>
              </w:rPr>
              <w:t>469,064</w:t>
            </w:r>
          </w:p>
        </w:tc>
        <w:tc>
          <w:tcPr>
            <w:tcW w:w="868" w:type="dxa"/>
          </w:tcPr>
          <w:p>
            <w:pPr>
              <w:pStyle w:val="TableParagraph"/>
              <w:spacing w:before="5"/>
              <w:ind w:right="189"/>
              <w:jc w:val="right"/>
              <w:rPr>
                <w:i/>
                <w:sz w:val="14"/>
              </w:rPr>
            </w:pPr>
            <w:r>
              <w:rPr>
                <w:i/>
                <w:w w:val="95"/>
                <w:sz w:val="14"/>
              </w:rPr>
              <w:t>0.9%</w:t>
            </w:r>
          </w:p>
        </w:tc>
        <w:tc>
          <w:tcPr>
            <w:tcW w:w="1124" w:type="dxa"/>
          </w:tcPr>
          <w:p>
            <w:pPr>
              <w:pStyle w:val="TableParagraph"/>
              <w:spacing w:before="5"/>
              <w:ind w:right="217"/>
              <w:jc w:val="right"/>
              <w:rPr>
                <w:b/>
                <w:sz w:val="14"/>
              </w:rPr>
            </w:pPr>
            <w:r>
              <w:rPr>
                <w:b/>
                <w:w w:val="95"/>
                <w:sz w:val="14"/>
              </w:rPr>
              <w:t>820,066</w:t>
            </w:r>
          </w:p>
        </w:tc>
        <w:tc>
          <w:tcPr>
            <w:tcW w:w="1023" w:type="dxa"/>
          </w:tcPr>
          <w:p>
            <w:pPr>
              <w:pStyle w:val="TableParagraph"/>
              <w:spacing w:before="5"/>
              <w:ind w:right="349"/>
              <w:jc w:val="right"/>
              <w:rPr>
                <w:i/>
                <w:sz w:val="14"/>
              </w:rPr>
            </w:pPr>
            <w:r>
              <w:rPr>
                <w:i/>
                <w:w w:val="95"/>
                <w:sz w:val="14"/>
              </w:rPr>
              <w:t>1.4%</w:t>
            </w:r>
          </w:p>
        </w:tc>
      </w:tr>
      <w:tr>
        <w:trPr>
          <w:trHeight w:val="271" w:hRule="atLeast"/>
        </w:trPr>
        <w:tc>
          <w:tcPr>
            <w:tcW w:w="3794" w:type="dxa"/>
          </w:tcPr>
          <w:p>
            <w:pPr>
              <w:pStyle w:val="TableParagraph"/>
              <w:spacing w:line="154" w:lineRule="exact" w:before="97"/>
              <w:ind w:left="167"/>
              <w:rPr>
                <w:b/>
                <w:sz w:val="14"/>
              </w:rPr>
            </w:pPr>
            <w:r>
              <w:rPr>
                <w:b/>
                <w:sz w:val="14"/>
              </w:rPr>
              <w:t>Contingency Expenditure:</w:t>
            </w:r>
          </w:p>
        </w:tc>
        <w:tc>
          <w:tcPr>
            <w:tcW w:w="1756" w:type="dxa"/>
          </w:tcPr>
          <w:p>
            <w:pPr>
              <w:pStyle w:val="TableParagraph"/>
              <w:spacing w:line="154" w:lineRule="exact" w:before="97"/>
              <w:ind w:right="207"/>
              <w:jc w:val="right"/>
              <w:rPr>
                <w:b/>
                <w:i/>
                <w:sz w:val="14"/>
              </w:rPr>
            </w:pPr>
            <w:r>
              <w:rPr>
                <w:b/>
                <w:i/>
                <w:w w:val="95"/>
                <w:sz w:val="14"/>
              </w:rPr>
              <w:t>(89 ,264)</w:t>
            </w:r>
          </w:p>
        </w:tc>
        <w:tc>
          <w:tcPr>
            <w:tcW w:w="954" w:type="dxa"/>
          </w:tcPr>
          <w:p>
            <w:pPr>
              <w:pStyle w:val="TableParagraph"/>
              <w:spacing w:line="154" w:lineRule="exact" w:before="97"/>
              <w:ind w:right="183"/>
              <w:jc w:val="right"/>
              <w:rPr>
                <w:b/>
                <w:sz w:val="14"/>
              </w:rPr>
            </w:pPr>
            <w:r>
              <w:rPr>
                <w:b/>
                <w:w w:val="95"/>
                <w:sz w:val="14"/>
              </w:rPr>
              <w:t>-0.3%</w:t>
            </w:r>
          </w:p>
        </w:tc>
        <w:tc>
          <w:tcPr>
            <w:tcW w:w="1093" w:type="dxa"/>
          </w:tcPr>
          <w:p>
            <w:pPr>
              <w:pStyle w:val="TableParagraph"/>
              <w:spacing w:line="154" w:lineRule="exact" w:before="97"/>
              <w:ind w:right="151"/>
              <w:jc w:val="right"/>
              <w:rPr>
                <w:b/>
                <w:sz w:val="14"/>
              </w:rPr>
            </w:pPr>
            <w:r>
              <w:rPr>
                <w:b/>
                <w:w w:val="95"/>
                <w:sz w:val="14"/>
              </w:rPr>
              <w:t>(51,169)</w:t>
            </w:r>
          </w:p>
        </w:tc>
        <w:tc>
          <w:tcPr>
            <w:tcW w:w="894" w:type="dxa"/>
          </w:tcPr>
          <w:p>
            <w:pPr>
              <w:pStyle w:val="TableParagraph"/>
              <w:spacing w:line="154" w:lineRule="exact" w:before="97"/>
              <w:ind w:left="303"/>
              <w:rPr>
                <w:i/>
                <w:sz w:val="14"/>
              </w:rPr>
            </w:pPr>
            <w:r>
              <w:rPr>
                <w:i/>
                <w:sz w:val="14"/>
              </w:rPr>
              <w:t>-0.1%</w:t>
            </w:r>
          </w:p>
        </w:tc>
        <w:tc>
          <w:tcPr>
            <w:tcW w:w="1258" w:type="dxa"/>
          </w:tcPr>
          <w:p>
            <w:pPr>
              <w:pStyle w:val="TableParagraph"/>
              <w:spacing w:line="154" w:lineRule="exact" w:before="97"/>
              <w:ind w:right="249"/>
              <w:jc w:val="right"/>
              <w:rPr>
                <w:b/>
                <w:sz w:val="14"/>
              </w:rPr>
            </w:pPr>
            <w:r>
              <w:rPr>
                <w:b/>
                <w:w w:val="95"/>
                <w:sz w:val="14"/>
              </w:rPr>
              <w:t>(3,760)</w:t>
            </w:r>
          </w:p>
        </w:tc>
        <w:tc>
          <w:tcPr>
            <w:tcW w:w="914" w:type="dxa"/>
          </w:tcPr>
          <w:p>
            <w:pPr>
              <w:pStyle w:val="TableParagraph"/>
              <w:spacing w:line="154" w:lineRule="exact" w:before="97"/>
              <w:ind w:left="408"/>
              <w:rPr>
                <w:i/>
                <w:sz w:val="14"/>
              </w:rPr>
            </w:pPr>
            <w:r>
              <w:rPr>
                <w:i/>
                <w:sz w:val="14"/>
              </w:rPr>
              <w:t>0.0%</w:t>
            </w:r>
          </w:p>
        </w:tc>
        <w:tc>
          <w:tcPr>
            <w:tcW w:w="1118" w:type="dxa"/>
          </w:tcPr>
          <w:p>
            <w:pPr>
              <w:pStyle w:val="TableParagraph"/>
              <w:spacing w:line="154" w:lineRule="exact" w:before="97"/>
              <w:ind w:right="193"/>
              <w:jc w:val="right"/>
              <w:rPr>
                <w:b/>
                <w:sz w:val="14"/>
              </w:rPr>
            </w:pPr>
            <w:r>
              <w:rPr>
                <w:b/>
                <w:w w:val="95"/>
                <w:sz w:val="14"/>
              </w:rPr>
              <w:t>(90,012)</w:t>
            </w:r>
          </w:p>
        </w:tc>
        <w:tc>
          <w:tcPr>
            <w:tcW w:w="868" w:type="dxa"/>
          </w:tcPr>
          <w:p>
            <w:pPr>
              <w:pStyle w:val="TableParagraph"/>
              <w:spacing w:line="154" w:lineRule="exact" w:before="97"/>
              <w:ind w:right="189"/>
              <w:jc w:val="right"/>
              <w:rPr>
                <w:i/>
                <w:sz w:val="14"/>
              </w:rPr>
            </w:pPr>
            <w:r>
              <w:rPr>
                <w:i/>
                <w:w w:val="95"/>
                <w:sz w:val="14"/>
              </w:rPr>
              <w:t>-0.2%</w:t>
            </w:r>
          </w:p>
        </w:tc>
        <w:tc>
          <w:tcPr>
            <w:tcW w:w="1124" w:type="dxa"/>
          </w:tcPr>
          <w:p>
            <w:pPr>
              <w:pStyle w:val="TableParagraph"/>
              <w:spacing w:line="154" w:lineRule="exact" w:before="97"/>
              <w:ind w:right="202"/>
              <w:jc w:val="right"/>
              <w:rPr>
                <w:b/>
                <w:sz w:val="14"/>
              </w:rPr>
            </w:pPr>
            <w:r>
              <w:rPr>
                <w:b/>
                <w:w w:val="95"/>
                <w:sz w:val="14"/>
              </w:rPr>
              <w:t>(90,000)</w:t>
            </w:r>
          </w:p>
        </w:tc>
        <w:tc>
          <w:tcPr>
            <w:tcW w:w="1023" w:type="dxa"/>
          </w:tcPr>
          <w:p>
            <w:pPr>
              <w:pStyle w:val="TableParagraph"/>
              <w:spacing w:line="154" w:lineRule="exact" w:before="97"/>
              <w:ind w:right="354"/>
              <w:jc w:val="right"/>
              <w:rPr>
                <w:i/>
                <w:sz w:val="14"/>
              </w:rPr>
            </w:pPr>
            <w:r>
              <w:rPr>
                <w:i/>
                <w:w w:val="95"/>
                <w:sz w:val="14"/>
              </w:rPr>
              <w:t>-0.2%</w:t>
            </w:r>
          </w:p>
        </w:tc>
      </w:tr>
      <w:tr>
        <w:trPr>
          <w:trHeight w:val="180" w:hRule="atLeast"/>
        </w:trPr>
        <w:tc>
          <w:tcPr>
            <w:tcW w:w="3794" w:type="dxa"/>
          </w:tcPr>
          <w:p>
            <w:pPr>
              <w:pStyle w:val="TableParagraph"/>
              <w:spacing w:line="152" w:lineRule="exact" w:before="8"/>
              <w:ind w:left="336"/>
              <w:rPr>
                <w:sz w:val="14"/>
              </w:rPr>
            </w:pPr>
            <w:r>
              <w:rPr>
                <w:sz w:val="14"/>
              </w:rPr>
              <w:t>Contingency Fund</w:t>
            </w:r>
          </w:p>
        </w:tc>
        <w:tc>
          <w:tcPr>
            <w:tcW w:w="1756" w:type="dxa"/>
          </w:tcPr>
          <w:p>
            <w:pPr>
              <w:pStyle w:val="TableParagraph"/>
              <w:spacing w:line="152" w:lineRule="exact" w:before="8"/>
              <w:ind w:right="184"/>
              <w:jc w:val="right"/>
              <w:rPr>
                <w:i/>
                <w:sz w:val="14"/>
              </w:rPr>
            </w:pPr>
            <w:r>
              <w:rPr>
                <w:i/>
                <w:w w:val="95"/>
                <w:sz w:val="14"/>
              </w:rPr>
              <w:t>(10,317)</w:t>
            </w:r>
          </w:p>
        </w:tc>
        <w:tc>
          <w:tcPr>
            <w:tcW w:w="954" w:type="dxa"/>
          </w:tcPr>
          <w:p>
            <w:pPr>
              <w:pStyle w:val="TableParagraph"/>
              <w:spacing w:line="152" w:lineRule="exact" w:before="8"/>
              <w:ind w:right="169"/>
              <w:jc w:val="right"/>
              <w:rPr>
                <w:sz w:val="14"/>
              </w:rPr>
            </w:pPr>
            <w:r>
              <w:rPr>
                <w:sz w:val="14"/>
              </w:rPr>
              <w:t>0 . 0 %</w:t>
            </w:r>
          </w:p>
        </w:tc>
        <w:tc>
          <w:tcPr>
            <w:tcW w:w="1093" w:type="dxa"/>
          </w:tcPr>
          <w:p>
            <w:pPr>
              <w:pStyle w:val="TableParagraph"/>
              <w:spacing w:line="152" w:lineRule="exact" w:before="8"/>
              <w:ind w:right="124"/>
              <w:jc w:val="right"/>
              <w:rPr>
                <w:i/>
                <w:sz w:val="14"/>
              </w:rPr>
            </w:pPr>
            <w:r>
              <w:rPr>
                <w:i/>
                <w:w w:val="99"/>
                <w:sz w:val="14"/>
              </w:rPr>
              <w:t>0</w:t>
            </w:r>
          </w:p>
        </w:tc>
        <w:tc>
          <w:tcPr>
            <w:tcW w:w="894" w:type="dxa"/>
          </w:tcPr>
          <w:p>
            <w:pPr>
              <w:pStyle w:val="TableParagraph"/>
              <w:spacing w:line="152" w:lineRule="exact" w:before="8"/>
              <w:ind w:right="226"/>
              <w:jc w:val="right"/>
              <w:rPr>
                <w:i/>
                <w:sz w:val="14"/>
              </w:rPr>
            </w:pPr>
            <w:r>
              <w:rPr>
                <w:i/>
                <w:w w:val="95"/>
                <w:sz w:val="14"/>
              </w:rPr>
              <w:t>0.0%</w:t>
            </w:r>
          </w:p>
        </w:tc>
        <w:tc>
          <w:tcPr>
            <w:tcW w:w="1258" w:type="dxa"/>
          </w:tcPr>
          <w:p>
            <w:pPr>
              <w:pStyle w:val="TableParagraph"/>
              <w:spacing w:line="152" w:lineRule="exact" w:before="8"/>
              <w:ind w:right="249"/>
              <w:jc w:val="right"/>
              <w:rPr>
                <w:b/>
                <w:sz w:val="14"/>
              </w:rPr>
            </w:pPr>
            <w:r>
              <w:rPr>
                <w:b/>
                <w:w w:val="95"/>
                <w:sz w:val="14"/>
              </w:rPr>
              <w:t>(1,880)</w:t>
            </w:r>
          </w:p>
        </w:tc>
        <w:tc>
          <w:tcPr>
            <w:tcW w:w="914" w:type="dxa"/>
          </w:tcPr>
          <w:p>
            <w:pPr>
              <w:pStyle w:val="TableParagraph"/>
              <w:spacing w:line="152" w:lineRule="exact" w:before="8"/>
              <w:ind w:left="408"/>
              <w:rPr>
                <w:i/>
                <w:sz w:val="14"/>
              </w:rPr>
            </w:pPr>
            <w:r>
              <w:rPr>
                <w:i/>
                <w:sz w:val="14"/>
              </w:rPr>
              <w:t>0.0%</w:t>
            </w:r>
          </w:p>
        </w:tc>
        <w:tc>
          <w:tcPr>
            <w:tcW w:w="1118" w:type="dxa"/>
          </w:tcPr>
          <w:p>
            <w:pPr>
              <w:pStyle w:val="TableParagraph"/>
              <w:spacing w:line="152" w:lineRule="exact" w:before="8"/>
              <w:ind w:right="193"/>
              <w:jc w:val="right"/>
              <w:rPr>
                <w:b/>
                <w:sz w:val="14"/>
              </w:rPr>
            </w:pPr>
            <w:r>
              <w:rPr>
                <w:b/>
                <w:w w:val="95"/>
                <w:sz w:val="14"/>
              </w:rPr>
              <w:t>(50,000)</w:t>
            </w:r>
          </w:p>
        </w:tc>
        <w:tc>
          <w:tcPr>
            <w:tcW w:w="868" w:type="dxa"/>
          </w:tcPr>
          <w:p>
            <w:pPr>
              <w:pStyle w:val="TableParagraph"/>
              <w:spacing w:line="152" w:lineRule="exact" w:before="8"/>
              <w:ind w:right="189"/>
              <w:jc w:val="right"/>
              <w:rPr>
                <w:i/>
                <w:sz w:val="14"/>
              </w:rPr>
            </w:pPr>
            <w:r>
              <w:rPr>
                <w:i/>
                <w:w w:val="95"/>
                <w:sz w:val="14"/>
              </w:rPr>
              <w:t>-0.1%</w:t>
            </w:r>
          </w:p>
        </w:tc>
        <w:tc>
          <w:tcPr>
            <w:tcW w:w="1124" w:type="dxa"/>
          </w:tcPr>
          <w:p>
            <w:pPr>
              <w:pStyle w:val="TableParagraph"/>
              <w:spacing w:line="152" w:lineRule="exact" w:before="8"/>
              <w:ind w:right="202"/>
              <w:jc w:val="right"/>
              <w:rPr>
                <w:b/>
                <w:sz w:val="14"/>
              </w:rPr>
            </w:pPr>
            <w:r>
              <w:rPr>
                <w:b/>
                <w:w w:val="95"/>
                <w:sz w:val="14"/>
              </w:rPr>
              <w:t>(45,000)</w:t>
            </w:r>
          </w:p>
        </w:tc>
        <w:tc>
          <w:tcPr>
            <w:tcW w:w="1023" w:type="dxa"/>
          </w:tcPr>
          <w:p>
            <w:pPr>
              <w:pStyle w:val="TableParagraph"/>
              <w:spacing w:line="152" w:lineRule="exact" w:before="8"/>
              <w:ind w:right="354"/>
              <w:jc w:val="right"/>
              <w:rPr>
                <w:i/>
                <w:sz w:val="14"/>
              </w:rPr>
            </w:pPr>
            <w:r>
              <w:rPr>
                <w:i/>
                <w:w w:val="95"/>
                <w:sz w:val="14"/>
              </w:rPr>
              <w:t>-0.1%</w:t>
            </w:r>
          </w:p>
        </w:tc>
      </w:tr>
      <w:tr>
        <w:trPr>
          <w:trHeight w:val="180" w:hRule="atLeast"/>
        </w:trPr>
        <w:tc>
          <w:tcPr>
            <w:tcW w:w="3794" w:type="dxa"/>
          </w:tcPr>
          <w:p>
            <w:pPr>
              <w:pStyle w:val="TableParagraph"/>
              <w:spacing w:line="154" w:lineRule="exact" w:before="5"/>
              <w:ind w:left="336"/>
              <w:rPr>
                <w:sz w:val="14"/>
              </w:rPr>
            </w:pPr>
            <w:r>
              <w:rPr>
                <w:sz w:val="14"/>
              </w:rPr>
              <w:t>Special Presidential Warrants</w:t>
            </w:r>
          </w:p>
        </w:tc>
        <w:tc>
          <w:tcPr>
            <w:tcW w:w="1756" w:type="dxa"/>
          </w:tcPr>
          <w:p>
            <w:pPr>
              <w:pStyle w:val="TableParagraph"/>
              <w:spacing w:line="154" w:lineRule="exact" w:before="5"/>
              <w:ind w:right="183"/>
              <w:jc w:val="right"/>
              <w:rPr>
                <w:i/>
                <w:sz w:val="14"/>
              </w:rPr>
            </w:pPr>
            <w:r>
              <w:rPr>
                <w:i/>
                <w:w w:val="95"/>
                <w:sz w:val="14"/>
              </w:rPr>
              <w:t>(7,345)</w:t>
            </w:r>
          </w:p>
        </w:tc>
        <w:tc>
          <w:tcPr>
            <w:tcW w:w="954" w:type="dxa"/>
          </w:tcPr>
          <w:p>
            <w:pPr>
              <w:pStyle w:val="TableParagraph"/>
              <w:spacing w:line="154" w:lineRule="exact" w:before="5"/>
              <w:ind w:right="169"/>
              <w:jc w:val="right"/>
              <w:rPr>
                <w:sz w:val="14"/>
              </w:rPr>
            </w:pPr>
            <w:r>
              <w:rPr>
                <w:sz w:val="14"/>
              </w:rPr>
              <w:t>0 . 0 %</w:t>
            </w:r>
          </w:p>
        </w:tc>
        <w:tc>
          <w:tcPr>
            <w:tcW w:w="1093" w:type="dxa"/>
          </w:tcPr>
          <w:p>
            <w:pPr>
              <w:pStyle w:val="TableParagraph"/>
              <w:spacing w:line="154" w:lineRule="exact" w:before="5"/>
              <w:ind w:right="121"/>
              <w:jc w:val="right"/>
              <w:rPr>
                <w:sz w:val="14"/>
              </w:rPr>
            </w:pPr>
            <w:r>
              <w:rPr>
                <w:w w:val="95"/>
                <w:sz w:val="14"/>
              </w:rPr>
              <w:t>(351)</w:t>
            </w:r>
          </w:p>
        </w:tc>
        <w:tc>
          <w:tcPr>
            <w:tcW w:w="894" w:type="dxa"/>
          </w:tcPr>
          <w:p>
            <w:pPr>
              <w:pStyle w:val="TableParagraph"/>
              <w:spacing w:line="154" w:lineRule="exact" w:before="5"/>
              <w:ind w:right="226"/>
              <w:jc w:val="right"/>
              <w:rPr>
                <w:i/>
                <w:sz w:val="14"/>
              </w:rPr>
            </w:pPr>
            <w:r>
              <w:rPr>
                <w:i/>
                <w:w w:val="95"/>
                <w:sz w:val="14"/>
              </w:rPr>
              <w:t>0.0%</w:t>
            </w:r>
          </w:p>
        </w:tc>
        <w:tc>
          <w:tcPr>
            <w:tcW w:w="1258" w:type="dxa"/>
          </w:tcPr>
          <w:p>
            <w:pPr>
              <w:pStyle w:val="TableParagraph"/>
              <w:spacing w:line="154" w:lineRule="exact" w:before="5"/>
              <w:ind w:right="236"/>
              <w:jc w:val="right"/>
              <w:rPr>
                <w:b/>
                <w:sz w:val="14"/>
              </w:rPr>
            </w:pPr>
            <w:r>
              <w:rPr>
                <w:b/>
                <w:w w:val="95"/>
                <w:sz w:val="14"/>
              </w:rPr>
              <w:t>(940)</w:t>
            </w:r>
          </w:p>
        </w:tc>
        <w:tc>
          <w:tcPr>
            <w:tcW w:w="914" w:type="dxa"/>
          </w:tcPr>
          <w:p>
            <w:pPr>
              <w:pStyle w:val="TableParagraph"/>
              <w:spacing w:line="154" w:lineRule="exact" w:before="5"/>
              <w:ind w:left="408"/>
              <w:rPr>
                <w:i/>
                <w:sz w:val="14"/>
              </w:rPr>
            </w:pPr>
            <w:r>
              <w:rPr>
                <w:i/>
                <w:sz w:val="14"/>
              </w:rPr>
              <w:t>0.0%</w:t>
            </w:r>
          </w:p>
        </w:tc>
        <w:tc>
          <w:tcPr>
            <w:tcW w:w="1118" w:type="dxa"/>
          </w:tcPr>
          <w:p>
            <w:pPr>
              <w:pStyle w:val="TableParagraph"/>
              <w:spacing w:line="154" w:lineRule="exact" w:before="5"/>
              <w:ind w:right="193"/>
              <w:jc w:val="right"/>
              <w:rPr>
                <w:b/>
                <w:sz w:val="14"/>
              </w:rPr>
            </w:pPr>
            <w:r>
              <w:rPr>
                <w:b/>
                <w:w w:val="95"/>
                <w:sz w:val="14"/>
              </w:rPr>
              <w:t>(17,512)</w:t>
            </w:r>
          </w:p>
        </w:tc>
        <w:tc>
          <w:tcPr>
            <w:tcW w:w="868" w:type="dxa"/>
          </w:tcPr>
          <w:p>
            <w:pPr>
              <w:pStyle w:val="TableParagraph"/>
              <w:spacing w:line="154" w:lineRule="exact" w:before="5"/>
              <w:ind w:right="189"/>
              <w:jc w:val="right"/>
              <w:rPr>
                <w:i/>
                <w:sz w:val="14"/>
              </w:rPr>
            </w:pPr>
            <w:r>
              <w:rPr>
                <w:i/>
                <w:w w:val="95"/>
                <w:sz w:val="14"/>
              </w:rPr>
              <w:t>0.0%</w:t>
            </w:r>
          </w:p>
        </w:tc>
        <w:tc>
          <w:tcPr>
            <w:tcW w:w="1124" w:type="dxa"/>
          </w:tcPr>
          <w:p>
            <w:pPr>
              <w:pStyle w:val="TableParagraph"/>
              <w:spacing w:line="154" w:lineRule="exact" w:before="5"/>
              <w:ind w:right="202"/>
              <w:jc w:val="right"/>
              <w:rPr>
                <w:b/>
                <w:sz w:val="14"/>
              </w:rPr>
            </w:pPr>
            <w:r>
              <w:rPr>
                <w:b/>
                <w:w w:val="95"/>
                <w:sz w:val="14"/>
              </w:rPr>
              <w:t>(22,500)</w:t>
            </w:r>
          </w:p>
        </w:tc>
        <w:tc>
          <w:tcPr>
            <w:tcW w:w="1023" w:type="dxa"/>
          </w:tcPr>
          <w:p>
            <w:pPr>
              <w:pStyle w:val="TableParagraph"/>
              <w:spacing w:line="154" w:lineRule="exact" w:before="5"/>
              <w:ind w:right="349"/>
              <w:jc w:val="right"/>
              <w:rPr>
                <w:i/>
                <w:sz w:val="14"/>
              </w:rPr>
            </w:pPr>
            <w:r>
              <w:rPr>
                <w:i/>
                <w:w w:val="95"/>
                <w:sz w:val="14"/>
              </w:rPr>
              <w:t>0.0%</w:t>
            </w:r>
          </w:p>
        </w:tc>
      </w:tr>
      <w:tr>
        <w:trPr>
          <w:trHeight w:val="203" w:hRule="atLeast"/>
        </w:trPr>
        <w:tc>
          <w:tcPr>
            <w:tcW w:w="3794" w:type="dxa"/>
          </w:tcPr>
          <w:p>
            <w:pPr>
              <w:pStyle w:val="TableParagraph"/>
              <w:spacing w:before="8"/>
              <w:ind w:left="336"/>
              <w:rPr>
                <w:sz w:val="14"/>
              </w:rPr>
            </w:pPr>
            <w:r>
              <w:rPr>
                <w:sz w:val="14"/>
              </w:rPr>
              <w:t>Unallocated Expenditures</w:t>
            </w:r>
          </w:p>
        </w:tc>
        <w:tc>
          <w:tcPr>
            <w:tcW w:w="1756" w:type="dxa"/>
          </w:tcPr>
          <w:p>
            <w:pPr>
              <w:pStyle w:val="TableParagraph"/>
              <w:spacing w:before="8"/>
              <w:ind w:right="184"/>
              <w:jc w:val="right"/>
              <w:rPr>
                <w:i/>
                <w:sz w:val="14"/>
              </w:rPr>
            </w:pPr>
            <w:r>
              <w:rPr>
                <w:i/>
                <w:w w:val="95"/>
                <w:sz w:val="14"/>
              </w:rPr>
              <w:t>(71,602)</w:t>
            </w:r>
          </w:p>
        </w:tc>
        <w:tc>
          <w:tcPr>
            <w:tcW w:w="954" w:type="dxa"/>
          </w:tcPr>
          <w:p>
            <w:pPr>
              <w:pStyle w:val="TableParagraph"/>
              <w:spacing w:before="8"/>
              <w:ind w:right="169"/>
              <w:jc w:val="right"/>
              <w:rPr>
                <w:sz w:val="14"/>
              </w:rPr>
            </w:pPr>
            <w:r>
              <w:rPr>
                <w:sz w:val="14"/>
              </w:rPr>
              <w:t>- 0 . 2 %</w:t>
            </w:r>
          </w:p>
        </w:tc>
        <w:tc>
          <w:tcPr>
            <w:tcW w:w="1093" w:type="dxa"/>
          </w:tcPr>
          <w:p>
            <w:pPr>
              <w:pStyle w:val="TableParagraph"/>
              <w:spacing w:before="8"/>
              <w:ind w:right="140"/>
              <w:jc w:val="right"/>
              <w:rPr>
                <w:sz w:val="14"/>
              </w:rPr>
            </w:pPr>
            <w:r>
              <w:rPr>
                <w:w w:val="95"/>
                <w:sz w:val="14"/>
              </w:rPr>
              <w:t>(50,818)</w:t>
            </w:r>
          </w:p>
        </w:tc>
        <w:tc>
          <w:tcPr>
            <w:tcW w:w="894" w:type="dxa"/>
          </w:tcPr>
          <w:p>
            <w:pPr>
              <w:pStyle w:val="TableParagraph"/>
              <w:spacing w:before="8"/>
              <w:ind w:left="303"/>
              <w:rPr>
                <w:i/>
                <w:sz w:val="14"/>
              </w:rPr>
            </w:pPr>
            <w:r>
              <w:rPr>
                <w:i/>
                <w:sz w:val="14"/>
              </w:rPr>
              <w:t>-0.1%</w:t>
            </w:r>
          </w:p>
        </w:tc>
        <w:tc>
          <w:tcPr>
            <w:tcW w:w="1258" w:type="dxa"/>
          </w:tcPr>
          <w:p>
            <w:pPr>
              <w:pStyle w:val="TableParagraph"/>
              <w:spacing w:before="8"/>
              <w:ind w:right="236"/>
              <w:jc w:val="right"/>
              <w:rPr>
                <w:b/>
                <w:sz w:val="14"/>
              </w:rPr>
            </w:pPr>
            <w:r>
              <w:rPr>
                <w:b/>
                <w:w w:val="95"/>
                <w:sz w:val="14"/>
              </w:rPr>
              <w:t>(940)</w:t>
            </w:r>
          </w:p>
        </w:tc>
        <w:tc>
          <w:tcPr>
            <w:tcW w:w="914" w:type="dxa"/>
          </w:tcPr>
          <w:p>
            <w:pPr>
              <w:pStyle w:val="TableParagraph"/>
              <w:spacing w:before="8"/>
              <w:ind w:left="408"/>
              <w:rPr>
                <w:i/>
                <w:sz w:val="14"/>
              </w:rPr>
            </w:pPr>
            <w:r>
              <w:rPr>
                <w:i/>
                <w:sz w:val="14"/>
              </w:rPr>
              <w:t>0.0%</w:t>
            </w:r>
          </w:p>
        </w:tc>
        <w:tc>
          <w:tcPr>
            <w:tcW w:w="1118" w:type="dxa"/>
          </w:tcPr>
          <w:p>
            <w:pPr>
              <w:pStyle w:val="TableParagraph"/>
              <w:spacing w:before="8"/>
              <w:ind w:right="193"/>
              <w:jc w:val="right"/>
              <w:rPr>
                <w:b/>
                <w:sz w:val="14"/>
              </w:rPr>
            </w:pPr>
            <w:r>
              <w:rPr>
                <w:b/>
                <w:w w:val="95"/>
                <w:sz w:val="14"/>
              </w:rPr>
              <w:t>(22,500)</w:t>
            </w:r>
          </w:p>
        </w:tc>
        <w:tc>
          <w:tcPr>
            <w:tcW w:w="868" w:type="dxa"/>
          </w:tcPr>
          <w:p>
            <w:pPr>
              <w:pStyle w:val="TableParagraph"/>
              <w:spacing w:before="8"/>
              <w:ind w:right="189"/>
              <w:jc w:val="right"/>
              <w:rPr>
                <w:i/>
                <w:sz w:val="14"/>
              </w:rPr>
            </w:pPr>
            <w:r>
              <w:rPr>
                <w:i/>
                <w:w w:val="95"/>
                <w:sz w:val="14"/>
              </w:rPr>
              <w:t>0.0%</w:t>
            </w:r>
          </w:p>
        </w:tc>
        <w:tc>
          <w:tcPr>
            <w:tcW w:w="1124" w:type="dxa"/>
          </w:tcPr>
          <w:p>
            <w:pPr>
              <w:pStyle w:val="TableParagraph"/>
              <w:spacing w:before="8"/>
              <w:ind w:right="202"/>
              <w:jc w:val="right"/>
              <w:rPr>
                <w:b/>
                <w:sz w:val="14"/>
              </w:rPr>
            </w:pPr>
            <w:r>
              <w:rPr>
                <w:b/>
                <w:w w:val="95"/>
                <w:sz w:val="14"/>
              </w:rPr>
              <w:t>(22,500)</w:t>
            </w:r>
          </w:p>
        </w:tc>
        <w:tc>
          <w:tcPr>
            <w:tcW w:w="1023" w:type="dxa"/>
          </w:tcPr>
          <w:p>
            <w:pPr>
              <w:pStyle w:val="TableParagraph"/>
              <w:spacing w:before="8"/>
              <w:ind w:right="349"/>
              <w:jc w:val="right"/>
              <w:rPr>
                <w:i/>
                <w:sz w:val="14"/>
              </w:rPr>
            </w:pPr>
            <w:r>
              <w:rPr>
                <w:i/>
                <w:w w:val="95"/>
                <w:sz w:val="14"/>
              </w:rPr>
              <w:t>0.0%</w:t>
            </w:r>
          </w:p>
        </w:tc>
      </w:tr>
    </w:tbl>
    <w:p>
      <w:pPr>
        <w:pStyle w:val="BodyText"/>
        <w:spacing w:before="3"/>
        <w:rPr>
          <w:rFonts w:ascii="Times New Roman"/>
          <w:sz w:val="14"/>
        </w:rPr>
      </w:pPr>
    </w:p>
    <w:p>
      <w:pPr>
        <w:tabs>
          <w:tab w:pos="4908" w:val="left" w:leader="none"/>
          <w:tab w:pos="6108" w:val="left" w:leader="none"/>
          <w:tab w:pos="7014" w:val="left" w:leader="none"/>
          <w:tab w:pos="8038" w:val="left" w:leader="none"/>
          <w:tab w:pos="8967" w:val="left" w:leader="none"/>
          <w:tab w:pos="10246" w:val="left" w:leader="none"/>
          <w:tab w:pos="11064" w:val="left" w:leader="none"/>
          <w:tab w:pos="12233" w:val="left" w:leader="none"/>
          <w:tab w:pos="13047" w:val="left" w:leader="none"/>
          <w:tab w:pos="14215" w:val="left" w:leader="none"/>
        </w:tabs>
        <w:spacing w:before="0"/>
        <w:ind w:left="305" w:right="0" w:firstLine="0"/>
        <w:jc w:val="left"/>
        <w:rPr>
          <w:rFonts w:ascii="Arial"/>
          <w:i/>
          <w:sz w:val="14"/>
        </w:rPr>
      </w:pPr>
      <w:r>
        <w:rPr>
          <w:rFonts w:ascii="Arial"/>
          <w:b/>
          <w:spacing w:val="2"/>
          <w:sz w:val="14"/>
        </w:rPr>
        <w:t>Change</w:t>
      </w:r>
      <w:r>
        <w:rPr>
          <w:rFonts w:ascii="Arial"/>
          <w:b/>
          <w:spacing w:val="-1"/>
          <w:sz w:val="14"/>
        </w:rPr>
        <w:t> </w:t>
      </w:r>
      <w:r>
        <w:rPr>
          <w:rFonts w:ascii="Arial"/>
          <w:b/>
          <w:sz w:val="14"/>
        </w:rPr>
        <w:t>in</w:t>
      </w:r>
      <w:r>
        <w:rPr>
          <w:rFonts w:ascii="Arial"/>
          <w:b/>
          <w:spacing w:val="7"/>
          <w:sz w:val="14"/>
        </w:rPr>
        <w:t> </w:t>
      </w:r>
      <w:r>
        <w:rPr>
          <w:rFonts w:ascii="Arial"/>
          <w:b/>
          <w:sz w:val="14"/>
        </w:rPr>
        <w:t>Arrears:</w:t>
        <w:tab/>
      </w:r>
      <w:r>
        <w:rPr>
          <w:rFonts w:ascii="Arial"/>
          <w:b/>
          <w:i/>
          <w:spacing w:val="5"/>
          <w:sz w:val="14"/>
        </w:rPr>
        <w:t>(97</w:t>
      </w:r>
      <w:r>
        <w:rPr>
          <w:rFonts w:ascii="Arial"/>
          <w:b/>
          <w:i/>
          <w:spacing w:val="-28"/>
          <w:sz w:val="14"/>
        </w:rPr>
        <w:t> </w:t>
      </w:r>
      <w:r>
        <w:rPr>
          <w:rFonts w:ascii="Arial"/>
          <w:b/>
          <w:i/>
          <w:spacing w:val="7"/>
          <w:sz w:val="14"/>
        </w:rPr>
        <w:t>,205)</w:t>
        <w:tab/>
      </w:r>
      <w:r>
        <w:rPr>
          <w:rFonts w:ascii="Arial"/>
          <w:b/>
          <w:spacing w:val="-4"/>
          <w:sz w:val="14"/>
        </w:rPr>
        <w:t>-0.3%</w:t>
        <w:tab/>
      </w:r>
      <w:r>
        <w:rPr>
          <w:rFonts w:ascii="Arial"/>
          <w:b/>
          <w:spacing w:val="6"/>
          <w:sz w:val="14"/>
        </w:rPr>
        <w:t>(51,826)</w:t>
        <w:tab/>
      </w:r>
      <w:r>
        <w:rPr>
          <w:rFonts w:ascii="Arial"/>
          <w:i/>
          <w:sz w:val="14"/>
        </w:rPr>
        <w:t>-0.1%</w:t>
        <w:tab/>
      </w:r>
      <w:r>
        <w:rPr>
          <w:rFonts w:ascii="Arial"/>
          <w:b/>
          <w:spacing w:val="6"/>
          <w:sz w:val="14"/>
        </w:rPr>
        <w:t>(266,000)</w:t>
        <w:tab/>
      </w:r>
      <w:r>
        <w:rPr>
          <w:rFonts w:ascii="Arial"/>
          <w:i/>
          <w:sz w:val="14"/>
        </w:rPr>
        <w:t>-0.6%</w:t>
        <w:tab/>
      </w:r>
      <w:r>
        <w:rPr>
          <w:rFonts w:ascii="Arial"/>
          <w:b/>
          <w:spacing w:val="6"/>
          <w:sz w:val="14"/>
        </w:rPr>
        <w:t>(260,000)</w:t>
        <w:tab/>
      </w:r>
      <w:r>
        <w:rPr>
          <w:rFonts w:ascii="Arial"/>
          <w:i/>
          <w:sz w:val="14"/>
        </w:rPr>
        <w:t>-0.5%</w:t>
        <w:tab/>
      </w:r>
      <w:r>
        <w:rPr>
          <w:rFonts w:ascii="Arial"/>
          <w:b/>
          <w:spacing w:val="6"/>
          <w:sz w:val="14"/>
        </w:rPr>
        <w:t>(260,000)</w:t>
        <w:tab/>
      </w:r>
      <w:r>
        <w:rPr>
          <w:rFonts w:ascii="Arial"/>
          <w:i/>
          <w:sz w:val="14"/>
        </w:rPr>
        <w:t>-0.5%</w:t>
      </w:r>
    </w:p>
    <w:p>
      <w:pPr>
        <w:spacing w:before="17"/>
        <w:ind w:left="390" w:right="0" w:firstLine="0"/>
        <w:jc w:val="left"/>
        <w:rPr>
          <w:rFonts w:ascii="Arial"/>
          <w:sz w:val="14"/>
        </w:rPr>
      </w:pPr>
      <w:r>
        <w:rPr>
          <w:rFonts w:ascii="Arial"/>
          <w:sz w:val="14"/>
        </w:rPr>
        <w:t>Domestic Suppliers (Incl. outstanding commitments of</w:t>
      </w: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7"/>
        <w:gridCol w:w="2192"/>
        <w:gridCol w:w="976"/>
        <w:gridCol w:w="1068"/>
        <w:gridCol w:w="859"/>
        <w:gridCol w:w="937"/>
        <w:gridCol w:w="1217"/>
        <w:gridCol w:w="879"/>
        <w:gridCol w:w="1102"/>
        <w:gridCol w:w="879"/>
        <w:gridCol w:w="915"/>
      </w:tblGrid>
      <w:tr>
        <w:trPr>
          <w:trHeight w:val="201" w:hRule="atLeast"/>
        </w:trPr>
        <w:tc>
          <w:tcPr>
            <w:tcW w:w="3247" w:type="dxa"/>
          </w:tcPr>
          <w:p>
            <w:pPr>
              <w:pStyle w:val="TableParagraph"/>
              <w:spacing w:line="160" w:lineRule="exact" w:before="21"/>
              <w:ind w:left="133"/>
              <w:rPr>
                <w:sz w:val="14"/>
              </w:rPr>
            </w:pPr>
            <w:r>
              <w:rPr>
                <w:sz w:val="14"/>
              </w:rPr>
              <w:t>previous year)</w:t>
            </w:r>
          </w:p>
        </w:tc>
        <w:tc>
          <w:tcPr>
            <w:tcW w:w="2192" w:type="dxa"/>
          </w:tcPr>
          <w:p>
            <w:pPr>
              <w:pStyle w:val="TableParagraph"/>
              <w:spacing w:line="160" w:lineRule="exact" w:before="21"/>
              <w:ind w:right="276"/>
              <w:jc w:val="right"/>
              <w:rPr>
                <w:i/>
                <w:sz w:val="14"/>
              </w:rPr>
            </w:pPr>
            <w:r>
              <w:rPr>
                <w:i/>
                <w:w w:val="95"/>
                <w:sz w:val="14"/>
              </w:rPr>
              <w:t>(67,053)</w:t>
            </w:r>
          </w:p>
        </w:tc>
        <w:tc>
          <w:tcPr>
            <w:tcW w:w="976" w:type="dxa"/>
          </w:tcPr>
          <w:p>
            <w:pPr>
              <w:pStyle w:val="TableParagraph"/>
              <w:spacing w:line="160" w:lineRule="exact" w:before="21"/>
              <w:ind w:left="194" w:right="220"/>
              <w:jc w:val="center"/>
              <w:rPr>
                <w:sz w:val="14"/>
              </w:rPr>
            </w:pPr>
            <w:r>
              <w:rPr>
                <w:sz w:val="14"/>
              </w:rPr>
              <w:t>- 0 . 2 %</w:t>
            </w:r>
          </w:p>
        </w:tc>
        <w:tc>
          <w:tcPr>
            <w:tcW w:w="1068" w:type="dxa"/>
          </w:tcPr>
          <w:p>
            <w:pPr>
              <w:pStyle w:val="TableParagraph"/>
              <w:spacing w:line="160" w:lineRule="exact" w:before="21"/>
              <w:ind w:right="229"/>
              <w:jc w:val="right"/>
              <w:rPr>
                <w:sz w:val="14"/>
              </w:rPr>
            </w:pPr>
            <w:r>
              <w:rPr>
                <w:w w:val="95"/>
                <w:sz w:val="14"/>
              </w:rPr>
              <w:t>(51,059)</w:t>
            </w:r>
          </w:p>
        </w:tc>
        <w:tc>
          <w:tcPr>
            <w:tcW w:w="859" w:type="dxa"/>
          </w:tcPr>
          <w:p>
            <w:pPr>
              <w:pStyle w:val="TableParagraph"/>
              <w:spacing w:line="160" w:lineRule="exact" w:before="21"/>
              <w:ind w:right="281"/>
              <w:jc w:val="right"/>
              <w:rPr>
                <w:i/>
                <w:sz w:val="14"/>
              </w:rPr>
            </w:pPr>
            <w:r>
              <w:rPr>
                <w:i/>
                <w:w w:val="95"/>
                <w:sz w:val="14"/>
              </w:rPr>
              <w:t>-0.1%</w:t>
            </w:r>
          </w:p>
        </w:tc>
        <w:tc>
          <w:tcPr>
            <w:tcW w:w="937" w:type="dxa"/>
          </w:tcPr>
          <w:p>
            <w:pPr>
              <w:pStyle w:val="TableParagraph"/>
              <w:spacing w:line="160" w:lineRule="exact" w:before="21"/>
              <w:ind w:left="284"/>
              <w:rPr>
                <w:b/>
                <w:sz w:val="14"/>
              </w:rPr>
            </w:pPr>
            <w:r>
              <w:rPr>
                <w:b/>
                <w:w w:val="95"/>
                <w:sz w:val="14"/>
              </w:rPr>
              <w:t>(266,000)</w:t>
            </w:r>
          </w:p>
        </w:tc>
        <w:tc>
          <w:tcPr>
            <w:tcW w:w="1217" w:type="dxa"/>
          </w:tcPr>
          <w:p>
            <w:pPr>
              <w:pStyle w:val="TableParagraph"/>
              <w:spacing w:line="160" w:lineRule="exact" w:before="21"/>
              <w:ind w:right="227"/>
              <w:jc w:val="right"/>
              <w:rPr>
                <w:i/>
                <w:sz w:val="14"/>
              </w:rPr>
            </w:pPr>
            <w:r>
              <w:rPr>
                <w:i/>
                <w:w w:val="95"/>
                <w:sz w:val="14"/>
              </w:rPr>
              <w:t>-0.6%</w:t>
            </w:r>
          </w:p>
        </w:tc>
        <w:tc>
          <w:tcPr>
            <w:tcW w:w="879" w:type="dxa"/>
          </w:tcPr>
          <w:p>
            <w:pPr>
              <w:pStyle w:val="TableParagraph"/>
              <w:spacing w:line="160" w:lineRule="exact" w:before="21"/>
              <w:ind w:left="227"/>
              <w:rPr>
                <w:b/>
                <w:sz w:val="14"/>
              </w:rPr>
            </w:pPr>
            <w:r>
              <w:rPr>
                <w:b/>
                <w:w w:val="95"/>
                <w:sz w:val="14"/>
              </w:rPr>
              <w:t>(260,000)</w:t>
            </w:r>
          </w:p>
        </w:tc>
        <w:tc>
          <w:tcPr>
            <w:tcW w:w="1102" w:type="dxa"/>
          </w:tcPr>
          <w:p>
            <w:pPr>
              <w:pStyle w:val="TableParagraph"/>
              <w:spacing w:line="160" w:lineRule="exact" w:before="21"/>
              <w:ind w:right="221"/>
              <w:jc w:val="right"/>
              <w:rPr>
                <w:i/>
                <w:sz w:val="14"/>
              </w:rPr>
            </w:pPr>
            <w:r>
              <w:rPr>
                <w:i/>
                <w:w w:val="95"/>
                <w:sz w:val="14"/>
              </w:rPr>
              <w:t>-0.5%</w:t>
            </w:r>
          </w:p>
        </w:tc>
        <w:tc>
          <w:tcPr>
            <w:tcW w:w="879" w:type="dxa"/>
          </w:tcPr>
          <w:p>
            <w:pPr>
              <w:pStyle w:val="TableParagraph"/>
              <w:spacing w:line="160" w:lineRule="exact" w:before="21"/>
              <w:ind w:left="229" w:right="-15"/>
              <w:rPr>
                <w:b/>
                <w:sz w:val="14"/>
              </w:rPr>
            </w:pPr>
            <w:r>
              <w:rPr>
                <w:b/>
                <w:spacing w:val="6"/>
                <w:sz w:val="14"/>
              </w:rPr>
              <w:t>(260,000)</w:t>
            </w:r>
          </w:p>
        </w:tc>
        <w:tc>
          <w:tcPr>
            <w:tcW w:w="915" w:type="dxa"/>
          </w:tcPr>
          <w:p>
            <w:pPr>
              <w:pStyle w:val="TableParagraph"/>
              <w:spacing w:line="160" w:lineRule="exact" w:before="21"/>
              <w:ind w:right="32"/>
              <w:jc w:val="right"/>
              <w:rPr>
                <w:i/>
                <w:sz w:val="14"/>
              </w:rPr>
            </w:pPr>
            <w:r>
              <w:rPr>
                <w:i/>
                <w:w w:val="95"/>
                <w:sz w:val="14"/>
              </w:rPr>
              <w:t>-0.5%</w:t>
            </w:r>
          </w:p>
        </w:tc>
      </w:tr>
      <w:tr>
        <w:trPr>
          <w:trHeight w:val="180" w:hRule="atLeast"/>
        </w:trPr>
        <w:tc>
          <w:tcPr>
            <w:tcW w:w="3247" w:type="dxa"/>
          </w:tcPr>
          <w:p>
            <w:pPr>
              <w:pStyle w:val="TableParagraph"/>
              <w:spacing w:line="159" w:lineRule="exact"/>
              <w:ind w:left="34"/>
              <w:rPr>
                <w:sz w:val="14"/>
              </w:rPr>
            </w:pPr>
            <w:r>
              <w:rPr>
                <w:sz w:val="14"/>
              </w:rPr>
              <w:t>Govt. Arrears to Parastatals</w:t>
            </w:r>
          </w:p>
        </w:tc>
        <w:tc>
          <w:tcPr>
            <w:tcW w:w="2192" w:type="dxa"/>
          </w:tcPr>
          <w:p>
            <w:pPr>
              <w:pStyle w:val="TableParagraph"/>
              <w:spacing w:line="159" w:lineRule="exact"/>
              <w:ind w:right="255"/>
              <w:jc w:val="right"/>
              <w:rPr>
                <w:i/>
                <w:sz w:val="14"/>
              </w:rPr>
            </w:pPr>
            <w:r>
              <w:rPr>
                <w:i/>
                <w:w w:val="95"/>
                <w:sz w:val="14"/>
              </w:rPr>
              <w:t>-</w:t>
            </w:r>
          </w:p>
        </w:tc>
        <w:tc>
          <w:tcPr>
            <w:tcW w:w="976" w:type="dxa"/>
          </w:tcPr>
          <w:p>
            <w:pPr>
              <w:pStyle w:val="TableParagraph"/>
              <w:spacing w:line="159" w:lineRule="exact"/>
              <w:ind w:left="194" w:right="165"/>
              <w:jc w:val="center"/>
              <w:rPr>
                <w:sz w:val="14"/>
              </w:rPr>
            </w:pPr>
            <w:r>
              <w:rPr>
                <w:sz w:val="14"/>
              </w:rPr>
              <w:t>0 . 0 %</w:t>
            </w:r>
          </w:p>
        </w:tc>
        <w:tc>
          <w:tcPr>
            <w:tcW w:w="1068" w:type="dxa"/>
          </w:tcPr>
          <w:p>
            <w:pPr>
              <w:pStyle w:val="TableParagraph"/>
              <w:spacing w:line="159" w:lineRule="exact"/>
              <w:ind w:right="211"/>
              <w:jc w:val="right"/>
              <w:rPr>
                <w:sz w:val="14"/>
              </w:rPr>
            </w:pPr>
            <w:r>
              <w:rPr>
                <w:w w:val="95"/>
                <w:sz w:val="14"/>
              </w:rPr>
              <w:t>(464)</w:t>
            </w:r>
          </w:p>
        </w:tc>
        <w:tc>
          <w:tcPr>
            <w:tcW w:w="859" w:type="dxa"/>
          </w:tcPr>
          <w:p>
            <w:pPr>
              <w:pStyle w:val="TableParagraph"/>
              <w:spacing w:line="159" w:lineRule="exact"/>
              <w:ind w:right="281"/>
              <w:jc w:val="right"/>
              <w:rPr>
                <w:i/>
                <w:sz w:val="14"/>
              </w:rPr>
            </w:pPr>
            <w:r>
              <w:rPr>
                <w:i/>
                <w:w w:val="95"/>
                <w:sz w:val="14"/>
              </w:rPr>
              <w:t>0.0%</w:t>
            </w:r>
          </w:p>
        </w:tc>
        <w:tc>
          <w:tcPr>
            <w:tcW w:w="937" w:type="dxa"/>
          </w:tcPr>
          <w:p>
            <w:pPr>
              <w:pStyle w:val="TableParagraph"/>
              <w:rPr>
                <w:rFonts w:ascii="Times New Roman"/>
                <w:sz w:val="12"/>
              </w:rPr>
            </w:pPr>
          </w:p>
        </w:tc>
        <w:tc>
          <w:tcPr>
            <w:tcW w:w="1217" w:type="dxa"/>
          </w:tcPr>
          <w:p>
            <w:pPr>
              <w:pStyle w:val="TableParagraph"/>
              <w:tabs>
                <w:tab w:pos="670" w:val="left" w:leader="none"/>
              </w:tabs>
              <w:spacing w:line="159" w:lineRule="exact"/>
              <w:ind w:right="222"/>
              <w:jc w:val="right"/>
              <w:rPr>
                <w:i/>
                <w:sz w:val="14"/>
              </w:rPr>
            </w:pPr>
            <w:r>
              <w:rPr>
                <w:b/>
                <w:sz w:val="14"/>
              </w:rPr>
              <w:t>-</w:t>
              <w:tab/>
            </w:r>
            <w:r>
              <w:rPr>
                <w:i/>
                <w:spacing w:val="-2"/>
                <w:w w:val="95"/>
                <w:sz w:val="14"/>
              </w:rPr>
              <w:t>0.0%</w:t>
            </w:r>
          </w:p>
        </w:tc>
        <w:tc>
          <w:tcPr>
            <w:tcW w:w="879" w:type="dxa"/>
          </w:tcPr>
          <w:p>
            <w:pPr>
              <w:pStyle w:val="TableParagraph"/>
              <w:rPr>
                <w:rFonts w:ascii="Times New Roman"/>
                <w:sz w:val="12"/>
              </w:rPr>
            </w:pPr>
          </w:p>
        </w:tc>
        <w:tc>
          <w:tcPr>
            <w:tcW w:w="1102" w:type="dxa"/>
          </w:tcPr>
          <w:p>
            <w:pPr>
              <w:pStyle w:val="TableParagraph"/>
              <w:tabs>
                <w:tab w:pos="555" w:val="left" w:leader="none"/>
              </w:tabs>
              <w:spacing w:line="159" w:lineRule="exact"/>
              <w:ind w:right="221"/>
              <w:jc w:val="right"/>
              <w:rPr>
                <w:i/>
                <w:sz w:val="14"/>
              </w:rPr>
            </w:pPr>
            <w:r>
              <w:rPr>
                <w:b/>
                <w:sz w:val="14"/>
              </w:rPr>
              <w:t>-</w:t>
              <w:tab/>
            </w:r>
            <w:r>
              <w:rPr>
                <w:i/>
                <w:spacing w:val="1"/>
                <w:w w:val="95"/>
                <w:sz w:val="14"/>
              </w:rPr>
              <w:t>0.0%</w:t>
            </w:r>
          </w:p>
        </w:tc>
        <w:tc>
          <w:tcPr>
            <w:tcW w:w="879" w:type="dxa"/>
          </w:tcPr>
          <w:p>
            <w:pPr>
              <w:pStyle w:val="TableParagraph"/>
              <w:rPr>
                <w:rFonts w:ascii="Times New Roman"/>
                <w:sz w:val="12"/>
              </w:rPr>
            </w:pPr>
          </w:p>
        </w:tc>
        <w:tc>
          <w:tcPr>
            <w:tcW w:w="915" w:type="dxa"/>
          </w:tcPr>
          <w:p>
            <w:pPr>
              <w:pStyle w:val="TableParagraph"/>
              <w:tabs>
                <w:tab w:pos="560" w:val="left" w:leader="none"/>
              </w:tabs>
              <w:spacing w:line="159" w:lineRule="exact"/>
              <w:ind w:right="28"/>
              <w:jc w:val="right"/>
              <w:rPr>
                <w:i/>
                <w:sz w:val="14"/>
              </w:rPr>
            </w:pPr>
            <w:r>
              <w:rPr>
                <w:b/>
                <w:sz w:val="14"/>
              </w:rPr>
              <w:t>-</w:t>
              <w:tab/>
            </w:r>
            <w:r>
              <w:rPr>
                <w:i/>
                <w:spacing w:val="1"/>
                <w:w w:val="95"/>
                <w:sz w:val="14"/>
              </w:rPr>
              <w:t>0.0%</w:t>
            </w:r>
          </w:p>
        </w:tc>
      </w:tr>
      <w:tr>
        <w:trPr>
          <w:trHeight w:val="203" w:hRule="atLeast"/>
        </w:trPr>
        <w:tc>
          <w:tcPr>
            <w:tcW w:w="3247" w:type="dxa"/>
          </w:tcPr>
          <w:p>
            <w:pPr>
              <w:pStyle w:val="TableParagraph"/>
              <w:ind w:left="72"/>
              <w:rPr>
                <w:sz w:val="14"/>
              </w:rPr>
            </w:pPr>
            <w:r>
              <w:rPr>
                <w:sz w:val="14"/>
              </w:rPr>
              <w:t>Wages Arrears 3/</w:t>
            </w:r>
          </w:p>
        </w:tc>
        <w:tc>
          <w:tcPr>
            <w:tcW w:w="2192" w:type="dxa"/>
          </w:tcPr>
          <w:p>
            <w:pPr>
              <w:pStyle w:val="TableParagraph"/>
              <w:ind w:right="276"/>
              <w:jc w:val="right"/>
              <w:rPr>
                <w:i/>
                <w:sz w:val="14"/>
              </w:rPr>
            </w:pPr>
            <w:r>
              <w:rPr>
                <w:i/>
                <w:w w:val="95"/>
                <w:sz w:val="14"/>
              </w:rPr>
              <w:t>(30,152)</w:t>
            </w:r>
          </w:p>
        </w:tc>
        <w:tc>
          <w:tcPr>
            <w:tcW w:w="976" w:type="dxa"/>
          </w:tcPr>
          <w:p>
            <w:pPr>
              <w:pStyle w:val="TableParagraph"/>
              <w:ind w:left="194" w:right="220"/>
              <w:jc w:val="center"/>
              <w:rPr>
                <w:sz w:val="14"/>
              </w:rPr>
            </w:pPr>
            <w:r>
              <w:rPr>
                <w:sz w:val="14"/>
              </w:rPr>
              <w:t>- 0 . 1 %</w:t>
            </w:r>
          </w:p>
        </w:tc>
        <w:tc>
          <w:tcPr>
            <w:tcW w:w="1068" w:type="dxa"/>
          </w:tcPr>
          <w:p>
            <w:pPr>
              <w:pStyle w:val="TableParagraph"/>
              <w:ind w:right="211"/>
              <w:jc w:val="right"/>
              <w:rPr>
                <w:sz w:val="14"/>
              </w:rPr>
            </w:pPr>
            <w:r>
              <w:rPr>
                <w:w w:val="95"/>
                <w:sz w:val="14"/>
              </w:rPr>
              <w:t>(303)</w:t>
            </w:r>
          </w:p>
        </w:tc>
        <w:tc>
          <w:tcPr>
            <w:tcW w:w="859" w:type="dxa"/>
          </w:tcPr>
          <w:p>
            <w:pPr>
              <w:pStyle w:val="TableParagraph"/>
              <w:ind w:right="281"/>
              <w:jc w:val="right"/>
              <w:rPr>
                <w:i/>
                <w:sz w:val="14"/>
              </w:rPr>
            </w:pPr>
            <w:r>
              <w:rPr>
                <w:i/>
                <w:w w:val="95"/>
                <w:sz w:val="14"/>
              </w:rPr>
              <w:t>0.0%</w:t>
            </w:r>
          </w:p>
        </w:tc>
        <w:tc>
          <w:tcPr>
            <w:tcW w:w="937" w:type="dxa"/>
          </w:tcPr>
          <w:p>
            <w:pPr>
              <w:pStyle w:val="TableParagraph"/>
              <w:rPr>
                <w:rFonts w:ascii="Times New Roman"/>
                <w:sz w:val="12"/>
              </w:rPr>
            </w:pPr>
          </w:p>
        </w:tc>
        <w:tc>
          <w:tcPr>
            <w:tcW w:w="1217" w:type="dxa"/>
          </w:tcPr>
          <w:p>
            <w:pPr>
              <w:pStyle w:val="TableParagraph"/>
              <w:tabs>
                <w:tab w:pos="670" w:val="left" w:leader="none"/>
              </w:tabs>
              <w:ind w:right="222"/>
              <w:jc w:val="right"/>
              <w:rPr>
                <w:i/>
                <w:sz w:val="14"/>
              </w:rPr>
            </w:pPr>
            <w:r>
              <w:rPr>
                <w:b/>
                <w:sz w:val="14"/>
              </w:rPr>
              <w:t>-</w:t>
              <w:tab/>
            </w:r>
            <w:r>
              <w:rPr>
                <w:i/>
                <w:spacing w:val="-2"/>
                <w:w w:val="95"/>
                <w:sz w:val="14"/>
              </w:rPr>
              <w:t>0.0%</w:t>
            </w:r>
          </w:p>
        </w:tc>
        <w:tc>
          <w:tcPr>
            <w:tcW w:w="879" w:type="dxa"/>
          </w:tcPr>
          <w:p>
            <w:pPr>
              <w:pStyle w:val="TableParagraph"/>
              <w:rPr>
                <w:rFonts w:ascii="Times New Roman"/>
                <w:sz w:val="12"/>
              </w:rPr>
            </w:pPr>
          </w:p>
        </w:tc>
        <w:tc>
          <w:tcPr>
            <w:tcW w:w="1102" w:type="dxa"/>
          </w:tcPr>
          <w:p>
            <w:pPr>
              <w:pStyle w:val="TableParagraph"/>
              <w:tabs>
                <w:tab w:pos="555" w:val="left" w:leader="none"/>
              </w:tabs>
              <w:ind w:right="221"/>
              <w:jc w:val="right"/>
              <w:rPr>
                <w:i/>
                <w:sz w:val="14"/>
              </w:rPr>
            </w:pPr>
            <w:r>
              <w:rPr>
                <w:b/>
                <w:sz w:val="14"/>
              </w:rPr>
              <w:t>-</w:t>
              <w:tab/>
            </w:r>
            <w:r>
              <w:rPr>
                <w:i/>
                <w:spacing w:val="1"/>
                <w:w w:val="95"/>
                <w:sz w:val="14"/>
              </w:rPr>
              <w:t>0.0%</w:t>
            </w:r>
          </w:p>
        </w:tc>
        <w:tc>
          <w:tcPr>
            <w:tcW w:w="879" w:type="dxa"/>
          </w:tcPr>
          <w:p>
            <w:pPr>
              <w:pStyle w:val="TableParagraph"/>
              <w:rPr>
                <w:rFonts w:ascii="Times New Roman"/>
                <w:sz w:val="12"/>
              </w:rPr>
            </w:pPr>
          </w:p>
        </w:tc>
        <w:tc>
          <w:tcPr>
            <w:tcW w:w="915" w:type="dxa"/>
          </w:tcPr>
          <w:p>
            <w:pPr>
              <w:pStyle w:val="TableParagraph"/>
              <w:tabs>
                <w:tab w:pos="560" w:val="left" w:leader="none"/>
              </w:tabs>
              <w:ind w:right="28"/>
              <w:jc w:val="right"/>
              <w:rPr>
                <w:i/>
                <w:sz w:val="14"/>
              </w:rPr>
            </w:pPr>
            <w:r>
              <w:rPr>
                <w:b/>
                <w:sz w:val="14"/>
              </w:rPr>
              <w:t>-</w:t>
              <w:tab/>
            </w:r>
            <w:r>
              <w:rPr>
                <w:i/>
                <w:spacing w:val="1"/>
                <w:w w:val="95"/>
                <w:sz w:val="14"/>
              </w:rPr>
              <w:t>0.0%</w:t>
            </w:r>
          </w:p>
        </w:tc>
      </w:tr>
    </w:tbl>
    <w:p>
      <w:pPr>
        <w:pStyle w:val="BodyText"/>
        <w:spacing w:before="6"/>
        <w:rPr>
          <w:rFonts w:ascii="Arial"/>
          <w:sz w:val="13"/>
        </w:rPr>
      </w:pPr>
    </w:p>
    <w:p>
      <w:pPr>
        <w:spacing w:before="0"/>
        <w:ind w:left="305" w:right="0" w:firstLine="0"/>
        <w:jc w:val="left"/>
        <w:rPr>
          <w:rFonts w:ascii="Arial"/>
          <w:i/>
          <w:sz w:val="14"/>
        </w:rPr>
      </w:pPr>
      <w:r>
        <w:rPr>
          <w:rFonts w:ascii="Arial"/>
          <w:i/>
          <w:sz w:val="14"/>
        </w:rPr>
        <w:t>OVERALL DEFICIT (CASH BASIS)</w:t>
      </w:r>
    </w:p>
    <w:p>
      <w:pPr>
        <w:tabs>
          <w:tab w:pos="4703" w:val="left" w:leader="none"/>
          <w:tab w:pos="6108" w:val="left" w:leader="none"/>
          <w:tab w:pos="6814" w:val="left" w:leader="none"/>
          <w:tab w:pos="8038" w:val="left" w:leader="none"/>
          <w:tab w:pos="8859" w:val="left" w:leader="none"/>
          <w:tab w:pos="10246" w:val="left" w:leader="none"/>
          <w:tab w:pos="10957" w:val="left" w:leader="none"/>
          <w:tab w:pos="12233" w:val="left" w:leader="none"/>
          <w:tab w:pos="12939" w:val="left" w:leader="none"/>
          <w:tab w:pos="14215" w:val="left" w:leader="none"/>
        </w:tabs>
        <w:spacing w:before="17"/>
        <w:ind w:left="1290" w:right="0" w:firstLine="0"/>
        <w:jc w:val="left"/>
        <w:rPr>
          <w:rFonts w:ascii="Arial"/>
          <w:i/>
          <w:sz w:val="14"/>
        </w:rPr>
      </w:pPr>
      <w:r>
        <w:rPr>
          <w:rFonts w:ascii="Arial"/>
          <w:b/>
          <w:spacing w:val="5"/>
          <w:sz w:val="14"/>
        </w:rPr>
        <w:t>Including </w:t>
      </w:r>
      <w:r>
        <w:rPr>
          <w:rFonts w:ascii="Arial"/>
          <w:b/>
          <w:spacing w:val="4"/>
          <w:sz w:val="14"/>
        </w:rPr>
        <w:t>grants</w:t>
        <w:tab/>
      </w:r>
      <w:r>
        <w:rPr>
          <w:rFonts w:ascii="Arial"/>
          <w:b/>
          <w:i/>
          <w:spacing w:val="4"/>
          <w:sz w:val="14"/>
        </w:rPr>
        <w:t>(1,908,415)</w:t>
        <w:tab/>
      </w:r>
      <w:r>
        <w:rPr>
          <w:rFonts w:ascii="Arial"/>
          <w:b/>
          <w:spacing w:val="-4"/>
          <w:sz w:val="14"/>
        </w:rPr>
        <w:t>-5.9%</w:t>
        <w:tab/>
      </w:r>
      <w:r>
        <w:rPr>
          <w:rFonts w:ascii="Arial"/>
          <w:b/>
          <w:spacing w:val="2"/>
          <w:sz w:val="14"/>
        </w:rPr>
        <w:t>(1,280,652)</w:t>
        <w:tab/>
      </w:r>
      <w:r>
        <w:rPr>
          <w:rFonts w:ascii="Arial"/>
          <w:i/>
          <w:sz w:val="14"/>
        </w:rPr>
        <w:t>-3.4%</w:t>
        <w:tab/>
      </w:r>
      <w:r>
        <w:rPr>
          <w:rFonts w:ascii="Arial"/>
          <w:b/>
          <w:spacing w:val="2"/>
          <w:sz w:val="14"/>
        </w:rPr>
        <w:t>(1,383,304)</w:t>
        <w:tab/>
      </w:r>
      <w:r>
        <w:rPr>
          <w:rFonts w:ascii="Arial"/>
          <w:i/>
          <w:sz w:val="14"/>
        </w:rPr>
        <w:t>-3.2%</w:t>
        <w:tab/>
      </w:r>
      <w:r>
        <w:rPr>
          <w:rFonts w:ascii="Arial"/>
          <w:b/>
          <w:spacing w:val="2"/>
          <w:sz w:val="14"/>
        </w:rPr>
        <w:t>(1,753,528)</w:t>
        <w:tab/>
      </w:r>
      <w:r>
        <w:rPr>
          <w:rFonts w:ascii="Arial"/>
          <w:i/>
          <w:sz w:val="14"/>
        </w:rPr>
        <w:t>-3.5%</w:t>
        <w:tab/>
      </w:r>
      <w:r>
        <w:rPr>
          <w:rFonts w:ascii="Arial"/>
          <w:b/>
          <w:spacing w:val="2"/>
          <w:sz w:val="14"/>
        </w:rPr>
        <w:t>(1,538,834)</w:t>
        <w:tab/>
      </w:r>
      <w:r>
        <w:rPr>
          <w:rFonts w:ascii="Arial"/>
          <w:i/>
          <w:sz w:val="14"/>
        </w:rPr>
        <w:t>-2.7%</w:t>
      </w:r>
    </w:p>
    <w:p>
      <w:pPr>
        <w:pStyle w:val="BodyText"/>
        <w:spacing w:before="3"/>
        <w:rPr>
          <w:rFonts w:ascii="Arial"/>
          <w:i/>
          <w:sz w:val="17"/>
        </w:rPr>
      </w:pPr>
    </w:p>
    <w:p>
      <w:pPr>
        <w:tabs>
          <w:tab w:pos="4785" w:val="left" w:leader="none"/>
          <w:tab w:pos="6157" w:val="left" w:leader="none"/>
          <w:tab w:pos="6898" w:val="left" w:leader="none"/>
          <w:tab w:pos="8082" w:val="left" w:leader="none"/>
          <w:tab w:pos="8934" w:val="left" w:leader="none"/>
          <w:tab w:pos="10294" w:val="left" w:leader="none"/>
          <w:tab w:pos="11035" w:val="left" w:leader="none"/>
          <w:tab w:pos="12277" w:val="left" w:leader="none"/>
          <w:tab w:pos="13023" w:val="left" w:leader="none"/>
          <w:tab w:pos="14264" w:val="left" w:leader="none"/>
        </w:tabs>
        <w:spacing w:before="1"/>
        <w:ind w:left="306" w:right="0" w:firstLine="0"/>
        <w:jc w:val="left"/>
        <w:rPr>
          <w:rFonts w:ascii="Arial"/>
          <w:i/>
          <w:sz w:val="14"/>
        </w:rPr>
      </w:pPr>
      <w:r>
        <w:rPr>
          <w:rFonts w:ascii="Arial"/>
          <w:b/>
          <w:i/>
          <w:sz w:val="14"/>
        </w:rPr>
        <w:t>TOTAL</w:t>
      </w:r>
      <w:r>
        <w:rPr>
          <w:rFonts w:ascii="Arial"/>
          <w:b/>
          <w:i/>
          <w:spacing w:val="2"/>
          <w:sz w:val="14"/>
        </w:rPr>
        <w:t> </w:t>
      </w:r>
      <w:r>
        <w:rPr>
          <w:rFonts w:ascii="Arial"/>
          <w:b/>
          <w:i/>
          <w:sz w:val="14"/>
        </w:rPr>
        <w:t>FINANCING</w:t>
        <w:tab/>
      </w:r>
      <w:r>
        <w:rPr>
          <w:rFonts w:ascii="Arial"/>
          <w:b/>
          <w:i/>
          <w:spacing w:val="3"/>
          <w:sz w:val="14"/>
        </w:rPr>
        <w:t>1,908,415</w:t>
        <w:tab/>
      </w:r>
      <w:r>
        <w:rPr>
          <w:rFonts w:ascii="Arial"/>
          <w:b/>
          <w:spacing w:val="-4"/>
          <w:sz w:val="14"/>
        </w:rPr>
        <w:t>5.9%</w:t>
        <w:tab/>
      </w:r>
      <w:r>
        <w:rPr>
          <w:rFonts w:ascii="Arial"/>
          <w:b/>
          <w:spacing w:val="4"/>
          <w:sz w:val="14"/>
        </w:rPr>
        <w:t>1,280,652</w:t>
        <w:tab/>
      </w:r>
      <w:r>
        <w:rPr>
          <w:rFonts w:ascii="Arial"/>
          <w:i/>
          <w:spacing w:val="2"/>
          <w:sz w:val="14"/>
        </w:rPr>
        <w:t>3.4%</w:t>
        <w:tab/>
      </w:r>
      <w:r>
        <w:rPr>
          <w:rFonts w:ascii="Arial"/>
          <w:b/>
          <w:spacing w:val="4"/>
          <w:sz w:val="14"/>
        </w:rPr>
        <w:t>1,383,304</w:t>
        <w:tab/>
      </w:r>
      <w:r>
        <w:rPr>
          <w:rFonts w:ascii="Arial"/>
          <w:i/>
          <w:spacing w:val="2"/>
          <w:sz w:val="14"/>
        </w:rPr>
        <w:t>3.2%</w:t>
        <w:tab/>
      </w:r>
      <w:r>
        <w:rPr>
          <w:rFonts w:ascii="Arial"/>
          <w:b/>
          <w:spacing w:val="4"/>
          <w:sz w:val="14"/>
        </w:rPr>
        <w:t>1,753,528</w:t>
        <w:tab/>
      </w:r>
      <w:r>
        <w:rPr>
          <w:rFonts w:ascii="Arial"/>
          <w:i/>
          <w:spacing w:val="2"/>
          <w:sz w:val="14"/>
        </w:rPr>
        <w:t>3.9%</w:t>
        <w:tab/>
      </w:r>
      <w:r>
        <w:rPr>
          <w:rFonts w:ascii="Arial"/>
          <w:b/>
          <w:spacing w:val="4"/>
          <w:sz w:val="14"/>
        </w:rPr>
        <w:t>1,538,834</w:t>
        <w:tab/>
      </w:r>
      <w:r>
        <w:rPr>
          <w:rFonts w:ascii="Arial"/>
          <w:i/>
          <w:spacing w:val="2"/>
          <w:sz w:val="14"/>
        </w:rPr>
        <w:t>3.1%</w:t>
      </w:r>
    </w:p>
    <w:p>
      <w:pPr>
        <w:pStyle w:val="BodyText"/>
        <w:spacing w:before="8"/>
        <w:rPr>
          <w:rFonts w:ascii="Arial"/>
          <w:i/>
          <w:sz w:val="14"/>
        </w:rPr>
      </w:pPr>
    </w:p>
    <w:tbl>
      <w:tblPr>
        <w:tblW w:w="0" w:type="auto"/>
        <w:jc w:val="left"/>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6"/>
        <w:gridCol w:w="1459"/>
        <w:gridCol w:w="910"/>
        <w:gridCol w:w="1140"/>
        <w:gridCol w:w="841"/>
        <w:gridCol w:w="1291"/>
        <w:gridCol w:w="865"/>
        <w:gridCol w:w="1176"/>
        <w:gridCol w:w="807"/>
        <w:gridCol w:w="1173"/>
        <w:gridCol w:w="632"/>
      </w:tblGrid>
      <w:tr>
        <w:trPr>
          <w:trHeight w:val="203" w:hRule="atLeast"/>
        </w:trPr>
        <w:tc>
          <w:tcPr>
            <w:tcW w:w="3876" w:type="dxa"/>
          </w:tcPr>
          <w:p>
            <w:pPr>
              <w:pStyle w:val="TableParagraph"/>
              <w:spacing w:line="154" w:lineRule="exact" w:before="29"/>
              <w:ind w:left="35"/>
              <w:rPr>
                <w:b/>
                <w:sz w:val="14"/>
              </w:rPr>
            </w:pPr>
            <w:r>
              <w:rPr>
                <w:b/>
                <w:sz w:val="14"/>
              </w:rPr>
              <w:t>Foreign</w:t>
            </w:r>
          </w:p>
        </w:tc>
        <w:tc>
          <w:tcPr>
            <w:tcW w:w="1459" w:type="dxa"/>
          </w:tcPr>
          <w:p>
            <w:pPr>
              <w:pStyle w:val="TableParagraph"/>
              <w:spacing w:line="154" w:lineRule="exact" w:before="29"/>
              <w:ind w:right="312"/>
              <w:jc w:val="right"/>
              <w:rPr>
                <w:b/>
                <w:i/>
                <w:sz w:val="14"/>
              </w:rPr>
            </w:pPr>
            <w:r>
              <w:rPr>
                <w:b/>
                <w:i/>
                <w:w w:val="95"/>
                <w:sz w:val="14"/>
              </w:rPr>
              <w:t>660,216</w:t>
            </w:r>
          </w:p>
        </w:tc>
        <w:tc>
          <w:tcPr>
            <w:tcW w:w="910" w:type="dxa"/>
          </w:tcPr>
          <w:p>
            <w:pPr>
              <w:pStyle w:val="TableParagraph"/>
              <w:spacing w:line="154" w:lineRule="exact" w:before="29"/>
              <w:ind w:left="191" w:right="27"/>
              <w:jc w:val="center"/>
              <w:rPr>
                <w:b/>
                <w:sz w:val="14"/>
              </w:rPr>
            </w:pPr>
            <w:r>
              <w:rPr>
                <w:b/>
                <w:sz w:val="14"/>
              </w:rPr>
              <w:t>2.0%</w:t>
            </w:r>
          </w:p>
        </w:tc>
        <w:tc>
          <w:tcPr>
            <w:tcW w:w="1140" w:type="dxa"/>
          </w:tcPr>
          <w:p>
            <w:pPr>
              <w:pStyle w:val="TableParagraph"/>
              <w:spacing w:line="154" w:lineRule="exact" w:before="29"/>
              <w:ind w:right="255"/>
              <w:jc w:val="right"/>
              <w:rPr>
                <w:b/>
                <w:sz w:val="14"/>
              </w:rPr>
            </w:pPr>
            <w:r>
              <w:rPr>
                <w:b/>
                <w:w w:val="95"/>
                <w:sz w:val="14"/>
              </w:rPr>
              <w:t>221,570</w:t>
            </w:r>
          </w:p>
        </w:tc>
        <w:tc>
          <w:tcPr>
            <w:tcW w:w="841" w:type="dxa"/>
          </w:tcPr>
          <w:p>
            <w:pPr>
              <w:pStyle w:val="TableParagraph"/>
              <w:spacing w:line="154" w:lineRule="exact" w:before="29"/>
              <w:ind w:right="263"/>
              <w:jc w:val="right"/>
              <w:rPr>
                <w:i/>
                <w:sz w:val="14"/>
              </w:rPr>
            </w:pPr>
            <w:r>
              <w:rPr>
                <w:i/>
                <w:w w:val="95"/>
                <w:sz w:val="14"/>
              </w:rPr>
              <w:t>0.6%</w:t>
            </w:r>
          </w:p>
        </w:tc>
        <w:tc>
          <w:tcPr>
            <w:tcW w:w="1291" w:type="dxa"/>
          </w:tcPr>
          <w:p>
            <w:pPr>
              <w:pStyle w:val="TableParagraph"/>
              <w:spacing w:line="154" w:lineRule="exact" w:before="29"/>
              <w:ind w:right="342"/>
              <w:jc w:val="right"/>
              <w:rPr>
                <w:b/>
                <w:sz w:val="14"/>
              </w:rPr>
            </w:pPr>
            <w:r>
              <w:rPr>
                <w:b/>
                <w:w w:val="95"/>
                <w:sz w:val="14"/>
              </w:rPr>
              <w:t>509,374</w:t>
            </w:r>
          </w:p>
        </w:tc>
        <w:tc>
          <w:tcPr>
            <w:tcW w:w="865" w:type="dxa"/>
          </w:tcPr>
          <w:p>
            <w:pPr>
              <w:pStyle w:val="TableParagraph"/>
              <w:spacing w:line="154" w:lineRule="exact" w:before="29"/>
              <w:ind w:right="206"/>
              <w:jc w:val="right"/>
              <w:rPr>
                <w:i/>
                <w:sz w:val="14"/>
              </w:rPr>
            </w:pPr>
            <w:r>
              <w:rPr>
                <w:i/>
                <w:w w:val="95"/>
                <w:sz w:val="14"/>
              </w:rPr>
              <w:t>1.2%</w:t>
            </w:r>
          </w:p>
        </w:tc>
        <w:tc>
          <w:tcPr>
            <w:tcW w:w="1176" w:type="dxa"/>
          </w:tcPr>
          <w:p>
            <w:pPr>
              <w:pStyle w:val="TableParagraph"/>
              <w:spacing w:line="154" w:lineRule="exact" w:before="29"/>
              <w:ind w:left="332"/>
              <w:rPr>
                <w:b/>
                <w:sz w:val="14"/>
              </w:rPr>
            </w:pPr>
            <w:r>
              <w:rPr>
                <w:b/>
                <w:sz w:val="14"/>
              </w:rPr>
              <w:t>754,000</w:t>
            </w:r>
          </w:p>
        </w:tc>
        <w:tc>
          <w:tcPr>
            <w:tcW w:w="807" w:type="dxa"/>
          </w:tcPr>
          <w:p>
            <w:pPr>
              <w:pStyle w:val="TableParagraph"/>
              <w:spacing w:line="154" w:lineRule="exact" w:before="29"/>
              <w:ind w:left="214" w:right="143"/>
              <w:jc w:val="center"/>
              <w:rPr>
                <w:i/>
                <w:sz w:val="14"/>
              </w:rPr>
            </w:pPr>
            <w:r>
              <w:rPr>
                <w:i/>
                <w:sz w:val="14"/>
              </w:rPr>
              <w:t>1.5%</w:t>
            </w:r>
          </w:p>
        </w:tc>
        <w:tc>
          <w:tcPr>
            <w:tcW w:w="1173" w:type="dxa"/>
          </w:tcPr>
          <w:p>
            <w:pPr>
              <w:pStyle w:val="TableParagraph"/>
              <w:spacing w:line="154" w:lineRule="exact" w:before="29"/>
              <w:ind w:right="283"/>
              <w:jc w:val="right"/>
              <w:rPr>
                <w:b/>
                <w:sz w:val="14"/>
              </w:rPr>
            </w:pPr>
            <w:r>
              <w:rPr>
                <w:b/>
                <w:w w:val="95"/>
                <w:sz w:val="14"/>
              </w:rPr>
              <w:t>852,000</w:t>
            </w:r>
          </w:p>
        </w:tc>
        <w:tc>
          <w:tcPr>
            <w:tcW w:w="632" w:type="dxa"/>
          </w:tcPr>
          <w:p>
            <w:pPr>
              <w:pStyle w:val="TableParagraph"/>
              <w:spacing w:line="154" w:lineRule="exact" w:before="29"/>
              <w:ind w:right="24"/>
              <w:jc w:val="right"/>
              <w:rPr>
                <w:i/>
                <w:sz w:val="14"/>
              </w:rPr>
            </w:pPr>
            <w:r>
              <w:rPr>
                <w:i/>
                <w:w w:val="95"/>
                <w:sz w:val="14"/>
              </w:rPr>
              <w:t>1.5%</w:t>
            </w:r>
          </w:p>
        </w:tc>
      </w:tr>
      <w:tr>
        <w:trPr>
          <w:trHeight w:val="180" w:hRule="atLeast"/>
        </w:trPr>
        <w:tc>
          <w:tcPr>
            <w:tcW w:w="3876" w:type="dxa"/>
          </w:tcPr>
          <w:p>
            <w:pPr>
              <w:pStyle w:val="TableParagraph"/>
              <w:spacing w:line="152" w:lineRule="exact" w:before="8"/>
              <w:ind w:left="208"/>
              <w:rPr>
                <w:sz w:val="14"/>
              </w:rPr>
            </w:pPr>
            <w:r>
              <w:rPr>
                <w:sz w:val="14"/>
              </w:rPr>
              <w:t>Borrowing (Loans)</w:t>
            </w:r>
          </w:p>
        </w:tc>
        <w:tc>
          <w:tcPr>
            <w:tcW w:w="1459" w:type="dxa"/>
          </w:tcPr>
          <w:p>
            <w:pPr>
              <w:pStyle w:val="TableParagraph"/>
              <w:spacing w:line="152" w:lineRule="exact" w:before="8"/>
              <w:ind w:right="291"/>
              <w:jc w:val="right"/>
              <w:rPr>
                <w:i/>
                <w:sz w:val="14"/>
              </w:rPr>
            </w:pPr>
            <w:r>
              <w:rPr>
                <w:i/>
                <w:sz w:val="14"/>
              </w:rPr>
              <w:t>1,023 ,000</w:t>
            </w:r>
          </w:p>
        </w:tc>
        <w:tc>
          <w:tcPr>
            <w:tcW w:w="910" w:type="dxa"/>
          </w:tcPr>
          <w:p>
            <w:pPr>
              <w:pStyle w:val="TableParagraph"/>
              <w:spacing w:line="152" w:lineRule="exact" w:before="8"/>
              <w:ind w:left="191" w:right="84"/>
              <w:jc w:val="center"/>
              <w:rPr>
                <w:sz w:val="14"/>
              </w:rPr>
            </w:pPr>
            <w:r>
              <w:rPr>
                <w:sz w:val="14"/>
              </w:rPr>
              <w:t>3 . 2 %</w:t>
            </w:r>
          </w:p>
        </w:tc>
        <w:tc>
          <w:tcPr>
            <w:tcW w:w="1140" w:type="dxa"/>
          </w:tcPr>
          <w:p>
            <w:pPr>
              <w:pStyle w:val="TableParagraph"/>
              <w:spacing w:line="152" w:lineRule="exact" w:before="8"/>
              <w:ind w:right="232"/>
              <w:jc w:val="right"/>
              <w:rPr>
                <w:sz w:val="14"/>
              </w:rPr>
            </w:pPr>
            <w:r>
              <w:rPr>
                <w:sz w:val="14"/>
              </w:rPr>
              <w:t>630,442</w:t>
            </w:r>
          </w:p>
        </w:tc>
        <w:tc>
          <w:tcPr>
            <w:tcW w:w="841" w:type="dxa"/>
          </w:tcPr>
          <w:p>
            <w:pPr>
              <w:pStyle w:val="TableParagraph"/>
              <w:spacing w:line="152" w:lineRule="exact" w:before="8"/>
              <w:ind w:right="263"/>
              <w:jc w:val="right"/>
              <w:rPr>
                <w:i/>
                <w:sz w:val="14"/>
              </w:rPr>
            </w:pPr>
            <w:r>
              <w:rPr>
                <w:i/>
                <w:w w:val="95"/>
                <w:sz w:val="14"/>
              </w:rPr>
              <w:t>1.7%</w:t>
            </w:r>
          </w:p>
        </w:tc>
        <w:tc>
          <w:tcPr>
            <w:tcW w:w="1291" w:type="dxa"/>
          </w:tcPr>
          <w:p>
            <w:pPr>
              <w:pStyle w:val="TableParagraph"/>
              <w:spacing w:line="152" w:lineRule="exact" w:before="8"/>
              <w:ind w:right="355"/>
              <w:jc w:val="right"/>
              <w:rPr>
                <w:b/>
                <w:sz w:val="14"/>
              </w:rPr>
            </w:pPr>
            <w:r>
              <w:rPr>
                <w:b/>
                <w:sz w:val="14"/>
              </w:rPr>
              <w:t>1,078,465</w:t>
            </w:r>
          </w:p>
        </w:tc>
        <w:tc>
          <w:tcPr>
            <w:tcW w:w="865" w:type="dxa"/>
          </w:tcPr>
          <w:p>
            <w:pPr>
              <w:pStyle w:val="TableParagraph"/>
              <w:spacing w:line="152" w:lineRule="exact" w:before="8"/>
              <w:ind w:right="206"/>
              <w:jc w:val="right"/>
              <w:rPr>
                <w:i/>
                <w:sz w:val="14"/>
              </w:rPr>
            </w:pPr>
            <w:r>
              <w:rPr>
                <w:i/>
                <w:w w:val="95"/>
                <w:sz w:val="14"/>
              </w:rPr>
              <w:t>2.5%</w:t>
            </w:r>
          </w:p>
        </w:tc>
        <w:tc>
          <w:tcPr>
            <w:tcW w:w="1176" w:type="dxa"/>
          </w:tcPr>
          <w:p>
            <w:pPr>
              <w:pStyle w:val="TableParagraph"/>
              <w:spacing w:line="152" w:lineRule="exact" w:before="8"/>
              <w:ind w:left="215"/>
              <w:rPr>
                <w:b/>
                <w:sz w:val="14"/>
              </w:rPr>
            </w:pPr>
            <w:r>
              <w:rPr>
                <w:b/>
                <w:sz w:val="14"/>
              </w:rPr>
              <w:t>1,459,000</w:t>
            </w:r>
          </w:p>
        </w:tc>
        <w:tc>
          <w:tcPr>
            <w:tcW w:w="807" w:type="dxa"/>
          </w:tcPr>
          <w:p>
            <w:pPr>
              <w:pStyle w:val="TableParagraph"/>
              <w:spacing w:line="152" w:lineRule="exact" w:before="8"/>
              <w:ind w:left="214" w:right="143"/>
              <w:jc w:val="center"/>
              <w:rPr>
                <w:i/>
                <w:sz w:val="14"/>
              </w:rPr>
            </w:pPr>
            <w:r>
              <w:rPr>
                <w:i/>
                <w:sz w:val="14"/>
              </w:rPr>
              <w:t>2.9%</w:t>
            </w:r>
          </w:p>
        </w:tc>
        <w:tc>
          <w:tcPr>
            <w:tcW w:w="1173" w:type="dxa"/>
          </w:tcPr>
          <w:p>
            <w:pPr>
              <w:pStyle w:val="TableParagraph"/>
              <w:spacing w:line="152" w:lineRule="exact" w:before="8"/>
              <w:ind w:right="291"/>
              <w:jc w:val="right"/>
              <w:rPr>
                <w:b/>
                <w:sz w:val="14"/>
              </w:rPr>
            </w:pPr>
            <w:r>
              <w:rPr>
                <w:b/>
                <w:w w:val="95"/>
                <w:sz w:val="14"/>
              </w:rPr>
              <w:t>1,688,000</w:t>
            </w:r>
          </w:p>
        </w:tc>
        <w:tc>
          <w:tcPr>
            <w:tcW w:w="632" w:type="dxa"/>
          </w:tcPr>
          <w:p>
            <w:pPr>
              <w:pStyle w:val="TableParagraph"/>
              <w:spacing w:line="152" w:lineRule="exact" w:before="8"/>
              <w:ind w:right="24"/>
              <w:jc w:val="right"/>
              <w:rPr>
                <w:i/>
                <w:sz w:val="14"/>
              </w:rPr>
            </w:pPr>
            <w:r>
              <w:rPr>
                <w:i/>
                <w:w w:val="95"/>
                <w:sz w:val="14"/>
              </w:rPr>
              <w:t>2.9%</w:t>
            </w:r>
          </w:p>
        </w:tc>
      </w:tr>
      <w:tr>
        <w:trPr>
          <w:trHeight w:val="180" w:hRule="atLeast"/>
        </w:trPr>
        <w:tc>
          <w:tcPr>
            <w:tcW w:w="3876" w:type="dxa"/>
          </w:tcPr>
          <w:p>
            <w:pPr>
              <w:pStyle w:val="TableParagraph"/>
              <w:spacing w:line="154" w:lineRule="exact" w:before="5"/>
              <w:ind w:left="375"/>
              <w:rPr>
                <w:sz w:val="14"/>
              </w:rPr>
            </w:pPr>
            <w:r>
              <w:rPr>
                <w:sz w:val="14"/>
              </w:rPr>
              <w:t>Project</w:t>
            </w:r>
          </w:p>
        </w:tc>
        <w:tc>
          <w:tcPr>
            <w:tcW w:w="1459" w:type="dxa"/>
          </w:tcPr>
          <w:p>
            <w:pPr>
              <w:pStyle w:val="TableParagraph"/>
              <w:spacing w:line="154" w:lineRule="exact" w:before="5"/>
              <w:ind w:right="291"/>
              <w:jc w:val="right"/>
              <w:rPr>
                <w:i/>
                <w:sz w:val="14"/>
              </w:rPr>
            </w:pPr>
            <w:r>
              <w:rPr>
                <w:i/>
                <w:sz w:val="14"/>
              </w:rPr>
              <w:t>1,023 ,000</w:t>
            </w:r>
          </w:p>
        </w:tc>
        <w:tc>
          <w:tcPr>
            <w:tcW w:w="910" w:type="dxa"/>
          </w:tcPr>
          <w:p>
            <w:pPr>
              <w:pStyle w:val="TableParagraph"/>
              <w:spacing w:line="154" w:lineRule="exact" w:before="5"/>
              <w:ind w:left="191" w:right="84"/>
              <w:jc w:val="center"/>
              <w:rPr>
                <w:sz w:val="14"/>
              </w:rPr>
            </w:pPr>
            <w:r>
              <w:rPr>
                <w:sz w:val="14"/>
              </w:rPr>
              <w:t>3 . 2 %</w:t>
            </w:r>
          </w:p>
        </w:tc>
        <w:tc>
          <w:tcPr>
            <w:tcW w:w="1140" w:type="dxa"/>
          </w:tcPr>
          <w:p>
            <w:pPr>
              <w:pStyle w:val="TableParagraph"/>
              <w:spacing w:line="154" w:lineRule="exact" w:before="5"/>
              <w:ind w:right="232"/>
              <w:jc w:val="right"/>
              <w:rPr>
                <w:sz w:val="14"/>
              </w:rPr>
            </w:pPr>
            <w:r>
              <w:rPr>
                <w:sz w:val="14"/>
              </w:rPr>
              <w:t>630,442</w:t>
            </w:r>
          </w:p>
        </w:tc>
        <w:tc>
          <w:tcPr>
            <w:tcW w:w="841" w:type="dxa"/>
          </w:tcPr>
          <w:p>
            <w:pPr>
              <w:pStyle w:val="TableParagraph"/>
              <w:spacing w:line="154" w:lineRule="exact" w:before="5"/>
              <w:ind w:right="263"/>
              <w:jc w:val="right"/>
              <w:rPr>
                <w:i/>
                <w:sz w:val="14"/>
              </w:rPr>
            </w:pPr>
            <w:r>
              <w:rPr>
                <w:i/>
                <w:w w:val="95"/>
                <w:sz w:val="14"/>
              </w:rPr>
              <w:t>1.7%</w:t>
            </w:r>
          </w:p>
        </w:tc>
        <w:tc>
          <w:tcPr>
            <w:tcW w:w="1291" w:type="dxa"/>
          </w:tcPr>
          <w:p>
            <w:pPr>
              <w:pStyle w:val="TableParagraph"/>
              <w:spacing w:line="154" w:lineRule="exact" w:before="5"/>
              <w:ind w:right="355"/>
              <w:jc w:val="right"/>
              <w:rPr>
                <w:b/>
                <w:sz w:val="14"/>
              </w:rPr>
            </w:pPr>
            <w:r>
              <w:rPr>
                <w:b/>
                <w:sz w:val="14"/>
              </w:rPr>
              <w:t>1,078,465</w:t>
            </w:r>
          </w:p>
        </w:tc>
        <w:tc>
          <w:tcPr>
            <w:tcW w:w="865" w:type="dxa"/>
          </w:tcPr>
          <w:p>
            <w:pPr>
              <w:pStyle w:val="TableParagraph"/>
              <w:spacing w:line="154" w:lineRule="exact" w:before="5"/>
              <w:ind w:right="206"/>
              <w:jc w:val="right"/>
              <w:rPr>
                <w:i/>
                <w:sz w:val="14"/>
              </w:rPr>
            </w:pPr>
            <w:r>
              <w:rPr>
                <w:i/>
                <w:w w:val="95"/>
                <w:sz w:val="14"/>
              </w:rPr>
              <w:t>2.5%</w:t>
            </w:r>
          </w:p>
        </w:tc>
        <w:tc>
          <w:tcPr>
            <w:tcW w:w="1176" w:type="dxa"/>
          </w:tcPr>
          <w:p>
            <w:pPr>
              <w:pStyle w:val="TableParagraph"/>
              <w:spacing w:line="154" w:lineRule="exact" w:before="5"/>
              <w:ind w:left="215"/>
              <w:rPr>
                <w:b/>
                <w:sz w:val="14"/>
              </w:rPr>
            </w:pPr>
            <w:r>
              <w:rPr>
                <w:b/>
                <w:sz w:val="14"/>
              </w:rPr>
              <w:t>1,296,000</w:t>
            </w:r>
          </w:p>
        </w:tc>
        <w:tc>
          <w:tcPr>
            <w:tcW w:w="807" w:type="dxa"/>
          </w:tcPr>
          <w:p>
            <w:pPr>
              <w:pStyle w:val="TableParagraph"/>
              <w:spacing w:line="154" w:lineRule="exact" w:before="5"/>
              <w:ind w:left="214" w:right="143"/>
              <w:jc w:val="center"/>
              <w:rPr>
                <w:i/>
                <w:sz w:val="14"/>
              </w:rPr>
            </w:pPr>
            <w:r>
              <w:rPr>
                <w:i/>
                <w:sz w:val="14"/>
              </w:rPr>
              <w:t>2.6%</w:t>
            </w:r>
          </w:p>
        </w:tc>
        <w:tc>
          <w:tcPr>
            <w:tcW w:w="1173" w:type="dxa"/>
          </w:tcPr>
          <w:p>
            <w:pPr>
              <w:pStyle w:val="TableParagraph"/>
              <w:spacing w:line="154" w:lineRule="exact" w:before="5"/>
              <w:ind w:right="291"/>
              <w:jc w:val="right"/>
              <w:rPr>
                <w:b/>
                <w:sz w:val="14"/>
              </w:rPr>
            </w:pPr>
            <w:r>
              <w:rPr>
                <w:b/>
                <w:w w:val="95"/>
                <w:sz w:val="14"/>
              </w:rPr>
              <w:t>1,496,000</w:t>
            </w:r>
          </w:p>
        </w:tc>
        <w:tc>
          <w:tcPr>
            <w:tcW w:w="632" w:type="dxa"/>
          </w:tcPr>
          <w:p>
            <w:pPr>
              <w:pStyle w:val="TableParagraph"/>
              <w:spacing w:line="154" w:lineRule="exact" w:before="5"/>
              <w:ind w:right="24"/>
              <w:jc w:val="right"/>
              <w:rPr>
                <w:i/>
                <w:sz w:val="14"/>
              </w:rPr>
            </w:pPr>
            <w:r>
              <w:rPr>
                <w:i/>
                <w:w w:val="95"/>
                <w:sz w:val="14"/>
              </w:rPr>
              <w:t>2.6%</w:t>
            </w:r>
          </w:p>
        </w:tc>
      </w:tr>
      <w:tr>
        <w:trPr>
          <w:trHeight w:val="180" w:hRule="atLeast"/>
        </w:trPr>
        <w:tc>
          <w:tcPr>
            <w:tcW w:w="3876" w:type="dxa"/>
          </w:tcPr>
          <w:p>
            <w:pPr>
              <w:pStyle w:val="TableParagraph"/>
              <w:spacing w:line="152" w:lineRule="exact" w:before="8"/>
              <w:ind w:left="375"/>
              <w:rPr>
                <w:sz w:val="14"/>
              </w:rPr>
            </w:pPr>
            <w:r>
              <w:rPr>
                <w:sz w:val="14"/>
              </w:rPr>
              <w:t>Programme</w:t>
            </w:r>
          </w:p>
        </w:tc>
        <w:tc>
          <w:tcPr>
            <w:tcW w:w="1459" w:type="dxa"/>
          </w:tcPr>
          <w:p>
            <w:pPr>
              <w:pStyle w:val="TableParagraph"/>
              <w:spacing w:line="152" w:lineRule="exact" w:before="8"/>
              <w:ind w:right="261"/>
              <w:jc w:val="right"/>
              <w:rPr>
                <w:i/>
                <w:sz w:val="14"/>
              </w:rPr>
            </w:pPr>
            <w:r>
              <w:rPr>
                <w:i/>
                <w:w w:val="99"/>
                <w:sz w:val="14"/>
              </w:rPr>
              <w:t>0</w:t>
            </w:r>
          </w:p>
        </w:tc>
        <w:tc>
          <w:tcPr>
            <w:tcW w:w="910" w:type="dxa"/>
          </w:tcPr>
          <w:p>
            <w:pPr>
              <w:pStyle w:val="TableParagraph"/>
              <w:spacing w:line="152" w:lineRule="exact" w:before="8"/>
              <w:ind w:left="191" w:right="84"/>
              <w:jc w:val="center"/>
              <w:rPr>
                <w:sz w:val="14"/>
              </w:rPr>
            </w:pPr>
            <w:r>
              <w:rPr>
                <w:sz w:val="14"/>
              </w:rPr>
              <w:t>0 . 0 %</w:t>
            </w:r>
          </w:p>
        </w:tc>
        <w:tc>
          <w:tcPr>
            <w:tcW w:w="1140" w:type="dxa"/>
          </w:tcPr>
          <w:p>
            <w:pPr>
              <w:pStyle w:val="TableParagraph"/>
              <w:spacing w:line="152" w:lineRule="exact" w:before="8"/>
              <w:ind w:right="214"/>
              <w:jc w:val="right"/>
              <w:rPr>
                <w:i/>
                <w:sz w:val="14"/>
              </w:rPr>
            </w:pPr>
            <w:r>
              <w:rPr>
                <w:i/>
                <w:w w:val="99"/>
                <w:sz w:val="14"/>
              </w:rPr>
              <w:t>0</w:t>
            </w:r>
          </w:p>
        </w:tc>
        <w:tc>
          <w:tcPr>
            <w:tcW w:w="841" w:type="dxa"/>
          </w:tcPr>
          <w:p>
            <w:pPr>
              <w:pStyle w:val="TableParagraph"/>
              <w:spacing w:line="152" w:lineRule="exact" w:before="8"/>
              <w:ind w:right="263"/>
              <w:jc w:val="right"/>
              <w:rPr>
                <w:i/>
                <w:sz w:val="14"/>
              </w:rPr>
            </w:pPr>
            <w:r>
              <w:rPr>
                <w:i/>
                <w:w w:val="95"/>
                <w:sz w:val="14"/>
              </w:rPr>
              <w:t>0.0%</w:t>
            </w:r>
          </w:p>
        </w:tc>
        <w:tc>
          <w:tcPr>
            <w:tcW w:w="1291" w:type="dxa"/>
          </w:tcPr>
          <w:p>
            <w:pPr>
              <w:pStyle w:val="TableParagraph"/>
              <w:spacing w:line="152" w:lineRule="exact" w:before="8"/>
              <w:ind w:right="305"/>
              <w:jc w:val="right"/>
              <w:rPr>
                <w:b/>
                <w:i/>
                <w:sz w:val="14"/>
              </w:rPr>
            </w:pPr>
            <w:r>
              <w:rPr>
                <w:b/>
                <w:i/>
                <w:w w:val="99"/>
                <w:sz w:val="14"/>
              </w:rPr>
              <w:t>0</w:t>
            </w:r>
          </w:p>
        </w:tc>
        <w:tc>
          <w:tcPr>
            <w:tcW w:w="865" w:type="dxa"/>
          </w:tcPr>
          <w:p>
            <w:pPr>
              <w:pStyle w:val="TableParagraph"/>
              <w:spacing w:line="152" w:lineRule="exact" w:before="8"/>
              <w:ind w:right="206"/>
              <w:jc w:val="right"/>
              <w:rPr>
                <w:i/>
                <w:sz w:val="14"/>
              </w:rPr>
            </w:pPr>
            <w:r>
              <w:rPr>
                <w:i/>
                <w:w w:val="95"/>
                <w:sz w:val="14"/>
              </w:rPr>
              <w:t>0.0%</w:t>
            </w:r>
          </w:p>
        </w:tc>
        <w:tc>
          <w:tcPr>
            <w:tcW w:w="1176" w:type="dxa"/>
          </w:tcPr>
          <w:p>
            <w:pPr>
              <w:pStyle w:val="TableParagraph"/>
              <w:spacing w:line="152" w:lineRule="exact" w:before="8"/>
              <w:ind w:left="338"/>
              <w:rPr>
                <w:b/>
                <w:i/>
                <w:sz w:val="14"/>
              </w:rPr>
            </w:pPr>
            <w:r>
              <w:rPr>
                <w:b/>
                <w:i/>
                <w:sz w:val="14"/>
              </w:rPr>
              <w:t>163,000</w:t>
            </w:r>
          </w:p>
        </w:tc>
        <w:tc>
          <w:tcPr>
            <w:tcW w:w="807" w:type="dxa"/>
          </w:tcPr>
          <w:p>
            <w:pPr>
              <w:pStyle w:val="TableParagraph"/>
              <w:spacing w:line="152" w:lineRule="exact" w:before="8"/>
              <w:ind w:left="214" w:right="143"/>
              <w:jc w:val="center"/>
              <w:rPr>
                <w:i/>
                <w:sz w:val="14"/>
              </w:rPr>
            </w:pPr>
            <w:r>
              <w:rPr>
                <w:i/>
                <w:sz w:val="14"/>
              </w:rPr>
              <w:t>0.3%</w:t>
            </w:r>
          </w:p>
        </w:tc>
        <w:tc>
          <w:tcPr>
            <w:tcW w:w="1173" w:type="dxa"/>
          </w:tcPr>
          <w:p>
            <w:pPr>
              <w:pStyle w:val="TableParagraph"/>
              <w:spacing w:line="152" w:lineRule="exact" w:before="8"/>
              <w:ind w:right="298"/>
              <w:jc w:val="right"/>
              <w:rPr>
                <w:b/>
                <w:i/>
                <w:sz w:val="14"/>
              </w:rPr>
            </w:pPr>
            <w:r>
              <w:rPr>
                <w:b/>
                <w:i/>
                <w:w w:val="95"/>
                <w:sz w:val="14"/>
              </w:rPr>
              <w:t>192,000</w:t>
            </w:r>
          </w:p>
        </w:tc>
        <w:tc>
          <w:tcPr>
            <w:tcW w:w="632" w:type="dxa"/>
          </w:tcPr>
          <w:p>
            <w:pPr>
              <w:pStyle w:val="TableParagraph"/>
              <w:spacing w:line="152" w:lineRule="exact" w:before="8"/>
              <w:ind w:right="24"/>
              <w:jc w:val="right"/>
              <w:rPr>
                <w:i/>
                <w:sz w:val="14"/>
              </w:rPr>
            </w:pPr>
            <w:r>
              <w:rPr>
                <w:i/>
                <w:w w:val="95"/>
                <w:sz w:val="14"/>
              </w:rPr>
              <w:t>0.3%</w:t>
            </w:r>
          </w:p>
        </w:tc>
      </w:tr>
      <w:tr>
        <w:trPr>
          <w:trHeight w:val="180" w:hRule="atLeast"/>
        </w:trPr>
        <w:tc>
          <w:tcPr>
            <w:tcW w:w="3876" w:type="dxa"/>
          </w:tcPr>
          <w:p>
            <w:pPr>
              <w:pStyle w:val="TableParagraph"/>
              <w:spacing w:line="154" w:lineRule="exact" w:before="5"/>
              <w:ind w:left="208"/>
              <w:rPr>
                <w:sz w:val="14"/>
              </w:rPr>
            </w:pPr>
            <w:r>
              <w:rPr>
                <w:sz w:val="14"/>
              </w:rPr>
              <w:t>External Debt Amortisation</w:t>
            </w:r>
          </w:p>
        </w:tc>
        <w:tc>
          <w:tcPr>
            <w:tcW w:w="1459" w:type="dxa"/>
          </w:tcPr>
          <w:p>
            <w:pPr>
              <w:pStyle w:val="TableParagraph"/>
              <w:spacing w:line="154" w:lineRule="exact" w:before="5"/>
              <w:ind w:right="274"/>
              <w:jc w:val="right"/>
              <w:rPr>
                <w:i/>
                <w:sz w:val="14"/>
              </w:rPr>
            </w:pPr>
            <w:r>
              <w:rPr>
                <w:i/>
                <w:w w:val="95"/>
                <w:sz w:val="14"/>
              </w:rPr>
              <w:t>(362,784)</w:t>
            </w:r>
          </w:p>
        </w:tc>
        <w:tc>
          <w:tcPr>
            <w:tcW w:w="910" w:type="dxa"/>
          </w:tcPr>
          <w:p>
            <w:pPr>
              <w:pStyle w:val="TableParagraph"/>
              <w:spacing w:line="154" w:lineRule="exact" w:before="5"/>
              <w:ind w:left="191" w:right="141"/>
              <w:jc w:val="center"/>
              <w:rPr>
                <w:sz w:val="14"/>
              </w:rPr>
            </w:pPr>
            <w:r>
              <w:rPr>
                <w:sz w:val="14"/>
              </w:rPr>
              <w:t>- 1 . 1 %</w:t>
            </w:r>
          </w:p>
        </w:tc>
        <w:tc>
          <w:tcPr>
            <w:tcW w:w="1140" w:type="dxa"/>
          </w:tcPr>
          <w:p>
            <w:pPr>
              <w:pStyle w:val="TableParagraph"/>
              <w:spacing w:line="154" w:lineRule="exact" w:before="5"/>
              <w:ind w:left="271"/>
              <w:rPr>
                <w:sz w:val="14"/>
              </w:rPr>
            </w:pPr>
            <w:r>
              <w:rPr>
                <w:sz w:val="14"/>
              </w:rPr>
              <w:t>(408,872)</w:t>
            </w:r>
          </w:p>
        </w:tc>
        <w:tc>
          <w:tcPr>
            <w:tcW w:w="841" w:type="dxa"/>
          </w:tcPr>
          <w:p>
            <w:pPr>
              <w:pStyle w:val="TableParagraph"/>
              <w:spacing w:line="154" w:lineRule="exact" w:before="5"/>
              <w:ind w:right="263"/>
              <w:jc w:val="right"/>
              <w:rPr>
                <w:i/>
                <w:sz w:val="14"/>
              </w:rPr>
            </w:pPr>
            <w:r>
              <w:rPr>
                <w:i/>
                <w:w w:val="95"/>
                <w:sz w:val="14"/>
              </w:rPr>
              <w:t>-1.1%</w:t>
            </w:r>
          </w:p>
        </w:tc>
        <w:tc>
          <w:tcPr>
            <w:tcW w:w="1291" w:type="dxa"/>
          </w:tcPr>
          <w:p>
            <w:pPr>
              <w:pStyle w:val="TableParagraph"/>
              <w:spacing w:line="154" w:lineRule="exact" w:before="5"/>
              <w:ind w:right="336"/>
              <w:jc w:val="right"/>
              <w:rPr>
                <w:b/>
                <w:sz w:val="14"/>
              </w:rPr>
            </w:pPr>
            <w:r>
              <w:rPr>
                <w:b/>
                <w:w w:val="95"/>
                <w:sz w:val="14"/>
              </w:rPr>
              <w:t>(569,091)</w:t>
            </w:r>
          </w:p>
        </w:tc>
        <w:tc>
          <w:tcPr>
            <w:tcW w:w="865" w:type="dxa"/>
          </w:tcPr>
          <w:p>
            <w:pPr>
              <w:pStyle w:val="TableParagraph"/>
              <w:spacing w:line="154" w:lineRule="exact" w:before="5"/>
              <w:ind w:right="211"/>
              <w:jc w:val="right"/>
              <w:rPr>
                <w:i/>
                <w:sz w:val="14"/>
              </w:rPr>
            </w:pPr>
            <w:r>
              <w:rPr>
                <w:i/>
                <w:w w:val="95"/>
                <w:sz w:val="14"/>
              </w:rPr>
              <w:t>-1.3%</w:t>
            </w:r>
          </w:p>
        </w:tc>
        <w:tc>
          <w:tcPr>
            <w:tcW w:w="1176" w:type="dxa"/>
          </w:tcPr>
          <w:p>
            <w:pPr>
              <w:pStyle w:val="TableParagraph"/>
              <w:spacing w:line="154" w:lineRule="exact" w:before="5"/>
              <w:ind w:left="244"/>
              <w:rPr>
                <w:b/>
                <w:sz w:val="14"/>
              </w:rPr>
            </w:pPr>
            <w:r>
              <w:rPr>
                <w:b/>
                <w:sz w:val="14"/>
              </w:rPr>
              <w:t>(705,000)</w:t>
            </w:r>
          </w:p>
        </w:tc>
        <w:tc>
          <w:tcPr>
            <w:tcW w:w="807" w:type="dxa"/>
          </w:tcPr>
          <w:p>
            <w:pPr>
              <w:pStyle w:val="TableParagraph"/>
              <w:spacing w:line="154" w:lineRule="exact" w:before="5"/>
              <w:ind w:left="214" w:right="187"/>
              <w:jc w:val="center"/>
              <w:rPr>
                <w:i/>
                <w:sz w:val="14"/>
              </w:rPr>
            </w:pPr>
            <w:r>
              <w:rPr>
                <w:i/>
                <w:sz w:val="14"/>
              </w:rPr>
              <w:t>-1.4%</w:t>
            </w:r>
          </w:p>
        </w:tc>
        <w:tc>
          <w:tcPr>
            <w:tcW w:w="1173" w:type="dxa"/>
          </w:tcPr>
          <w:p>
            <w:pPr>
              <w:pStyle w:val="TableParagraph"/>
              <w:spacing w:line="154" w:lineRule="exact" w:before="5"/>
              <w:ind w:right="277"/>
              <w:jc w:val="right"/>
              <w:rPr>
                <w:b/>
                <w:sz w:val="14"/>
              </w:rPr>
            </w:pPr>
            <w:r>
              <w:rPr>
                <w:b/>
                <w:w w:val="95"/>
                <w:sz w:val="14"/>
              </w:rPr>
              <w:t>(836,000)</w:t>
            </w:r>
          </w:p>
        </w:tc>
        <w:tc>
          <w:tcPr>
            <w:tcW w:w="632" w:type="dxa"/>
          </w:tcPr>
          <w:p>
            <w:pPr>
              <w:pStyle w:val="TableParagraph"/>
              <w:spacing w:line="154" w:lineRule="exact" w:before="5"/>
              <w:ind w:right="29"/>
              <w:jc w:val="right"/>
              <w:rPr>
                <w:i/>
                <w:sz w:val="14"/>
              </w:rPr>
            </w:pPr>
            <w:r>
              <w:rPr>
                <w:i/>
                <w:w w:val="95"/>
                <w:sz w:val="14"/>
              </w:rPr>
              <w:t>-1.4%</w:t>
            </w:r>
          </w:p>
        </w:tc>
      </w:tr>
      <w:tr>
        <w:trPr>
          <w:trHeight w:val="180" w:hRule="atLeast"/>
        </w:trPr>
        <w:tc>
          <w:tcPr>
            <w:tcW w:w="3876" w:type="dxa"/>
          </w:tcPr>
          <w:p>
            <w:pPr>
              <w:pStyle w:val="TableParagraph"/>
              <w:spacing w:line="152" w:lineRule="exact" w:before="8"/>
              <w:ind w:left="35"/>
              <w:rPr>
                <w:b/>
                <w:sz w:val="14"/>
              </w:rPr>
            </w:pPr>
            <w:r>
              <w:rPr>
                <w:b/>
                <w:sz w:val="14"/>
              </w:rPr>
              <w:t>Domestic Financing 2/</w:t>
            </w:r>
          </w:p>
        </w:tc>
        <w:tc>
          <w:tcPr>
            <w:tcW w:w="1459" w:type="dxa"/>
          </w:tcPr>
          <w:p>
            <w:pPr>
              <w:pStyle w:val="TableParagraph"/>
              <w:spacing w:line="152" w:lineRule="exact" w:before="8"/>
              <w:ind w:right="312"/>
              <w:jc w:val="right"/>
              <w:rPr>
                <w:b/>
                <w:i/>
                <w:sz w:val="14"/>
              </w:rPr>
            </w:pPr>
            <w:r>
              <w:rPr>
                <w:b/>
                <w:i/>
                <w:w w:val="95"/>
                <w:sz w:val="14"/>
              </w:rPr>
              <w:t>989,017</w:t>
            </w:r>
          </w:p>
        </w:tc>
        <w:tc>
          <w:tcPr>
            <w:tcW w:w="910" w:type="dxa"/>
          </w:tcPr>
          <w:p>
            <w:pPr>
              <w:pStyle w:val="TableParagraph"/>
              <w:spacing w:line="152" w:lineRule="exact" w:before="8"/>
              <w:ind w:left="191" w:right="27"/>
              <w:jc w:val="center"/>
              <w:rPr>
                <w:b/>
                <w:sz w:val="14"/>
              </w:rPr>
            </w:pPr>
            <w:r>
              <w:rPr>
                <w:b/>
                <w:sz w:val="14"/>
              </w:rPr>
              <w:t>3.1%</w:t>
            </w:r>
          </w:p>
        </w:tc>
        <w:tc>
          <w:tcPr>
            <w:tcW w:w="1140" w:type="dxa"/>
          </w:tcPr>
          <w:p>
            <w:pPr>
              <w:pStyle w:val="TableParagraph"/>
              <w:spacing w:line="152" w:lineRule="exact" w:before="8"/>
              <w:ind w:left="214"/>
              <w:rPr>
                <w:b/>
                <w:sz w:val="14"/>
              </w:rPr>
            </w:pPr>
            <w:r>
              <w:rPr>
                <w:b/>
                <w:sz w:val="14"/>
              </w:rPr>
              <w:t>1,000,081</w:t>
            </w:r>
          </w:p>
        </w:tc>
        <w:tc>
          <w:tcPr>
            <w:tcW w:w="841" w:type="dxa"/>
          </w:tcPr>
          <w:p>
            <w:pPr>
              <w:pStyle w:val="TableParagraph"/>
              <w:spacing w:line="152" w:lineRule="exact" w:before="8"/>
              <w:ind w:right="263"/>
              <w:jc w:val="right"/>
              <w:rPr>
                <w:i/>
                <w:sz w:val="14"/>
              </w:rPr>
            </w:pPr>
            <w:r>
              <w:rPr>
                <w:i/>
                <w:w w:val="95"/>
                <w:sz w:val="14"/>
              </w:rPr>
              <w:t>2.7%</w:t>
            </w:r>
          </w:p>
        </w:tc>
        <w:tc>
          <w:tcPr>
            <w:tcW w:w="1291" w:type="dxa"/>
          </w:tcPr>
          <w:p>
            <w:pPr>
              <w:pStyle w:val="TableParagraph"/>
              <w:spacing w:line="152" w:lineRule="exact" w:before="8"/>
              <w:ind w:right="342"/>
              <w:jc w:val="right"/>
              <w:rPr>
                <w:b/>
                <w:sz w:val="14"/>
              </w:rPr>
            </w:pPr>
            <w:r>
              <w:rPr>
                <w:b/>
                <w:w w:val="95"/>
                <w:sz w:val="14"/>
              </w:rPr>
              <w:t>873,930</w:t>
            </w:r>
          </w:p>
        </w:tc>
        <w:tc>
          <w:tcPr>
            <w:tcW w:w="865" w:type="dxa"/>
          </w:tcPr>
          <w:p>
            <w:pPr>
              <w:pStyle w:val="TableParagraph"/>
              <w:spacing w:line="152" w:lineRule="exact" w:before="8"/>
              <w:ind w:right="206"/>
              <w:jc w:val="right"/>
              <w:rPr>
                <w:i/>
                <w:sz w:val="14"/>
              </w:rPr>
            </w:pPr>
            <w:r>
              <w:rPr>
                <w:i/>
                <w:w w:val="95"/>
                <w:sz w:val="14"/>
              </w:rPr>
              <w:t>2.0%</w:t>
            </w:r>
          </w:p>
        </w:tc>
        <w:tc>
          <w:tcPr>
            <w:tcW w:w="1176" w:type="dxa"/>
          </w:tcPr>
          <w:p>
            <w:pPr>
              <w:pStyle w:val="TableParagraph"/>
              <w:spacing w:line="152" w:lineRule="exact" w:before="8"/>
              <w:ind w:left="332"/>
              <w:rPr>
                <w:b/>
                <w:sz w:val="14"/>
              </w:rPr>
            </w:pPr>
            <w:r>
              <w:rPr>
                <w:b/>
                <w:sz w:val="14"/>
              </w:rPr>
              <w:t>999,528</w:t>
            </w:r>
          </w:p>
        </w:tc>
        <w:tc>
          <w:tcPr>
            <w:tcW w:w="807" w:type="dxa"/>
          </w:tcPr>
          <w:p>
            <w:pPr>
              <w:pStyle w:val="TableParagraph"/>
              <w:spacing w:line="152" w:lineRule="exact" w:before="8"/>
              <w:ind w:left="214" w:right="143"/>
              <w:jc w:val="center"/>
              <w:rPr>
                <w:i/>
                <w:sz w:val="14"/>
              </w:rPr>
            </w:pPr>
            <w:r>
              <w:rPr>
                <w:i/>
                <w:sz w:val="14"/>
              </w:rPr>
              <w:t>2.4%</w:t>
            </w:r>
          </w:p>
        </w:tc>
        <w:tc>
          <w:tcPr>
            <w:tcW w:w="1173" w:type="dxa"/>
          </w:tcPr>
          <w:p>
            <w:pPr>
              <w:pStyle w:val="TableParagraph"/>
              <w:spacing w:line="152" w:lineRule="exact" w:before="8"/>
              <w:ind w:right="283"/>
              <w:jc w:val="right"/>
              <w:rPr>
                <w:b/>
                <w:sz w:val="14"/>
              </w:rPr>
            </w:pPr>
            <w:r>
              <w:rPr>
                <w:b/>
                <w:w w:val="95"/>
                <w:sz w:val="14"/>
              </w:rPr>
              <w:t>686,835</w:t>
            </w:r>
          </w:p>
        </w:tc>
        <w:tc>
          <w:tcPr>
            <w:tcW w:w="632" w:type="dxa"/>
          </w:tcPr>
          <w:p>
            <w:pPr>
              <w:pStyle w:val="TableParagraph"/>
              <w:spacing w:line="152" w:lineRule="exact" w:before="8"/>
              <w:ind w:right="24"/>
              <w:jc w:val="right"/>
              <w:rPr>
                <w:i/>
                <w:sz w:val="14"/>
              </w:rPr>
            </w:pPr>
            <w:r>
              <w:rPr>
                <w:i/>
                <w:w w:val="95"/>
                <w:sz w:val="14"/>
              </w:rPr>
              <w:t>1.6%</w:t>
            </w:r>
          </w:p>
        </w:tc>
      </w:tr>
      <w:tr>
        <w:trPr>
          <w:trHeight w:val="180" w:hRule="atLeast"/>
        </w:trPr>
        <w:tc>
          <w:tcPr>
            <w:tcW w:w="3876" w:type="dxa"/>
          </w:tcPr>
          <w:p>
            <w:pPr>
              <w:pStyle w:val="TableParagraph"/>
              <w:spacing w:line="154" w:lineRule="exact" w:before="5"/>
              <w:ind w:left="207"/>
              <w:rPr>
                <w:b/>
                <w:sz w:val="14"/>
              </w:rPr>
            </w:pPr>
            <w:r>
              <w:rPr>
                <w:b/>
                <w:sz w:val="14"/>
              </w:rPr>
              <w:t>Bank</w:t>
            </w:r>
          </w:p>
        </w:tc>
        <w:tc>
          <w:tcPr>
            <w:tcW w:w="1459" w:type="dxa"/>
          </w:tcPr>
          <w:p>
            <w:pPr>
              <w:pStyle w:val="TableParagraph"/>
              <w:spacing w:line="154" w:lineRule="exact" w:before="5"/>
              <w:ind w:right="312"/>
              <w:jc w:val="right"/>
              <w:rPr>
                <w:b/>
                <w:i/>
                <w:sz w:val="14"/>
              </w:rPr>
            </w:pPr>
            <w:r>
              <w:rPr>
                <w:b/>
                <w:i/>
                <w:w w:val="95"/>
                <w:sz w:val="14"/>
              </w:rPr>
              <w:t>983,802</w:t>
            </w:r>
          </w:p>
        </w:tc>
        <w:tc>
          <w:tcPr>
            <w:tcW w:w="910" w:type="dxa"/>
          </w:tcPr>
          <w:p>
            <w:pPr>
              <w:pStyle w:val="TableParagraph"/>
              <w:spacing w:line="154" w:lineRule="exact" w:before="5"/>
              <w:ind w:left="191" w:right="27"/>
              <w:jc w:val="center"/>
              <w:rPr>
                <w:b/>
                <w:sz w:val="14"/>
              </w:rPr>
            </w:pPr>
            <w:r>
              <w:rPr>
                <w:b/>
                <w:sz w:val="14"/>
              </w:rPr>
              <w:t>3.0%</w:t>
            </w:r>
          </w:p>
        </w:tc>
        <w:tc>
          <w:tcPr>
            <w:tcW w:w="1140" w:type="dxa"/>
          </w:tcPr>
          <w:p>
            <w:pPr>
              <w:pStyle w:val="TableParagraph"/>
              <w:spacing w:line="154" w:lineRule="exact" w:before="5"/>
              <w:ind w:right="255"/>
              <w:jc w:val="right"/>
              <w:rPr>
                <w:b/>
                <w:sz w:val="14"/>
              </w:rPr>
            </w:pPr>
            <w:r>
              <w:rPr>
                <w:b/>
                <w:w w:val="95"/>
                <w:sz w:val="14"/>
              </w:rPr>
              <w:t>875,008</w:t>
            </w:r>
          </w:p>
        </w:tc>
        <w:tc>
          <w:tcPr>
            <w:tcW w:w="841" w:type="dxa"/>
          </w:tcPr>
          <w:p>
            <w:pPr>
              <w:pStyle w:val="TableParagraph"/>
              <w:spacing w:line="154" w:lineRule="exact" w:before="5"/>
              <w:ind w:right="263"/>
              <w:jc w:val="right"/>
              <w:rPr>
                <w:i/>
                <w:sz w:val="14"/>
              </w:rPr>
            </w:pPr>
            <w:r>
              <w:rPr>
                <w:i/>
                <w:w w:val="95"/>
                <w:sz w:val="14"/>
              </w:rPr>
              <w:t>2.3%</w:t>
            </w:r>
          </w:p>
        </w:tc>
        <w:tc>
          <w:tcPr>
            <w:tcW w:w="1291" w:type="dxa"/>
          </w:tcPr>
          <w:p>
            <w:pPr>
              <w:pStyle w:val="TableParagraph"/>
              <w:spacing w:line="154" w:lineRule="exact" w:before="5"/>
              <w:ind w:right="355"/>
              <w:jc w:val="right"/>
              <w:rPr>
                <w:b/>
                <w:sz w:val="14"/>
              </w:rPr>
            </w:pPr>
            <w:r>
              <w:rPr>
                <w:b/>
                <w:sz w:val="14"/>
              </w:rPr>
              <w:t>1,220,622</w:t>
            </w:r>
          </w:p>
        </w:tc>
        <w:tc>
          <w:tcPr>
            <w:tcW w:w="865" w:type="dxa"/>
          </w:tcPr>
          <w:p>
            <w:pPr>
              <w:pStyle w:val="TableParagraph"/>
              <w:spacing w:line="154" w:lineRule="exact" w:before="5"/>
              <w:ind w:right="206"/>
              <w:jc w:val="right"/>
              <w:rPr>
                <w:i/>
                <w:sz w:val="14"/>
              </w:rPr>
            </w:pPr>
            <w:r>
              <w:rPr>
                <w:i/>
                <w:w w:val="95"/>
                <w:sz w:val="14"/>
              </w:rPr>
              <w:t>2.8%</w:t>
            </w:r>
          </w:p>
        </w:tc>
        <w:tc>
          <w:tcPr>
            <w:tcW w:w="1176" w:type="dxa"/>
          </w:tcPr>
          <w:p>
            <w:pPr>
              <w:pStyle w:val="TableParagraph"/>
              <w:spacing w:line="154" w:lineRule="exact" w:before="5"/>
              <w:ind w:left="215"/>
              <w:rPr>
                <w:b/>
                <w:sz w:val="14"/>
              </w:rPr>
            </w:pPr>
            <w:r>
              <w:rPr>
                <w:b/>
                <w:sz w:val="14"/>
              </w:rPr>
              <w:t>1,364,587</w:t>
            </w:r>
          </w:p>
        </w:tc>
        <w:tc>
          <w:tcPr>
            <w:tcW w:w="807" w:type="dxa"/>
          </w:tcPr>
          <w:p>
            <w:pPr>
              <w:pStyle w:val="TableParagraph"/>
              <w:spacing w:line="154" w:lineRule="exact" w:before="5"/>
              <w:ind w:left="214" w:right="143"/>
              <w:jc w:val="center"/>
              <w:rPr>
                <w:i/>
                <w:sz w:val="14"/>
              </w:rPr>
            </w:pPr>
            <w:r>
              <w:rPr>
                <w:i/>
                <w:sz w:val="14"/>
              </w:rPr>
              <w:t>3.2%</w:t>
            </w:r>
          </w:p>
        </w:tc>
        <w:tc>
          <w:tcPr>
            <w:tcW w:w="1173" w:type="dxa"/>
          </w:tcPr>
          <w:p>
            <w:pPr>
              <w:pStyle w:val="TableParagraph"/>
              <w:spacing w:line="154" w:lineRule="exact" w:before="5"/>
              <w:ind w:right="291"/>
              <w:jc w:val="right"/>
              <w:rPr>
                <w:b/>
                <w:sz w:val="14"/>
              </w:rPr>
            </w:pPr>
            <w:r>
              <w:rPr>
                <w:b/>
                <w:w w:val="95"/>
                <w:sz w:val="14"/>
              </w:rPr>
              <w:t>1,230,304</w:t>
            </w:r>
          </w:p>
        </w:tc>
        <w:tc>
          <w:tcPr>
            <w:tcW w:w="632" w:type="dxa"/>
          </w:tcPr>
          <w:p>
            <w:pPr>
              <w:pStyle w:val="TableParagraph"/>
              <w:spacing w:line="154" w:lineRule="exact" w:before="5"/>
              <w:ind w:right="24"/>
              <w:jc w:val="right"/>
              <w:rPr>
                <w:i/>
                <w:sz w:val="14"/>
              </w:rPr>
            </w:pPr>
            <w:r>
              <w:rPr>
                <w:i/>
                <w:w w:val="95"/>
                <w:sz w:val="14"/>
              </w:rPr>
              <w:t>2.6%</w:t>
            </w:r>
          </w:p>
        </w:tc>
      </w:tr>
      <w:tr>
        <w:trPr>
          <w:trHeight w:val="180" w:hRule="atLeast"/>
        </w:trPr>
        <w:tc>
          <w:tcPr>
            <w:tcW w:w="3876" w:type="dxa"/>
          </w:tcPr>
          <w:p>
            <w:pPr>
              <w:pStyle w:val="TableParagraph"/>
              <w:spacing w:line="152" w:lineRule="exact" w:before="8"/>
              <w:ind w:left="375"/>
              <w:rPr>
                <w:sz w:val="14"/>
              </w:rPr>
            </w:pPr>
            <w:r>
              <w:rPr>
                <w:sz w:val="14"/>
              </w:rPr>
              <w:t>Central Bank</w:t>
            </w:r>
          </w:p>
        </w:tc>
        <w:tc>
          <w:tcPr>
            <w:tcW w:w="1459" w:type="dxa"/>
          </w:tcPr>
          <w:p>
            <w:pPr>
              <w:pStyle w:val="TableParagraph"/>
              <w:spacing w:line="152" w:lineRule="exact" w:before="8"/>
              <w:ind w:right="280"/>
              <w:jc w:val="right"/>
              <w:rPr>
                <w:i/>
                <w:sz w:val="14"/>
              </w:rPr>
            </w:pPr>
            <w:r>
              <w:rPr>
                <w:i/>
                <w:sz w:val="14"/>
              </w:rPr>
              <w:t>553,074</w:t>
            </w:r>
          </w:p>
        </w:tc>
        <w:tc>
          <w:tcPr>
            <w:tcW w:w="910" w:type="dxa"/>
          </w:tcPr>
          <w:p>
            <w:pPr>
              <w:pStyle w:val="TableParagraph"/>
              <w:spacing w:line="152" w:lineRule="exact" w:before="8"/>
              <w:ind w:left="191" w:right="84"/>
              <w:jc w:val="center"/>
              <w:rPr>
                <w:sz w:val="14"/>
              </w:rPr>
            </w:pPr>
            <w:r>
              <w:rPr>
                <w:sz w:val="14"/>
              </w:rPr>
              <w:t>1 . 7 %</w:t>
            </w:r>
          </w:p>
        </w:tc>
        <w:tc>
          <w:tcPr>
            <w:tcW w:w="1140" w:type="dxa"/>
          </w:tcPr>
          <w:p>
            <w:pPr>
              <w:pStyle w:val="TableParagraph"/>
              <w:spacing w:line="152" w:lineRule="exact" w:before="8"/>
              <w:ind w:right="232"/>
              <w:jc w:val="right"/>
              <w:rPr>
                <w:sz w:val="14"/>
              </w:rPr>
            </w:pPr>
            <w:r>
              <w:rPr>
                <w:sz w:val="14"/>
              </w:rPr>
              <w:t>210,259</w:t>
            </w:r>
          </w:p>
        </w:tc>
        <w:tc>
          <w:tcPr>
            <w:tcW w:w="841" w:type="dxa"/>
          </w:tcPr>
          <w:p>
            <w:pPr>
              <w:pStyle w:val="TableParagraph"/>
              <w:spacing w:line="152" w:lineRule="exact" w:before="8"/>
              <w:ind w:right="263"/>
              <w:jc w:val="right"/>
              <w:rPr>
                <w:i/>
                <w:sz w:val="14"/>
              </w:rPr>
            </w:pPr>
            <w:r>
              <w:rPr>
                <w:i/>
                <w:w w:val="95"/>
                <w:sz w:val="14"/>
              </w:rPr>
              <w:t>0.6%</w:t>
            </w:r>
          </w:p>
        </w:tc>
        <w:tc>
          <w:tcPr>
            <w:tcW w:w="1291" w:type="dxa"/>
          </w:tcPr>
          <w:p>
            <w:pPr>
              <w:pStyle w:val="TableParagraph"/>
              <w:spacing w:line="152" w:lineRule="exact" w:before="8"/>
              <w:ind w:right="336"/>
              <w:jc w:val="right"/>
              <w:rPr>
                <w:b/>
                <w:sz w:val="14"/>
              </w:rPr>
            </w:pPr>
            <w:r>
              <w:rPr>
                <w:b/>
                <w:w w:val="95"/>
                <w:sz w:val="14"/>
              </w:rPr>
              <w:t>(103,618)</w:t>
            </w:r>
          </w:p>
        </w:tc>
        <w:tc>
          <w:tcPr>
            <w:tcW w:w="865" w:type="dxa"/>
          </w:tcPr>
          <w:p>
            <w:pPr>
              <w:pStyle w:val="TableParagraph"/>
              <w:spacing w:line="152" w:lineRule="exact" w:before="8"/>
              <w:ind w:right="211"/>
              <w:jc w:val="right"/>
              <w:rPr>
                <w:i/>
                <w:sz w:val="14"/>
              </w:rPr>
            </w:pPr>
            <w:r>
              <w:rPr>
                <w:i/>
                <w:w w:val="95"/>
                <w:sz w:val="14"/>
              </w:rPr>
              <w:t>-0.2%</w:t>
            </w:r>
          </w:p>
        </w:tc>
        <w:tc>
          <w:tcPr>
            <w:tcW w:w="1176" w:type="dxa"/>
          </w:tcPr>
          <w:p>
            <w:pPr>
              <w:pStyle w:val="TableParagraph"/>
              <w:spacing w:line="152" w:lineRule="exact" w:before="8"/>
              <w:ind w:left="527"/>
              <w:rPr>
                <w:b/>
                <w:sz w:val="14"/>
              </w:rPr>
            </w:pPr>
            <w:r>
              <w:rPr>
                <w:b/>
                <w:sz w:val="14"/>
              </w:rPr>
              <w:t>9,806</w:t>
            </w:r>
          </w:p>
        </w:tc>
        <w:tc>
          <w:tcPr>
            <w:tcW w:w="807" w:type="dxa"/>
          </w:tcPr>
          <w:p>
            <w:pPr>
              <w:pStyle w:val="TableParagraph"/>
              <w:spacing w:line="152" w:lineRule="exact" w:before="8"/>
              <w:ind w:left="214" w:right="143"/>
              <w:jc w:val="center"/>
              <w:rPr>
                <w:i/>
                <w:sz w:val="14"/>
              </w:rPr>
            </w:pPr>
            <w:r>
              <w:rPr>
                <w:i/>
                <w:sz w:val="14"/>
              </w:rPr>
              <w:t>0.5%</w:t>
            </w:r>
          </w:p>
        </w:tc>
        <w:tc>
          <w:tcPr>
            <w:tcW w:w="1173" w:type="dxa"/>
          </w:tcPr>
          <w:p>
            <w:pPr>
              <w:pStyle w:val="TableParagraph"/>
              <w:spacing w:line="152" w:lineRule="exact" w:before="8"/>
              <w:ind w:right="277"/>
              <w:jc w:val="right"/>
              <w:rPr>
                <w:b/>
                <w:sz w:val="14"/>
              </w:rPr>
            </w:pPr>
            <w:r>
              <w:rPr>
                <w:b/>
                <w:w w:val="95"/>
                <w:sz w:val="14"/>
              </w:rPr>
              <w:t>(286,720)</w:t>
            </w:r>
          </w:p>
        </w:tc>
        <w:tc>
          <w:tcPr>
            <w:tcW w:w="632" w:type="dxa"/>
          </w:tcPr>
          <w:p>
            <w:pPr>
              <w:pStyle w:val="TableParagraph"/>
              <w:spacing w:line="152" w:lineRule="exact" w:before="8"/>
              <w:ind w:right="29"/>
              <w:jc w:val="right"/>
              <w:rPr>
                <w:i/>
                <w:sz w:val="14"/>
              </w:rPr>
            </w:pPr>
            <w:r>
              <w:rPr>
                <w:i/>
                <w:w w:val="95"/>
                <w:sz w:val="14"/>
              </w:rPr>
              <w:t>-0.1%</w:t>
            </w:r>
          </w:p>
        </w:tc>
      </w:tr>
      <w:tr>
        <w:trPr>
          <w:trHeight w:val="180" w:hRule="atLeast"/>
        </w:trPr>
        <w:tc>
          <w:tcPr>
            <w:tcW w:w="3876" w:type="dxa"/>
          </w:tcPr>
          <w:p>
            <w:pPr>
              <w:pStyle w:val="TableParagraph"/>
              <w:spacing w:line="154" w:lineRule="exact" w:before="5"/>
              <w:ind w:left="549"/>
              <w:rPr>
                <w:sz w:val="14"/>
              </w:rPr>
            </w:pPr>
            <w:r>
              <w:rPr>
                <w:sz w:val="14"/>
              </w:rPr>
              <w:t>IMF SDR On-lending</w:t>
            </w:r>
          </w:p>
        </w:tc>
        <w:tc>
          <w:tcPr>
            <w:tcW w:w="1459" w:type="dxa"/>
          </w:tcPr>
          <w:p>
            <w:pPr>
              <w:pStyle w:val="TableParagraph"/>
              <w:spacing w:line="154" w:lineRule="exact" w:before="5"/>
              <w:ind w:right="280"/>
              <w:jc w:val="right"/>
              <w:rPr>
                <w:i/>
                <w:sz w:val="14"/>
              </w:rPr>
            </w:pPr>
            <w:r>
              <w:rPr>
                <w:i/>
                <w:sz w:val="14"/>
              </w:rPr>
              <w:t>182,587</w:t>
            </w:r>
          </w:p>
        </w:tc>
        <w:tc>
          <w:tcPr>
            <w:tcW w:w="910" w:type="dxa"/>
          </w:tcPr>
          <w:p>
            <w:pPr>
              <w:pStyle w:val="TableParagraph"/>
              <w:spacing w:line="154" w:lineRule="exact" w:before="5"/>
              <w:ind w:left="191" w:right="84"/>
              <w:jc w:val="center"/>
              <w:rPr>
                <w:sz w:val="14"/>
              </w:rPr>
            </w:pPr>
            <w:r>
              <w:rPr>
                <w:sz w:val="14"/>
              </w:rPr>
              <w:t>0 . 6 %</w:t>
            </w:r>
          </w:p>
        </w:tc>
        <w:tc>
          <w:tcPr>
            <w:tcW w:w="1140" w:type="dxa"/>
          </w:tcPr>
          <w:p>
            <w:pPr>
              <w:pStyle w:val="TableParagraph"/>
              <w:spacing w:line="154" w:lineRule="exact" w:before="5"/>
              <w:ind w:right="232"/>
              <w:jc w:val="right"/>
              <w:rPr>
                <w:sz w:val="14"/>
              </w:rPr>
            </w:pPr>
            <w:r>
              <w:rPr>
                <w:sz w:val="14"/>
              </w:rPr>
              <w:t>123,259</w:t>
            </w:r>
          </w:p>
        </w:tc>
        <w:tc>
          <w:tcPr>
            <w:tcW w:w="841" w:type="dxa"/>
          </w:tcPr>
          <w:p>
            <w:pPr>
              <w:pStyle w:val="TableParagraph"/>
              <w:spacing w:line="154" w:lineRule="exact" w:before="5"/>
              <w:ind w:right="263"/>
              <w:jc w:val="right"/>
              <w:rPr>
                <w:i/>
                <w:sz w:val="14"/>
              </w:rPr>
            </w:pPr>
            <w:r>
              <w:rPr>
                <w:i/>
                <w:w w:val="95"/>
                <w:sz w:val="14"/>
              </w:rPr>
              <w:t>0.3%</w:t>
            </w:r>
          </w:p>
        </w:tc>
        <w:tc>
          <w:tcPr>
            <w:tcW w:w="1291" w:type="dxa"/>
          </w:tcPr>
          <w:p>
            <w:pPr>
              <w:pStyle w:val="TableParagraph"/>
              <w:spacing w:line="154" w:lineRule="exact" w:before="5"/>
              <w:ind w:right="336"/>
              <w:jc w:val="right"/>
              <w:rPr>
                <w:b/>
                <w:sz w:val="14"/>
              </w:rPr>
            </w:pPr>
            <w:r>
              <w:rPr>
                <w:b/>
                <w:w w:val="95"/>
                <w:sz w:val="14"/>
              </w:rPr>
              <w:t>(116,000)</w:t>
            </w:r>
          </w:p>
        </w:tc>
        <w:tc>
          <w:tcPr>
            <w:tcW w:w="865" w:type="dxa"/>
          </w:tcPr>
          <w:p>
            <w:pPr>
              <w:pStyle w:val="TableParagraph"/>
              <w:spacing w:line="154" w:lineRule="exact" w:before="5"/>
              <w:ind w:right="211"/>
              <w:jc w:val="right"/>
              <w:rPr>
                <w:i/>
                <w:sz w:val="14"/>
              </w:rPr>
            </w:pPr>
            <w:r>
              <w:rPr>
                <w:i/>
                <w:w w:val="95"/>
                <w:sz w:val="14"/>
              </w:rPr>
              <w:t>-0.3%</w:t>
            </w:r>
          </w:p>
        </w:tc>
        <w:tc>
          <w:tcPr>
            <w:tcW w:w="1176" w:type="dxa"/>
          </w:tcPr>
          <w:p>
            <w:pPr>
              <w:pStyle w:val="TableParagraph"/>
              <w:spacing w:line="154" w:lineRule="exact" w:before="5"/>
              <w:ind w:left="244"/>
              <w:rPr>
                <w:b/>
                <w:sz w:val="14"/>
              </w:rPr>
            </w:pPr>
            <w:r>
              <w:rPr>
                <w:b/>
                <w:sz w:val="14"/>
              </w:rPr>
              <w:t>(239,000)</w:t>
            </w:r>
          </w:p>
        </w:tc>
        <w:tc>
          <w:tcPr>
            <w:tcW w:w="807" w:type="dxa"/>
          </w:tcPr>
          <w:p>
            <w:pPr>
              <w:pStyle w:val="TableParagraph"/>
              <w:spacing w:line="154" w:lineRule="exact" w:before="5"/>
              <w:ind w:left="214" w:right="187"/>
              <w:jc w:val="center"/>
              <w:rPr>
                <w:i/>
                <w:sz w:val="14"/>
              </w:rPr>
            </w:pPr>
            <w:r>
              <w:rPr>
                <w:i/>
                <w:sz w:val="14"/>
              </w:rPr>
              <w:t>-0.5%</w:t>
            </w:r>
          </w:p>
        </w:tc>
        <w:tc>
          <w:tcPr>
            <w:tcW w:w="1173" w:type="dxa"/>
          </w:tcPr>
          <w:p>
            <w:pPr>
              <w:pStyle w:val="TableParagraph"/>
              <w:spacing w:line="154" w:lineRule="exact" w:before="5"/>
              <w:ind w:right="277"/>
              <w:jc w:val="right"/>
              <w:rPr>
                <w:b/>
                <w:sz w:val="14"/>
              </w:rPr>
            </w:pPr>
            <w:r>
              <w:rPr>
                <w:b/>
                <w:w w:val="95"/>
                <w:sz w:val="14"/>
              </w:rPr>
              <w:t>(420,000)</w:t>
            </w:r>
          </w:p>
        </w:tc>
        <w:tc>
          <w:tcPr>
            <w:tcW w:w="632" w:type="dxa"/>
          </w:tcPr>
          <w:p>
            <w:pPr>
              <w:pStyle w:val="TableParagraph"/>
              <w:spacing w:line="154" w:lineRule="exact" w:before="5"/>
              <w:ind w:right="29"/>
              <w:jc w:val="right"/>
              <w:rPr>
                <w:i/>
                <w:sz w:val="14"/>
              </w:rPr>
            </w:pPr>
            <w:r>
              <w:rPr>
                <w:i/>
                <w:w w:val="95"/>
                <w:sz w:val="14"/>
              </w:rPr>
              <w:t>-0.7%</w:t>
            </w:r>
          </w:p>
        </w:tc>
      </w:tr>
      <w:tr>
        <w:trPr>
          <w:trHeight w:val="180" w:hRule="atLeast"/>
        </w:trPr>
        <w:tc>
          <w:tcPr>
            <w:tcW w:w="3876" w:type="dxa"/>
          </w:tcPr>
          <w:p>
            <w:pPr>
              <w:pStyle w:val="TableParagraph"/>
              <w:spacing w:line="152" w:lineRule="exact" w:before="8"/>
              <w:ind w:left="548"/>
              <w:rPr>
                <w:sz w:val="14"/>
              </w:rPr>
            </w:pPr>
            <w:r>
              <w:rPr>
                <w:sz w:val="14"/>
              </w:rPr>
              <w:t>CSE and Other Roads Contractors Bonds</w:t>
            </w:r>
          </w:p>
        </w:tc>
        <w:tc>
          <w:tcPr>
            <w:tcW w:w="1459" w:type="dxa"/>
          </w:tcPr>
          <w:p>
            <w:pPr>
              <w:pStyle w:val="TableParagraph"/>
              <w:spacing w:line="152" w:lineRule="exact" w:before="8"/>
              <w:ind w:right="261"/>
              <w:jc w:val="right"/>
              <w:rPr>
                <w:i/>
                <w:sz w:val="14"/>
              </w:rPr>
            </w:pPr>
            <w:r>
              <w:rPr>
                <w:i/>
                <w:w w:val="99"/>
                <w:sz w:val="14"/>
              </w:rPr>
              <w:t>0</w:t>
            </w:r>
          </w:p>
        </w:tc>
        <w:tc>
          <w:tcPr>
            <w:tcW w:w="910" w:type="dxa"/>
          </w:tcPr>
          <w:p>
            <w:pPr>
              <w:pStyle w:val="TableParagraph"/>
              <w:spacing w:line="152" w:lineRule="exact" w:before="8"/>
              <w:ind w:left="191" w:right="84"/>
              <w:jc w:val="center"/>
              <w:rPr>
                <w:sz w:val="14"/>
              </w:rPr>
            </w:pPr>
            <w:r>
              <w:rPr>
                <w:sz w:val="14"/>
              </w:rPr>
              <w:t>0 . 0 %</w:t>
            </w:r>
          </w:p>
        </w:tc>
        <w:tc>
          <w:tcPr>
            <w:tcW w:w="1140" w:type="dxa"/>
          </w:tcPr>
          <w:p>
            <w:pPr>
              <w:pStyle w:val="TableParagraph"/>
              <w:spacing w:line="152" w:lineRule="exact" w:before="8"/>
              <w:ind w:right="209"/>
              <w:jc w:val="right"/>
              <w:rPr>
                <w:sz w:val="14"/>
              </w:rPr>
            </w:pPr>
            <w:r>
              <w:rPr>
                <w:w w:val="99"/>
                <w:sz w:val="14"/>
              </w:rPr>
              <w:t>-</w:t>
            </w:r>
          </w:p>
        </w:tc>
        <w:tc>
          <w:tcPr>
            <w:tcW w:w="841" w:type="dxa"/>
          </w:tcPr>
          <w:p>
            <w:pPr>
              <w:pStyle w:val="TableParagraph"/>
              <w:spacing w:line="152" w:lineRule="exact" w:before="8"/>
              <w:ind w:right="263"/>
              <w:jc w:val="right"/>
              <w:rPr>
                <w:i/>
                <w:sz w:val="14"/>
              </w:rPr>
            </w:pPr>
            <w:r>
              <w:rPr>
                <w:i/>
                <w:w w:val="95"/>
                <w:sz w:val="14"/>
              </w:rPr>
              <w:t>0.0%</w:t>
            </w:r>
          </w:p>
        </w:tc>
        <w:tc>
          <w:tcPr>
            <w:tcW w:w="1291" w:type="dxa"/>
          </w:tcPr>
          <w:p>
            <w:pPr>
              <w:pStyle w:val="TableParagraph"/>
              <w:spacing w:line="152" w:lineRule="exact" w:before="8"/>
              <w:ind w:right="336"/>
              <w:jc w:val="right"/>
              <w:rPr>
                <w:b/>
                <w:sz w:val="14"/>
              </w:rPr>
            </w:pPr>
            <w:r>
              <w:rPr>
                <w:b/>
                <w:w w:val="95"/>
                <w:sz w:val="14"/>
              </w:rPr>
              <w:t>(212,000)</w:t>
            </w:r>
          </w:p>
        </w:tc>
        <w:tc>
          <w:tcPr>
            <w:tcW w:w="865" w:type="dxa"/>
          </w:tcPr>
          <w:p>
            <w:pPr>
              <w:pStyle w:val="TableParagraph"/>
              <w:spacing w:line="152" w:lineRule="exact" w:before="8"/>
              <w:ind w:right="211"/>
              <w:jc w:val="right"/>
              <w:rPr>
                <w:i/>
                <w:sz w:val="14"/>
              </w:rPr>
            </w:pPr>
            <w:r>
              <w:rPr>
                <w:i/>
                <w:w w:val="95"/>
                <w:sz w:val="14"/>
              </w:rPr>
              <w:t>-0.5%</w:t>
            </w:r>
          </w:p>
        </w:tc>
        <w:tc>
          <w:tcPr>
            <w:tcW w:w="1176" w:type="dxa"/>
          </w:tcPr>
          <w:p>
            <w:pPr>
              <w:pStyle w:val="TableParagraph"/>
              <w:spacing w:line="152" w:lineRule="exact" w:before="8"/>
              <w:ind w:left="244"/>
              <w:rPr>
                <w:b/>
                <w:sz w:val="14"/>
              </w:rPr>
            </w:pPr>
            <w:r>
              <w:rPr>
                <w:b/>
                <w:sz w:val="14"/>
              </w:rPr>
              <w:t>(212,000)</w:t>
            </w:r>
          </w:p>
        </w:tc>
        <w:tc>
          <w:tcPr>
            <w:tcW w:w="807" w:type="dxa"/>
          </w:tcPr>
          <w:p>
            <w:pPr>
              <w:pStyle w:val="TableParagraph"/>
              <w:spacing w:line="152" w:lineRule="exact" w:before="8"/>
              <w:ind w:left="214" w:right="187"/>
              <w:jc w:val="center"/>
              <w:rPr>
                <w:i/>
                <w:sz w:val="14"/>
              </w:rPr>
            </w:pPr>
            <w:r>
              <w:rPr>
                <w:i/>
                <w:sz w:val="14"/>
              </w:rPr>
              <w:t>-0.4%</w:t>
            </w:r>
          </w:p>
        </w:tc>
        <w:tc>
          <w:tcPr>
            <w:tcW w:w="1173" w:type="dxa"/>
          </w:tcPr>
          <w:p>
            <w:pPr>
              <w:pStyle w:val="TableParagraph"/>
              <w:spacing w:line="152" w:lineRule="exact" w:before="8"/>
              <w:ind w:right="277"/>
              <w:jc w:val="right"/>
              <w:rPr>
                <w:b/>
                <w:sz w:val="14"/>
              </w:rPr>
            </w:pPr>
            <w:r>
              <w:rPr>
                <w:b/>
                <w:w w:val="95"/>
                <w:sz w:val="14"/>
              </w:rPr>
              <w:t>(212,000)</w:t>
            </w:r>
          </w:p>
        </w:tc>
        <w:tc>
          <w:tcPr>
            <w:tcW w:w="632" w:type="dxa"/>
          </w:tcPr>
          <w:p>
            <w:pPr>
              <w:pStyle w:val="TableParagraph"/>
              <w:spacing w:line="152" w:lineRule="exact" w:before="8"/>
              <w:ind w:right="29"/>
              <w:jc w:val="right"/>
              <w:rPr>
                <w:i/>
                <w:sz w:val="14"/>
              </w:rPr>
            </w:pPr>
            <w:r>
              <w:rPr>
                <w:i/>
                <w:w w:val="95"/>
                <w:sz w:val="14"/>
              </w:rPr>
              <w:t>-0.4%</w:t>
            </w:r>
          </w:p>
        </w:tc>
      </w:tr>
      <w:tr>
        <w:trPr>
          <w:trHeight w:val="180" w:hRule="atLeast"/>
        </w:trPr>
        <w:tc>
          <w:tcPr>
            <w:tcW w:w="3876" w:type="dxa"/>
          </w:tcPr>
          <w:p>
            <w:pPr>
              <w:pStyle w:val="TableParagraph"/>
              <w:spacing w:line="154" w:lineRule="exact" w:before="5"/>
              <w:ind w:left="548"/>
              <w:rPr>
                <w:sz w:val="14"/>
              </w:rPr>
            </w:pPr>
            <w:r>
              <w:rPr>
                <w:sz w:val="14"/>
              </w:rPr>
              <w:t>Principal Repayment of Audited Arrears</w:t>
            </w:r>
          </w:p>
        </w:tc>
        <w:tc>
          <w:tcPr>
            <w:tcW w:w="1459" w:type="dxa"/>
          </w:tcPr>
          <w:p>
            <w:pPr>
              <w:pStyle w:val="TableParagraph"/>
              <w:spacing w:line="154" w:lineRule="exact" w:before="5"/>
              <w:ind w:right="261"/>
              <w:jc w:val="right"/>
              <w:rPr>
                <w:i/>
                <w:sz w:val="14"/>
              </w:rPr>
            </w:pPr>
            <w:r>
              <w:rPr>
                <w:i/>
                <w:w w:val="99"/>
                <w:sz w:val="14"/>
              </w:rPr>
              <w:t>0</w:t>
            </w:r>
          </w:p>
        </w:tc>
        <w:tc>
          <w:tcPr>
            <w:tcW w:w="910" w:type="dxa"/>
          </w:tcPr>
          <w:p>
            <w:pPr>
              <w:pStyle w:val="TableParagraph"/>
              <w:spacing w:line="154" w:lineRule="exact" w:before="5"/>
              <w:ind w:left="191" w:right="84"/>
              <w:jc w:val="center"/>
              <w:rPr>
                <w:sz w:val="14"/>
              </w:rPr>
            </w:pPr>
            <w:r>
              <w:rPr>
                <w:sz w:val="14"/>
              </w:rPr>
              <w:t>0 . 0 %</w:t>
            </w:r>
          </w:p>
        </w:tc>
        <w:tc>
          <w:tcPr>
            <w:tcW w:w="1140" w:type="dxa"/>
          </w:tcPr>
          <w:p>
            <w:pPr>
              <w:pStyle w:val="TableParagraph"/>
              <w:spacing w:line="154" w:lineRule="exact" w:before="5"/>
              <w:ind w:right="209"/>
              <w:jc w:val="right"/>
              <w:rPr>
                <w:sz w:val="14"/>
              </w:rPr>
            </w:pPr>
            <w:r>
              <w:rPr>
                <w:w w:val="99"/>
                <w:sz w:val="14"/>
              </w:rPr>
              <w:t>-</w:t>
            </w:r>
          </w:p>
        </w:tc>
        <w:tc>
          <w:tcPr>
            <w:tcW w:w="841" w:type="dxa"/>
          </w:tcPr>
          <w:p>
            <w:pPr>
              <w:pStyle w:val="TableParagraph"/>
              <w:spacing w:line="154" w:lineRule="exact" w:before="5"/>
              <w:ind w:right="263"/>
              <w:jc w:val="right"/>
              <w:rPr>
                <w:i/>
                <w:sz w:val="14"/>
              </w:rPr>
            </w:pPr>
            <w:r>
              <w:rPr>
                <w:i/>
                <w:w w:val="95"/>
                <w:sz w:val="14"/>
              </w:rPr>
              <w:t>0.0%</w:t>
            </w:r>
          </w:p>
        </w:tc>
        <w:tc>
          <w:tcPr>
            <w:tcW w:w="1291" w:type="dxa"/>
          </w:tcPr>
          <w:p>
            <w:pPr>
              <w:pStyle w:val="TableParagraph"/>
              <w:spacing w:line="154" w:lineRule="exact" w:before="5"/>
              <w:ind w:right="327"/>
              <w:jc w:val="right"/>
              <w:rPr>
                <w:b/>
                <w:sz w:val="14"/>
              </w:rPr>
            </w:pPr>
            <w:r>
              <w:rPr>
                <w:b/>
                <w:sz w:val="14"/>
              </w:rPr>
              <w:t>(19,000)</w:t>
            </w:r>
          </w:p>
        </w:tc>
        <w:tc>
          <w:tcPr>
            <w:tcW w:w="865" w:type="dxa"/>
          </w:tcPr>
          <w:p>
            <w:pPr>
              <w:pStyle w:val="TableParagraph"/>
              <w:spacing w:line="154" w:lineRule="exact" w:before="5"/>
              <w:ind w:right="206"/>
              <w:jc w:val="right"/>
              <w:rPr>
                <w:i/>
                <w:sz w:val="14"/>
              </w:rPr>
            </w:pPr>
            <w:r>
              <w:rPr>
                <w:i/>
                <w:w w:val="95"/>
                <w:sz w:val="14"/>
              </w:rPr>
              <w:t>0.0%</w:t>
            </w:r>
          </w:p>
        </w:tc>
        <w:tc>
          <w:tcPr>
            <w:tcW w:w="1176" w:type="dxa"/>
          </w:tcPr>
          <w:p>
            <w:pPr>
              <w:pStyle w:val="TableParagraph"/>
              <w:spacing w:line="154" w:lineRule="exact" w:before="5"/>
              <w:ind w:left="336"/>
              <w:rPr>
                <w:b/>
                <w:sz w:val="14"/>
              </w:rPr>
            </w:pPr>
            <w:r>
              <w:rPr>
                <w:b/>
                <w:sz w:val="14"/>
              </w:rPr>
              <w:t>(25,000)</w:t>
            </w:r>
          </w:p>
        </w:tc>
        <w:tc>
          <w:tcPr>
            <w:tcW w:w="807" w:type="dxa"/>
          </w:tcPr>
          <w:p>
            <w:pPr>
              <w:pStyle w:val="TableParagraph"/>
              <w:spacing w:line="154" w:lineRule="exact" w:before="5"/>
              <w:ind w:left="214" w:right="143"/>
              <w:jc w:val="center"/>
              <w:rPr>
                <w:i/>
                <w:sz w:val="14"/>
              </w:rPr>
            </w:pPr>
            <w:r>
              <w:rPr>
                <w:i/>
                <w:sz w:val="14"/>
              </w:rPr>
              <w:t>0.0%</w:t>
            </w:r>
          </w:p>
        </w:tc>
        <w:tc>
          <w:tcPr>
            <w:tcW w:w="1173" w:type="dxa"/>
          </w:tcPr>
          <w:p>
            <w:pPr>
              <w:pStyle w:val="TableParagraph"/>
              <w:spacing w:line="154" w:lineRule="exact" w:before="5"/>
              <w:ind w:right="268"/>
              <w:jc w:val="right"/>
              <w:rPr>
                <w:b/>
                <w:sz w:val="14"/>
              </w:rPr>
            </w:pPr>
            <w:r>
              <w:rPr>
                <w:b/>
                <w:w w:val="95"/>
                <w:sz w:val="14"/>
              </w:rPr>
              <w:t>(30,000)</w:t>
            </w:r>
          </w:p>
        </w:tc>
        <w:tc>
          <w:tcPr>
            <w:tcW w:w="632" w:type="dxa"/>
          </w:tcPr>
          <w:p>
            <w:pPr>
              <w:pStyle w:val="TableParagraph"/>
              <w:spacing w:line="154" w:lineRule="exact" w:before="5"/>
              <w:ind w:right="29"/>
              <w:jc w:val="right"/>
              <w:rPr>
                <w:i/>
                <w:sz w:val="14"/>
              </w:rPr>
            </w:pPr>
            <w:r>
              <w:rPr>
                <w:i/>
                <w:w w:val="95"/>
                <w:sz w:val="14"/>
              </w:rPr>
              <w:t>-0.1%</w:t>
            </w:r>
          </w:p>
        </w:tc>
      </w:tr>
      <w:tr>
        <w:trPr>
          <w:trHeight w:val="180" w:hRule="atLeast"/>
        </w:trPr>
        <w:tc>
          <w:tcPr>
            <w:tcW w:w="3876" w:type="dxa"/>
          </w:tcPr>
          <w:p>
            <w:pPr>
              <w:pStyle w:val="TableParagraph"/>
              <w:spacing w:line="152" w:lineRule="exact" w:before="8"/>
              <w:ind w:left="548"/>
              <w:rPr>
                <w:sz w:val="14"/>
              </w:rPr>
            </w:pPr>
            <w:r>
              <w:rPr>
                <w:sz w:val="14"/>
              </w:rPr>
              <w:t>Ways and Means Advances</w:t>
            </w:r>
          </w:p>
        </w:tc>
        <w:tc>
          <w:tcPr>
            <w:tcW w:w="1459" w:type="dxa"/>
          </w:tcPr>
          <w:p>
            <w:pPr>
              <w:pStyle w:val="TableParagraph"/>
              <w:spacing w:line="152" w:lineRule="exact" w:before="8"/>
              <w:ind w:right="270"/>
              <w:jc w:val="right"/>
              <w:rPr>
                <w:i/>
                <w:sz w:val="14"/>
              </w:rPr>
            </w:pPr>
            <w:r>
              <w:rPr>
                <w:i/>
                <w:w w:val="95"/>
                <w:sz w:val="14"/>
              </w:rPr>
              <w:t>(44,788)</w:t>
            </w:r>
          </w:p>
        </w:tc>
        <w:tc>
          <w:tcPr>
            <w:tcW w:w="910" w:type="dxa"/>
          </w:tcPr>
          <w:p>
            <w:pPr>
              <w:pStyle w:val="TableParagraph"/>
              <w:spacing w:line="152" w:lineRule="exact" w:before="8"/>
              <w:ind w:left="191" w:right="141"/>
              <w:jc w:val="center"/>
              <w:rPr>
                <w:sz w:val="14"/>
              </w:rPr>
            </w:pPr>
            <w:r>
              <w:rPr>
                <w:sz w:val="14"/>
              </w:rPr>
              <w:t>- 0 . 1 %</w:t>
            </w:r>
          </w:p>
        </w:tc>
        <w:tc>
          <w:tcPr>
            <w:tcW w:w="1140" w:type="dxa"/>
          </w:tcPr>
          <w:p>
            <w:pPr>
              <w:pStyle w:val="TableParagraph"/>
              <w:spacing w:line="152" w:lineRule="exact" w:before="8"/>
              <w:ind w:right="232"/>
              <w:jc w:val="right"/>
              <w:rPr>
                <w:sz w:val="14"/>
              </w:rPr>
            </w:pPr>
            <w:r>
              <w:rPr>
                <w:sz w:val="14"/>
              </w:rPr>
              <w:t>138,755</w:t>
            </w:r>
          </w:p>
        </w:tc>
        <w:tc>
          <w:tcPr>
            <w:tcW w:w="841" w:type="dxa"/>
          </w:tcPr>
          <w:p>
            <w:pPr>
              <w:pStyle w:val="TableParagraph"/>
              <w:spacing w:line="152" w:lineRule="exact" w:before="8"/>
              <w:ind w:right="263"/>
              <w:jc w:val="right"/>
              <w:rPr>
                <w:i/>
                <w:sz w:val="14"/>
              </w:rPr>
            </w:pPr>
            <w:r>
              <w:rPr>
                <w:i/>
                <w:w w:val="95"/>
                <w:sz w:val="14"/>
              </w:rPr>
              <w:t>0.4%</w:t>
            </w:r>
          </w:p>
        </w:tc>
        <w:tc>
          <w:tcPr>
            <w:tcW w:w="1291" w:type="dxa"/>
          </w:tcPr>
          <w:p>
            <w:pPr>
              <w:pStyle w:val="TableParagraph"/>
              <w:spacing w:line="152" w:lineRule="exact" w:before="8"/>
              <w:ind w:right="338"/>
              <w:jc w:val="right"/>
              <w:rPr>
                <w:b/>
                <w:sz w:val="14"/>
              </w:rPr>
            </w:pPr>
            <w:r>
              <w:rPr>
                <w:b/>
                <w:w w:val="95"/>
                <w:sz w:val="14"/>
              </w:rPr>
              <w:t>47,550</w:t>
            </w:r>
          </w:p>
        </w:tc>
        <w:tc>
          <w:tcPr>
            <w:tcW w:w="865" w:type="dxa"/>
          </w:tcPr>
          <w:p>
            <w:pPr>
              <w:pStyle w:val="TableParagraph"/>
              <w:spacing w:line="152" w:lineRule="exact" w:before="8"/>
              <w:ind w:right="206"/>
              <w:jc w:val="right"/>
              <w:rPr>
                <w:i/>
                <w:sz w:val="14"/>
              </w:rPr>
            </w:pPr>
            <w:r>
              <w:rPr>
                <w:i/>
                <w:w w:val="95"/>
                <w:sz w:val="14"/>
              </w:rPr>
              <w:t>0.1%</w:t>
            </w:r>
          </w:p>
        </w:tc>
        <w:tc>
          <w:tcPr>
            <w:tcW w:w="1176" w:type="dxa"/>
          </w:tcPr>
          <w:p>
            <w:pPr>
              <w:pStyle w:val="TableParagraph"/>
              <w:spacing w:line="152" w:lineRule="exact" w:before="8"/>
              <w:ind w:left="430"/>
              <w:rPr>
                <w:b/>
                <w:sz w:val="14"/>
              </w:rPr>
            </w:pPr>
            <w:r>
              <w:rPr>
                <w:b/>
                <w:sz w:val="14"/>
              </w:rPr>
              <w:t>47,691</w:t>
            </w:r>
          </w:p>
        </w:tc>
        <w:tc>
          <w:tcPr>
            <w:tcW w:w="807" w:type="dxa"/>
          </w:tcPr>
          <w:p>
            <w:pPr>
              <w:pStyle w:val="TableParagraph"/>
              <w:spacing w:line="152" w:lineRule="exact" w:before="8"/>
              <w:ind w:left="214" w:right="143"/>
              <w:jc w:val="center"/>
              <w:rPr>
                <w:i/>
                <w:sz w:val="14"/>
              </w:rPr>
            </w:pPr>
            <w:r>
              <w:rPr>
                <w:i/>
                <w:sz w:val="14"/>
              </w:rPr>
              <w:t>0.1%</w:t>
            </w:r>
          </w:p>
        </w:tc>
        <w:tc>
          <w:tcPr>
            <w:tcW w:w="1173" w:type="dxa"/>
          </w:tcPr>
          <w:p>
            <w:pPr>
              <w:pStyle w:val="TableParagraph"/>
              <w:spacing w:line="152" w:lineRule="exact" w:before="8"/>
              <w:ind w:right="274"/>
              <w:jc w:val="right"/>
              <w:rPr>
                <w:b/>
                <w:sz w:val="14"/>
              </w:rPr>
            </w:pPr>
            <w:r>
              <w:rPr>
                <w:b/>
                <w:w w:val="95"/>
                <w:sz w:val="14"/>
              </w:rPr>
              <w:t>50,984</w:t>
            </w:r>
          </w:p>
        </w:tc>
        <w:tc>
          <w:tcPr>
            <w:tcW w:w="632" w:type="dxa"/>
          </w:tcPr>
          <w:p>
            <w:pPr>
              <w:pStyle w:val="TableParagraph"/>
              <w:spacing w:line="152" w:lineRule="exact" w:before="8"/>
              <w:ind w:right="24"/>
              <w:jc w:val="right"/>
              <w:rPr>
                <w:i/>
                <w:sz w:val="14"/>
              </w:rPr>
            </w:pPr>
            <w:r>
              <w:rPr>
                <w:i/>
                <w:w w:val="95"/>
                <w:sz w:val="14"/>
              </w:rPr>
              <w:t>0.1%</w:t>
            </w:r>
          </w:p>
        </w:tc>
      </w:tr>
      <w:tr>
        <w:trPr>
          <w:trHeight w:val="180" w:hRule="atLeast"/>
        </w:trPr>
        <w:tc>
          <w:tcPr>
            <w:tcW w:w="3876" w:type="dxa"/>
          </w:tcPr>
          <w:p>
            <w:pPr>
              <w:pStyle w:val="TableParagraph"/>
              <w:spacing w:line="154" w:lineRule="exact" w:before="5"/>
              <w:ind w:left="548"/>
              <w:rPr>
                <w:sz w:val="14"/>
              </w:rPr>
            </w:pPr>
            <w:r>
              <w:rPr>
                <w:sz w:val="14"/>
              </w:rPr>
              <w:t>Securities</w:t>
            </w:r>
          </w:p>
        </w:tc>
        <w:tc>
          <w:tcPr>
            <w:tcW w:w="1459" w:type="dxa"/>
          </w:tcPr>
          <w:p>
            <w:pPr>
              <w:pStyle w:val="TableParagraph"/>
              <w:spacing w:line="154" w:lineRule="exact" w:before="5"/>
              <w:ind w:right="280"/>
              <w:jc w:val="right"/>
              <w:rPr>
                <w:i/>
                <w:sz w:val="14"/>
              </w:rPr>
            </w:pPr>
            <w:r>
              <w:rPr>
                <w:i/>
                <w:sz w:val="14"/>
              </w:rPr>
              <w:t>168,256</w:t>
            </w:r>
          </w:p>
        </w:tc>
        <w:tc>
          <w:tcPr>
            <w:tcW w:w="910" w:type="dxa"/>
          </w:tcPr>
          <w:p>
            <w:pPr>
              <w:pStyle w:val="TableParagraph"/>
              <w:spacing w:line="154" w:lineRule="exact" w:before="5"/>
              <w:ind w:left="191" w:right="84"/>
              <w:jc w:val="center"/>
              <w:rPr>
                <w:sz w:val="14"/>
              </w:rPr>
            </w:pPr>
            <w:r>
              <w:rPr>
                <w:sz w:val="14"/>
              </w:rPr>
              <w:t>0 . 5 %</w:t>
            </w:r>
          </w:p>
        </w:tc>
        <w:tc>
          <w:tcPr>
            <w:tcW w:w="1140" w:type="dxa"/>
          </w:tcPr>
          <w:p>
            <w:pPr>
              <w:pStyle w:val="TableParagraph"/>
              <w:spacing w:line="154" w:lineRule="exact" w:before="5"/>
              <w:ind w:right="232"/>
              <w:jc w:val="right"/>
              <w:rPr>
                <w:sz w:val="14"/>
              </w:rPr>
            </w:pPr>
            <w:r>
              <w:rPr>
                <w:sz w:val="14"/>
              </w:rPr>
              <w:t>195,263</w:t>
            </w:r>
          </w:p>
        </w:tc>
        <w:tc>
          <w:tcPr>
            <w:tcW w:w="841" w:type="dxa"/>
          </w:tcPr>
          <w:p>
            <w:pPr>
              <w:pStyle w:val="TableParagraph"/>
              <w:spacing w:line="154" w:lineRule="exact" w:before="5"/>
              <w:ind w:right="263"/>
              <w:jc w:val="right"/>
              <w:rPr>
                <w:i/>
                <w:sz w:val="14"/>
              </w:rPr>
            </w:pPr>
            <w:r>
              <w:rPr>
                <w:i/>
                <w:w w:val="95"/>
                <w:sz w:val="14"/>
              </w:rPr>
              <w:t>0.5%</w:t>
            </w:r>
          </w:p>
        </w:tc>
        <w:tc>
          <w:tcPr>
            <w:tcW w:w="1291" w:type="dxa"/>
          </w:tcPr>
          <w:p>
            <w:pPr>
              <w:pStyle w:val="TableParagraph"/>
              <w:spacing w:line="154" w:lineRule="exact" w:before="5"/>
              <w:ind w:right="342"/>
              <w:jc w:val="right"/>
              <w:rPr>
                <w:b/>
                <w:sz w:val="14"/>
              </w:rPr>
            </w:pPr>
            <w:r>
              <w:rPr>
                <w:b/>
                <w:w w:val="95"/>
                <w:sz w:val="14"/>
              </w:rPr>
              <w:t>195,832</w:t>
            </w:r>
          </w:p>
        </w:tc>
        <w:tc>
          <w:tcPr>
            <w:tcW w:w="865" w:type="dxa"/>
          </w:tcPr>
          <w:p>
            <w:pPr>
              <w:pStyle w:val="TableParagraph"/>
              <w:spacing w:line="154" w:lineRule="exact" w:before="5"/>
              <w:ind w:right="206"/>
              <w:jc w:val="right"/>
              <w:rPr>
                <w:i/>
                <w:sz w:val="14"/>
              </w:rPr>
            </w:pPr>
            <w:r>
              <w:rPr>
                <w:i/>
                <w:w w:val="95"/>
                <w:sz w:val="14"/>
              </w:rPr>
              <w:t>0.4%</w:t>
            </w:r>
          </w:p>
        </w:tc>
        <w:tc>
          <w:tcPr>
            <w:tcW w:w="1176" w:type="dxa"/>
          </w:tcPr>
          <w:p>
            <w:pPr>
              <w:pStyle w:val="TableParagraph"/>
              <w:spacing w:line="154" w:lineRule="exact" w:before="5"/>
              <w:ind w:left="332"/>
              <w:rPr>
                <w:b/>
                <w:sz w:val="14"/>
              </w:rPr>
            </w:pPr>
            <w:r>
              <w:rPr>
                <w:b/>
                <w:sz w:val="14"/>
              </w:rPr>
              <w:t>438,116</w:t>
            </w:r>
          </w:p>
        </w:tc>
        <w:tc>
          <w:tcPr>
            <w:tcW w:w="807" w:type="dxa"/>
          </w:tcPr>
          <w:p>
            <w:pPr>
              <w:pStyle w:val="TableParagraph"/>
              <w:spacing w:line="154" w:lineRule="exact" w:before="5"/>
              <w:ind w:left="214" w:right="143"/>
              <w:jc w:val="center"/>
              <w:rPr>
                <w:i/>
                <w:sz w:val="14"/>
              </w:rPr>
            </w:pPr>
            <w:r>
              <w:rPr>
                <w:i/>
                <w:sz w:val="14"/>
              </w:rPr>
              <w:t>0.9%</w:t>
            </w:r>
          </w:p>
        </w:tc>
        <w:tc>
          <w:tcPr>
            <w:tcW w:w="1173" w:type="dxa"/>
          </w:tcPr>
          <w:p>
            <w:pPr>
              <w:pStyle w:val="TableParagraph"/>
              <w:spacing w:line="154" w:lineRule="exact" w:before="5"/>
              <w:ind w:right="283"/>
              <w:jc w:val="right"/>
              <w:rPr>
                <w:b/>
                <w:sz w:val="14"/>
              </w:rPr>
            </w:pPr>
            <w:r>
              <w:rPr>
                <w:b/>
                <w:w w:val="95"/>
                <w:sz w:val="14"/>
              </w:rPr>
              <w:t>324,296</w:t>
            </w:r>
          </w:p>
        </w:tc>
        <w:tc>
          <w:tcPr>
            <w:tcW w:w="632" w:type="dxa"/>
          </w:tcPr>
          <w:p>
            <w:pPr>
              <w:pStyle w:val="TableParagraph"/>
              <w:spacing w:line="154" w:lineRule="exact" w:before="5"/>
              <w:ind w:right="24"/>
              <w:jc w:val="right"/>
              <w:rPr>
                <w:i/>
                <w:sz w:val="14"/>
              </w:rPr>
            </w:pPr>
            <w:r>
              <w:rPr>
                <w:i/>
                <w:w w:val="95"/>
                <w:sz w:val="14"/>
              </w:rPr>
              <w:t>0.6%</w:t>
            </w:r>
          </w:p>
        </w:tc>
      </w:tr>
      <w:tr>
        <w:trPr>
          <w:trHeight w:val="180" w:hRule="atLeast"/>
        </w:trPr>
        <w:tc>
          <w:tcPr>
            <w:tcW w:w="3876" w:type="dxa"/>
          </w:tcPr>
          <w:p>
            <w:pPr>
              <w:pStyle w:val="TableParagraph"/>
              <w:spacing w:line="152" w:lineRule="exact" w:before="8"/>
              <w:ind w:left="549"/>
              <w:rPr>
                <w:sz w:val="14"/>
              </w:rPr>
            </w:pPr>
            <w:r>
              <w:rPr>
                <w:sz w:val="14"/>
              </w:rPr>
              <w:t>Budget Support Bridge Financing</w:t>
            </w:r>
          </w:p>
        </w:tc>
        <w:tc>
          <w:tcPr>
            <w:tcW w:w="1459" w:type="dxa"/>
          </w:tcPr>
          <w:p>
            <w:pPr>
              <w:pStyle w:val="TableParagraph"/>
              <w:spacing w:line="152" w:lineRule="exact" w:before="8"/>
              <w:ind w:right="275"/>
              <w:jc w:val="right"/>
              <w:rPr>
                <w:i/>
                <w:sz w:val="14"/>
              </w:rPr>
            </w:pPr>
            <w:r>
              <w:rPr>
                <w:i/>
                <w:w w:val="95"/>
                <w:sz w:val="14"/>
              </w:rPr>
              <w:t>247,019</w:t>
            </w:r>
          </w:p>
        </w:tc>
        <w:tc>
          <w:tcPr>
            <w:tcW w:w="910" w:type="dxa"/>
          </w:tcPr>
          <w:p>
            <w:pPr>
              <w:pStyle w:val="TableParagraph"/>
              <w:spacing w:line="152" w:lineRule="exact" w:before="8"/>
              <w:ind w:left="191" w:right="84"/>
              <w:jc w:val="center"/>
              <w:rPr>
                <w:sz w:val="14"/>
              </w:rPr>
            </w:pPr>
            <w:r>
              <w:rPr>
                <w:sz w:val="14"/>
              </w:rPr>
              <w:t>0 . 8 %</w:t>
            </w:r>
          </w:p>
        </w:tc>
        <w:tc>
          <w:tcPr>
            <w:tcW w:w="1140" w:type="dxa"/>
          </w:tcPr>
          <w:p>
            <w:pPr>
              <w:pStyle w:val="TableParagraph"/>
              <w:spacing w:line="152" w:lineRule="exact" w:before="8"/>
              <w:ind w:left="271"/>
              <w:rPr>
                <w:sz w:val="14"/>
              </w:rPr>
            </w:pPr>
            <w:r>
              <w:rPr>
                <w:sz w:val="14"/>
              </w:rPr>
              <w:t>(247,018)</w:t>
            </w:r>
          </w:p>
        </w:tc>
        <w:tc>
          <w:tcPr>
            <w:tcW w:w="841" w:type="dxa"/>
          </w:tcPr>
          <w:p>
            <w:pPr>
              <w:pStyle w:val="TableParagraph"/>
              <w:spacing w:line="152" w:lineRule="exact" w:before="8"/>
              <w:ind w:right="263"/>
              <w:jc w:val="right"/>
              <w:rPr>
                <w:i/>
                <w:sz w:val="14"/>
              </w:rPr>
            </w:pPr>
            <w:r>
              <w:rPr>
                <w:i/>
                <w:w w:val="95"/>
                <w:sz w:val="14"/>
              </w:rPr>
              <w:t>-0.7%</w:t>
            </w:r>
          </w:p>
        </w:tc>
        <w:tc>
          <w:tcPr>
            <w:tcW w:w="1291" w:type="dxa"/>
          </w:tcPr>
          <w:p>
            <w:pPr>
              <w:pStyle w:val="TableParagraph"/>
              <w:spacing w:line="152" w:lineRule="exact" w:before="8"/>
              <w:ind w:right="282"/>
              <w:jc w:val="right"/>
              <w:rPr>
                <w:b/>
                <w:sz w:val="14"/>
              </w:rPr>
            </w:pPr>
            <w:r>
              <w:rPr>
                <w:b/>
                <w:w w:val="99"/>
                <w:sz w:val="14"/>
              </w:rPr>
              <w:t>-</w:t>
            </w:r>
          </w:p>
        </w:tc>
        <w:tc>
          <w:tcPr>
            <w:tcW w:w="865" w:type="dxa"/>
          </w:tcPr>
          <w:p>
            <w:pPr>
              <w:pStyle w:val="TableParagraph"/>
              <w:rPr>
                <w:rFonts w:ascii="Times New Roman"/>
                <w:sz w:val="12"/>
              </w:rPr>
            </w:pPr>
          </w:p>
        </w:tc>
        <w:tc>
          <w:tcPr>
            <w:tcW w:w="1176" w:type="dxa"/>
          </w:tcPr>
          <w:p>
            <w:pPr>
              <w:pStyle w:val="TableParagraph"/>
              <w:spacing w:line="152" w:lineRule="exact" w:before="8"/>
              <w:ind w:right="226"/>
              <w:jc w:val="right"/>
              <w:rPr>
                <w:b/>
                <w:sz w:val="14"/>
              </w:rPr>
            </w:pPr>
            <w:r>
              <w:rPr>
                <w:b/>
                <w:w w:val="99"/>
                <w:sz w:val="14"/>
              </w:rPr>
              <w:t>-</w:t>
            </w:r>
          </w:p>
        </w:tc>
        <w:tc>
          <w:tcPr>
            <w:tcW w:w="807" w:type="dxa"/>
          </w:tcPr>
          <w:p>
            <w:pPr>
              <w:pStyle w:val="TableParagraph"/>
              <w:spacing w:line="152" w:lineRule="exact" w:before="8"/>
              <w:ind w:left="214" w:right="143"/>
              <w:jc w:val="center"/>
              <w:rPr>
                <w:i/>
                <w:sz w:val="14"/>
              </w:rPr>
            </w:pPr>
            <w:r>
              <w:rPr>
                <w:i/>
                <w:sz w:val="14"/>
              </w:rPr>
              <w:t>0.0%</w:t>
            </w:r>
          </w:p>
        </w:tc>
        <w:tc>
          <w:tcPr>
            <w:tcW w:w="1173" w:type="dxa"/>
          </w:tcPr>
          <w:p>
            <w:pPr>
              <w:pStyle w:val="TableParagraph"/>
              <w:spacing w:line="152" w:lineRule="exact" w:before="8"/>
              <w:ind w:right="223"/>
              <w:jc w:val="right"/>
              <w:rPr>
                <w:b/>
                <w:sz w:val="14"/>
              </w:rPr>
            </w:pPr>
            <w:r>
              <w:rPr>
                <w:b/>
                <w:w w:val="99"/>
                <w:sz w:val="14"/>
              </w:rPr>
              <w:t>-</w:t>
            </w:r>
          </w:p>
        </w:tc>
        <w:tc>
          <w:tcPr>
            <w:tcW w:w="632" w:type="dxa"/>
          </w:tcPr>
          <w:p>
            <w:pPr>
              <w:pStyle w:val="TableParagraph"/>
              <w:spacing w:line="152" w:lineRule="exact" w:before="8"/>
              <w:ind w:right="24"/>
              <w:jc w:val="right"/>
              <w:rPr>
                <w:i/>
                <w:sz w:val="14"/>
              </w:rPr>
            </w:pPr>
            <w:r>
              <w:rPr>
                <w:i/>
                <w:w w:val="95"/>
                <w:sz w:val="14"/>
              </w:rPr>
              <w:t>0.0%</w:t>
            </w:r>
          </w:p>
        </w:tc>
      </w:tr>
      <w:tr>
        <w:trPr>
          <w:trHeight w:val="180" w:hRule="atLeast"/>
        </w:trPr>
        <w:tc>
          <w:tcPr>
            <w:tcW w:w="3876" w:type="dxa"/>
          </w:tcPr>
          <w:p>
            <w:pPr>
              <w:pStyle w:val="TableParagraph"/>
              <w:spacing w:line="154" w:lineRule="exact" w:before="5"/>
              <w:ind w:left="375"/>
              <w:rPr>
                <w:sz w:val="14"/>
              </w:rPr>
            </w:pPr>
            <w:r>
              <w:rPr>
                <w:sz w:val="14"/>
              </w:rPr>
              <w:t>Commercial Banks</w:t>
            </w:r>
          </w:p>
        </w:tc>
        <w:tc>
          <w:tcPr>
            <w:tcW w:w="1459" w:type="dxa"/>
          </w:tcPr>
          <w:p>
            <w:pPr>
              <w:pStyle w:val="TableParagraph"/>
              <w:spacing w:line="154" w:lineRule="exact" w:before="5"/>
              <w:ind w:right="280"/>
              <w:jc w:val="right"/>
              <w:rPr>
                <w:i/>
                <w:sz w:val="14"/>
              </w:rPr>
            </w:pPr>
            <w:r>
              <w:rPr>
                <w:i/>
                <w:sz w:val="14"/>
              </w:rPr>
              <w:t>430,729</w:t>
            </w:r>
          </w:p>
        </w:tc>
        <w:tc>
          <w:tcPr>
            <w:tcW w:w="910" w:type="dxa"/>
          </w:tcPr>
          <w:p>
            <w:pPr>
              <w:pStyle w:val="TableParagraph"/>
              <w:spacing w:line="154" w:lineRule="exact" w:before="5"/>
              <w:ind w:left="191" w:right="84"/>
              <w:jc w:val="center"/>
              <w:rPr>
                <w:sz w:val="14"/>
              </w:rPr>
            </w:pPr>
            <w:r>
              <w:rPr>
                <w:sz w:val="14"/>
              </w:rPr>
              <w:t>1 . 3 %</w:t>
            </w:r>
          </w:p>
        </w:tc>
        <w:tc>
          <w:tcPr>
            <w:tcW w:w="1140" w:type="dxa"/>
          </w:tcPr>
          <w:p>
            <w:pPr>
              <w:pStyle w:val="TableParagraph"/>
              <w:spacing w:line="154" w:lineRule="exact" w:before="5"/>
              <w:ind w:right="232"/>
              <w:jc w:val="right"/>
              <w:rPr>
                <w:sz w:val="14"/>
              </w:rPr>
            </w:pPr>
            <w:r>
              <w:rPr>
                <w:sz w:val="14"/>
              </w:rPr>
              <w:t>664,750</w:t>
            </w:r>
          </w:p>
        </w:tc>
        <w:tc>
          <w:tcPr>
            <w:tcW w:w="841" w:type="dxa"/>
          </w:tcPr>
          <w:p>
            <w:pPr>
              <w:pStyle w:val="TableParagraph"/>
              <w:spacing w:line="154" w:lineRule="exact" w:before="5"/>
              <w:ind w:right="263"/>
              <w:jc w:val="right"/>
              <w:rPr>
                <w:i/>
                <w:sz w:val="14"/>
              </w:rPr>
            </w:pPr>
            <w:r>
              <w:rPr>
                <w:i/>
                <w:w w:val="95"/>
                <w:sz w:val="14"/>
              </w:rPr>
              <w:t>1.8%</w:t>
            </w:r>
          </w:p>
        </w:tc>
        <w:tc>
          <w:tcPr>
            <w:tcW w:w="1291" w:type="dxa"/>
          </w:tcPr>
          <w:p>
            <w:pPr>
              <w:pStyle w:val="TableParagraph"/>
              <w:spacing w:line="154" w:lineRule="exact" w:before="5"/>
              <w:ind w:right="355"/>
              <w:jc w:val="right"/>
              <w:rPr>
                <w:b/>
                <w:sz w:val="14"/>
              </w:rPr>
            </w:pPr>
            <w:r>
              <w:rPr>
                <w:b/>
                <w:sz w:val="14"/>
              </w:rPr>
              <w:t>1,324,241</w:t>
            </w:r>
          </w:p>
        </w:tc>
        <w:tc>
          <w:tcPr>
            <w:tcW w:w="865" w:type="dxa"/>
          </w:tcPr>
          <w:p>
            <w:pPr>
              <w:pStyle w:val="TableParagraph"/>
              <w:spacing w:line="154" w:lineRule="exact" w:before="5"/>
              <w:ind w:right="206"/>
              <w:jc w:val="right"/>
              <w:rPr>
                <w:i/>
                <w:sz w:val="14"/>
              </w:rPr>
            </w:pPr>
            <w:r>
              <w:rPr>
                <w:i/>
                <w:w w:val="95"/>
                <w:sz w:val="14"/>
              </w:rPr>
              <w:t>3.0%</w:t>
            </w:r>
          </w:p>
        </w:tc>
        <w:tc>
          <w:tcPr>
            <w:tcW w:w="1176" w:type="dxa"/>
          </w:tcPr>
          <w:p>
            <w:pPr>
              <w:pStyle w:val="TableParagraph"/>
              <w:spacing w:line="154" w:lineRule="exact" w:before="5"/>
              <w:ind w:left="215"/>
              <w:rPr>
                <w:b/>
                <w:sz w:val="14"/>
              </w:rPr>
            </w:pPr>
            <w:r>
              <w:rPr>
                <w:b/>
                <w:sz w:val="14"/>
              </w:rPr>
              <w:t>1,354,781</w:t>
            </w:r>
          </w:p>
        </w:tc>
        <w:tc>
          <w:tcPr>
            <w:tcW w:w="807" w:type="dxa"/>
          </w:tcPr>
          <w:p>
            <w:pPr>
              <w:pStyle w:val="TableParagraph"/>
              <w:spacing w:line="154" w:lineRule="exact" w:before="5"/>
              <w:ind w:left="214" w:right="143"/>
              <w:jc w:val="center"/>
              <w:rPr>
                <w:i/>
                <w:sz w:val="14"/>
              </w:rPr>
            </w:pPr>
            <w:r>
              <w:rPr>
                <w:i/>
                <w:sz w:val="14"/>
              </w:rPr>
              <w:t>2.7%</w:t>
            </w:r>
          </w:p>
        </w:tc>
        <w:tc>
          <w:tcPr>
            <w:tcW w:w="1173" w:type="dxa"/>
          </w:tcPr>
          <w:p>
            <w:pPr>
              <w:pStyle w:val="TableParagraph"/>
              <w:spacing w:line="154" w:lineRule="exact" w:before="5"/>
              <w:ind w:right="291"/>
              <w:jc w:val="right"/>
              <w:rPr>
                <w:b/>
                <w:sz w:val="14"/>
              </w:rPr>
            </w:pPr>
            <w:r>
              <w:rPr>
                <w:b/>
                <w:w w:val="95"/>
                <w:sz w:val="14"/>
              </w:rPr>
              <w:t>1,517,024</w:t>
            </w:r>
          </w:p>
        </w:tc>
        <w:tc>
          <w:tcPr>
            <w:tcW w:w="632" w:type="dxa"/>
          </w:tcPr>
          <w:p>
            <w:pPr>
              <w:pStyle w:val="TableParagraph"/>
              <w:spacing w:line="154" w:lineRule="exact" w:before="5"/>
              <w:ind w:right="24"/>
              <w:jc w:val="right"/>
              <w:rPr>
                <w:i/>
                <w:sz w:val="14"/>
              </w:rPr>
            </w:pPr>
            <w:r>
              <w:rPr>
                <w:i/>
                <w:w w:val="95"/>
                <w:sz w:val="14"/>
              </w:rPr>
              <w:t>2.6%</w:t>
            </w:r>
          </w:p>
        </w:tc>
      </w:tr>
      <w:tr>
        <w:trPr>
          <w:trHeight w:val="180" w:hRule="atLeast"/>
        </w:trPr>
        <w:tc>
          <w:tcPr>
            <w:tcW w:w="3876" w:type="dxa"/>
          </w:tcPr>
          <w:p>
            <w:pPr>
              <w:pStyle w:val="TableParagraph"/>
              <w:spacing w:line="152" w:lineRule="exact" w:before="8"/>
              <w:ind w:left="207"/>
              <w:rPr>
                <w:b/>
                <w:sz w:val="14"/>
              </w:rPr>
            </w:pPr>
            <w:r>
              <w:rPr>
                <w:b/>
                <w:sz w:val="14"/>
              </w:rPr>
              <w:t>Non-Bank</w:t>
            </w:r>
          </w:p>
        </w:tc>
        <w:tc>
          <w:tcPr>
            <w:tcW w:w="1459" w:type="dxa"/>
          </w:tcPr>
          <w:p>
            <w:pPr>
              <w:pStyle w:val="TableParagraph"/>
              <w:spacing w:line="152" w:lineRule="exact" w:before="8"/>
              <w:ind w:right="300"/>
              <w:jc w:val="right"/>
              <w:rPr>
                <w:b/>
                <w:i/>
                <w:sz w:val="14"/>
              </w:rPr>
            </w:pPr>
            <w:r>
              <w:rPr>
                <w:b/>
                <w:i/>
                <w:sz w:val="14"/>
              </w:rPr>
              <w:t>5,215</w:t>
            </w:r>
          </w:p>
        </w:tc>
        <w:tc>
          <w:tcPr>
            <w:tcW w:w="910" w:type="dxa"/>
          </w:tcPr>
          <w:p>
            <w:pPr>
              <w:pStyle w:val="TableParagraph"/>
              <w:spacing w:line="152" w:lineRule="exact" w:before="8"/>
              <w:ind w:left="191" w:right="27"/>
              <w:jc w:val="center"/>
              <w:rPr>
                <w:b/>
                <w:sz w:val="14"/>
              </w:rPr>
            </w:pPr>
            <w:r>
              <w:rPr>
                <w:b/>
                <w:sz w:val="14"/>
              </w:rPr>
              <w:t>0.0%</w:t>
            </w:r>
          </w:p>
        </w:tc>
        <w:tc>
          <w:tcPr>
            <w:tcW w:w="1140" w:type="dxa"/>
          </w:tcPr>
          <w:p>
            <w:pPr>
              <w:pStyle w:val="TableParagraph"/>
              <w:spacing w:line="152" w:lineRule="exact" w:before="8"/>
              <w:ind w:right="255"/>
              <w:jc w:val="right"/>
              <w:rPr>
                <w:b/>
                <w:sz w:val="14"/>
              </w:rPr>
            </w:pPr>
            <w:r>
              <w:rPr>
                <w:b/>
                <w:w w:val="95"/>
                <w:sz w:val="14"/>
              </w:rPr>
              <w:t>125,072</w:t>
            </w:r>
          </w:p>
        </w:tc>
        <w:tc>
          <w:tcPr>
            <w:tcW w:w="841" w:type="dxa"/>
          </w:tcPr>
          <w:p>
            <w:pPr>
              <w:pStyle w:val="TableParagraph"/>
              <w:spacing w:line="152" w:lineRule="exact" w:before="8"/>
              <w:ind w:right="263"/>
              <w:jc w:val="right"/>
              <w:rPr>
                <w:i/>
                <w:sz w:val="14"/>
              </w:rPr>
            </w:pPr>
            <w:r>
              <w:rPr>
                <w:i/>
                <w:w w:val="95"/>
                <w:sz w:val="14"/>
              </w:rPr>
              <w:t>0.3%</w:t>
            </w:r>
          </w:p>
        </w:tc>
        <w:tc>
          <w:tcPr>
            <w:tcW w:w="1291" w:type="dxa"/>
          </w:tcPr>
          <w:p>
            <w:pPr>
              <w:pStyle w:val="TableParagraph"/>
              <w:spacing w:line="152" w:lineRule="exact" w:before="8"/>
              <w:ind w:right="336"/>
              <w:jc w:val="right"/>
              <w:rPr>
                <w:b/>
                <w:sz w:val="14"/>
              </w:rPr>
            </w:pPr>
            <w:r>
              <w:rPr>
                <w:b/>
                <w:w w:val="95"/>
                <w:sz w:val="14"/>
              </w:rPr>
              <w:t>(346,693)</w:t>
            </w:r>
          </w:p>
        </w:tc>
        <w:tc>
          <w:tcPr>
            <w:tcW w:w="865" w:type="dxa"/>
          </w:tcPr>
          <w:p>
            <w:pPr>
              <w:pStyle w:val="TableParagraph"/>
              <w:spacing w:line="152" w:lineRule="exact" w:before="8"/>
              <w:ind w:right="211"/>
              <w:jc w:val="right"/>
              <w:rPr>
                <w:i/>
                <w:sz w:val="14"/>
              </w:rPr>
            </w:pPr>
            <w:r>
              <w:rPr>
                <w:i/>
                <w:w w:val="95"/>
                <w:sz w:val="14"/>
              </w:rPr>
              <w:t>-0.8%</w:t>
            </w:r>
          </w:p>
        </w:tc>
        <w:tc>
          <w:tcPr>
            <w:tcW w:w="1176" w:type="dxa"/>
          </w:tcPr>
          <w:p>
            <w:pPr>
              <w:pStyle w:val="TableParagraph"/>
              <w:spacing w:line="152" w:lineRule="exact" w:before="8"/>
              <w:ind w:left="244"/>
              <w:rPr>
                <w:b/>
                <w:sz w:val="14"/>
              </w:rPr>
            </w:pPr>
            <w:r>
              <w:rPr>
                <w:b/>
                <w:sz w:val="14"/>
              </w:rPr>
              <w:t>(365,059)</w:t>
            </w:r>
          </w:p>
        </w:tc>
        <w:tc>
          <w:tcPr>
            <w:tcW w:w="807" w:type="dxa"/>
          </w:tcPr>
          <w:p>
            <w:pPr>
              <w:pStyle w:val="TableParagraph"/>
              <w:spacing w:line="152" w:lineRule="exact" w:before="8"/>
              <w:ind w:left="214" w:right="187"/>
              <w:jc w:val="center"/>
              <w:rPr>
                <w:i/>
                <w:sz w:val="14"/>
              </w:rPr>
            </w:pPr>
            <w:r>
              <w:rPr>
                <w:i/>
                <w:sz w:val="14"/>
              </w:rPr>
              <w:t>-0.7%</w:t>
            </w:r>
          </w:p>
        </w:tc>
        <w:tc>
          <w:tcPr>
            <w:tcW w:w="1173" w:type="dxa"/>
          </w:tcPr>
          <w:p>
            <w:pPr>
              <w:pStyle w:val="TableParagraph"/>
              <w:spacing w:line="152" w:lineRule="exact" w:before="8"/>
              <w:ind w:right="277"/>
              <w:jc w:val="right"/>
              <w:rPr>
                <w:b/>
                <w:sz w:val="14"/>
              </w:rPr>
            </w:pPr>
            <w:r>
              <w:rPr>
                <w:b/>
                <w:w w:val="95"/>
                <w:sz w:val="14"/>
              </w:rPr>
              <w:t>(543,470)</w:t>
            </w:r>
          </w:p>
        </w:tc>
        <w:tc>
          <w:tcPr>
            <w:tcW w:w="632" w:type="dxa"/>
          </w:tcPr>
          <w:p>
            <w:pPr>
              <w:pStyle w:val="TableParagraph"/>
              <w:spacing w:line="152" w:lineRule="exact" w:before="8"/>
              <w:ind w:right="29"/>
              <w:jc w:val="right"/>
              <w:rPr>
                <w:i/>
                <w:sz w:val="14"/>
              </w:rPr>
            </w:pPr>
            <w:r>
              <w:rPr>
                <w:i/>
                <w:w w:val="95"/>
                <w:sz w:val="14"/>
              </w:rPr>
              <w:t>-0.9%</w:t>
            </w:r>
          </w:p>
        </w:tc>
      </w:tr>
      <w:tr>
        <w:trPr>
          <w:trHeight w:val="180" w:hRule="atLeast"/>
        </w:trPr>
        <w:tc>
          <w:tcPr>
            <w:tcW w:w="3876" w:type="dxa"/>
          </w:tcPr>
          <w:p>
            <w:pPr>
              <w:pStyle w:val="TableParagraph"/>
              <w:spacing w:line="154" w:lineRule="exact" w:before="5"/>
              <w:ind w:left="34"/>
              <w:rPr>
                <w:sz w:val="14"/>
              </w:rPr>
            </w:pPr>
            <w:r>
              <w:rPr>
                <w:sz w:val="14"/>
              </w:rPr>
              <w:t>Privatisation and Other Receipts</w:t>
            </w:r>
          </w:p>
        </w:tc>
        <w:tc>
          <w:tcPr>
            <w:tcW w:w="1459" w:type="dxa"/>
          </w:tcPr>
          <w:p>
            <w:pPr>
              <w:pStyle w:val="TableParagraph"/>
              <w:spacing w:line="154" w:lineRule="exact" w:before="5"/>
              <w:ind w:right="261"/>
              <w:jc w:val="right"/>
              <w:rPr>
                <w:i/>
                <w:sz w:val="14"/>
              </w:rPr>
            </w:pPr>
            <w:r>
              <w:rPr>
                <w:i/>
                <w:w w:val="99"/>
                <w:sz w:val="14"/>
              </w:rPr>
              <w:t>0</w:t>
            </w:r>
          </w:p>
        </w:tc>
        <w:tc>
          <w:tcPr>
            <w:tcW w:w="910" w:type="dxa"/>
          </w:tcPr>
          <w:p>
            <w:pPr>
              <w:pStyle w:val="TableParagraph"/>
              <w:spacing w:line="154" w:lineRule="exact" w:before="5"/>
              <w:ind w:left="191" w:right="84"/>
              <w:jc w:val="center"/>
              <w:rPr>
                <w:sz w:val="14"/>
              </w:rPr>
            </w:pPr>
            <w:r>
              <w:rPr>
                <w:sz w:val="14"/>
              </w:rPr>
              <w:t>0 . 0 %</w:t>
            </w:r>
          </w:p>
        </w:tc>
        <w:tc>
          <w:tcPr>
            <w:tcW w:w="1140" w:type="dxa"/>
          </w:tcPr>
          <w:p>
            <w:pPr>
              <w:pStyle w:val="TableParagraph"/>
              <w:spacing w:line="154" w:lineRule="exact" w:before="5"/>
              <w:ind w:right="214"/>
              <w:jc w:val="right"/>
              <w:rPr>
                <w:i/>
                <w:sz w:val="14"/>
              </w:rPr>
            </w:pPr>
            <w:r>
              <w:rPr>
                <w:i/>
                <w:w w:val="99"/>
                <w:sz w:val="14"/>
              </w:rPr>
              <w:t>0</w:t>
            </w:r>
          </w:p>
        </w:tc>
        <w:tc>
          <w:tcPr>
            <w:tcW w:w="841" w:type="dxa"/>
          </w:tcPr>
          <w:p>
            <w:pPr>
              <w:pStyle w:val="TableParagraph"/>
              <w:spacing w:line="154" w:lineRule="exact" w:before="5"/>
              <w:ind w:right="263"/>
              <w:jc w:val="right"/>
              <w:rPr>
                <w:i/>
                <w:sz w:val="14"/>
              </w:rPr>
            </w:pPr>
            <w:r>
              <w:rPr>
                <w:i/>
                <w:w w:val="95"/>
                <w:sz w:val="14"/>
              </w:rPr>
              <w:t>0.0%</w:t>
            </w:r>
          </w:p>
        </w:tc>
        <w:tc>
          <w:tcPr>
            <w:tcW w:w="1291" w:type="dxa"/>
          </w:tcPr>
          <w:p>
            <w:pPr>
              <w:pStyle w:val="TableParagraph"/>
              <w:spacing w:line="154" w:lineRule="exact" w:before="5"/>
              <w:ind w:right="305"/>
              <w:jc w:val="right"/>
              <w:rPr>
                <w:b/>
                <w:i/>
                <w:sz w:val="14"/>
              </w:rPr>
            </w:pPr>
            <w:r>
              <w:rPr>
                <w:b/>
                <w:i/>
                <w:w w:val="99"/>
                <w:sz w:val="14"/>
              </w:rPr>
              <w:t>0</w:t>
            </w:r>
          </w:p>
        </w:tc>
        <w:tc>
          <w:tcPr>
            <w:tcW w:w="865" w:type="dxa"/>
          </w:tcPr>
          <w:p>
            <w:pPr>
              <w:pStyle w:val="TableParagraph"/>
              <w:spacing w:line="154" w:lineRule="exact" w:before="5"/>
              <w:ind w:right="206"/>
              <w:jc w:val="right"/>
              <w:rPr>
                <w:i/>
                <w:sz w:val="14"/>
              </w:rPr>
            </w:pPr>
            <w:r>
              <w:rPr>
                <w:i/>
                <w:w w:val="95"/>
                <w:sz w:val="14"/>
              </w:rPr>
              <w:t>0.0%</w:t>
            </w:r>
          </w:p>
        </w:tc>
        <w:tc>
          <w:tcPr>
            <w:tcW w:w="1176" w:type="dxa"/>
          </w:tcPr>
          <w:p>
            <w:pPr>
              <w:pStyle w:val="TableParagraph"/>
              <w:spacing w:line="154" w:lineRule="exact" w:before="5"/>
              <w:ind w:right="248"/>
              <w:jc w:val="right"/>
              <w:rPr>
                <w:b/>
                <w:i/>
                <w:sz w:val="14"/>
              </w:rPr>
            </w:pPr>
            <w:r>
              <w:rPr>
                <w:b/>
                <w:i/>
                <w:w w:val="99"/>
                <w:sz w:val="14"/>
              </w:rPr>
              <w:t>0</w:t>
            </w:r>
          </w:p>
        </w:tc>
        <w:tc>
          <w:tcPr>
            <w:tcW w:w="807" w:type="dxa"/>
          </w:tcPr>
          <w:p>
            <w:pPr>
              <w:pStyle w:val="TableParagraph"/>
              <w:spacing w:line="154" w:lineRule="exact" w:before="5"/>
              <w:ind w:left="214" w:right="143"/>
              <w:jc w:val="center"/>
              <w:rPr>
                <w:i/>
                <w:sz w:val="14"/>
              </w:rPr>
            </w:pPr>
            <w:r>
              <w:rPr>
                <w:i/>
                <w:sz w:val="14"/>
              </w:rPr>
              <w:t>0.0%</w:t>
            </w:r>
          </w:p>
        </w:tc>
        <w:tc>
          <w:tcPr>
            <w:tcW w:w="1173" w:type="dxa"/>
          </w:tcPr>
          <w:p>
            <w:pPr>
              <w:pStyle w:val="TableParagraph"/>
              <w:spacing w:line="154" w:lineRule="exact" w:before="5"/>
              <w:ind w:right="246"/>
              <w:jc w:val="right"/>
              <w:rPr>
                <w:b/>
                <w:i/>
                <w:sz w:val="14"/>
              </w:rPr>
            </w:pPr>
            <w:r>
              <w:rPr>
                <w:b/>
                <w:i/>
                <w:w w:val="99"/>
                <w:sz w:val="14"/>
              </w:rPr>
              <w:t>0</w:t>
            </w:r>
          </w:p>
        </w:tc>
        <w:tc>
          <w:tcPr>
            <w:tcW w:w="632" w:type="dxa"/>
          </w:tcPr>
          <w:p>
            <w:pPr>
              <w:pStyle w:val="TableParagraph"/>
              <w:spacing w:line="154" w:lineRule="exact" w:before="5"/>
              <w:ind w:right="24"/>
              <w:jc w:val="right"/>
              <w:rPr>
                <w:i/>
                <w:sz w:val="14"/>
              </w:rPr>
            </w:pPr>
            <w:r>
              <w:rPr>
                <w:i/>
                <w:w w:val="95"/>
                <w:sz w:val="14"/>
              </w:rPr>
              <w:t>0.0%</w:t>
            </w:r>
          </w:p>
        </w:tc>
      </w:tr>
      <w:tr>
        <w:trPr>
          <w:trHeight w:val="180" w:hRule="atLeast"/>
        </w:trPr>
        <w:tc>
          <w:tcPr>
            <w:tcW w:w="3876" w:type="dxa"/>
          </w:tcPr>
          <w:p>
            <w:pPr>
              <w:pStyle w:val="TableParagraph"/>
              <w:spacing w:line="152" w:lineRule="exact" w:before="8"/>
              <w:ind w:left="35"/>
              <w:rPr>
                <w:sz w:val="14"/>
              </w:rPr>
            </w:pPr>
            <w:r>
              <w:rPr>
                <w:sz w:val="14"/>
              </w:rPr>
              <w:t>Float</w:t>
            </w:r>
          </w:p>
        </w:tc>
        <w:tc>
          <w:tcPr>
            <w:tcW w:w="1459" w:type="dxa"/>
          </w:tcPr>
          <w:p>
            <w:pPr>
              <w:pStyle w:val="TableParagraph"/>
              <w:spacing w:line="152" w:lineRule="exact" w:before="8"/>
              <w:ind w:right="276"/>
              <w:jc w:val="right"/>
              <w:rPr>
                <w:i/>
                <w:sz w:val="14"/>
              </w:rPr>
            </w:pPr>
            <w:r>
              <w:rPr>
                <w:i/>
                <w:w w:val="95"/>
                <w:sz w:val="14"/>
              </w:rPr>
              <w:t>259,182</w:t>
            </w:r>
          </w:p>
        </w:tc>
        <w:tc>
          <w:tcPr>
            <w:tcW w:w="910" w:type="dxa"/>
          </w:tcPr>
          <w:p>
            <w:pPr>
              <w:pStyle w:val="TableParagraph"/>
              <w:spacing w:line="152" w:lineRule="exact" w:before="8"/>
              <w:ind w:left="191" w:right="84"/>
              <w:jc w:val="center"/>
              <w:rPr>
                <w:sz w:val="14"/>
              </w:rPr>
            </w:pPr>
            <w:r>
              <w:rPr>
                <w:sz w:val="14"/>
              </w:rPr>
              <w:t>0 . 8 %</w:t>
            </w:r>
          </w:p>
        </w:tc>
        <w:tc>
          <w:tcPr>
            <w:tcW w:w="1140" w:type="dxa"/>
          </w:tcPr>
          <w:p>
            <w:pPr>
              <w:pStyle w:val="TableParagraph"/>
              <w:spacing w:line="152" w:lineRule="exact" w:before="8"/>
              <w:ind w:right="223"/>
              <w:jc w:val="right"/>
              <w:rPr>
                <w:i/>
                <w:sz w:val="14"/>
              </w:rPr>
            </w:pPr>
            <w:r>
              <w:rPr>
                <w:i/>
                <w:w w:val="95"/>
                <w:sz w:val="14"/>
              </w:rPr>
              <w:t>59,001</w:t>
            </w:r>
          </w:p>
        </w:tc>
        <w:tc>
          <w:tcPr>
            <w:tcW w:w="841" w:type="dxa"/>
          </w:tcPr>
          <w:p>
            <w:pPr>
              <w:pStyle w:val="TableParagraph"/>
              <w:spacing w:line="152" w:lineRule="exact" w:before="8"/>
              <w:ind w:right="263"/>
              <w:jc w:val="right"/>
              <w:rPr>
                <w:i/>
                <w:sz w:val="14"/>
              </w:rPr>
            </w:pPr>
            <w:r>
              <w:rPr>
                <w:i/>
                <w:w w:val="95"/>
                <w:sz w:val="14"/>
              </w:rPr>
              <w:t>0.2%</w:t>
            </w:r>
          </w:p>
        </w:tc>
        <w:tc>
          <w:tcPr>
            <w:tcW w:w="1291" w:type="dxa"/>
          </w:tcPr>
          <w:p>
            <w:pPr>
              <w:pStyle w:val="TableParagraph"/>
              <w:spacing w:line="152" w:lineRule="exact" w:before="8"/>
              <w:ind w:right="304"/>
              <w:jc w:val="right"/>
              <w:rPr>
                <w:b/>
                <w:i/>
                <w:sz w:val="14"/>
              </w:rPr>
            </w:pPr>
            <w:r>
              <w:rPr>
                <w:b/>
                <w:i/>
                <w:w w:val="99"/>
                <w:sz w:val="14"/>
              </w:rPr>
              <w:t>0</w:t>
            </w:r>
          </w:p>
        </w:tc>
        <w:tc>
          <w:tcPr>
            <w:tcW w:w="865" w:type="dxa"/>
          </w:tcPr>
          <w:p>
            <w:pPr>
              <w:pStyle w:val="TableParagraph"/>
              <w:spacing w:line="152" w:lineRule="exact" w:before="8"/>
              <w:ind w:right="206"/>
              <w:jc w:val="right"/>
              <w:rPr>
                <w:i/>
                <w:sz w:val="14"/>
              </w:rPr>
            </w:pPr>
            <w:r>
              <w:rPr>
                <w:i/>
                <w:w w:val="95"/>
                <w:sz w:val="14"/>
              </w:rPr>
              <w:t>0.0%</w:t>
            </w:r>
          </w:p>
        </w:tc>
        <w:tc>
          <w:tcPr>
            <w:tcW w:w="1176" w:type="dxa"/>
          </w:tcPr>
          <w:p>
            <w:pPr>
              <w:pStyle w:val="TableParagraph"/>
              <w:spacing w:line="152" w:lineRule="exact" w:before="8"/>
              <w:ind w:right="237"/>
              <w:jc w:val="right"/>
              <w:rPr>
                <w:b/>
                <w:i/>
                <w:sz w:val="14"/>
              </w:rPr>
            </w:pPr>
            <w:r>
              <w:rPr>
                <w:b/>
                <w:i/>
                <w:w w:val="85"/>
                <w:sz w:val="14"/>
              </w:rPr>
              <w:t>(0)</w:t>
            </w:r>
          </w:p>
        </w:tc>
        <w:tc>
          <w:tcPr>
            <w:tcW w:w="807" w:type="dxa"/>
          </w:tcPr>
          <w:p>
            <w:pPr>
              <w:pStyle w:val="TableParagraph"/>
              <w:spacing w:line="152" w:lineRule="exact" w:before="8"/>
              <w:ind w:left="214" w:right="143"/>
              <w:jc w:val="center"/>
              <w:rPr>
                <w:i/>
                <w:sz w:val="14"/>
              </w:rPr>
            </w:pPr>
            <w:r>
              <w:rPr>
                <w:i/>
                <w:sz w:val="14"/>
              </w:rPr>
              <w:t>0.0%</w:t>
            </w:r>
          </w:p>
        </w:tc>
        <w:tc>
          <w:tcPr>
            <w:tcW w:w="1173" w:type="dxa"/>
          </w:tcPr>
          <w:p>
            <w:pPr>
              <w:pStyle w:val="TableParagraph"/>
              <w:spacing w:line="152" w:lineRule="exact" w:before="8"/>
              <w:ind w:right="235"/>
              <w:jc w:val="right"/>
              <w:rPr>
                <w:b/>
                <w:i/>
                <w:sz w:val="14"/>
              </w:rPr>
            </w:pPr>
            <w:r>
              <w:rPr>
                <w:b/>
                <w:i/>
                <w:w w:val="85"/>
                <w:sz w:val="14"/>
              </w:rPr>
              <w:t>(0)</w:t>
            </w:r>
          </w:p>
        </w:tc>
        <w:tc>
          <w:tcPr>
            <w:tcW w:w="632" w:type="dxa"/>
          </w:tcPr>
          <w:p>
            <w:pPr>
              <w:pStyle w:val="TableParagraph"/>
              <w:spacing w:line="152" w:lineRule="exact" w:before="8"/>
              <w:ind w:right="24"/>
              <w:jc w:val="right"/>
              <w:rPr>
                <w:i/>
                <w:sz w:val="14"/>
              </w:rPr>
            </w:pPr>
            <w:r>
              <w:rPr>
                <w:i/>
                <w:w w:val="95"/>
                <w:sz w:val="14"/>
              </w:rPr>
              <w:t>0.0%</w:t>
            </w:r>
          </w:p>
        </w:tc>
      </w:tr>
      <w:tr>
        <w:trPr>
          <w:trHeight w:val="180" w:hRule="atLeast"/>
        </w:trPr>
        <w:tc>
          <w:tcPr>
            <w:tcW w:w="3876" w:type="dxa"/>
          </w:tcPr>
          <w:p>
            <w:pPr>
              <w:pStyle w:val="TableParagraph"/>
              <w:spacing w:line="154" w:lineRule="exact" w:before="5"/>
              <w:ind w:left="207"/>
              <w:rPr>
                <w:sz w:val="14"/>
              </w:rPr>
            </w:pPr>
            <w:r>
              <w:rPr>
                <w:sz w:val="14"/>
              </w:rPr>
              <w:t>o/ w: Cheques Payable</w:t>
            </w:r>
          </w:p>
        </w:tc>
        <w:tc>
          <w:tcPr>
            <w:tcW w:w="1459" w:type="dxa"/>
          </w:tcPr>
          <w:p>
            <w:pPr>
              <w:pStyle w:val="TableParagraph"/>
              <w:spacing w:line="154" w:lineRule="exact" w:before="5"/>
              <w:ind w:right="270"/>
              <w:jc w:val="right"/>
              <w:rPr>
                <w:i/>
                <w:sz w:val="14"/>
              </w:rPr>
            </w:pPr>
            <w:r>
              <w:rPr>
                <w:i/>
                <w:w w:val="95"/>
                <w:sz w:val="14"/>
              </w:rPr>
              <w:t>(14,943)</w:t>
            </w:r>
          </w:p>
        </w:tc>
        <w:tc>
          <w:tcPr>
            <w:tcW w:w="910" w:type="dxa"/>
          </w:tcPr>
          <w:p>
            <w:pPr>
              <w:pStyle w:val="TableParagraph"/>
              <w:rPr>
                <w:rFonts w:ascii="Times New Roman"/>
                <w:sz w:val="12"/>
              </w:rPr>
            </w:pPr>
          </w:p>
        </w:tc>
        <w:tc>
          <w:tcPr>
            <w:tcW w:w="1140" w:type="dxa"/>
          </w:tcPr>
          <w:p>
            <w:pPr>
              <w:pStyle w:val="TableParagraph"/>
              <w:spacing w:line="154" w:lineRule="exact" w:before="5"/>
              <w:ind w:right="232"/>
              <w:jc w:val="right"/>
              <w:rPr>
                <w:sz w:val="14"/>
              </w:rPr>
            </w:pPr>
            <w:r>
              <w:rPr>
                <w:sz w:val="14"/>
              </w:rPr>
              <w:t>130,903</w:t>
            </w:r>
          </w:p>
        </w:tc>
        <w:tc>
          <w:tcPr>
            <w:tcW w:w="841" w:type="dxa"/>
          </w:tcPr>
          <w:p>
            <w:pPr>
              <w:pStyle w:val="TableParagraph"/>
              <w:spacing w:line="154" w:lineRule="exact" w:before="5"/>
              <w:ind w:right="263"/>
              <w:jc w:val="right"/>
              <w:rPr>
                <w:i/>
                <w:sz w:val="14"/>
              </w:rPr>
            </w:pPr>
            <w:r>
              <w:rPr>
                <w:i/>
                <w:w w:val="95"/>
                <w:sz w:val="14"/>
              </w:rPr>
              <w:t>0.3%</w:t>
            </w:r>
          </w:p>
        </w:tc>
        <w:tc>
          <w:tcPr>
            <w:tcW w:w="1291" w:type="dxa"/>
          </w:tcPr>
          <w:p>
            <w:pPr>
              <w:pStyle w:val="TableParagraph"/>
              <w:spacing w:line="154" w:lineRule="exact" w:before="5"/>
              <w:ind w:right="282"/>
              <w:jc w:val="right"/>
              <w:rPr>
                <w:b/>
                <w:sz w:val="14"/>
              </w:rPr>
            </w:pPr>
            <w:r>
              <w:rPr>
                <w:b/>
                <w:w w:val="99"/>
                <w:sz w:val="14"/>
              </w:rPr>
              <w:t>-</w:t>
            </w:r>
          </w:p>
        </w:tc>
        <w:tc>
          <w:tcPr>
            <w:tcW w:w="865" w:type="dxa"/>
          </w:tcPr>
          <w:p>
            <w:pPr>
              <w:pStyle w:val="TableParagraph"/>
              <w:spacing w:line="154" w:lineRule="exact" w:before="5"/>
              <w:ind w:right="206"/>
              <w:jc w:val="right"/>
              <w:rPr>
                <w:i/>
                <w:sz w:val="14"/>
              </w:rPr>
            </w:pPr>
            <w:r>
              <w:rPr>
                <w:i/>
                <w:w w:val="95"/>
                <w:sz w:val="14"/>
              </w:rPr>
              <w:t>0.0%</w:t>
            </w:r>
          </w:p>
        </w:tc>
        <w:tc>
          <w:tcPr>
            <w:tcW w:w="1176" w:type="dxa"/>
          </w:tcPr>
          <w:p>
            <w:pPr>
              <w:pStyle w:val="TableParagraph"/>
              <w:spacing w:line="154" w:lineRule="exact" w:before="5"/>
              <w:ind w:right="249"/>
              <w:jc w:val="right"/>
              <w:rPr>
                <w:b/>
                <w:sz w:val="14"/>
              </w:rPr>
            </w:pPr>
            <w:r>
              <w:rPr>
                <w:b/>
                <w:w w:val="99"/>
                <w:sz w:val="14"/>
              </w:rPr>
              <w:t>0</w:t>
            </w:r>
          </w:p>
        </w:tc>
        <w:tc>
          <w:tcPr>
            <w:tcW w:w="807" w:type="dxa"/>
          </w:tcPr>
          <w:p>
            <w:pPr>
              <w:pStyle w:val="TableParagraph"/>
              <w:spacing w:line="154" w:lineRule="exact" w:before="5"/>
              <w:ind w:left="214" w:right="143"/>
              <w:jc w:val="center"/>
              <w:rPr>
                <w:i/>
                <w:sz w:val="14"/>
              </w:rPr>
            </w:pPr>
            <w:r>
              <w:rPr>
                <w:i/>
                <w:sz w:val="14"/>
              </w:rPr>
              <w:t>0.0%</w:t>
            </w:r>
          </w:p>
        </w:tc>
        <w:tc>
          <w:tcPr>
            <w:tcW w:w="1173" w:type="dxa"/>
          </w:tcPr>
          <w:p>
            <w:pPr>
              <w:pStyle w:val="TableParagraph"/>
              <w:spacing w:line="154" w:lineRule="exact" w:before="5"/>
              <w:ind w:right="246"/>
              <w:jc w:val="right"/>
              <w:rPr>
                <w:b/>
                <w:sz w:val="14"/>
              </w:rPr>
            </w:pPr>
            <w:r>
              <w:rPr>
                <w:b/>
                <w:w w:val="99"/>
                <w:sz w:val="14"/>
              </w:rPr>
              <w:t>0</w:t>
            </w:r>
          </w:p>
        </w:tc>
        <w:tc>
          <w:tcPr>
            <w:tcW w:w="632" w:type="dxa"/>
          </w:tcPr>
          <w:p>
            <w:pPr>
              <w:pStyle w:val="TableParagraph"/>
              <w:spacing w:line="154" w:lineRule="exact" w:before="5"/>
              <w:ind w:right="24"/>
              <w:jc w:val="right"/>
              <w:rPr>
                <w:i/>
                <w:sz w:val="14"/>
              </w:rPr>
            </w:pPr>
            <w:r>
              <w:rPr>
                <w:i/>
                <w:w w:val="95"/>
                <w:sz w:val="14"/>
              </w:rPr>
              <w:t>0.0%</w:t>
            </w:r>
          </w:p>
        </w:tc>
      </w:tr>
      <w:tr>
        <w:trPr>
          <w:trHeight w:val="381" w:hRule="atLeast"/>
        </w:trPr>
        <w:tc>
          <w:tcPr>
            <w:tcW w:w="3876" w:type="dxa"/>
          </w:tcPr>
          <w:p>
            <w:pPr>
              <w:pStyle w:val="TableParagraph"/>
              <w:spacing w:line="264" w:lineRule="auto" w:before="8"/>
              <w:ind w:left="549" w:right="289" w:hanging="1"/>
              <w:rPr>
                <w:sz w:val="14"/>
              </w:rPr>
            </w:pPr>
            <w:r>
              <w:rPr>
                <w:sz w:val="14"/>
              </w:rPr>
              <w:t>Change in Outstanding Commitments Movements in Cheques on Hold at BSL and</w:t>
            </w:r>
          </w:p>
        </w:tc>
        <w:tc>
          <w:tcPr>
            <w:tcW w:w="1459" w:type="dxa"/>
          </w:tcPr>
          <w:p>
            <w:pPr>
              <w:pStyle w:val="TableParagraph"/>
              <w:spacing w:before="8"/>
              <w:ind w:right="261"/>
              <w:jc w:val="right"/>
              <w:rPr>
                <w:i/>
                <w:sz w:val="14"/>
              </w:rPr>
            </w:pPr>
            <w:r>
              <w:rPr>
                <w:i/>
                <w:w w:val="99"/>
                <w:sz w:val="14"/>
              </w:rPr>
              <w:t>0</w:t>
            </w:r>
          </w:p>
        </w:tc>
        <w:tc>
          <w:tcPr>
            <w:tcW w:w="910" w:type="dxa"/>
          </w:tcPr>
          <w:p>
            <w:pPr>
              <w:pStyle w:val="TableParagraph"/>
              <w:rPr>
                <w:rFonts w:ascii="Times New Roman"/>
                <w:sz w:val="12"/>
              </w:rPr>
            </w:pPr>
          </w:p>
        </w:tc>
        <w:tc>
          <w:tcPr>
            <w:tcW w:w="1140" w:type="dxa"/>
          </w:tcPr>
          <w:p>
            <w:pPr>
              <w:pStyle w:val="TableParagraph"/>
              <w:spacing w:before="8"/>
              <w:ind w:right="214"/>
              <w:jc w:val="right"/>
              <w:rPr>
                <w:i/>
                <w:sz w:val="14"/>
              </w:rPr>
            </w:pPr>
            <w:r>
              <w:rPr>
                <w:i/>
                <w:w w:val="99"/>
                <w:sz w:val="14"/>
              </w:rPr>
              <w:t>0</w:t>
            </w:r>
          </w:p>
        </w:tc>
        <w:tc>
          <w:tcPr>
            <w:tcW w:w="841" w:type="dxa"/>
          </w:tcPr>
          <w:p>
            <w:pPr>
              <w:pStyle w:val="TableParagraph"/>
              <w:rPr>
                <w:rFonts w:ascii="Times New Roman"/>
                <w:sz w:val="12"/>
              </w:rPr>
            </w:pPr>
          </w:p>
        </w:tc>
        <w:tc>
          <w:tcPr>
            <w:tcW w:w="1291" w:type="dxa"/>
          </w:tcPr>
          <w:p>
            <w:pPr>
              <w:pStyle w:val="TableParagraph"/>
              <w:spacing w:before="8"/>
              <w:ind w:right="305"/>
              <w:jc w:val="right"/>
              <w:rPr>
                <w:b/>
                <w:i/>
                <w:sz w:val="14"/>
              </w:rPr>
            </w:pPr>
            <w:r>
              <w:rPr>
                <w:b/>
                <w:i/>
                <w:w w:val="99"/>
                <w:sz w:val="14"/>
              </w:rPr>
              <w:t>0</w:t>
            </w:r>
          </w:p>
        </w:tc>
        <w:tc>
          <w:tcPr>
            <w:tcW w:w="865" w:type="dxa"/>
          </w:tcPr>
          <w:p>
            <w:pPr>
              <w:pStyle w:val="TableParagraph"/>
              <w:spacing w:before="8"/>
              <w:ind w:right="206"/>
              <w:jc w:val="right"/>
              <w:rPr>
                <w:i/>
                <w:sz w:val="14"/>
              </w:rPr>
            </w:pPr>
            <w:r>
              <w:rPr>
                <w:i/>
                <w:w w:val="95"/>
                <w:sz w:val="14"/>
              </w:rPr>
              <w:t>0.0%</w:t>
            </w:r>
          </w:p>
        </w:tc>
        <w:tc>
          <w:tcPr>
            <w:tcW w:w="1176" w:type="dxa"/>
          </w:tcPr>
          <w:p>
            <w:pPr>
              <w:pStyle w:val="TableParagraph"/>
              <w:spacing w:before="8"/>
              <w:ind w:right="248"/>
              <w:jc w:val="right"/>
              <w:rPr>
                <w:b/>
                <w:i/>
                <w:sz w:val="14"/>
              </w:rPr>
            </w:pPr>
            <w:r>
              <w:rPr>
                <w:b/>
                <w:i/>
                <w:w w:val="99"/>
                <w:sz w:val="14"/>
              </w:rPr>
              <w:t>0</w:t>
            </w:r>
          </w:p>
        </w:tc>
        <w:tc>
          <w:tcPr>
            <w:tcW w:w="807" w:type="dxa"/>
          </w:tcPr>
          <w:p>
            <w:pPr>
              <w:pStyle w:val="TableParagraph"/>
              <w:rPr>
                <w:rFonts w:ascii="Times New Roman"/>
                <w:sz w:val="12"/>
              </w:rPr>
            </w:pPr>
          </w:p>
        </w:tc>
        <w:tc>
          <w:tcPr>
            <w:tcW w:w="1173" w:type="dxa"/>
          </w:tcPr>
          <w:p>
            <w:pPr>
              <w:pStyle w:val="TableParagraph"/>
              <w:spacing w:before="8"/>
              <w:ind w:right="246"/>
              <w:jc w:val="right"/>
              <w:rPr>
                <w:b/>
                <w:i/>
                <w:sz w:val="14"/>
              </w:rPr>
            </w:pPr>
            <w:r>
              <w:rPr>
                <w:b/>
                <w:i/>
                <w:w w:val="99"/>
                <w:sz w:val="14"/>
              </w:rPr>
              <w:t>0</w:t>
            </w:r>
          </w:p>
        </w:tc>
        <w:tc>
          <w:tcPr>
            <w:tcW w:w="632" w:type="dxa"/>
          </w:tcPr>
          <w:p>
            <w:pPr>
              <w:pStyle w:val="TableParagraph"/>
              <w:rPr>
                <w:rFonts w:ascii="Times New Roman"/>
                <w:sz w:val="12"/>
              </w:rPr>
            </w:pPr>
          </w:p>
        </w:tc>
      </w:tr>
    </w:tbl>
    <w:p>
      <w:pPr>
        <w:spacing w:after="0"/>
        <w:rPr>
          <w:rFonts w:ascii="Times New Roman"/>
          <w:sz w:val="12"/>
        </w:rPr>
        <w:sectPr>
          <w:pgSz w:w="16840" w:h="11900" w:orient="landscape"/>
          <w:pgMar w:header="1123" w:footer="0" w:top="1820" w:bottom="280" w:left="880" w:right="920"/>
        </w:sectPr>
      </w:pPr>
    </w:p>
    <w:p>
      <w:pPr>
        <w:pStyle w:val="BodyText"/>
        <w:spacing w:before="7"/>
        <w:rPr>
          <w:rFonts w:ascii="Arial"/>
          <w:i/>
          <w:sz w:val="12"/>
        </w:rPr>
      </w:pPr>
      <w:r>
        <w:rPr/>
        <w:pict>
          <v:shape style="position:absolute;margin-left:27.140491pt;margin-top:291.158936pt;width:14.35pt;height:10.45pt;mso-position-horizontal-relative:page;mso-position-vertical-relative:page;z-index:1144" type="#_x0000_t202" filled="false" stroked="false">
            <v:textbox inset="0,0,0,0" style="layout-flow:vertical">
              <w:txbxContent>
                <w:p>
                  <w:pPr>
                    <w:spacing w:before="13"/>
                    <w:ind w:left="20" w:right="0" w:firstLine="0"/>
                    <w:jc w:val="left"/>
                    <w:rPr>
                      <w:rFonts w:ascii="Arial"/>
                      <w:sz w:val="22"/>
                    </w:rPr>
                  </w:pPr>
                  <w:r>
                    <w:rPr>
                      <w:rFonts w:ascii="Arial"/>
                      <w:sz w:val="22"/>
                    </w:rPr>
                    <w:t>iv</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7"/>
        <w:gridCol w:w="1278"/>
        <w:gridCol w:w="974"/>
        <w:gridCol w:w="1067"/>
        <w:gridCol w:w="936"/>
        <w:gridCol w:w="1222"/>
        <w:gridCol w:w="952"/>
        <w:gridCol w:w="1093"/>
        <w:gridCol w:w="885"/>
        <w:gridCol w:w="1111"/>
        <w:gridCol w:w="999"/>
      </w:tblGrid>
      <w:tr>
        <w:trPr>
          <w:trHeight w:val="385" w:hRule="atLeast"/>
        </w:trPr>
        <w:tc>
          <w:tcPr>
            <w:tcW w:w="5565" w:type="dxa"/>
            <w:gridSpan w:val="2"/>
            <w:tcBorders>
              <w:top w:val="single" w:sz="18" w:space="0" w:color="000000"/>
            </w:tcBorders>
          </w:tcPr>
          <w:p>
            <w:pPr>
              <w:pStyle w:val="TableParagraph"/>
              <w:spacing w:before="31"/>
              <w:ind w:right="338"/>
              <w:jc w:val="right"/>
              <w:rPr>
                <w:b/>
                <w:sz w:val="14"/>
              </w:rPr>
            </w:pPr>
            <w:r>
              <w:rPr>
                <w:b/>
                <w:spacing w:val="3"/>
                <w:sz w:val="14"/>
              </w:rPr>
              <w:t>FY2018</w:t>
            </w:r>
          </w:p>
          <w:p>
            <w:pPr>
              <w:pStyle w:val="TableParagraph"/>
              <w:tabs>
                <w:tab w:pos="4670" w:val="left" w:leader="none"/>
              </w:tabs>
              <w:spacing w:line="152" w:lineRule="exact" w:before="21"/>
              <w:ind w:right="301"/>
              <w:jc w:val="right"/>
              <w:rPr>
                <w:b/>
                <w:i/>
                <w:sz w:val="14"/>
              </w:rPr>
            </w:pPr>
            <w:r>
              <w:rPr>
                <w:b/>
                <w:spacing w:val="3"/>
                <w:sz w:val="14"/>
              </w:rPr>
              <w:t>PARTICULARS</w:t>
              <w:tab/>
            </w:r>
            <w:r>
              <w:rPr>
                <w:b/>
                <w:i/>
                <w:spacing w:val="-1"/>
                <w:w w:val="95"/>
                <w:sz w:val="14"/>
              </w:rPr>
              <w:t>Estimate</w:t>
            </w:r>
          </w:p>
        </w:tc>
        <w:tc>
          <w:tcPr>
            <w:tcW w:w="974" w:type="dxa"/>
            <w:tcBorders>
              <w:top w:val="single" w:sz="18" w:space="0" w:color="000000"/>
            </w:tcBorders>
          </w:tcPr>
          <w:p>
            <w:pPr>
              <w:pStyle w:val="TableParagraph"/>
              <w:spacing w:before="31"/>
              <w:ind w:left="166" w:right="277"/>
              <w:jc w:val="center"/>
              <w:rPr>
                <w:sz w:val="14"/>
              </w:rPr>
            </w:pPr>
            <w:r>
              <w:rPr>
                <w:sz w:val="14"/>
              </w:rPr>
              <w:t>FY2018</w:t>
            </w:r>
          </w:p>
          <w:p>
            <w:pPr>
              <w:pStyle w:val="TableParagraph"/>
              <w:spacing w:line="152" w:lineRule="exact" w:before="21"/>
              <w:ind w:left="166" w:right="263"/>
              <w:jc w:val="center"/>
              <w:rPr>
                <w:b/>
                <w:i/>
                <w:sz w:val="14"/>
              </w:rPr>
            </w:pPr>
            <w:r>
              <w:rPr>
                <w:b/>
                <w:i/>
                <w:sz w:val="14"/>
              </w:rPr>
              <w:t>% of</w:t>
            </w:r>
          </w:p>
        </w:tc>
        <w:tc>
          <w:tcPr>
            <w:tcW w:w="1067" w:type="dxa"/>
            <w:tcBorders>
              <w:top w:val="single" w:sz="18" w:space="0" w:color="000000"/>
            </w:tcBorders>
          </w:tcPr>
          <w:p>
            <w:pPr>
              <w:pStyle w:val="TableParagraph"/>
              <w:spacing w:before="31"/>
              <w:ind w:left="268"/>
              <w:rPr>
                <w:b/>
                <w:sz w:val="14"/>
              </w:rPr>
            </w:pPr>
            <w:r>
              <w:rPr>
                <w:b/>
                <w:spacing w:val="4"/>
                <w:sz w:val="14"/>
              </w:rPr>
              <w:t>FY2019</w:t>
            </w:r>
          </w:p>
          <w:p>
            <w:pPr>
              <w:pStyle w:val="TableParagraph"/>
              <w:spacing w:line="152" w:lineRule="exact" w:before="21"/>
              <w:ind w:left="228"/>
              <w:rPr>
                <w:b/>
                <w:i/>
                <w:sz w:val="14"/>
              </w:rPr>
            </w:pPr>
            <w:r>
              <w:rPr>
                <w:b/>
                <w:i/>
                <w:spacing w:val="3"/>
                <w:sz w:val="14"/>
              </w:rPr>
              <w:t>Program</w:t>
            </w:r>
          </w:p>
        </w:tc>
        <w:tc>
          <w:tcPr>
            <w:tcW w:w="936" w:type="dxa"/>
            <w:tcBorders>
              <w:top w:val="single" w:sz="18" w:space="0" w:color="000000"/>
            </w:tcBorders>
          </w:tcPr>
          <w:p>
            <w:pPr>
              <w:pStyle w:val="TableParagraph"/>
              <w:spacing w:before="31"/>
              <w:ind w:left="112" w:right="292"/>
              <w:jc w:val="center"/>
              <w:rPr>
                <w:sz w:val="14"/>
              </w:rPr>
            </w:pPr>
            <w:r>
              <w:rPr>
                <w:sz w:val="14"/>
              </w:rPr>
              <w:t>FY2019</w:t>
            </w:r>
          </w:p>
          <w:p>
            <w:pPr>
              <w:pStyle w:val="TableParagraph"/>
              <w:spacing w:line="152" w:lineRule="exact" w:before="21"/>
              <w:ind w:left="112" w:right="292"/>
              <w:jc w:val="center"/>
              <w:rPr>
                <w:i/>
                <w:sz w:val="14"/>
              </w:rPr>
            </w:pPr>
            <w:r>
              <w:rPr>
                <w:i/>
                <w:sz w:val="14"/>
              </w:rPr>
              <w:t>% of</w:t>
            </w:r>
          </w:p>
        </w:tc>
        <w:tc>
          <w:tcPr>
            <w:tcW w:w="1222" w:type="dxa"/>
            <w:tcBorders>
              <w:top w:val="single" w:sz="18" w:space="0" w:color="000000"/>
            </w:tcBorders>
          </w:tcPr>
          <w:p>
            <w:pPr>
              <w:pStyle w:val="TableParagraph"/>
              <w:spacing w:before="31"/>
              <w:ind w:left="305"/>
              <w:rPr>
                <w:b/>
                <w:sz w:val="14"/>
              </w:rPr>
            </w:pPr>
            <w:r>
              <w:rPr>
                <w:b/>
                <w:spacing w:val="4"/>
                <w:sz w:val="14"/>
              </w:rPr>
              <w:t>FY2020</w:t>
            </w:r>
          </w:p>
          <w:p>
            <w:pPr>
              <w:pStyle w:val="TableParagraph"/>
              <w:spacing w:line="152" w:lineRule="exact" w:before="21"/>
              <w:ind w:left="328"/>
              <w:rPr>
                <w:b/>
                <w:i/>
                <w:sz w:val="14"/>
              </w:rPr>
            </w:pPr>
            <w:r>
              <w:rPr>
                <w:b/>
                <w:i/>
                <w:sz w:val="14"/>
              </w:rPr>
              <w:t>Budget</w:t>
            </w:r>
          </w:p>
        </w:tc>
        <w:tc>
          <w:tcPr>
            <w:tcW w:w="952" w:type="dxa"/>
            <w:tcBorders>
              <w:top w:val="single" w:sz="18" w:space="0" w:color="000000"/>
            </w:tcBorders>
          </w:tcPr>
          <w:p>
            <w:pPr>
              <w:pStyle w:val="TableParagraph"/>
              <w:spacing w:before="31"/>
              <w:ind w:left="218" w:right="202"/>
              <w:jc w:val="center"/>
              <w:rPr>
                <w:sz w:val="14"/>
              </w:rPr>
            </w:pPr>
            <w:r>
              <w:rPr>
                <w:sz w:val="14"/>
              </w:rPr>
              <w:t>FY2020</w:t>
            </w:r>
          </w:p>
          <w:p>
            <w:pPr>
              <w:pStyle w:val="TableParagraph"/>
              <w:spacing w:line="152" w:lineRule="exact" w:before="21"/>
              <w:ind w:left="218" w:right="202"/>
              <w:jc w:val="center"/>
              <w:rPr>
                <w:i/>
                <w:sz w:val="14"/>
              </w:rPr>
            </w:pPr>
            <w:r>
              <w:rPr>
                <w:i/>
                <w:sz w:val="14"/>
              </w:rPr>
              <w:t>% of</w:t>
            </w:r>
          </w:p>
        </w:tc>
        <w:tc>
          <w:tcPr>
            <w:tcW w:w="1093" w:type="dxa"/>
            <w:tcBorders>
              <w:top w:val="single" w:sz="18" w:space="0" w:color="000000"/>
            </w:tcBorders>
          </w:tcPr>
          <w:p>
            <w:pPr>
              <w:pStyle w:val="TableParagraph"/>
              <w:spacing w:before="31"/>
              <w:ind w:left="286"/>
              <w:rPr>
                <w:b/>
                <w:sz w:val="14"/>
              </w:rPr>
            </w:pPr>
            <w:r>
              <w:rPr>
                <w:b/>
                <w:sz w:val="14"/>
              </w:rPr>
              <w:t>FY2021</w:t>
            </w:r>
          </w:p>
          <w:p>
            <w:pPr>
              <w:pStyle w:val="TableParagraph"/>
              <w:spacing w:line="152" w:lineRule="exact" w:before="21"/>
              <w:ind w:left="233"/>
              <w:rPr>
                <w:i/>
                <w:sz w:val="14"/>
              </w:rPr>
            </w:pPr>
            <w:r>
              <w:rPr>
                <w:i/>
                <w:sz w:val="14"/>
              </w:rPr>
              <w:t>Indicative</w:t>
            </w:r>
          </w:p>
        </w:tc>
        <w:tc>
          <w:tcPr>
            <w:tcW w:w="885" w:type="dxa"/>
            <w:tcBorders>
              <w:top w:val="single" w:sz="18" w:space="0" w:color="000000"/>
            </w:tcBorders>
          </w:tcPr>
          <w:p>
            <w:pPr>
              <w:pStyle w:val="TableParagraph"/>
              <w:spacing w:before="31"/>
              <w:ind w:left="162" w:right="192"/>
              <w:jc w:val="center"/>
              <w:rPr>
                <w:sz w:val="14"/>
              </w:rPr>
            </w:pPr>
            <w:r>
              <w:rPr>
                <w:sz w:val="14"/>
              </w:rPr>
              <w:t>FY2021</w:t>
            </w:r>
          </w:p>
          <w:p>
            <w:pPr>
              <w:pStyle w:val="TableParagraph"/>
              <w:spacing w:line="152" w:lineRule="exact" w:before="21"/>
              <w:ind w:left="162" w:right="191"/>
              <w:jc w:val="center"/>
              <w:rPr>
                <w:i/>
                <w:sz w:val="14"/>
              </w:rPr>
            </w:pPr>
            <w:r>
              <w:rPr>
                <w:i/>
                <w:sz w:val="14"/>
              </w:rPr>
              <w:t>% of</w:t>
            </w:r>
          </w:p>
        </w:tc>
        <w:tc>
          <w:tcPr>
            <w:tcW w:w="1111" w:type="dxa"/>
            <w:tcBorders>
              <w:top w:val="single" w:sz="18" w:space="0" w:color="000000"/>
            </w:tcBorders>
          </w:tcPr>
          <w:p>
            <w:pPr>
              <w:pStyle w:val="TableParagraph"/>
              <w:spacing w:before="31"/>
              <w:ind w:left="237"/>
              <w:rPr>
                <w:b/>
                <w:sz w:val="14"/>
              </w:rPr>
            </w:pPr>
            <w:r>
              <w:rPr>
                <w:b/>
                <w:sz w:val="14"/>
              </w:rPr>
              <w:t>FY2022</w:t>
            </w:r>
          </w:p>
          <w:p>
            <w:pPr>
              <w:pStyle w:val="TableParagraph"/>
              <w:spacing w:line="152" w:lineRule="exact" w:before="21"/>
              <w:ind w:left="184"/>
              <w:rPr>
                <w:i/>
                <w:sz w:val="14"/>
              </w:rPr>
            </w:pPr>
            <w:r>
              <w:rPr>
                <w:i/>
                <w:sz w:val="14"/>
              </w:rPr>
              <w:t>Indicative</w:t>
            </w:r>
          </w:p>
        </w:tc>
        <w:tc>
          <w:tcPr>
            <w:tcW w:w="999" w:type="dxa"/>
            <w:tcBorders>
              <w:top w:val="single" w:sz="18" w:space="0" w:color="000000"/>
            </w:tcBorders>
          </w:tcPr>
          <w:p>
            <w:pPr>
              <w:pStyle w:val="TableParagraph"/>
              <w:spacing w:before="31"/>
              <w:ind w:left="169"/>
              <w:rPr>
                <w:sz w:val="14"/>
              </w:rPr>
            </w:pPr>
            <w:r>
              <w:rPr>
                <w:sz w:val="14"/>
              </w:rPr>
              <w:t>FY2022</w:t>
            </w:r>
          </w:p>
          <w:p>
            <w:pPr>
              <w:pStyle w:val="TableParagraph"/>
              <w:spacing w:line="152" w:lineRule="exact" w:before="21"/>
              <w:ind w:left="220"/>
              <w:rPr>
                <w:i/>
                <w:sz w:val="14"/>
              </w:rPr>
            </w:pPr>
            <w:r>
              <w:rPr>
                <w:i/>
                <w:sz w:val="14"/>
              </w:rPr>
              <w:t>% of</w:t>
            </w:r>
          </w:p>
        </w:tc>
      </w:tr>
      <w:tr>
        <w:trPr>
          <w:trHeight w:val="180" w:hRule="atLeast"/>
        </w:trPr>
        <w:tc>
          <w:tcPr>
            <w:tcW w:w="5565" w:type="dxa"/>
            <w:gridSpan w:val="2"/>
          </w:tcPr>
          <w:p>
            <w:pPr>
              <w:pStyle w:val="TableParagraph"/>
              <w:spacing w:line="154" w:lineRule="exact" w:before="5"/>
              <w:ind w:right="417"/>
              <w:jc w:val="right"/>
              <w:rPr>
                <w:sz w:val="14"/>
              </w:rPr>
            </w:pPr>
            <w:r>
              <w:rPr>
                <w:sz w:val="14"/>
              </w:rPr>
              <w:t>Q1 -4</w:t>
            </w:r>
          </w:p>
        </w:tc>
        <w:tc>
          <w:tcPr>
            <w:tcW w:w="974" w:type="dxa"/>
          </w:tcPr>
          <w:p>
            <w:pPr>
              <w:pStyle w:val="TableParagraph"/>
              <w:spacing w:line="154" w:lineRule="exact" w:before="5"/>
              <w:ind w:left="291"/>
              <w:rPr>
                <w:sz w:val="14"/>
              </w:rPr>
            </w:pPr>
            <w:r>
              <w:rPr>
                <w:sz w:val="14"/>
              </w:rPr>
              <w:t>GPD</w:t>
            </w:r>
          </w:p>
        </w:tc>
        <w:tc>
          <w:tcPr>
            <w:tcW w:w="1067" w:type="dxa"/>
          </w:tcPr>
          <w:p>
            <w:pPr>
              <w:pStyle w:val="TableParagraph"/>
              <w:spacing w:line="154" w:lineRule="exact" w:before="5"/>
              <w:ind w:left="360" w:right="354"/>
              <w:jc w:val="center"/>
              <w:rPr>
                <w:b/>
                <w:sz w:val="14"/>
              </w:rPr>
            </w:pPr>
            <w:r>
              <w:rPr>
                <w:b/>
                <w:sz w:val="14"/>
              </w:rPr>
              <w:t>Q1-4</w:t>
            </w:r>
          </w:p>
        </w:tc>
        <w:tc>
          <w:tcPr>
            <w:tcW w:w="936" w:type="dxa"/>
          </w:tcPr>
          <w:p>
            <w:pPr>
              <w:pStyle w:val="TableParagraph"/>
              <w:spacing w:line="154" w:lineRule="exact" w:before="5"/>
              <w:ind w:left="237"/>
              <w:rPr>
                <w:sz w:val="14"/>
              </w:rPr>
            </w:pPr>
            <w:r>
              <w:rPr>
                <w:sz w:val="14"/>
              </w:rPr>
              <w:t>GPD</w:t>
            </w:r>
          </w:p>
        </w:tc>
        <w:tc>
          <w:tcPr>
            <w:tcW w:w="1222" w:type="dxa"/>
          </w:tcPr>
          <w:p>
            <w:pPr>
              <w:pStyle w:val="TableParagraph"/>
              <w:spacing w:line="154" w:lineRule="exact" w:before="5"/>
              <w:ind w:left="399" w:right="471"/>
              <w:jc w:val="center"/>
              <w:rPr>
                <w:b/>
                <w:sz w:val="14"/>
              </w:rPr>
            </w:pPr>
            <w:r>
              <w:rPr>
                <w:b/>
                <w:sz w:val="14"/>
              </w:rPr>
              <w:t>Q1-4</w:t>
            </w:r>
          </w:p>
        </w:tc>
        <w:tc>
          <w:tcPr>
            <w:tcW w:w="952" w:type="dxa"/>
          </w:tcPr>
          <w:p>
            <w:pPr>
              <w:pStyle w:val="TableParagraph"/>
              <w:spacing w:line="154" w:lineRule="exact" w:before="5"/>
              <w:ind w:left="345"/>
              <w:rPr>
                <w:sz w:val="14"/>
              </w:rPr>
            </w:pPr>
            <w:r>
              <w:rPr>
                <w:sz w:val="14"/>
              </w:rPr>
              <w:t>GPD</w:t>
            </w:r>
          </w:p>
        </w:tc>
        <w:tc>
          <w:tcPr>
            <w:tcW w:w="1093" w:type="dxa"/>
          </w:tcPr>
          <w:p>
            <w:pPr>
              <w:pStyle w:val="TableParagraph"/>
              <w:spacing w:line="154" w:lineRule="exact" w:before="5"/>
              <w:ind w:left="242" w:right="231"/>
              <w:jc w:val="center"/>
              <w:rPr>
                <w:sz w:val="14"/>
              </w:rPr>
            </w:pPr>
            <w:r>
              <w:rPr>
                <w:sz w:val="14"/>
              </w:rPr>
              <w:t>Q1 -4</w:t>
            </w:r>
          </w:p>
        </w:tc>
        <w:tc>
          <w:tcPr>
            <w:tcW w:w="885" w:type="dxa"/>
          </w:tcPr>
          <w:p>
            <w:pPr>
              <w:pStyle w:val="TableParagraph"/>
              <w:spacing w:line="154" w:lineRule="exact" w:before="5"/>
              <w:ind w:right="304"/>
              <w:jc w:val="right"/>
              <w:rPr>
                <w:sz w:val="14"/>
              </w:rPr>
            </w:pPr>
            <w:r>
              <w:rPr>
                <w:w w:val="95"/>
                <w:sz w:val="14"/>
              </w:rPr>
              <w:t>GPD</w:t>
            </w:r>
          </w:p>
        </w:tc>
        <w:tc>
          <w:tcPr>
            <w:tcW w:w="1111" w:type="dxa"/>
          </w:tcPr>
          <w:p>
            <w:pPr>
              <w:pStyle w:val="TableParagraph"/>
              <w:spacing w:line="154" w:lineRule="exact" w:before="5"/>
              <w:ind w:left="333"/>
              <w:rPr>
                <w:sz w:val="14"/>
              </w:rPr>
            </w:pPr>
            <w:r>
              <w:rPr>
                <w:sz w:val="14"/>
              </w:rPr>
              <w:t>Q1 -4</w:t>
            </w:r>
          </w:p>
        </w:tc>
        <w:tc>
          <w:tcPr>
            <w:tcW w:w="999" w:type="dxa"/>
          </w:tcPr>
          <w:p>
            <w:pPr>
              <w:pStyle w:val="TableParagraph"/>
              <w:spacing w:line="154" w:lineRule="exact" w:before="5"/>
              <w:ind w:left="216"/>
              <w:rPr>
                <w:sz w:val="14"/>
              </w:rPr>
            </w:pPr>
            <w:r>
              <w:rPr>
                <w:sz w:val="14"/>
              </w:rPr>
              <w:t>GPD</w:t>
            </w:r>
          </w:p>
        </w:tc>
      </w:tr>
      <w:tr>
        <w:trPr>
          <w:trHeight w:val="287" w:hRule="atLeast"/>
        </w:trPr>
        <w:tc>
          <w:tcPr>
            <w:tcW w:w="5565" w:type="dxa"/>
            <w:gridSpan w:val="2"/>
            <w:tcBorders>
              <w:bottom w:val="single" w:sz="18" w:space="0" w:color="000000"/>
            </w:tcBorders>
          </w:tcPr>
          <w:p>
            <w:pPr>
              <w:pStyle w:val="TableParagraph"/>
              <w:spacing w:before="8"/>
              <w:ind w:right="325"/>
              <w:jc w:val="right"/>
              <w:rPr>
                <w:sz w:val="14"/>
              </w:rPr>
            </w:pPr>
            <w:r>
              <w:rPr>
                <w:sz w:val="14"/>
              </w:rPr>
              <w:t>Jan-Dec</w:t>
            </w:r>
          </w:p>
        </w:tc>
        <w:tc>
          <w:tcPr>
            <w:tcW w:w="974" w:type="dxa"/>
            <w:tcBorders>
              <w:bottom w:val="single" w:sz="18" w:space="0" w:color="000000"/>
            </w:tcBorders>
          </w:tcPr>
          <w:p>
            <w:pPr>
              <w:pStyle w:val="TableParagraph"/>
              <w:rPr>
                <w:rFonts w:ascii="Times New Roman"/>
                <w:sz w:val="12"/>
              </w:rPr>
            </w:pPr>
          </w:p>
        </w:tc>
        <w:tc>
          <w:tcPr>
            <w:tcW w:w="1067" w:type="dxa"/>
            <w:tcBorders>
              <w:bottom w:val="single" w:sz="18" w:space="0" w:color="000000"/>
            </w:tcBorders>
          </w:tcPr>
          <w:p>
            <w:pPr>
              <w:pStyle w:val="TableParagraph"/>
              <w:spacing w:before="8"/>
              <w:ind w:left="268"/>
              <w:rPr>
                <w:b/>
                <w:sz w:val="14"/>
              </w:rPr>
            </w:pPr>
            <w:r>
              <w:rPr>
                <w:b/>
                <w:sz w:val="14"/>
              </w:rPr>
              <w:t>Jan-Dec</w:t>
            </w:r>
          </w:p>
        </w:tc>
        <w:tc>
          <w:tcPr>
            <w:tcW w:w="936" w:type="dxa"/>
            <w:tcBorders>
              <w:bottom w:val="single" w:sz="18" w:space="0" w:color="000000"/>
            </w:tcBorders>
          </w:tcPr>
          <w:p>
            <w:pPr>
              <w:pStyle w:val="TableParagraph"/>
              <w:rPr>
                <w:rFonts w:ascii="Times New Roman"/>
                <w:sz w:val="12"/>
              </w:rPr>
            </w:pPr>
          </w:p>
        </w:tc>
        <w:tc>
          <w:tcPr>
            <w:tcW w:w="1222" w:type="dxa"/>
            <w:tcBorders>
              <w:bottom w:val="single" w:sz="18" w:space="0" w:color="000000"/>
            </w:tcBorders>
          </w:tcPr>
          <w:p>
            <w:pPr>
              <w:pStyle w:val="TableParagraph"/>
              <w:spacing w:before="8"/>
              <w:ind w:left="305"/>
              <w:rPr>
                <w:b/>
                <w:sz w:val="14"/>
              </w:rPr>
            </w:pPr>
            <w:r>
              <w:rPr>
                <w:b/>
                <w:sz w:val="14"/>
              </w:rPr>
              <w:t>Jan-Dec</w:t>
            </w:r>
          </w:p>
        </w:tc>
        <w:tc>
          <w:tcPr>
            <w:tcW w:w="952" w:type="dxa"/>
            <w:tcBorders>
              <w:bottom w:val="single" w:sz="18" w:space="0" w:color="000000"/>
            </w:tcBorders>
          </w:tcPr>
          <w:p>
            <w:pPr>
              <w:pStyle w:val="TableParagraph"/>
              <w:rPr>
                <w:rFonts w:ascii="Times New Roman"/>
                <w:sz w:val="12"/>
              </w:rPr>
            </w:pPr>
          </w:p>
        </w:tc>
        <w:tc>
          <w:tcPr>
            <w:tcW w:w="1093" w:type="dxa"/>
            <w:tcBorders>
              <w:bottom w:val="single" w:sz="18" w:space="0" w:color="000000"/>
            </w:tcBorders>
          </w:tcPr>
          <w:p>
            <w:pPr>
              <w:pStyle w:val="TableParagraph"/>
              <w:spacing w:before="8"/>
              <w:ind w:left="286"/>
              <w:rPr>
                <w:sz w:val="14"/>
              </w:rPr>
            </w:pPr>
            <w:r>
              <w:rPr>
                <w:sz w:val="14"/>
              </w:rPr>
              <w:t>Jan-Dec</w:t>
            </w:r>
          </w:p>
        </w:tc>
        <w:tc>
          <w:tcPr>
            <w:tcW w:w="885" w:type="dxa"/>
            <w:tcBorders>
              <w:bottom w:val="single" w:sz="18" w:space="0" w:color="000000"/>
            </w:tcBorders>
          </w:tcPr>
          <w:p>
            <w:pPr>
              <w:pStyle w:val="TableParagraph"/>
              <w:rPr>
                <w:rFonts w:ascii="Times New Roman"/>
                <w:sz w:val="12"/>
              </w:rPr>
            </w:pPr>
          </w:p>
        </w:tc>
        <w:tc>
          <w:tcPr>
            <w:tcW w:w="1111" w:type="dxa"/>
            <w:tcBorders>
              <w:bottom w:val="single" w:sz="18" w:space="0" w:color="000000"/>
            </w:tcBorders>
          </w:tcPr>
          <w:p>
            <w:pPr>
              <w:pStyle w:val="TableParagraph"/>
              <w:spacing w:before="8"/>
              <w:ind w:left="238"/>
              <w:rPr>
                <w:sz w:val="14"/>
              </w:rPr>
            </w:pPr>
            <w:r>
              <w:rPr>
                <w:sz w:val="14"/>
              </w:rPr>
              <w:t>Jan-Dec</w:t>
            </w:r>
          </w:p>
        </w:tc>
        <w:tc>
          <w:tcPr>
            <w:tcW w:w="999" w:type="dxa"/>
            <w:tcBorders>
              <w:bottom w:val="single" w:sz="18" w:space="0" w:color="000000"/>
            </w:tcBorders>
          </w:tcPr>
          <w:p>
            <w:pPr>
              <w:pStyle w:val="TableParagraph"/>
              <w:rPr>
                <w:rFonts w:ascii="Times New Roman"/>
                <w:sz w:val="12"/>
              </w:rPr>
            </w:pPr>
          </w:p>
        </w:tc>
      </w:tr>
      <w:tr>
        <w:trPr>
          <w:trHeight w:val="392" w:hRule="atLeast"/>
        </w:trPr>
        <w:tc>
          <w:tcPr>
            <w:tcW w:w="4287" w:type="dxa"/>
            <w:tcBorders>
              <w:top w:val="single" w:sz="18" w:space="0" w:color="000000"/>
            </w:tcBorders>
          </w:tcPr>
          <w:p>
            <w:pPr>
              <w:pStyle w:val="TableParagraph"/>
              <w:spacing w:before="40"/>
              <w:ind w:left="849"/>
              <w:rPr>
                <w:sz w:val="14"/>
              </w:rPr>
            </w:pPr>
            <w:r>
              <w:rPr>
                <w:sz w:val="14"/>
              </w:rPr>
              <w:t>AGD at end of period</w:t>
            </w:r>
          </w:p>
          <w:p>
            <w:pPr>
              <w:pStyle w:val="TableParagraph"/>
              <w:spacing w:line="154" w:lineRule="exact" w:before="17"/>
              <w:ind w:left="849"/>
              <w:rPr>
                <w:sz w:val="14"/>
              </w:rPr>
            </w:pPr>
            <w:r>
              <w:rPr>
                <w:sz w:val="14"/>
              </w:rPr>
              <w:t>Adjustment for Issuance/ Redemption of Loans</w:t>
            </w:r>
          </w:p>
        </w:tc>
        <w:tc>
          <w:tcPr>
            <w:tcW w:w="1278" w:type="dxa"/>
            <w:tcBorders>
              <w:top w:val="single" w:sz="18" w:space="0" w:color="000000"/>
            </w:tcBorders>
          </w:tcPr>
          <w:p>
            <w:pPr>
              <w:pStyle w:val="TableParagraph"/>
              <w:spacing w:before="40"/>
              <w:ind w:right="204"/>
              <w:jc w:val="right"/>
              <w:rPr>
                <w:i/>
                <w:sz w:val="14"/>
              </w:rPr>
            </w:pPr>
            <w:r>
              <w:rPr>
                <w:i/>
                <w:w w:val="95"/>
                <w:sz w:val="14"/>
              </w:rPr>
              <w:t>280,116</w:t>
            </w:r>
          </w:p>
        </w:tc>
        <w:tc>
          <w:tcPr>
            <w:tcW w:w="974" w:type="dxa"/>
            <w:tcBorders>
              <w:top w:val="single" w:sz="18" w:space="0" w:color="000000"/>
            </w:tcBorders>
          </w:tcPr>
          <w:p>
            <w:pPr>
              <w:pStyle w:val="TableParagraph"/>
              <w:rPr>
                <w:rFonts w:ascii="Times New Roman"/>
                <w:sz w:val="12"/>
              </w:rPr>
            </w:pPr>
          </w:p>
        </w:tc>
        <w:tc>
          <w:tcPr>
            <w:tcW w:w="1067" w:type="dxa"/>
            <w:tcBorders>
              <w:top w:val="single" w:sz="18" w:space="0" w:color="000000"/>
            </w:tcBorders>
          </w:tcPr>
          <w:p>
            <w:pPr>
              <w:pStyle w:val="TableParagraph"/>
              <w:spacing w:before="40"/>
              <w:ind w:right="149"/>
              <w:jc w:val="right"/>
              <w:rPr>
                <w:sz w:val="14"/>
              </w:rPr>
            </w:pPr>
            <w:r>
              <w:rPr>
                <w:w w:val="95"/>
                <w:sz w:val="14"/>
              </w:rPr>
              <w:t>(71,901)</w:t>
            </w:r>
          </w:p>
        </w:tc>
        <w:tc>
          <w:tcPr>
            <w:tcW w:w="936" w:type="dxa"/>
            <w:tcBorders>
              <w:top w:val="single" w:sz="18" w:space="0" w:color="000000"/>
            </w:tcBorders>
          </w:tcPr>
          <w:p>
            <w:pPr>
              <w:pStyle w:val="TableParagraph"/>
              <w:spacing w:before="40"/>
              <w:ind w:left="294"/>
              <w:rPr>
                <w:i/>
                <w:sz w:val="14"/>
              </w:rPr>
            </w:pPr>
            <w:r>
              <w:rPr>
                <w:i/>
                <w:sz w:val="14"/>
              </w:rPr>
              <w:t>-0.2%</w:t>
            </w:r>
          </w:p>
        </w:tc>
        <w:tc>
          <w:tcPr>
            <w:tcW w:w="1222" w:type="dxa"/>
            <w:tcBorders>
              <w:top w:val="single" w:sz="18" w:space="0" w:color="000000"/>
            </w:tcBorders>
          </w:tcPr>
          <w:p>
            <w:pPr>
              <w:pStyle w:val="TableParagraph"/>
              <w:spacing w:before="40"/>
              <w:ind w:right="228"/>
              <w:jc w:val="right"/>
              <w:rPr>
                <w:b/>
                <w:sz w:val="14"/>
              </w:rPr>
            </w:pPr>
            <w:r>
              <w:rPr>
                <w:b/>
                <w:w w:val="99"/>
                <w:sz w:val="14"/>
              </w:rPr>
              <w:t>-</w:t>
            </w:r>
          </w:p>
        </w:tc>
        <w:tc>
          <w:tcPr>
            <w:tcW w:w="952" w:type="dxa"/>
            <w:tcBorders>
              <w:top w:val="single" w:sz="18" w:space="0" w:color="000000"/>
            </w:tcBorders>
          </w:tcPr>
          <w:p>
            <w:pPr>
              <w:pStyle w:val="TableParagraph"/>
              <w:spacing w:before="40"/>
              <w:ind w:left="393"/>
              <w:rPr>
                <w:i/>
                <w:sz w:val="14"/>
              </w:rPr>
            </w:pPr>
            <w:r>
              <w:rPr>
                <w:i/>
                <w:sz w:val="14"/>
              </w:rPr>
              <w:t>0.0%</w:t>
            </w:r>
          </w:p>
        </w:tc>
        <w:tc>
          <w:tcPr>
            <w:tcW w:w="1093" w:type="dxa"/>
            <w:tcBorders>
              <w:top w:val="single" w:sz="18" w:space="0" w:color="000000"/>
            </w:tcBorders>
          </w:tcPr>
          <w:p>
            <w:pPr>
              <w:pStyle w:val="TableParagraph"/>
              <w:spacing w:before="40"/>
              <w:ind w:right="198"/>
              <w:jc w:val="right"/>
              <w:rPr>
                <w:b/>
                <w:sz w:val="14"/>
              </w:rPr>
            </w:pPr>
            <w:r>
              <w:rPr>
                <w:b/>
                <w:w w:val="99"/>
                <w:sz w:val="14"/>
              </w:rPr>
              <w:t>0</w:t>
            </w:r>
          </w:p>
        </w:tc>
        <w:tc>
          <w:tcPr>
            <w:tcW w:w="885" w:type="dxa"/>
            <w:tcBorders>
              <w:top w:val="single" w:sz="18" w:space="0" w:color="000000"/>
            </w:tcBorders>
          </w:tcPr>
          <w:p>
            <w:pPr>
              <w:pStyle w:val="TableParagraph"/>
              <w:spacing w:before="40"/>
              <w:ind w:right="234"/>
              <w:jc w:val="right"/>
              <w:rPr>
                <w:i/>
                <w:sz w:val="14"/>
              </w:rPr>
            </w:pPr>
            <w:r>
              <w:rPr>
                <w:i/>
                <w:w w:val="95"/>
                <w:sz w:val="14"/>
              </w:rPr>
              <w:t>0.0%</w:t>
            </w:r>
          </w:p>
        </w:tc>
        <w:tc>
          <w:tcPr>
            <w:tcW w:w="1111" w:type="dxa"/>
            <w:tcBorders>
              <w:top w:val="single" w:sz="18" w:space="0" w:color="000000"/>
            </w:tcBorders>
          </w:tcPr>
          <w:p>
            <w:pPr>
              <w:pStyle w:val="TableParagraph"/>
              <w:spacing w:before="40"/>
              <w:ind w:right="212"/>
              <w:jc w:val="right"/>
              <w:rPr>
                <w:b/>
                <w:sz w:val="14"/>
              </w:rPr>
            </w:pPr>
            <w:r>
              <w:rPr>
                <w:b/>
                <w:w w:val="99"/>
                <w:sz w:val="14"/>
              </w:rPr>
              <w:t>0</w:t>
            </w:r>
          </w:p>
        </w:tc>
        <w:tc>
          <w:tcPr>
            <w:tcW w:w="999" w:type="dxa"/>
            <w:tcBorders>
              <w:top w:val="single" w:sz="18" w:space="0" w:color="000000"/>
            </w:tcBorders>
          </w:tcPr>
          <w:p>
            <w:pPr>
              <w:pStyle w:val="TableParagraph"/>
              <w:spacing w:before="40"/>
              <w:ind w:right="357"/>
              <w:jc w:val="right"/>
              <w:rPr>
                <w:i/>
                <w:sz w:val="14"/>
              </w:rPr>
            </w:pPr>
            <w:r>
              <w:rPr>
                <w:i/>
                <w:w w:val="95"/>
                <w:sz w:val="14"/>
              </w:rPr>
              <w:t>0.0%</w:t>
            </w:r>
          </w:p>
        </w:tc>
      </w:tr>
      <w:tr>
        <w:trPr>
          <w:trHeight w:val="180" w:hRule="atLeast"/>
        </w:trPr>
        <w:tc>
          <w:tcPr>
            <w:tcW w:w="4287" w:type="dxa"/>
          </w:tcPr>
          <w:p>
            <w:pPr>
              <w:pStyle w:val="TableParagraph"/>
              <w:spacing w:line="152" w:lineRule="exact" w:before="8"/>
              <w:ind w:left="849"/>
              <w:rPr>
                <w:sz w:val="14"/>
              </w:rPr>
            </w:pPr>
            <w:r>
              <w:rPr>
                <w:sz w:val="14"/>
              </w:rPr>
              <w:t>and Advances</w:t>
            </w:r>
          </w:p>
        </w:tc>
        <w:tc>
          <w:tcPr>
            <w:tcW w:w="1278" w:type="dxa"/>
          </w:tcPr>
          <w:p>
            <w:pPr>
              <w:pStyle w:val="TableParagraph"/>
              <w:spacing w:line="152" w:lineRule="exact" w:before="8"/>
              <w:ind w:right="178"/>
              <w:jc w:val="right"/>
              <w:rPr>
                <w:i/>
                <w:sz w:val="14"/>
              </w:rPr>
            </w:pPr>
            <w:r>
              <w:rPr>
                <w:i/>
                <w:w w:val="95"/>
                <w:sz w:val="14"/>
              </w:rPr>
              <w:t>-</w:t>
            </w:r>
          </w:p>
        </w:tc>
        <w:tc>
          <w:tcPr>
            <w:tcW w:w="974" w:type="dxa"/>
          </w:tcPr>
          <w:p>
            <w:pPr>
              <w:pStyle w:val="TableParagraph"/>
              <w:rPr>
                <w:rFonts w:ascii="Times New Roman"/>
                <w:sz w:val="12"/>
              </w:rPr>
            </w:pPr>
          </w:p>
        </w:tc>
        <w:tc>
          <w:tcPr>
            <w:tcW w:w="1067" w:type="dxa"/>
          </w:tcPr>
          <w:p>
            <w:pPr>
              <w:pStyle w:val="TableParagraph"/>
              <w:spacing w:line="152" w:lineRule="exact" w:before="8"/>
              <w:ind w:right="133"/>
              <w:jc w:val="right"/>
              <w:rPr>
                <w:i/>
                <w:sz w:val="14"/>
              </w:rPr>
            </w:pPr>
            <w:r>
              <w:rPr>
                <w:i/>
                <w:w w:val="99"/>
                <w:sz w:val="14"/>
              </w:rPr>
              <w:t>0</w:t>
            </w:r>
          </w:p>
        </w:tc>
        <w:tc>
          <w:tcPr>
            <w:tcW w:w="936" w:type="dxa"/>
          </w:tcPr>
          <w:p>
            <w:pPr>
              <w:pStyle w:val="TableParagraph"/>
              <w:rPr>
                <w:rFonts w:ascii="Times New Roman"/>
                <w:sz w:val="12"/>
              </w:rPr>
            </w:pPr>
          </w:p>
        </w:tc>
        <w:tc>
          <w:tcPr>
            <w:tcW w:w="1222" w:type="dxa"/>
          </w:tcPr>
          <w:p>
            <w:pPr>
              <w:pStyle w:val="TableParagraph"/>
              <w:spacing w:line="152" w:lineRule="exact" w:before="8"/>
              <w:ind w:right="251"/>
              <w:jc w:val="right"/>
              <w:rPr>
                <w:b/>
                <w:i/>
                <w:sz w:val="14"/>
              </w:rPr>
            </w:pPr>
            <w:r>
              <w:rPr>
                <w:b/>
                <w:i/>
                <w:w w:val="99"/>
                <w:sz w:val="14"/>
              </w:rPr>
              <w:t>0</w:t>
            </w:r>
          </w:p>
        </w:tc>
        <w:tc>
          <w:tcPr>
            <w:tcW w:w="952" w:type="dxa"/>
          </w:tcPr>
          <w:p>
            <w:pPr>
              <w:pStyle w:val="TableParagraph"/>
              <w:rPr>
                <w:rFonts w:ascii="Times New Roman"/>
                <w:sz w:val="12"/>
              </w:rPr>
            </w:pPr>
          </w:p>
        </w:tc>
        <w:tc>
          <w:tcPr>
            <w:tcW w:w="1093" w:type="dxa"/>
          </w:tcPr>
          <w:p>
            <w:pPr>
              <w:pStyle w:val="TableParagraph"/>
              <w:spacing w:line="152" w:lineRule="exact" w:before="8"/>
              <w:ind w:right="198"/>
              <w:jc w:val="right"/>
              <w:rPr>
                <w:b/>
                <w:i/>
                <w:sz w:val="14"/>
              </w:rPr>
            </w:pPr>
            <w:r>
              <w:rPr>
                <w:b/>
                <w:i/>
                <w:w w:val="99"/>
                <w:sz w:val="14"/>
              </w:rPr>
              <w:t>0</w:t>
            </w:r>
          </w:p>
        </w:tc>
        <w:tc>
          <w:tcPr>
            <w:tcW w:w="885" w:type="dxa"/>
          </w:tcPr>
          <w:p>
            <w:pPr>
              <w:pStyle w:val="TableParagraph"/>
              <w:rPr>
                <w:rFonts w:ascii="Times New Roman"/>
                <w:sz w:val="12"/>
              </w:rPr>
            </w:pPr>
          </w:p>
        </w:tc>
        <w:tc>
          <w:tcPr>
            <w:tcW w:w="1111" w:type="dxa"/>
          </w:tcPr>
          <w:p>
            <w:pPr>
              <w:pStyle w:val="TableParagraph"/>
              <w:spacing w:line="152" w:lineRule="exact" w:before="8"/>
              <w:ind w:right="212"/>
              <w:jc w:val="right"/>
              <w:rPr>
                <w:b/>
                <w:i/>
                <w:sz w:val="14"/>
              </w:rPr>
            </w:pPr>
            <w:r>
              <w:rPr>
                <w:b/>
                <w:i/>
                <w:w w:val="99"/>
                <w:sz w:val="14"/>
              </w:rPr>
              <w:t>0</w:t>
            </w:r>
          </w:p>
        </w:tc>
        <w:tc>
          <w:tcPr>
            <w:tcW w:w="999" w:type="dxa"/>
          </w:tcPr>
          <w:p>
            <w:pPr>
              <w:pStyle w:val="TableParagraph"/>
              <w:rPr>
                <w:rFonts w:ascii="Times New Roman"/>
                <w:sz w:val="12"/>
              </w:rPr>
            </w:pPr>
          </w:p>
        </w:tc>
      </w:tr>
      <w:tr>
        <w:trPr>
          <w:trHeight w:val="180" w:hRule="atLeast"/>
        </w:trPr>
        <w:tc>
          <w:tcPr>
            <w:tcW w:w="4287" w:type="dxa"/>
          </w:tcPr>
          <w:p>
            <w:pPr>
              <w:pStyle w:val="TableParagraph"/>
              <w:spacing w:line="154" w:lineRule="exact" w:before="5"/>
              <w:ind w:left="850"/>
              <w:rPr>
                <w:sz w:val="14"/>
              </w:rPr>
            </w:pPr>
            <w:r>
              <w:rPr>
                <w:sz w:val="14"/>
              </w:rPr>
              <w:t>Unaccounted</w:t>
            </w:r>
          </w:p>
        </w:tc>
        <w:tc>
          <w:tcPr>
            <w:tcW w:w="1278" w:type="dxa"/>
          </w:tcPr>
          <w:p>
            <w:pPr>
              <w:pStyle w:val="TableParagraph"/>
              <w:spacing w:line="154" w:lineRule="exact" w:before="5"/>
              <w:ind w:right="198"/>
              <w:jc w:val="right"/>
              <w:rPr>
                <w:i/>
                <w:sz w:val="14"/>
              </w:rPr>
            </w:pPr>
            <w:r>
              <w:rPr>
                <w:i/>
                <w:w w:val="95"/>
                <w:sz w:val="14"/>
              </w:rPr>
              <w:t>(5,991)</w:t>
            </w:r>
          </w:p>
        </w:tc>
        <w:tc>
          <w:tcPr>
            <w:tcW w:w="974" w:type="dxa"/>
          </w:tcPr>
          <w:p>
            <w:pPr>
              <w:pStyle w:val="TableParagraph"/>
              <w:rPr>
                <w:rFonts w:ascii="Times New Roman"/>
                <w:sz w:val="12"/>
              </w:rPr>
            </w:pPr>
          </w:p>
        </w:tc>
        <w:tc>
          <w:tcPr>
            <w:tcW w:w="1067" w:type="dxa"/>
          </w:tcPr>
          <w:p>
            <w:pPr>
              <w:pStyle w:val="TableParagraph"/>
              <w:spacing w:line="154" w:lineRule="exact" w:before="5"/>
              <w:ind w:right="133"/>
              <w:jc w:val="right"/>
              <w:rPr>
                <w:i/>
                <w:sz w:val="14"/>
              </w:rPr>
            </w:pPr>
            <w:r>
              <w:rPr>
                <w:i/>
                <w:w w:val="99"/>
                <w:sz w:val="14"/>
              </w:rPr>
              <w:t>0</w:t>
            </w:r>
          </w:p>
        </w:tc>
        <w:tc>
          <w:tcPr>
            <w:tcW w:w="936" w:type="dxa"/>
          </w:tcPr>
          <w:p>
            <w:pPr>
              <w:pStyle w:val="TableParagraph"/>
              <w:spacing w:line="154" w:lineRule="exact" w:before="5"/>
              <w:ind w:right="277"/>
              <w:jc w:val="right"/>
              <w:rPr>
                <w:i/>
                <w:sz w:val="14"/>
              </w:rPr>
            </w:pPr>
            <w:r>
              <w:rPr>
                <w:i/>
                <w:w w:val="95"/>
                <w:sz w:val="14"/>
              </w:rPr>
              <w:t>0.0%</w:t>
            </w:r>
          </w:p>
        </w:tc>
        <w:tc>
          <w:tcPr>
            <w:tcW w:w="1222" w:type="dxa"/>
          </w:tcPr>
          <w:p>
            <w:pPr>
              <w:pStyle w:val="TableParagraph"/>
              <w:spacing w:line="154" w:lineRule="exact" w:before="5"/>
              <w:ind w:right="240"/>
              <w:jc w:val="right"/>
              <w:rPr>
                <w:b/>
                <w:sz w:val="14"/>
              </w:rPr>
            </w:pPr>
            <w:r>
              <w:rPr>
                <w:b/>
                <w:w w:val="99"/>
                <w:sz w:val="14"/>
              </w:rPr>
              <w:t>0</w:t>
            </w:r>
          </w:p>
        </w:tc>
        <w:tc>
          <w:tcPr>
            <w:tcW w:w="952" w:type="dxa"/>
          </w:tcPr>
          <w:p>
            <w:pPr>
              <w:pStyle w:val="TableParagraph"/>
              <w:spacing w:line="154" w:lineRule="exact" w:before="5"/>
              <w:ind w:left="393"/>
              <w:rPr>
                <w:i/>
                <w:sz w:val="14"/>
              </w:rPr>
            </w:pPr>
            <w:r>
              <w:rPr>
                <w:i/>
                <w:sz w:val="14"/>
              </w:rPr>
              <w:t>0.0%</w:t>
            </w:r>
          </w:p>
        </w:tc>
        <w:tc>
          <w:tcPr>
            <w:tcW w:w="1093" w:type="dxa"/>
          </w:tcPr>
          <w:p>
            <w:pPr>
              <w:pStyle w:val="TableParagraph"/>
              <w:spacing w:line="154" w:lineRule="exact" w:before="5"/>
              <w:ind w:right="181"/>
              <w:jc w:val="right"/>
              <w:rPr>
                <w:b/>
                <w:sz w:val="14"/>
              </w:rPr>
            </w:pPr>
            <w:r>
              <w:rPr>
                <w:b/>
                <w:w w:val="95"/>
                <w:sz w:val="14"/>
              </w:rPr>
              <w:t>(0)</w:t>
            </w:r>
          </w:p>
        </w:tc>
        <w:tc>
          <w:tcPr>
            <w:tcW w:w="885" w:type="dxa"/>
          </w:tcPr>
          <w:p>
            <w:pPr>
              <w:pStyle w:val="TableParagraph"/>
              <w:spacing w:line="154" w:lineRule="exact" w:before="5"/>
              <w:ind w:right="234"/>
              <w:jc w:val="right"/>
              <w:rPr>
                <w:i/>
                <w:sz w:val="14"/>
              </w:rPr>
            </w:pPr>
            <w:r>
              <w:rPr>
                <w:i/>
                <w:w w:val="95"/>
                <w:sz w:val="14"/>
              </w:rPr>
              <w:t>0.0%</w:t>
            </w:r>
          </w:p>
        </w:tc>
        <w:tc>
          <w:tcPr>
            <w:tcW w:w="1111" w:type="dxa"/>
          </w:tcPr>
          <w:p>
            <w:pPr>
              <w:pStyle w:val="TableParagraph"/>
              <w:spacing w:line="154" w:lineRule="exact" w:before="5"/>
              <w:ind w:right="195"/>
              <w:jc w:val="right"/>
              <w:rPr>
                <w:b/>
                <w:sz w:val="14"/>
              </w:rPr>
            </w:pPr>
            <w:r>
              <w:rPr>
                <w:b/>
                <w:w w:val="95"/>
                <w:sz w:val="14"/>
              </w:rPr>
              <w:t>(0)</w:t>
            </w:r>
          </w:p>
        </w:tc>
        <w:tc>
          <w:tcPr>
            <w:tcW w:w="999" w:type="dxa"/>
          </w:tcPr>
          <w:p>
            <w:pPr>
              <w:pStyle w:val="TableParagraph"/>
              <w:spacing w:line="154" w:lineRule="exact" w:before="5"/>
              <w:ind w:right="357"/>
              <w:jc w:val="right"/>
              <w:rPr>
                <w:i/>
                <w:sz w:val="14"/>
              </w:rPr>
            </w:pPr>
            <w:r>
              <w:rPr>
                <w:i/>
                <w:w w:val="95"/>
                <w:sz w:val="14"/>
              </w:rPr>
              <w:t>0.0%</w:t>
            </w:r>
          </w:p>
        </w:tc>
      </w:tr>
      <w:tr>
        <w:trPr>
          <w:trHeight w:val="271" w:hRule="atLeast"/>
        </w:trPr>
        <w:tc>
          <w:tcPr>
            <w:tcW w:w="4287" w:type="dxa"/>
          </w:tcPr>
          <w:p>
            <w:pPr>
              <w:pStyle w:val="TableParagraph"/>
              <w:spacing w:before="8"/>
              <w:ind w:left="336"/>
              <w:rPr>
                <w:b/>
                <w:sz w:val="14"/>
              </w:rPr>
            </w:pPr>
            <w:r>
              <w:rPr>
                <w:b/>
                <w:sz w:val="14"/>
              </w:rPr>
              <w:t>Financing Gap</w:t>
            </w:r>
          </w:p>
        </w:tc>
        <w:tc>
          <w:tcPr>
            <w:tcW w:w="1278" w:type="dxa"/>
          </w:tcPr>
          <w:p>
            <w:pPr>
              <w:pStyle w:val="TableParagraph"/>
              <w:spacing w:before="8"/>
              <w:ind w:right="169"/>
              <w:jc w:val="right"/>
              <w:rPr>
                <w:b/>
                <w:i/>
                <w:sz w:val="14"/>
              </w:rPr>
            </w:pPr>
            <w:r>
              <w:rPr>
                <w:b/>
                <w:i/>
                <w:w w:val="83"/>
                <w:sz w:val="14"/>
              </w:rPr>
              <w:t>-</w:t>
            </w:r>
          </w:p>
        </w:tc>
        <w:tc>
          <w:tcPr>
            <w:tcW w:w="974" w:type="dxa"/>
          </w:tcPr>
          <w:p>
            <w:pPr>
              <w:pStyle w:val="TableParagraph"/>
              <w:spacing w:before="8"/>
              <w:ind w:right="210"/>
              <w:jc w:val="right"/>
              <w:rPr>
                <w:b/>
                <w:sz w:val="14"/>
              </w:rPr>
            </w:pPr>
            <w:r>
              <w:rPr>
                <w:b/>
                <w:sz w:val="14"/>
              </w:rPr>
              <w:t>0.0%</w:t>
            </w:r>
          </w:p>
        </w:tc>
        <w:tc>
          <w:tcPr>
            <w:tcW w:w="1067" w:type="dxa"/>
          </w:tcPr>
          <w:p>
            <w:pPr>
              <w:pStyle w:val="TableParagraph"/>
              <w:spacing w:before="8"/>
              <w:ind w:right="133"/>
              <w:jc w:val="right"/>
              <w:rPr>
                <w:b/>
                <w:i/>
                <w:sz w:val="14"/>
              </w:rPr>
            </w:pPr>
            <w:r>
              <w:rPr>
                <w:b/>
                <w:i/>
                <w:w w:val="99"/>
                <w:sz w:val="14"/>
              </w:rPr>
              <w:t>0</w:t>
            </w:r>
          </w:p>
        </w:tc>
        <w:tc>
          <w:tcPr>
            <w:tcW w:w="936" w:type="dxa"/>
          </w:tcPr>
          <w:p>
            <w:pPr>
              <w:pStyle w:val="TableParagraph"/>
              <w:rPr>
                <w:rFonts w:ascii="Times New Roman"/>
                <w:sz w:val="12"/>
              </w:rPr>
            </w:pPr>
          </w:p>
        </w:tc>
        <w:tc>
          <w:tcPr>
            <w:tcW w:w="1222" w:type="dxa"/>
          </w:tcPr>
          <w:p>
            <w:pPr>
              <w:pStyle w:val="TableParagraph"/>
              <w:spacing w:before="8"/>
              <w:ind w:right="251"/>
              <w:jc w:val="right"/>
              <w:rPr>
                <w:b/>
                <w:i/>
                <w:sz w:val="14"/>
              </w:rPr>
            </w:pPr>
            <w:r>
              <w:rPr>
                <w:b/>
                <w:i/>
                <w:w w:val="99"/>
                <w:sz w:val="14"/>
              </w:rPr>
              <w:t>0</w:t>
            </w:r>
          </w:p>
        </w:tc>
        <w:tc>
          <w:tcPr>
            <w:tcW w:w="952" w:type="dxa"/>
          </w:tcPr>
          <w:p>
            <w:pPr>
              <w:pStyle w:val="TableParagraph"/>
              <w:spacing w:before="8"/>
              <w:ind w:left="393"/>
              <w:rPr>
                <w:i/>
                <w:sz w:val="14"/>
              </w:rPr>
            </w:pPr>
            <w:r>
              <w:rPr>
                <w:i/>
                <w:sz w:val="14"/>
              </w:rPr>
              <w:t>0.0%</w:t>
            </w:r>
          </w:p>
        </w:tc>
        <w:tc>
          <w:tcPr>
            <w:tcW w:w="1093" w:type="dxa"/>
          </w:tcPr>
          <w:p>
            <w:pPr>
              <w:pStyle w:val="TableParagraph"/>
              <w:spacing w:before="8"/>
              <w:ind w:right="198"/>
              <w:jc w:val="right"/>
              <w:rPr>
                <w:b/>
                <w:i/>
                <w:sz w:val="14"/>
              </w:rPr>
            </w:pPr>
            <w:r>
              <w:rPr>
                <w:b/>
                <w:i/>
                <w:w w:val="99"/>
                <w:sz w:val="14"/>
              </w:rPr>
              <w:t>0</w:t>
            </w:r>
          </w:p>
        </w:tc>
        <w:tc>
          <w:tcPr>
            <w:tcW w:w="885" w:type="dxa"/>
          </w:tcPr>
          <w:p>
            <w:pPr>
              <w:pStyle w:val="TableParagraph"/>
              <w:spacing w:before="8"/>
              <w:ind w:right="234"/>
              <w:jc w:val="right"/>
              <w:rPr>
                <w:i/>
                <w:sz w:val="14"/>
              </w:rPr>
            </w:pPr>
            <w:r>
              <w:rPr>
                <w:i/>
                <w:w w:val="95"/>
                <w:sz w:val="14"/>
              </w:rPr>
              <w:t>0.0%</w:t>
            </w:r>
          </w:p>
        </w:tc>
        <w:tc>
          <w:tcPr>
            <w:tcW w:w="1111" w:type="dxa"/>
          </w:tcPr>
          <w:p>
            <w:pPr>
              <w:pStyle w:val="TableParagraph"/>
              <w:spacing w:before="8"/>
              <w:ind w:right="212"/>
              <w:jc w:val="right"/>
              <w:rPr>
                <w:b/>
                <w:i/>
                <w:sz w:val="14"/>
              </w:rPr>
            </w:pPr>
            <w:r>
              <w:rPr>
                <w:b/>
                <w:i/>
                <w:w w:val="99"/>
                <w:sz w:val="14"/>
              </w:rPr>
              <w:t>0</w:t>
            </w:r>
          </w:p>
        </w:tc>
        <w:tc>
          <w:tcPr>
            <w:tcW w:w="999" w:type="dxa"/>
          </w:tcPr>
          <w:p>
            <w:pPr>
              <w:pStyle w:val="TableParagraph"/>
              <w:spacing w:before="8"/>
              <w:ind w:right="357"/>
              <w:jc w:val="right"/>
              <w:rPr>
                <w:i/>
                <w:sz w:val="14"/>
              </w:rPr>
            </w:pPr>
            <w:r>
              <w:rPr>
                <w:i/>
                <w:w w:val="95"/>
                <w:sz w:val="14"/>
              </w:rPr>
              <w:t>0.0%</w:t>
            </w:r>
          </w:p>
        </w:tc>
      </w:tr>
      <w:tr>
        <w:trPr>
          <w:trHeight w:val="292" w:hRule="atLeast"/>
        </w:trPr>
        <w:tc>
          <w:tcPr>
            <w:tcW w:w="4287" w:type="dxa"/>
          </w:tcPr>
          <w:p>
            <w:pPr>
              <w:pStyle w:val="TableParagraph"/>
              <w:spacing w:before="97"/>
              <w:ind w:left="336"/>
              <w:rPr>
                <w:b/>
                <w:sz w:val="14"/>
              </w:rPr>
            </w:pPr>
            <w:r>
              <w:rPr>
                <w:b/>
                <w:sz w:val="14"/>
              </w:rPr>
              <w:t>Financing Gap (US$’m)</w:t>
            </w:r>
          </w:p>
        </w:tc>
        <w:tc>
          <w:tcPr>
            <w:tcW w:w="1278" w:type="dxa"/>
          </w:tcPr>
          <w:p>
            <w:pPr>
              <w:pStyle w:val="TableParagraph"/>
              <w:spacing w:before="97"/>
              <w:ind w:right="192"/>
              <w:jc w:val="right"/>
              <w:rPr>
                <w:b/>
                <w:i/>
                <w:sz w:val="14"/>
              </w:rPr>
            </w:pPr>
            <w:r>
              <w:rPr>
                <w:b/>
                <w:i/>
                <w:w w:val="90"/>
                <w:sz w:val="14"/>
              </w:rPr>
              <w:t>(0.8)</w:t>
            </w:r>
          </w:p>
        </w:tc>
        <w:tc>
          <w:tcPr>
            <w:tcW w:w="974" w:type="dxa"/>
          </w:tcPr>
          <w:p>
            <w:pPr>
              <w:pStyle w:val="TableParagraph"/>
              <w:rPr>
                <w:rFonts w:ascii="Times New Roman"/>
                <w:sz w:val="12"/>
              </w:rPr>
            </w:pPr>
          </w:p>
        </w:tc>
        <w:tc>
          <w:tcPr>
            <w:tcW w:w="1067" w:type="dxa"/>
          </w:tcPr>
          <w:p>
            <w:pPr>
              <w:pStyle w:val="TableParagraph"/>
              <w:spacing w:before="97"/>
              <w:ind w:right="135"/>
              <w:jc w:val="right"/>
              <w:rPr>
                <w:b/>
                <w:sz w:val="14"/>
              </w:rPr>
            </w:pPr>
            <w:r>
              <w:rPr>
                <w:b/>
                <w:w w:val="95"/>
                <w:sz w:val="14"/>
              </w:rPr>
              <w:t>0.0</w:t>
            </w:r>
          </w:p>
        </w:tc>
        <w:tc>
          <w:tcPr>
            <w:tcW w:w="936" w:type="dxa"/>
          </w:tcPr>
          <w:p>
            <w:pPr>
              <w:pStyle w:val="TableParagraph"/>
              <w:rPr>
                <w:rFonts w:ascii="Times New Roman"/>
                <w:sz w:val="12"/>
              </w:rPr>
            </w:pPr>
          </w:p>
        </w:tc>
        <w:tc>
          <w:tcPr>
            <w:tcW w:w="1222" w:type="dxa"/>
          </w:tcPr>
          <w:p>
            <w:pPr>
              <w:pStyle w:val="TableParagraph"/>
              <w:spacing w:before="97"/>
              <w:ind w:right="253"/>
              <w:jc w:val="right"/>
              <w:rPr>
                <w:b/>
                <w:sz w:val="14"/>
              </w:rPr>
            </w:pPr>
            <w:r>
              <w:rPr>
                <w:b/>
                <w:w w:val="95"/>
                <w:sz w:val="14"/>
              </w:rPr>
              <w:t>0.0</w:t>
            </w:r>
          </w:p>
        </w:tc>
        <w:tc>
          <w:tcPr>
            <w:tcW w:w="952" w:type="dxa"/>
          </w:tcPr>
          <w:p>
            <w:pPr>
              <w:pStyle w:val="TableParagraph"/>
              <w:rPr>
                <w:rFonts w:ascii="Times New Roman"/>
                <w:sz w:val="12"/>
              </w:rPr>
            </w:pPr>
          </w:p>
        </w:tc>
        <w:tc>
          <w:tcPr>
            <w:tcW w:w="1093" w:type="dxa"/>
          </w:tcPr>
          <w:p>
            <w:pPr>
              <w:pStyle w:val="TableParagraph"/>
              <w:spacing w:before="97"/>
              <w:ind w:right="195"/>
              <w:jc w:val="right"/>
              <w:rPr>
                <w:b/>
                <w:sz w:val="14"/>
              </w:rPr>
            </w:pPr>
            <w:r>
              <w:rPr>
                <w:b/>
                <w:w w:val="95"/>
                <w:sz w:val="14"/>
              </w:rPr>
              <w:t>(0.0)</w:t>
            </w:r>
          </w:p>
        </w:tc>
        <w:tc>
          <w:tcPr>
            <w:tcW w:w="885" w:type="dxa"/>
          </w:tcPr>
          <w:p>
            <w:pPr>
              <w:pStyle w:val="TableParagraph"/>
              <w:rPr>
                <w:rFonts w:ascii="Times New Roman"/>
                <w:sz w:val="12"/>
              </w:rPr>
            </w:pPr>
          </w:p>
        </w:tc>
        <w:tc>
          <w:tcPr>
            <w:tcW w:w="1111" w:type="dxa"/>
          </w:tcPr>
          <w:p>
            <w:pPr>
              <w:pStyle w:val="TableParagraph"/>
              <w:spacing w:before="97"/>
              <w:ind w:right="203"/>
              <w:jc w:val="right"/>
              <w:rPr>
                <w:b/>
                <w:sz w:val="14"/>
              </w:rPr>
            </w:pPr>
            <w:r>
              <w:rPr>
                <w:b/>
                <w:w w:val="95"/>
                <w:sz w:val="14"/>
              </w:rPr>
              <w:t>(0.0)</w:t>
            </w:r>
          </w:p>
        </w:tc>
        <w:tc>
          <w:tcPr>
            <w:tcW w:w="999" w:type="dxa"/>
          </w:tcPr>
          <w:p>
            <w:pPr>
              <w:pStyle w:val="TableParagraph"/>
              <w:rPr>
                <w:rFonts w:ascii="Times New Roman"/>
                <w:sz w:val="12"/>
              </w:rPr>
            </w:pPr>
          </w:p>
        </w:tc>
      </w:tr>
      <w:tr>
        <w:trPr>
          <w:trHeight w:val="336" w:hRule="atLeast"/>
        </w:trPr>
        <w:tc>
          <w:tcPr>
            <w:tcW w:w="4287" w:type="dxa"/>
          </w:tcPr>
          <w:p>
            <w:pPr>
              <w:pStyle w:val="TableParagraph"/>
              <w:spacing w:before="3"/>
              <w:rPr>
                <w:i/>
                <w:sz w:val="14"/>
              </w:rPr>
            </w:pPr>
          </w:p>
          <w:p>
            <w:pPr>
              <w:pStyle w:val="TableParagraph"/>
              <w:spacing w:line="152" w:lineRule="exact"/>
              <w:ind w:left="168"/>
              <w:rPr>
                <w:sz w:val="14"/>
              </w:rPr>
            </w:pPr>
            <w:r>
              <w:rPr>
                <w:sz w:val="14"/>
              </w:rPr>
              <w:t>Memorandum Items:</w:t>
            </w:r>
          </w:p>
        </w:tc>
        <w:tc>
          <w:tcPr>
            <w:tcW w:w="1278" w:type="dxa"/>
          </w:tcPr>
          <w:p>
            <w:pPr>
              <w:pStyle w:val="TableParagraph"/>
              <w:rPr>
                <w:rFonts w:ascii="Times New Roman"/>
                <w:sz w:val="12"/>
              </w:rPr>
            </w:pPr>
          </w:p>
        </w:tc>
        <w:tc>
          <w:tcPr>
            <w:tcW w:w="974" w:type="dxa"/>
          </w:tcPr>
          <w:p>
            <w:pPr>
              <w:pStyle w:val="TableParagraph"/>
              <w:rPr>
                <w:rFonts w:ascii="Times New Roman"/>
                <w:sz w:val="12"/>
              </w:rPr>
            </w:pPr>
          </w:p>
        </w:tc>
        <w:tc>
          <w:tcPr>
            <w:tcW w:w="1067" w:type="dxa"/>
          </w:tcPr>
          <w:p>
            <w:pPr>
              <w:pStyle w:val="TableParagraph"/>
              <w:rPr>
                <w:rFonts w:ascii="Times New Roman"/>
                <w:sz w:val="12"/>
              </w:rPr>
            </w:pPr>
          </w:p>
        </w:tc>
        <w:tc>
          <w:tcPr>
            <w:tcW w:w="936" w:type="dxa"/>
          </w:tcPr>
          <w:p>
            <w:pPr>
              <w:pStyle w:val="TableParagraph"/>
              <w:rPr>
                <w:rFonts w:ascii="Times New Roman"/>
                <w:sz w:val="12"/>
              </w:rPr>
            </w:pPr>
          </w:p>
        </w:tc>
        <w:tc>
          <w:tcPr>
            <w:tcW w:w="1222" w:type="dxa"/>
          </w:tcPr>
          <w:p>
            <w:pPr>
              <w:pStyle w:val="TableParagraph"/>
              <w:rPr>
                <w:rFonts w:ascii="Times New Roman"/>
                <w:sz w:val="12"/>
              </w:rPr>
            </w:pPr>
          </w:p>
        </w:tc>
        <w:tc>
          <w:tcPr>
            <w:tcW w:w="952" w:type="dxa"/>
          </w:tcPr>
          <w:p>
            <w:pPr>
              <w:pStyle w:val="TableParagraph"/>
              <w:rPr>
                <w:rFonts w:ascii="Times New Roman"/>
                <w:sz w:val="12"/>
              </w:rPr>
            </w:pPr>
          </w:p>
        </w:tc>
        <w:tc>
          <w:tcPr>
            <w:tcW w:w="1093" w:type="dxa"/>
          </w:tcPr>
          <w:p>
            <w:pPr>
              <w:pStyle w:val="TableParagraph"/>
              <w:rPr>
                <w:rFonts w:ascii="Times New Roman"/>
                <w:sz w:val="12"/>
              </w:rPr>
            </w:pPr>
          </w:p>
        </w:tc>
        <w:tc>
          <w:tcPr>
            <w:tcW w:w="885" w:type="dxa"/>
          </w:tcPr>
          <w:p>
            <w:pPr>
              <w:pStyle w:val="TableParagraph"/>
              <w:rPr>
                <w:rFonts w:ascii="Times New Roman"/>
                <w:sz w:val="12"/>
              </w:rPr>
            </w:pPr>
          </w:p>
        </w:tc>
        <w:tc>
          <w:tcPr>
            <w:tcW w:w="1111" w:type="dxa"/>
          </w:tcPr>
          <w:p>
            <w:pPr>
              <w:pStyle w:val="TableParagraph"/>
              <w:rPr>
                <w:rFonts w:ascii="Times New Roman"/>
                <w:sz w:val="12"/>
              </w:rPr>
            </w:pPr>
          </w:p>
        </w:tc>
        <w:tc>
          <w:tcPr>
            <w:tcW w:w="999" w:type="dxa"/>
          </w:tcPr>
          <w:p>
            <w:pPr>
              <w:pStyle w:val="TableParagraph"/>
              <w:rPr>
                <w:rFonts w:ascii="Times New Roman"/>
                <w:sz w:val="12"/>
              </w:rPr>
            </w:pPr>
          </w:p>
        </w:tc>
      </w:tr>
      <w:tr>
        <w:trPr>
          <w:trHeight w:val="268" w:hRule="atLeast"/>
        </w:trPr>
        <w:tc>
          <w:tcPr>
            <w:tcW w:w="4287" w:type="dxa"/>
          </w:tcPr>
          <w:p>
            <w:pPr>
              <w:pStyle w:val="TableParagraph"/>
              <w:spacing w:before="5"/>
              <w:ind w:left="509"/>
              <w:rPr>
                <w:sz w:val="14"/>
              </w:rPr>
            </w:pPr>
            <w:r>
              <w:rPr>
                <w:sz w:val="14"/>
              </w:rPr>
              <w:t>Free Education Programme</w:t>
            </w:r>
          </w:p>
        </w:tc>
        <w:tc>
          <w:tcPr>
            <w:tcW w:w="1278" w:type="dxa"/>
          </w:tcPr>
          <w:p>
            <w:pPr>
              <w:pStyle w:val="TableParagraph"/>
              <w:spacing w:before="5"/>
              <w:ind w:right="204"/>
              <w:jc w:val="right"/>
              <w:rPr>
                <w:i/>
                <w:sz w:val="14"/>
              </w:rPr>
            </w:pPr>
            <w:r>
              <w:rPr>
                <w:i/>
                <w:w w:val="95"/>
                <w:sz w:val="14"/>
              </w:rPr>
              <w:t>200,175</w:t>
            </w:r>
          </w:p>
        </w:tc>
        <w:tc>
          <w:tcPr>
            <w:tcW w:w="974" w:type="dxa"/>
          </w:tcPr>
          <w:p>
            <w:pPr>
              <w:pStyle w:val="TableParagraph"/>
              <w:rPr>
                <w:rFonts w:ascii="Times New Roman"/>
                <w:sz w:val="12"/>
              </w:rPr>
            </w:pPr>
          </w:p>
        </w:tc>
        <w:tc>
          <w:tcPr>
            <w:tcW w:w="1067" w:type="dxa"/>
          </w:tcPr>
          <w:p>
            <w:pPr>
              <w:pStyle w:val="TableParagraph"/>
              <w:spacing w:before="5"/>
              <w:ind w:right="147"/>
              <w:jc w:val="right"/>
              <w:rPr>
                <w:i/>
                <w:sz w:val="14"/>
              </w:rPr>
            </w:pPr>
            <w:r>
              <w:rPr>
                <w:i/>
                <w:w w:val="95"/>
                <w:sz w:val="14"/>
              </w:rPr>
              <w:t>234,357</w:t>
            </w:r>
          </w:p>
        </w:tc>
        <w:tc>
          <w:tcPr>
            <w:tcW w:w="936" w:type="dxa"/>
          </w:tcPr>
          <w:p>
            <w:pPr>
              <w:pStyle w:val="TableParagraph"/>
              <w:spacing w:before="5"/>
              <w:ind w:right="277"/>
              <w:jc w:val="right"/>
              <w:rPr>
                <w:i/>
                <w:sz w:val="14"/>
              </w:rPr>
            </w:pPr>
            <w:r>
              <w:rPr>
                <w:i/>
                <w:w w:val="95"/>
                <w:sz w:val="14"/>
              </w:rPr>
              <w:t>0.6%</w:t>
            </w:r>
          </w:p>
        </w:tc>
        <w:tc>
          <w:tcPr>
            <w:tcW w:w="1222" w:type="dxa"/>
          </w:tcPr>
          <w:p>
            <w:pPr>
              <w:pStyle w:val="TableParagraph"/>
              <w:spacing w:before="5"/>
              <w:ind w:right="290"/>
              <w:jc w:val="right"/>
              <w:rPr>
                <w:b/>
                <w:i/>
                <w:sz w:val="14"/>
              </w:rPr>
            </w:pPr>
            <w:r>
              <w:rPr>
                <w:b/>
                <w:i/>
                <w:sz w:val="14"/>
              </w:rPr>
              <w:t>18 ,430</w:t>
            </w:r>
          </w:p>
        </w:tc>
        <w:tc>
          <w:tcPr>
            <w:tcW w:w="952" w:type="dxa"/>
          </w:tcPr>
          <w:p>
            <w:pPr>
              <w:pStyle w:val="TableParagraph"/>
              <w:spacing w:before="5"/>
              <w:ind w:left="393"/>
              <w:rPr>
                <w:i/>
                <w:sz w:val="14"/>
              </w:rPr>
            </w:pPr>
            <w:r>
              <w:rPr>
                <w:i/>
                <w:sz w:val="14"/>
              </w:rPr>
              <w:t>0.0%</w:t>
            </w:r>
          </w:p>
        </w:tc>
        <w:tc>
          <w:tcPr>
            <w:tcW w:w="1093" w:type="dxa"/>
          </w:tcPr>
          <w:p>
            <w:pPr>
              <w:pStyle w:val="TableParagraph"/>
              <w:spacing w:before="5"/>
              <w:ind w:left="372"/>
              <w:rPr>
                <w:b/>
                <w:i/>
                <w:sz w:val="14"/>
              </w:rPr>
            </w:pPr>
            <w:r>
              <w:rPr>
                <w:b/>
                <w:i/>
                <w:sz w:val="14"/>
              </w:rPr>
              <w:t>22 ,263</w:t>
            </w:r>
          </w:p>
        </w:tc>
        <w:tc>
          <w:tcPr>
            <w:tcW w:w="885" w:type="dxa"/>
          </w:tcPr>
          <w:p>
            <w:pPr>
              <w:pStyle w:val="TableParagraph"/>
              <w:spacing w:before="5"/>
              <w:ind w:right="234"/>
              <w:jc w:val="right"/>
              <w:rPr>
                <w:i/>
                <w:sz w:val="14"/>
              </w:rPr>
            </w:pPr>
            <w:r>
              <w:rPr>
                <w:i/>
                <w:w w:val="95"/>
                <w:sz w:val="14"/>
              </w:rPr>
              <w:t>0.0%</w:t>
            </w:r>
          </w:p>
        </w:tc>
        <w:tc>
          <w:tcPr>
            <w:tcW w:w="1111" w:type="dxa"/>
          </w:tcPr>
          <w:p>
            <w:pPr>
              <w:pStyle w:val="TableParagraph"/>
              <w:spacing w:before="5"/>
              <w:ind w:right="251"/>
              <w:jc w:val="right"/>
              <w:rPr>
                <w:b/>
                <w:i/>
                <w:sz w:val="14"/>
              </w:rPr>
            </w:pPr>
            <w:r>
              <w:rPr>
                <w:b/>
                <w:i/>
                <w:sz w:val="14"/>
              </w:rPr>
              <w:t>23 ,790</w:t>
            </w:r>
          </w:p>
        </w:tc>
        <w:tc>
          <w:tcPr>
            <w:tcW w:w="999" w:type="dxa"/>
          </w:tcPr>
          <w:p>
            <w:pPr>
              <w:pStyle w:val="TableParagraph"/>
              <w:spacing w:before="5"/>
              <w:ind w:right="357"/>
              <w:jc w:val="right"/>
              <w:rPr>
                <w:i/>
                <w:sz w:val="14"/>
              </w:rPr>
            </w:pPr>
            <w:r>
              <w:rPr>
                <w:i/>
                <w:w w:val="95"/>
                <w:sz w:val="14"/>
              </w:rPr>
              <w:t>0.0%</w:t>
            </w:r>
          </w:p>
        </w:tc>
      </w:tr>
      <w:tr>
        <w:trPr>
          <w:trHeight w:val="360" w:hRule="atLeast"/>
        </w:trPr>
        <w:tc>
          <w:tcPr>
            <w:tcW w:w="4287" w:type="dxa"/>
          </w:tcPr>
          <w:p>
            <w:pPr>
              <w:pStyle w:val="TableParagraph"/>
              <w:spacing w:before="97"/>
              <w:ind w:left="509"/>
              <w:rPr>
                <w:sz w:val="14"/>
              </w:rPr>
            </w:pPr>
            <w:r>
              <w:rPr>
                <w:sz w:val="14"/>
              </w:rPr>
              <w:t>Energy Subsidies(Incl. Fuel)</w:t>
            </w:r>
          </w:p>
        </w:tc>
        <w:tc>
          <w:tcPr>
            <w:tcW w:w="1278" w:type="dxa"/>
          </w:tcPr>
          <w:p>
            <w:pPr>
              <w:pStyle w:val="TableParagraph"/>
              <w:spacing w:before="97"/>
              <w:ind w:right="198"/>
              <w:jc w:val="right"/>
              <w:rPr>
                <w:i/>
                <w:sz w:val="14"/>
              </w:rPr>
            </w:pPr>
            <w:r>
              <w:rPr>
                <w:i/>
                <w:sz w:val="14"/>
              </w:rPr>
              <w:t>46,238</w:t>
            </w:r>
          </w:p>
        </w:tc>
        <w:tc>
          <w:tcPr>
            <w:tcW w:w="974" w:type="dxa"/>
          </w:tcPr>
          <w:p>
            <w:pPr>
              <w:pStyle w:val="TableParagraph"/>
              <w:rPr>
                <w:rFonts w:ascii="Times New Roman"/>
                <w:sz w:val="12"/>
              </w:rPr>
            </w:pPr>
          </w:p>
        </w:tc>
        <w:tc>
          <w:tcPr>
            <w:tcW w:w="1067" w:type="dxa"/>
          </w:tcPr>
          <w:p>
            <w:pPr>
              <w:pStyle w:val="TableParagraph"/>
              <w:spacing w:before="97"/>
              <w:ind w:right="147"/>
              <w:jc w:val="right"/>
              <w:rPr>
                <w:i/>
                <w:sz w:val="14"/>
              </w:rPr>
            </w:pPr>
            <w:r>
              <w:rPr>
                <w:i/>
                <w:w w:val="95"/>
                <w:sz w:val="14"/>
              </w:rPr>
              <w:t>144,637</w:t>
            </w:r>
          </w:p>
        </w:tc>
        <w:tc>
          <w:tcPr>
            <w:tcW w:w="936" w:type="dxa"/>
          </w:tcPr>
          <w:p>
            <w:pPr>
              <w:pStyle w:val="TableParagraph"/>
              <w:spacing w:before="97"/>
              <w:ind w:right="277"/>
              <w:jc w:val="right"/>
              <w:rPr>
                <w:i/>
                <w:sz w:val="14"/>
              </w:rPr>
            </w:pPr>
            <w:r>
              <w:rPr>
                <w:i/>
                <w:w w:val="95"/>
                <w:sz w:val="14"/>
              </w:rPr>
              <w:t>0.4%</w:t>
            </w:r>
          </w:p>
        </w:tc>
        <w:tc>
          <w:tcPr>
            <w:tcW w:w="1222" w:type="dxa"/>
          </w:tcPr>
          <w:p>
            <w:pPr>
              <w:pStyle w:val="TableParagraph"/>
              <w:spacing w:before="97"/>
              <w:ind w:right="300"/>
              <w:jc w:val="right"/>
              <w:rPr>
                <w:b/>
                <w:i/>
                <w:sz w:val="14"/>
              </w:rPr>
            </w:pPr>
            <w:r>
              <w:rPr>
                <w:b/>
                <w:i/>
                <w:sz w:val="14"/>
              </w:rPr>
              <w:t>124,153</w:t>
            </w:r>
          </w:p>
        </w:tc>
        <w:tc>
          <w:tcPr>
            <w:tcW w:w="952" w:type="dxa"/>
          </w:tcPr>
          <w:p>
            <w:pPr>
              <w:pStyle w:val="TableParagraph"/>
              <w:spacing w:before="97"/>
              <w:ind w:left="393"/>
              <w:rPr>
                <w:i/>
                <w:sz w:val="14"/>
              </w:rPr>
            </w:pPr>
            <w:r>
              <w:rPr>
                <w:i/>
                <w:sz w:val="14"/>
              </w:rPr>
              <w:t>0.3%</w:t>
            </w:r>
          </w:p>
        </w:tc>
        <w:tc>
          <w:tcPr>
            <w:tcW w:w="1093" w:type="dxa"/>
          </w:tcPr>
          <w:p>
            <w:pPr>
              <w:pStyle w:val="TableParagraph"/>
              <w:spacing w:before="97"/>
              <w:ind w:left="275"/>
              <w:rPr>
                <w:b/>
                <w:i/>
                <w:sz w:val="14"/>
              </w:rPr>
            </w:pPr>
            <w:r>
              <w:rPr>
                <w:b/>
                <w:i/>
                <w:sz w:val="14"/>
              </w:rPr>
              <w:t>179,237</w:t>
            </w:r>
          </w:p>
        </w:tc>
        <w:tc>
          <w:tcPr>
            <w:tcW w:w="885" w:type="dxa"/>
          </w:tcPr>
          <w:p>
            <w:pPr>
              <w:pStyle w:val="TableParagraph"/>
              <w:spacing w:before="97"/>
              <w:ind w:right="234"/>
              <w:jc w:val="right"/>
              <w:rPr>
                <w:i/>
                <w:sz w:val="14"/>
              </w:rPr>
            </w:pPr>
            <w:r>
              <w:rPr>
                <w:i/>
                <w:w w:val="95"/>
                <w:sz w:val="14"/>
              </w:rPr>
              <w:t>0.4%</w:t>
            </w:r>
          </w:p>
        </w:tc>
        <w:tc>
          <w:tcPr>
            <w:tcW w:w="1111" w:type="dxa"/>
          </w:tcPr>
          <w:p>
            <w:pPr>
              <w:pStyle w:val="TableParagraph"/>
              <w:spacing w:before="97"/>
              <w:ind w:right="261"/>
              <w:jc w:val="right"/>
              <w:rPr>
                <w:b/>
                <w:i/>
                <w:sz w:val="14"/>
              </w:rPr>
            </w:pPr>
            <w:r>
              <w:rPr>
                <w:b/>
                <w:i/>
                <w:sz w:val="14"/>
              </w:rPr>
              <w:t>106,211</w:t>
            </w:r>
          </w:p>
        </w:tc>
        <w:tc>
          <w:tcPr>
            <w:tcW w:w="999" w:type="dxa"/>
          </w:tcPr>
          <w:p>
            <w:pPr>
              <w:pStyle w:val="TableParagraph"/>
              <w:spacing w:before="97"/>
              <w:ind w:right="357"/>
              <w:jc w:val="right"/>
              <w:rPr>
                <w:i/>
                <w:sz w:val="14"/>
              </w:rPr>
            </w:pPr>
            <w:r>
              <w:rPr>
                <w:i/>
                <w:w w:val="95"/>
                <w:sz w:val="14"/>
              </w:rPr>
              <w:t>0.2%</w:t>
            </w:r>
          </w:p>
        </w:tc>
      </w:tr>
      <w:tr>
        <w:trPr>
          <w:trHeight w:val="360" w:hRule="atLeast"/>
        </w:trPr>
        <w:tc>
          <w:tcPr>
            <w:tcW w:w="4287" w:type="dxa"/>
          </w:tcPr>
          <w:p>
            <w:pPr>
              <w:pStyle w:val="TableParagraph"/>
              <w:spacing w:before="97"/>
              <w:ind w:left="508"/>
              <w:rPr>
                <w:sz w:val="14"/>
              </w:rPr>
            </w:pPr>
            <w:r>
              <w:rPr>
                <w:sz w:val="14"/>
              </w:rPr>
              <w:t>Stock of Committed Obligations</w:t>
            </w:r>
          </w:p>
        </w:tc>
        <w:tc>
          <w:tcPr>
            <w:tcW w:w="1278" w:type="dxa"/>
          </w:tcPr>
          <w:p>
            <w:pPr>
              <w:pStyle w:val="TableParagraph"/>
              <w:spacing w:before="97"/>
              <w:ind w:right="204"/>
              <w:jc w:val="right"/>
              <w:rPr>
                <w:i/>
                <w:sz w:val="14"/>
              </w:rPr>
            </w:pPr>
            <w:r>
              <w:rPr>
                <w:i/>
                <w:w w:val="95"/>
                <w:sz w:val="14"/>
              </w:rPr>
              <w:t>891,240</w:t>
            </w:r>
          </w:p>
        </w:tc>
        <w:tc>
          <w:tcPr>
            <w:tcW w:w="974" w:type="dxa"/>
          </w:tcPr>
          <w:p>
            <w:pPr>
              <w:pStyle w:val="TableParagraph"/>
              <w:rPr>
                <w:rFonts w:ascii="Times New Roman"/>
                <w:sz w:val="12"/>
              </w:rPr>
            </w:pPr>
          </w:p>
        </w:tc>
        <w:tc>
          <w:tcPr>
            <w:tcW w:w="1067" w:type="dxa"/>
          </w:tcPr>
          <w:p>
            <w:pPr>
              <w:pStyle w:val="TableParagraph"/>
              <w:spacing w:before="97"/>
              <w:ind w:right="117"/>
              <w:jc w:val="right"/>
              <w:rPr>
                <w:i/>
                <w:sz w:val="14"/>
              </w:rPr>
            </w:pPr>
            <w:r>
              <w:rPr>
                <w:i/>
                <w:w w:val="95"/>
                <w:sz w:val="14"/>
              </w:rPr>
              <w:t>-</w:t>
            </w:r>
          </w:p>
        </w:tc>
        <w:tc>
          <w:tcPr>
            <w:tcW w:w="936" w:type="dxa"/>
          </w:tcPr>
          <w:p>
            <w:pPr>
              <w:pStyle w:val="TableParagraph"/>
              <w:rPr>
                <w:rFonts w:ascii="Times New Roman"/>
                <w:sz w:val="12"/>
              </w:rPr>
            </w:pPr>
          </w:p>
        </w:tc>
        <w:tc>
          <w:tcPr>
            <w:tcW w:w="1222" w:type="dxa"/>
          </w:tcPr>
          <w:p>
            <w:pPr>
              <w:pStyle w:val="TableParagraph"/>
              <w:spacing w:before="97"/>
              <w:ind w:right="229"/>
              <w:jc w:val="right"/>
              <w:rPr>
                <w:b/>
                <w:i/>
                <w:sz w:val="14"/>
              </w:rPr>
            </w:pPr>
            <w:r>
              <w:rPr>
                <w:b/>
                <w:i/>
                <w:w w:val="83"/>
                <w:sz w:val="14"/>
              </w:rPr>
              <w:t>-</w:t>
            </w:r>
          </w:p>
        </w:tc>
        <w:tc>
          <w:tcPr>
            <w:tcW w:w="952" w:type="dxa"/>
          </w:tcPr>
          <w:p>
            <w:pPr>
              <w:pStyle w:val="TableParagraph"/>
              <w:rPr>
                <w:rFonts w:ascii="Times New Roman"/>
                <w:sz w:val="12"/>
              </w:rPr>
            </w:pPr>
          </w:p>
        </w:tc>
        <w:tc>
          <w:tcPr>
            <w:tcW w:w="1093" w:type="dxa"/>
          </w:tcPr>
          <w:p>
            <w:pPr>
              <w:pStyle w:val="TableParagraph"/>
              <w:spacing w:before="97"/>
              <w:ind w:right="176"/>
              <w:jc w:val="right"/>
              <w:rPr>
                <w:b/>
                <w:i/>
                <w:sz w:val="14"/>
              </w:rPr>
            </w:pPr>
            <w:r>
              <w:rPr>
                <w:b/>
                <w:i/>
                <w:w w:val="83"/>
                <w:sz w:val="14"/>
              </w:rPr>
              <w:t>-</w:t>
            </w:r>
          </w:p>
        </w:tc>
        <w:tc>
          <w:tcPr>
            <w:tcW w:w="885" w:type="dxa"/>
          </w:tcPr>
          <w:p>
            <w:pPr>
              <w:pStyle w:val="TableParagraph"/>
              <w:rPr>
                <w:rFonts w:ascii="Times New Roman"/>
                <w:sz w:val="12"/>
              </w:rPr>
            </w:pPr>
          </w:p>
        </w:tc>
        <w:tc>
          <w:tcPr>
            <w:tcW w:w="1111" w:type="dxa"/>
          </w:tcPr>
          <w:p>
            <w:pPr>
              <w:pStyle w:val="TableParagraph"/>
              <w:spacing w:before="97"/>
              <w:ind w:right="185"/>
              <w:jc w:val="right"/>
              <w:rPr>
                <w:b/>
                <w:i/>
                <w:sz w:val="14"/>
              </w:rPr>
            </w:pPr>
            <w:r>
              <w:rPr>
                <w:b/>
                <w:i/>
                <w:w w:val="83"/>
                <w:sz w:val="14"/>
              </w:rPr>
              <w:t>-</w:t>
            </w:r>
          </w:p>
        </w:tc>
        <w:tc>
          <w:tcPr>
            <w:tcW w:w="999" w:type="dxa"/>
          </w:tcPr>
          <w:p>
            <w:pPr>
              <w:pStyle w:val="TableParagraph"/>
              <w:rPr>
                <w:rFonts w:ascii="Times New Roman"/>
                <w:sz w:val="12"/>
              </w:rPr>
            </w:pPr>
          </w:p>
        </w:tc>
      </w:tr>
      <w:tr>
        <w:trPr>
          <w:trHeight w:val="271" w:hRule="atLeast"/>
        </w:trPr>
        <w:tc>
          <w:tcPr>
            <w:tcW w:w="4287" w:type="dxa"/>
          </w:tcPr>
          <w:p>
            <w:pPr>
              <w:pStyle w:val="TableParagraph"/>
              <w:spacing w:line="154" w:lineRule="exact" w:before="97"/>
              <w:ind w:left="336"/>
              <w:rPr>
                <w:sz w:val="14"/>
              </w:rPr>
            </w:pPr>
            <w:r>
              <w:rPr>
                <w:sz w:val="14"/>
              </w:rPr>
              <w:t>Public Debt Charges</w:t>
            </w:r>
          </w:p>
        </w:tc>
        <w:tc>
          <w:tcPr>
            <w:tcW w:w="1278" w:type="dxa"/>
          </w:tcPr>
          <w:p>
            <w:pPr>
              <w:pStyle w:val="TableParagraph"/>
              <w:spacing w:line="154" w:lineRule="exact" w:before="97"/>
              <w:ind w:left="360"/>
              <w:rPr>
                <w:i/>
                <w:sz w:val="14"/>
              </w:rPr>
            </w:pPr>
            <w:r>
              <w:rPr>
                <w:i/>
                <w:sz w:val="14"/>
              </w:rPr>
              <w:t>1,269 ,080</w:t>
            </w:r>
          </w:p>
        </w:tc>
        <w:tc>
          <w:tcPr>
            <w:tcW w:w="974" w:type="dxa"/>
          </w:tcPr>
          <w:p>
            <w:pPr>
              <w:pStyle w:val="TableParagraph"/>
              <w:spacing w:line="154" w:lineRule="exact" w:before="97"/>
              <w:ind w:right="204"/>
              <w:jc w:val="right"/>
              <w:rPr>
                <w:sz w:val="14"/>
              </w:rPr>
            </w:pPr>
            <w:r>
              <w:rPr>
                <w:sz w:val="14"/>
              </w:rPr>
              <w:t>3 . 9 %</w:t>
            </w:r>
          </w:p>
        </w:tc>
        <w:tc>
          <w:tcPr>
            <w:tcW w:w="1067" w:type="dxa"/>
          </w:tcPr>
          <w:p>
            <w:pPr>
              <w:pStyle w:val="TableParagraph"/>
              <w:spacing w:line="154" w:lineRule="exact" w:before="97"/>
              <w:ind w:right="166"/>
              <w:jc w:val="right"/>
              <w:rPr>
                <w:sz w:val="14"/>
              </w:rPr>
            </w:pPr>
            <w:r>
              <w:rPr>
                <w:sz w:val="14"/>
              </w:rPr>
              <w:t>1,535 ,922</w:t>
            </w:r>
          </w:p>
        </w:tc>
        <w:tc>
          <w:tcPr>
            <w:tcW w:w="936" w:type="dxa"/>
          </w:tcPr>
          <w:p>
            <w:pPr>
              <w:pStyle w:val="TableParagraph"/>
              <w:spacing w:line="154" w:lineRule="exact" w:before="97"/>
              <w:ind w:right="277"/>
              <w:jc w:val="right"/>
              <w:rPr>
                <w:i/>
                <w:sz w:val="14"/>
              </w:rPr>
            </w:pPr>
            <w:r>
              <w:rPr>
                <w:i/>
                <w:w w:val="95"/>
                <w:sz w:val="14"/>
              </w:rPr>
              <w:t>4.1%</w:t>
            </w:r>
          </w:p>
        </w:tc>
        <w:tc>
          <w:tcPr>
            <w:tcW w:w="1222" w:type="dxa"/>
          </w:tcPr>
          <w:p>
            <w:pPr>
              <w:pStyle w:val="TableParagraph"/>
              <w:spacing w:line="154" w:lineRule="exact" w:before="97"/>
              <w:ind w:left="276"/>
              <w:rPr>
                <w:b/>
                <w:sz w:val="14"/>
              </w:rPr>
            </w:pPr>
            <w:r>
              <w:rPr>
                <w:b/>
                <w:sz w:val="14"/>
              </w:rPr>
              <w:t>1,794,129</w:t>
            </w:r>
          </w:p>
        </w:tc>
        <w:tc>
          <w:tcPr>
            <w:tcW w:w="952" w:type="dxa"/>
          </w:tcPr>
          <w:p>
            <w:pPr>
              <w:pStyle w:val="TableParagraph"/>
              <w:spacing w:line="154" w:lineRule="exact" w:before="97"/>
              <w:ind w:left="393"/>
              <w:rPr>
                <w:i/>
                <w:sz w:val="14"/>
              </w:rPr>
            </w:pPr>
            <w:r>
              <w:rPr>
                <w:i/>
                <w:sz w:val="14"/>
              </w:rPr>
              <w:t>4.1%</w:t>
            </w:r>
          </w:p>
        </w:tc>
        <w:tc>
          <w:tcPr>
            <w:tcW w:w="1093" w:type="dxa"/>
          </w:tcPr>
          <w:p>
            <w:pPr>
              <w:pStyle w:val="TableParagraph"/>
              <w:spacing w:line="154" w:lineRule="exact" w:before="97"/>
              <w:ind w:left="200"/>
              <w:rPr>
                <w:b/>
                <w:sz w:val="14"/>
              </w:rPr>
            </w:pPr>
            <w:r>
              <w:rPr>
                <w:b/>
                <w:sz w:val="14"/>
              </w:rPr>
              <w:t>2,011,600</w:t>
            </w:r>
          </w:p>
        </w:tc>
        <w:tc>
          <w:tcPr>
            <w:tcW w:w="885" w:type="dxa"/>
          </w:tcPr>
          <w:p>
            <w:pPr>
              <w:pStyle w:val="TableParagraph"/>
              <w:spacing w:line="154" w:lineRule="exact" w:before="97"/>
              <w:ind w:right="234"/>
              <w:jc w:val="right"/>
              <w:rPr>
                <w:i/>
                <w:sz w:val="14"/>
              </w:rPr>
            </w:pPr>
            <w:r>
              <w:rPr>
                <w:i/>
                <w:w w:val="95"/>
                <w:sz w:val="14"/>
              </w:rPr>
              <w:t>4.0%</w:t>
            </w:r>
          </w:p>
        </w:tc>
        <w:tc>
          <w:tcPr>
            <w:tcW w:w="1111" w:type="dxa"/>
          </w:tcPr>
          <w:p>
            <w:pPr>
              <w:pStyle w:val="TableParagraph"/>
              <w:spacing w:line="154" w:lineRule="exact" w:before="97"/>
              <w:ind w:left="204"/>
              <w:rPr>
                <w:b/>
                <w:sz w:val="14"/>
              </w:rPr>
            </w:pPr>
            <w:r>
              <w:rPr>
                <w:b/>
                <w:sz w:val="14"/>
              </w:rPr>
              <w:t>2,177,000</w:t>
            </w:r>
          </w:p>
        </w:tc>
        <w:tc>
          <w:tcPr>
            <w:tcW w:w="999" w:type="dxa"/>
          </w:tcPr>
          <w:p>
            <w:pPr>
              <w:pStyle w:val="TableParagraph"/>
              <w:spacing w:line="154" w:lineRule="exact" w:before="97"/>
              <w:ind w:right="357"/>
              <w:jc w:val="right"/>
              <w:rPr>
                <w:i/>
                <w:sz w:val="14"/>
              </w:rPr>
            </w:pPr>
            <w:r>
              <w:rPr>
                <w:i/>
                <w:w w:val="95"/>
                <w:sz w:val="14"/>
              </w:rPr>
              <w:t>3.8%</w:t>
            </w:r>
          </w:p>
        </w:tc>
      </w:tr>
      <w:tr>
        <w:trPr>
          <w:trHeight w:val="203" w:hRule="atLeast"/>
        </w:trPr>
        <w:tc>
          <w:tcPr>
            <w:tcW w:w="4287" w:type="dxa"/>
          </w:tcPr>
          <w:p>
            <w:pPr>
              <w:pStyle w:val="TableParagraph"/>
              <w:spacing w:before="8"/>
              <w:ind w:left="508"/>
              <w:rPr>
                <w:sz w:val="14"/>
              </w:rPr>
            </w:pPr>
            <w:r>
              <w:rPr>
                <w:sz w:val="14"/>
              </w:rPr>
              <w:t>o/ w External Debt Payments (incl. HIPC Debt Relief)</w:t>
            </w:r>
          </w:p>
        </w:tc>
        <w:tc>
          <w:tcPr>
            <w:tcW w:w="1278" w:type="dxa"/>
          </w:tcPr>
          <w:p>
            <w:pPr>
              <w:pStyle w:val="TableParagraph"/>
              <w:spacing w:before="8"/>
              <w:ind w:right="209"/>
              <w:jc w:val="right"/>
              <w:rPr>
                <w:i/>
                <w:sz w:val="14"/>
              </w:rPr>
            </w:pPr>
            <w:r>
              <w:rPr>
                <w:i/>
                <w:sz w:val="14"/>
              </w:rPr>
              <w:t>457,579</w:t>
            </w:r>
          </w:p>
        </w:tc>
        <w:tc>
          <w:tcPr>
            <w:tcW w:w="974" w:type="dxa"/>
          </w:tcPr>
          <w:p>
            <w:pPr>
              <w:pStyle w:val="TableParagraph"/>
              <w:spacing w:before="8"/>
              <w:ind w:right="204"/>
              <w:jc w:val="right"/>
              <w:rPr>
                <w:sz w:val="14"/>
              </w:rPr>
            </w:pPr>
            <w:r>
              <w:rPr>
                <w:sz w:val="14"/>
              </w:rPr>
              <w:t>1 . 4 %</w:t>
            </w:r>
          </w:p>
        </w:tc>
        <w:tc>
          <w:tcPr>
            <w:tcW w:w="1067" w:type="dxa"/>
          </w:tcPr>
          <w:p>
            <w:pPr>
              <w:pStyle w:val="TableParagraph"/>
              <w:spacing w:before="8"/>
              <w:ind w:right="159"/>
              <w:jc w:val="right"/>
              <w:rPr>
                <w:sz w:val="14"/>
              </w:rPr>
            </w:pPr>
            <w:r>
              <w:rPr>
                <w:sz w:val="14"/>
              </w:rPr>
              <w:t>518,591</w:t>
            </w:r>
          </w:p>
        </w:tc>
        <w:tc>
          <w:tcPr>
            <w:tcW w:w="936" w:type="dxa"/>
          </w:tcPr>
          <w:p>
            <w:pPr>
              <w:pStyle w:val="TableParagraph"/>
              <w:spacing w:before="8"/>
              <w:ind w:right="277"/>
              <w:jc w:val="right"/>
              <w:rPr>
                <w:i/>
                <w:sz w:val="14"/>
              </w:rPr>
            </w:pPr>
            <w:r>
              <w:rPr>
                <w:i/>
                <w:w w:val="95"/>
                <w:sz w:val="14"/>
              </w:rPr>
              <w:t>1.4%</w:t>
            </w:r>
          </w:p>
        </w:tc>
        <w:tc>
          <w:tcPr>
            <w:tcW w:w="1222" w:type="dxa"/>
          </w:tcPr>
          <w:p>
            <w:pPr>
              <w:pStyle w:val="TableParagraph"/>
              <w:spacing w:before="8"/>
              <w:ind w:right="291"/>
              <w:jc w:val="right"/>
              <w:rPr>
                <w:b/>
                <w:sz w:val="14"/>
              </w:rPr>
            </w:pPr>
            <w:r>
              <w:rPr>
                <w:b/>
                <w:sz w:val="14"/>
              </w:rPr>
              <w:t>689,608</w:t>
            </w:r>
          </w:p>
        </w:tc>
        <w:tc>
          <w:tcPr>
            <w:tcW w:w="952" w:type="dxa"/>
          </w:tcPr>
          <w:p>
            <w:pPr>
              <w:pStyle w:val="TableParagraph"/>
              <w:spacing w:before="8"/>
              <w:ind w:left="393"/>
              <w:rPr>
                <w:i/>
                <w:sz w:val="14"/>
              </w:rPr>
            </w:pPr>
            <w:r>
              <w:rPr>
                <w:i/>
                <w:sz w:val="14"/>
              </w:rPr>
              <w:t>1.6%</w:t>
            </w:r>
          </w:p>
        </w:tc>
        <w:tc>
          <w:tcPr>
            <w:tcW w:w="1093" w:type="dxa"/>
          </w:tcPr>
          <w:p>
            <w:pPr>
              <w:pStyle w:val="TableParagraph"/>
              <w:spacing w:before="8"/>
              <w:ind w:left="320"/>
              <w:rPr>
                <w:b/>
                <w:sz w:val="14"/>
              </w:rPr>
            </w:pPr>
            <w:r>
              <w:rPr>
                <w:b/>
                <w:sz w:val="14"/>
              </w:rPr>
              <w:t>828,362</w:t>
            </w:r>
          </w:p>
        </w:tc>
        <w:tc>
          <w:tcPr>
            <w:tcW w:w="885" w:type="dxa"/>
          </w:tcPr>
          <w:p>
            <w:pPr>
              <w:pStyle w:val="TableParagraph"/>
              <w:spacing w:before="8"/>
              <w:ind w:right="234"/>
              <w:jc w:val="right"/>
              <w:rPr>
                <w:i/>
                <w:sz w:val="14"/>
              </w:rPr>
            </w:pPr>
            <w:r>
              <w:rPr>
                <w:i/>
                <w:w w:val="95"/>
                <w:sz w:val="14"/>
              </w:rPr>
              <w:t>1.6%</w:t>
            </w:r>
          </w:p>
        </w:tc>
        <w:tc>
          <w:tcPr>
            <w:tcW w:w="1111" w:type="dxa"/>
          </w:tcPr>
          <w:p>
            <w:pPr>
              <w:pStyle w:val="TableParagraph"/>
              <w:spacing w:before="8"/>
              <w:ind w:right="252"/>
              <w:jc w:val="right"/>
              <w:rPr>
                <w:b/>
                <w:sz w:val="14"/>
              </w:rPr>
            </w:pPr>
            <w:r>
              <w:rPr>
                <w:b/>
                <w:sz w:val="14"/>
              </w:rPr>
              <w:t>967,000</w:t>
            </w:r>
          </w:p>
        </w:tc>
        <w:tc>
          <w:tcPr>
            <w:tcW w:w="999" w:type="dxa"/>
          </w:tcPr>
          <w:p>
            <w:pPr>
              <w:pStyle w:val="TableParagraph"/>
              <w:spacing w:before="8"/>
              <w:ind w:right="357"/>
              <w:jc w:val="right"/>
              <w:rPr>
                <w:i/>
                <w:sz w:val="14"/>
              </w:rPr>
            </w:pPr>
            <w:r>
              <w:rPr>
                <w:i/>
                <w:w w:val="95"/>
                <w:sz w:val="14"/>
              </w:rPr>
              <w:t>1.7%</w:t>
            </w:r>
          </w:p>
        </w:tc>
      </w:tr>
    </w:tbl>
    <w:p>
      <w:pPr>
        <w:pStyle w:val="BodyText"/>
        <w:spacing w:before="3"/>
        <w:rPr>
          <w:rFonts w:ascii="Arial"/>
          <w:i/>
          <w:sz w:val="14"/>
        </w:rPr>
      </w:pPr>
    </w:p>
    <w:p>
      <w:pPr>
        <w:tabs>
          <w:tab w:pos="4923" w:val="left" w:leader="none"/>
          <w:tab w:pos="7016" w:val="left" w:leader="none"/>
          <w:tab w:pos="8956" w:val="left" w:leader="none"/>
          <w:tab w:pos="11173" w:val="left" w:leader="none"/>
          <w:tab w:pos="13156" w:val="left" w:leader="none"/>
        </w:tabs>
        <w:spacing w:before="0"/>
        <w:ind w:left="474" w:right="0" w:firstLine="0"/>
        <w:jc w:val="left"/>
        <w:rPr>
          <w:rFonts w:ascii="Arial"/>
          <w:b/>
          <w:sz w:val="14"/>
        </w:rPr>
      </w:pPr>
      <w:r>
        <w:rPr>
          <w:rFonts w:ascii="Arial"/>
          <w:spacing w:val="4"/>
          <w:sz w:val="14"/>
        </w:rPr>
        <w:t>External </w:t>
      </w:r>
      <w:r>
        <w:rPr>
          <w:rFonts w:ascii="Arial"/>
          <w:spacing w:val="5"/>
          <w:sz w:val="14"/>
        </w:rPr>
        <w:t>Budgetary </w:t>
      </w:r>
      <w:r>
        <w:rPr>
          <w:rFonts w:ascii="Arial"/>
          <w:spacing w:val="4"/>
          <w:sz w:val="14"/>
        </w:rPr>
        <w:t>Support </w:t>
      </w:r>
      <w:r>
        <w:rPr>
          <w:rFonts w:ascii="Arial"/>
          <w:spacing w:val="3"/>
          <w:sz w:val="14"/>
        </w:rPr>
        <w:t>(excl. HIPC Debt Relief;</w:t>
      </w:r>
      <w:r>
        <w:rPr>
          <w:rFonts w:ascii="Arial"/>
          <w:spacing w:val="-4"/>
          <w:sz w:val="14"/>
        </w:rPr>
        <w:t> </w:t>
      </w:r>
      <w:r>
        <w:rPr>
          <w:rFonts w:ascii="Arial"/>
          <w:spacing w:val="4"/>
          <w:sz w:val="14"/>
        </w:rPr>
        <w:t>incl.</w:t>
      </w:r>
      <w:r>
        <w:rPr>
          <w:rFonts w:ascii="Arial"/>
          <w:spacing w:val="1"/>
          <w:sz w:val="14"/>
        </w:rPr>
        <w:t> </w:t>
      </w:r>
      <w:r>
        <w:rPr>
          <w:rFonts w:ascii="Arial"/>
          <w:spacing w:val="2"/>
          <w:sz w:val="14"/>
        </w:rPr>
        <w:t>PBF)</w:t>
        <w:tab/>
      </w:r>
      <w:r>
        <w:rPr>
          <w:rFonts w:ascii="Arial"/>
          <w:i/>
          <w:spacing w:val="8"/>
          <w:sz w:val="14"/>
        </w:rPr>
        <w:t>280,922</w:t>
        <w:tab/>
      </w:r>
      <w:r>
        <w:rPr>
          <w:rFonts w:ascii="Arial"/>
          <w:spacing w:val="8"/>
          <w:sz w:val="14"/>
        </w:rPr>
        <w:t>767,583</w:t>
        <w:tab/>
      </w:r>
      <w:r>
        <w:rPr>
          <w:rFonts w:ascii="Arial"/>
          <w:b/>
          <w:sz w:val="14"/>
        </w:rPr>
        <w:t>1,030,000</w:t>
        <w:tab/>
      </w:r>
      <w:r>
        <w:rPr>
          <w:rFonts w:ascii="Arial"/>
          <w:b/>
          <w:spacing w:val="3"/>
          <w:sz w:val="14"/>
        </w:rPr>
        <w:t>803,008</w:t>
        <w:tab/>
        <w:t>930,100</w:t>
      </w:r>
    </w:p>
    <w:p>
      <w:pPr>
        <w:pStyle w:val="BodyText"/>
        <w:spacing w:before="3"/>
        <w:rPr>
          <w:rFonts w:ascii="Arial"/>
          <w:b/>
          <w:sz w:val="17"/>
        </w:rPr>
      </w:pPr>
    </w:p>
    <w:p>
      <w:pPr>
        <w:tabs>
          <w:tab w:pos="4698" w:val="left" w:leader="none"/>
          <w:tab w:pos="5960" w:val="left" w:leader="none"/>
          <w:tab w:pos="6824" w:val="left" w:leader="none"/>
          <w:tab w:pos="7890" w:val="left" w:leader="none"/>
          <w:tab w:pos="8864" w:val="left" w:leader="none"/>
          <w:tab w:pos="10098" w:val="left" w:leader="none"/>
          <w:tab w:pos="10962" w:val="left" w:leader="none"/>
          <w:tab w:pos="12085" w:val="left" w:leader="none"/>
          <w:tab w:pos="12949" w:val="left" w:leader="none"/>
          <w:tab w:pos="14067" w:val="left" w:leader="none"/>
        </w:tabs>
        <w:spacing w:before="1"/>
        <w:ind w:left="646" w:right="0" w:firstLine="0"/>
        <w:jc w:val="left"/>
        <w:rPr>
          <w:rFonts w:ascii="Arial"/>
          <w:i/>
          <w:sz w:val="14"/>
        </w:rPr>
      </w:pPr>
      <w:r>
        <w:rPr>
          <w:rFonts w:ascii="Arial"/>
          <w:spacing w:val="4"/>
          <w:sz w:val="14"/>
        </w:rPr>
        <w:t>Nominal </w:t>
      </w:r>
      <w:r>
        <w:rPr>
          <w:rFonts w:ascii="Arial"/>
          <w:spacing w:val="3"/>
          <w:sz w:val="14"/>
        </w:rPr>
        <w:t>GDP </w:t>
      </w:r>
      <w:r>
        <w:rPr>
          <w:rFonts w:ascii="Arial"/>
          <w:spacing w:val="6"/>
          <w:sz w:val="14"/>
        </w:rPr>
        <w:t>Figure </w:t>
      </w:r>
      <w:r>
        <w:rPr>
          <w:rFonts w:ascii="Arial"/>
          <w:spacing w:val="5"/>
          <w:sz w:val="14"/>
        </w:rPr>
        <w:t>(excluding</w:t>
      </w:r>
      <w:r>
        <w:rPr>
          <w:rFonts w:ascii="Arial"/>
          <w:spacing w:val="-10"/>
          <w:sz w:val="14"/>
        </w:rPr>
        <w:t> </w:t>
      </w:r>
      <w:r>
        <w:rPr>
          <w:rFonts w:ascii="Arial"/>
          <w:spacing w:val="4"/>
          <w:sz w:val="14"/>
        </w:rPr>
        <w:t>Iron</w:t>
      </w:r>
      <w:r>
        <w:rPr>
          <w:rFonts w:ascii="Arial"/>
          <w:spacing w:val="3"/>
          <w:sz w:val="14"/>
        </w:rPr>
        <w:t> Ore)</w:t>
        <w:tab/>
      </w:r>
      <w:r>
        <w:rPr>
          <w:rFonts w:ascii="Arial"/>
          <w:b/>
          <w:i/>
          <w:spacing w:val="3"/>
          <w:sz w:val="14"/>
        </w:rPr>
        <w:t>32,402,000</w:t>
        <w:tab/>
      </w:r>
      <w:r>
        <w:rPr>
          <w:rFonts w:ascii="Arial"/>
          <w:b/>
          <w:sz w:val="14"/>
        </w:rPr>
        <w:t>100.0%</w:t>
        <w:tab/>
      </w:r>
      <w:r>
        <w:rPr>
          <w:rFonts w:ascii="Arial"/>
          <w:b/>
          <w:spacing w:val="2"/>
          <w:sz w:val="14"/>
        </w:rPr>
        <w:t>37,574,000</w:t>
        <w:tab/>
      </w:r>
      <w:r>
        <w:rPr>
          <w:rFonts w:ascii="Arial"/>
          <w:i/>
          <w:spacing w:val="6"/>
          <w:sz w:val="14"/>
        </w:rPr>
        <w:t>100.0%</w:t>
        <w:tab/>
      </w:r>
      <w:r>
        <w:rPr>
          <w:rFonts w:ascii="Arial"/>
          <w:b/>
          <w:spacing w:val="2"/>
          <w:sz w:val="14"/>
        </w:rPr>
        <w:t>43,568,562</w:t>
        <w:tab/>
      </w:r>
      <w:r>
        <w:rPr>
          <w:rFonts w:ascii="Arial"/>
          <w:i/>
          <w:spacing w:val="6"/>
          <w:sz w:val="14"/>
        </w:rPr>
        <w:t>100.0%</w:t>
        <w:tab/>
      </w:r>
      <w:r>
        <w:rPr>
          <w:rFonts w:ascii="Arial"/>
          <w:b/>
          <w:spacing w:val="2"/>
          <w:sz w:val="14"/>
        </w:rPr>
        <w:t>50,642,000</w:t>
        <w:tab/>
      </w:r>
      <w:r>
        <w:rPr>
          <w:rFonts w:ascii="Arial"/>
          <w:i/>
          <w:spacing w:val="6"/>
          <w:sz w:val="14"/>
        </w:rPr>
        <w:t>100.0%</w:t>
        <w:tab/>
      </w:r>
      <w:r>
        <w:rPr>
          <w:rFonts w:ascii="Arial"/>
          <w:b/>
          <w:spacing w:val="2"/>
          <w:sz w:val="14"/>
        </w:rPr>
        <w:t>57,658,000</w:t>
        <w:tab/>
      </w:r>
      <w:r>
        <w:rPr>
          <w:rFonts w:ascii="Arial"/>
          <w:i/>
          <w:spacing w:val="6"/>
          <w:sz w:val="14"/>
        </w:rPr>
        <w:t>100.0%</w:t>
      </w:r>
    </w:p>
    <w:p>
      <w:pPr>
        <w:pStyle w:val="BodyText"/>
        <w:spacing w:before="8"/>
        <w:rPr>
          <w:rFonts w:ascii="Arial"/>
          <w:i/>
          <w:sz w:val="14"/>
        </w:rPr>
      </w:pPr>
    </w:p>
    <w:tbl>
      <w:tblPr>
        <w:tblW w:w="0" w:type="auto"/>
        <w:jc w:val="left"/>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4"/>
        <w:gridCol w:w="2191"/>
        <w:gridCol w:w="875"/>
        <w:gridCol w:w="1576"/>
        <w:gridCol w:w="2067"/>
        <w:gridCol w:w="2039"/>
        <w:gridCol w:w="1354"/>
      </w:tblGrid>
      <w:tr>
        <w:trPr>
          <w:trHeight w:val="292" w:hRule="atLeast"/>
        </w:trPr>
        <w:tc>
          <w:tcPr>
            <w:tcW w:w="3184" w:type="dxa"/>
          </w:tcPr>
          <w:p>
            <w:pPr>
              <w:pStyle w:val="TableParagraph"/>
              <w:spacing w:before="29"/>
              <w:ind w:left="49" w:right="1312"/>
              <w:jc w:val="center"/>
              <w:rPr>
                <w:sz w:val="14"/>
              </w:rPr>
            </w:pPr>
            <w:r>
              <w:rPr>
                <w:sz w:val="14"/>
              </w:rPr>
              <w:t>Poverty Related Expenditure</w:t>
            </w:r>
          </w:p>
        </w:tc>
        <w:tc>
          <w:tcPr>
            <w:tcW w:w="2191" w:type="dxa"/>
          </w:tcPr>
          <w:p>
            <w:pPr>
              <w:pStyle w:val="TableParagraph"/>
              <w:spacing w:before="29"/>
              <w:ind w:right="352"/>
              <w:jc w:val="right"/>
              <w:rPr>
                <w:b/>
                <w:i/>
                <w:sz w:val="14"/>
              </w:rPr>
            </w:pPr>
            <w:r>
              <w:rPr>
                <w:b/>
                <w:i/>
                <w:w w:val="95"/>
                <w:sz w:val="14"/>
              </w:rPr>
              <w:t>912,384</w:t>
            </w:r>
          </w:p>
        </w:tc>
        <w:tc>
          <w:tcPr>
            <w:tcW w:w="875" w:type="dxa"/>
          </w:tcPr>
          <w:p>
            <w:pPr>
              <w:pStyle w:val="TableParagraph"/>
              <w:spacing w:before="29"/>
              <w:ind w:left="344"/>
              <w:rPr>
                <w:b/>
                <w:sz w:val="14"/>
              </w:rPr>
            </w:pPr>
            <w:r>
              <w:rPr>
                <w:b/>
                <w:sz w:val="14"/>
              </w:rPr>
              <w:t>2.8%</w:t>
            </w:r>
          </w:p>
        </w:tc>
        <w:tc>
          <w:tcPr>
            <w:tcW w:w="1576" w:type="dxa"/>
          </w:tcPr>
          <w:p>
            <w:pPr>
              <w:pStyle w:val="TableParagraph"/>
              <w:spacing w:before="29"/>
              <w:ind w:right="706"/>
              <w:jc w:val="right"/>
              <w:rPr>
                <w:b/>
                <w:sz w:val="14"/>
              </w:rPr>
            </w:pPr>
            <w:r>
              <w:rPr>
                <w:b/>
                <w:sz w:val="14"/>
              </w:rPr>
              <w:t>2,482,000</w:t>
            </w:r>
          </w:p>
        </w:tc>
        <w:tc>
          <w:tcPr>
            <w:tcW w:w="2067" w:type="dxa"/>
          </w:tcPr>
          <w:p>
            <w:pPr>
              <w:pStyle w:val="TableParagraph"/>
              <w:spacing w:before="29"/>
              <w:ind w:right="733"/>
              <w:jc w:val="right"/>
              <w:rPr>
                <w:b/>
                <w:sz w:val="14"/>
              </w:rPr>
            </w:pPr>
            <w:r>
              <w:rPr>
                <w:b/>
                <w:sz w:val="14"/>
              </w:rPr>
              <w:t>2,053,096</w:t>
            </w:r>
          </w:p>
        </w:tc>
        <w:tc>
          <w:tcPr>
            <w:tcW w:w="2039" w:type="dxa"/>
          </w:tcPr>
          <w:p>
            <w:pPr>
              <w:pStyle w:val="TableParagraph"/>
              <w:spacing w:before="29"/>
              <w:ind w:right="674"/>
              <w:jc w:val="right"/>
              <w:rPr>
                <w:b/>
                <w:sz w:val="14"/>
              </w:rPr>
            </w:pPr>
            <w:r>
              <w:rPr>
                <w:b/>
                <w:sz w:val="14"/>
              </w:rPr>
              <w:t>2,482,000</w:t>
            </w:r>
          </w:p>
        </w:tc>
        <w:tc>
          <w:tcPr>
            <w:tcW w:w="1354" w:type="dxa"/>
          </w:tcPr>
          <w:p>
            <w:pPr>
              <w:pStyle w:val="TableParagraph"/>
              <w:spacing w:before="29"/>
              <w:ind w:right="46"/>
              <w:jc w:val="right"/>
              <w:rPr>
                <w:b/>
                <w:sz w:val="14"/>
              </w:rPr>
            </w:pPr>
            <w:r>
              <w:rPr>
                <w:b/>
                <w:sz w:val="14"/>
              </w:rPr>
              <w:t>2,482,000</w:t>
            </w:r>
          </w:p>
        </w:tc>
      </w:tr>
      <w:tr>
        <w:trPr>
          <w:trHeight w:val="292" w:hRule="atLeast"/>
        </w:trPr>
        <w:tc>
          <w:tcPr>
            <w:tcW w:w="3184" w:type="dxa"/>
          </w:tcPr>
          <w:p>
            <w:pPr>
              <w:pStyle w:val="TableParagraph"/>
              <w:spacing w:before="97"/>
              <w:ind w:left="23" w:right="1312"/>
              <w:jc w:val="center"/>
              <w:rPr>
                <w:sz w:val="14"/>
              </w:rPr>
            </w:pPr>
            <w:r>
              <w:rPr>
                <w:sz w:val="14"/>
              </w:rPr>
              <w:t>Exchange Rate Le/ US$</w:t>
            </w:r>
          </w:p>
        </w:tc>
        <w:tc>
          <w:tcPr>
            <w:tcW w:w="2191" w:type="dxa"/>
          </w:tcPr>
          <w:p>
            <w:pPr>
              <w:pStyle w:val="TableParagraph"/>
              <w:spacing w:before="97"/>
              <w:ind w:right="340"/>
              <w:jc w:val="right"/>
              <w:rPr>
                <w:b/>
                <w:i/>
                <w:sz w:val="14"/>
              </w:rPr>
            </w:pPr>
            <w:r>
              <w:rPr>
                <w:b/>
                <w:i/>
                <w:sz w:val="14"/>
              </w:rPr>
              <w:t>7,555</w:t>
            </w:r>
          </w:p>
        </w:tc>
        <w:tc>
          <w:tcPr>
            <w:tcW w:w="875" w:type="dxa"/>
          </w:tcPr>
          <w:p>
            <w:pPr>
              <w:pStyle w:val="TableParagraph"/>
              <w:rPr>
                <w:rFonts w:ascii="Times New Roman"/>
                <w:sz w:val="12"/>
              </w:rPr>
            </w:pPr>
          </w:p>
        </w:tc>
        <w:tc>
          <w:tcPr>
            <w:tcW w:w="1576" w:type="dxa"/>
          </w:tcPr>
          <w:p>
            <w:pPr>
              <w:pStyle w:val="TableParagraph"/>
              <w:spacing w:before="97"/>
              <w:ind w:right="685"/>
              <w:jc w:val="right"/>
              <w:rPr>
                <w:b/>
                <w:sz w:val="14"/>
              </w:rPr>
            </w:pPr>
            <w:r>
              <w:rPr>
                <w:b/>
                <w:sz w:val="14"/>
              </w:rPr>
              <w:t>9,461</w:t>
            </w:r>
          </w:p>
        </w:tc>
        <w:tc>
          <w:tcPr>
            <w:tcW w:w="2067" w:type="dxa"/>
          </w:tcPr>
          <w:p>
            <w:pPr>
              <w:pStyle w:val="TableParagraph"/>
              <w:spacing w:before="97"/>
              <w:ind w:right="714"/>
              <w:jc w:val="right"/>
              <w:rPr>
                <w:b/>
                <w:sz w:val="14"/>
              </w:rPr>
            </w:pPr>
            <w:r>
              <w:rPr>
                <w:b/>
                <w:w w:val="95"/>
                <w:sz w:val="14"/>
              </w:rPr>
              <w:t>10,510</w:t>
            </w:r>
          </w:p>
        </w:tc>
        <w:tc>
          <w:tcPr>
            <w:tcW w:w="2039" w:type="dxa"/>
          </w:tcPr>
          <w:p>
            <w:pPr>
              <w:pStyle w:val="TableParagraph"/>
              <w:spacing w:before="97"/>
              <w:ind w:right="656"/>
              <w:jc w:val="right"/>
              <w:rPr>
                <w:b/>
                <w:sz w:val="14"/>
              </w:rPr>
            </w:pPr>
            <w:r>
              <w:rPr>
                <w:b/>
                <w:w w:val="95"/>
                <w:sz w:val="14"/>
              </w:rPr>
              <w:t>10,720</w:t>
            </w:r>
          </w:p>
        </w:tc>
        <w:tc>
          <w:tcPr>
            <w:tcW w:w="1354" w:type="dxa"/>
          </w:tcPr>
          <w:p>
            <w:pPr>
              <w:pStyle w:val="TableParagraph"/>
              <w:spacing w:before="97"/>
              <w:ind w:right="27"/>
              <w:jc w:val="right"/>
              <w:rPr>
                <w:b/>
                <w:sz w:val="14"/>
              </w:rPr>
            </w:pPr>
            <w:r>
              <w:rPr>
                <w:b/>
                <w:w w:val="95"/>
                <w:sz w:val="14"/>
              </w:rPr>
              <w:t>10,935</w:t>
            </w:r>
          </w:p>
        </w:tc>
      </w:tr>
    </w:tbl>
    <w:p>
      <w:pPr>
        <w:pStyle w:val="BodyText"/>
        <w:rPr>
          <w:rFonts w:ascii="Arial"/>
          <w:i/>
          <w:sz w:val="16"/>
        </w:rPr>
      </w:pPr>
    </w:p>
    <w:p>
      <w:pPr>
        <w:pStyle w:val="BodyText"/>
        <w:spacing w:before="8"/>
        <w:rPr>
          <w:rFonts w:ascii="Arial"/>
          <w:i/>
          <w:sz w:val="13"/>
        </w:rPr>
      </w:pPr>
    </w:p>
    <w:p>
      <w:pPr>
        <w:spacing w:line="271" w:lineRule="auto" w:before="0"/>
        <w:ind w:left="496" w:right="8595" w:hanging="359"/>
        <w:jc w:val="left"/>
        <w:rPr>
          <w:rFonts w:ascii="Arial"/>
          <w:sz w:val="14"/>
        </w:rPr>
      </w:pPr>
      <w:r>
        <w:rPr>
          <w:rFonts w:ascii="Arial"/>
          <w:sz w:val="14"/>
        </w:rPr>
        <w:t>1/ Domestic revenue less total expenditure and net lending, excluding interest payments and externally financed capital expenditure</w:t>
      </w:r>
    </w:p>
    <w:p>
      <w:pPr>
        <w:spacing w:line="157" w:lineRule="exact" w:before="0"/>
        <w:ind w:left="138" w:right="0" w:firstLine="0"/>
        <w:jc w:val="left"/>
        <w:rPr>
          <w:rFonts w:ascii="Arial"/>
          <w:sz w:val="14"/>
        </w:rPr>
      </w:pPr>
      <w:r>
        <w:rPr>
          <w:rFonts w:ascii="Arial"/>
          <w:sz w:val="14"/>
        </w:rPr>
        <w:t>2/ Fiscal Targets</w:t>
      </w:r>
    </w:p>
    <w:p>
      <w:pPr>
        <w:spacing w:before="22"/>
        <w:ind w:left="138" w:right="0" w:firstLine="0"/>
        <w:jc w:val="left"/>
        <w:rPr>
          <w:rFonts w:ascii="Arial"/>
          <w:sz w:val="14"/>
        </w:rPr>
      </w:pPr>
      <w:r>
        <w:rPr>
          <w:rFonts w:ascii="Arial"/>
          <w:sz w:val="14"/>
        </w:rPr>
        <w:t>3/ Wages arrears - this is usual provision made to reduce stock of wage arrears.</w:t>
      </w:r>
    </w:p>
    <w:p>
      <w:pPr>
        <w:tabs>
          <w:tab w:pos="7424" w:val="left" w:leader="none"/>
        </w:tabs>
        <w:spacing w:before="16"/>
        <w:ind w:left="138" w:right="0" w:firstLine="0"/>
        <w:jc w:val="left"/>
        <w:rPr>
          <w:rFonts w:ascii="Arial"/>
          <w:sz w:val="14"/>
        </w:rPr>
      </w:pPr>
      <w:r>
        <w:rPr>
          <w:rFonts w:ascii="Arial"/>
          <w:spacing w:val="3"/>
          <w:sz w:val="14"/>
        </w:rPr>
        <w:t>4/  </w:t>
      </w:r>
      <w:r>
        <w:rPr>
          <w:rFonts w:ascii="Arial"/>
          <w:spacing w:val="4"/>
          <w:sz w:val="14"/>
        </w:rPr>
        <w:t>External </w:t>
      </w:r>
      <w:r>
        <w:rPr>
          <w:rFonts w:ascii="Arial"/>
          <w:spacing w:val="5"/>
          <w:sz w:val="14"/>
        </w:rPr>
        <w:t>Budgetary Support -FY2020  </w:t>
      </w:r>
      <w:r>
        <w:rPr>
          <w:rFonts w:ascii="Arial"/>
          <w:spacing w:val="4"/>
          <w:sz w:val="14"/>
        </w:rPr>
        <w:t>Baseline </w:t>
      </w:r>
      <w:r>
        <w:rPr>
          <w:rFonts w:ascii="Arial"/>
          <w:spacing w:val="5"/>
          <w:sz w:val="14"/>
        </w:rPr>
        <w:t>provides </w:t>
      </w:r>
      <w:r>
        <w:rPr>
          <w:rFonts w:ascii="Arial"/>
          <w:sz w:val="14"/>
        </w:rPr>
        <w:t>for  </w:t>
      </w:r>
      <w:r>
        <w:rPr>
          <w:rFonts w:ascii="Arial"/>
          <w:spacing w:val="4"/>
          <w:sz w:val="14"/>
        </w:rPr>
        <w:t>only US$60 </w:t>
      </w:r>
      <w:r>
        <w:rPr>
          <w:rFonts w:ascii="Arial"/>
          <w:spacing w:val="6"/>
          <w:sz w:val="14"/>
        </w:rPr>
        <w:t>million </w:t>
      </w:r>
      <w:r>
        <w:rPr>
          <w:rFonts w:ascii="Arial"/>
          <w:spacing w:val="3"/>
          <w:sz w:val="14"/>
        </w:rPr>
        <w:t>from </w:t>
      </w:r>
      <w:r>
        <w:rPr>
          <w:rFonts w:ascii="Arial"/>
          <w:spacing w:val="5"/>
          <w:sz w:val="14"/>
        </w:rPr>
        <w:t>the</w:t>
      </w:r>
      <w:r>
        <w:rPr>
          <w:rFonts w:ascii="Arial"/>
          <w:spacing w:val="-19"/>
          <w:sz w:val="14"/>
        </w:rPr>
        <w:t> </w:t>
      </w:r>
      <w:r>
        <w:rPr>
          <w:rFonts w:ascii="Arial"/>
          <w:spacing w:val="4"/>
          <w:sz w:val="14"/>
        </w:rPr>
        <w:t>World</w:t>
      </w:r>
      <w:r>
        <w:rPr>
          <w:rFonts w:ascii="Arial"/>
          <w:spacing w:val="11"/>
          <w:sz w:val="14"/>
        </w:rPr>
        <w:t> </w:t>
      </w:r>
      <w:r>
        <w:rPr>
          <w:rFonts w:ascii="Arial"/>
          <w:spacing w:val="4"/>
          <w:sz w:val="14"/>
        </w:rPr>
        <w:t>Bank</w:t>
        <w:tab/>
      </w:r>
      <w:r>
        <w:rPr>
          <w:rFonts w:ascii="Arial"/>
          <w:spacing w:val="5"/>
          <w:sz w:val="14"/>
        </w:rPr>
        <w:t>whilst Optimistic </w:t>
      </w:r>
      <w:r>
        <w:rPr>
          <w:rFonts w:ascii="Arial"/>
          <w:spacing w:val="4"/>
          <w:sz w:val="14"/>
        </w:rPr>
        <w:t>provides </w:t>
      </w:r>
      <w:r>
        <w:rPr>
          <w:rFonts w:ascii="Arial"/>
          <w:sz w:val="14"/>
        </w:rPr>
        <w:t>for </w:t>
      </w:r>
      <w:r>
        <w:rPr>
          <w:rFonts w:ascii="Arial"/>
          <w:spacing w:val="4"/>
          <w:sz w:val="14"/>
        </w:rPr>
        <w:t>the </w:t>
      </w:r>
      <w:r>
        <w:rPr>
          <w:rFonts w:ascii="Arial"/>
          <w:spacing w:val="5"/>
          <w:sz w:val="14"/>
        </w:rPr>
        <w:t>full </w:t>
      </w:r>
      <w:r>
        <w:rPr>
          <w:rFonts w:ascii="Arial"/>
          <w:spacing w:val="4"/>
          <w:sz w:val="14"/>
        </w:rPr>
        <w:t>US$100</w:t>
      </w:r>
      <w:r>
        <w:rPr>
          <w:rFonts w:ascii="Arial"/>
          <w:spacing w:val="21"/>
          <w:sz w:val="14"/>
        </w:rPr>
        <w:t> </w:t>
      </w:r>
      <w:r>
        <w:rPr>
          <w:rFonts w:ascii="Arial"/>
          <w:spacing w:val="5"/>
          <w:sz w:val="14"/>
        </w:rPr>
        <w:t>million</w:t>
      </w:r>
    </w:p>
    <w:p>
      <w:pPr>
        <w:spacing w:after="0"/>
        <w:jc w:val="left"/>
        <w:rPr>
          <w:rFonts w:ascii="Arial"/>
          <w:sz w:val="14"/>
        </w:rPr>
        <w:sectPr>
          <w:pgSz w:w="16840" w:h="11900" w:orient="landscape"/>
          <w:pgMar w:header="1123" w:footer="0" w:top="1860" w:bottom="280" w:left="880" w:right="920"/>
        </w:sectPr>
      </w:pPr>
    </w:p>
    <w:p>
      <w:pPr>
        <w:pStyle w:val="BodyText"/>
        <w:rPr>
          <w:rFonts w:ascii="Times New Roman"/>
          <w:sz w:val="20"/>
        </w:rPr>
      </w:pPr>
      <w:r>
        <w:rPr/>
        <w:pict>
          <v:shape style="position:absolute;margin-left:27.140491pt;margin-top:292.799988pt;width:14.35pt;height:7.55pt;mso-position-horizontal-relative:page;mso-position-vertical-relative:page;z-index:1168" type="#_x0000_t202" filled="false" stroked="false">
            <v:textbox inset="0,0,0,0" style="layout-flow:vertical">
              <w:txbxContent>
                <w:p>
                  <w:pPr>
                    <w:spacing w:before="13"/>
                    <w:ind w:left="20" w:right="0" w:firstLine="0"/>
                    <w:jc w:val="left"/>
                    <w:rPr>
                      <w:rFonts w:ascii="Arial"/>
                      <w:sz w:val="22"/>
                    </w:rPr>
                  </w:pPr>
                  <w:r>
                    <w:rPr>
                      <w:rFonts w:ascii="Arial"/>
                      <w:w w:val="100"/>
                      <w:sz w:val="22"/>
                    </w:rPr>
                    <w:t>v</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
        <w:gridCol w:w="5848"/>
        <w:gridCol w:w="1582"/>
        <w:gridCol w:w="1458"/>
        <w:gridCol w:w="1608"/>
        <w:gridCol w:w="1313"/>
        <w:gridCol w:w="1270"/>
        <w:gridCol w:w="1250"/>
      </w:tblGrid>
      <w:tr>
        <w:trPr>
          <w:trHeight w:val="568" w:hRule="atLeast"/>
        </w:trPr>
        <w:tc>
          <w:tcPr>
            <w:tcW w:w="6322" w:type="dxa"/>
            <w:gridSpan w:val="2"/>
            <w:tcBorders>
              <w:bottom w:val="single" w:sz="4" w:space="0" w:color="000000"/>
            </w:tcBorders>
          </w:tcPr>
          <w:p>
            <w:pPr>
              <w:pStyle w:val="TableParagraph"/>
              <w:rPr>
                <w:rFonts w:ascii="Times New Roman"/>
                <w:sz w:val="14"/>
              </w:rPr>
            </w:pPr>
          </w:p>
        </w:tc>
        <w:tc>
          <w:tcPr>
            <w:tcW w:w="1582" w:type="dxa"/>
            <w:tcBorders>
              <w:bottom w:val="single" w:sz="4" w:space="0" w:color="000000"/>
            </w:tcBorders>
          </w:tcPr>
          <w:p>
            <w:pPr>
              <w:pStyle w:val="TableParagraph"/>
              <w:spacing w:before="29"/>
              <w:ind w:left="570" w:right="364"/>
              <w:jc w:val="center"/>
              <w:rPr>
                <w:b/>
                <w:sz w:val="14"/>
              </w:rPr>
            </w:pPr>
            <w:r>
              <w:rPr>
                <w:b/>
                <w:spacing w:val="2"/>
                <w:sz w:val="14"/>
              </w:rPr>
              <w:t>FY</w:t>
            </w:r>
            <w:r>
              <w:rPr>
                <w:b/>
                <w:spacing w:val="6"/>
                <w:sz w:val="14"/>
              </w:rPr>
              <w:t> </w:t>
            </w:r>
            <w:r>
              <w:rPr>
                <w:b/>
                <w:spacing w:val="4"/>
                <w:sz w:val="14"/>
              </w:rPr>
              <w:t>2020</w:t>
            </w:r>
          </w:p>
          <w:p>
            <w:pPr>
              <w:pStyle w:val="TableParagraph"/>
              <w:spacing w:before="17"/>
              <w:ind w:left="596" w:right="266"/>
              <w:jc w:val="center"/>
              <w:rPr>
                <w:b/>
                <w:sz w:val="14"/>
              </w:rPr>
            </w:pPr>
            <w:r>
              <w:rPr>
                <w:b/>
                <w:sz w:val="14"/>
              </w:rPr>
              <w:t>Budget</w:t>
            </w:r>
          </w:p>
        </w:tc>
        <w:tc>
          <w:tcPr>
            <w:tcW w:w="1458" w:type="dxa"/>
            <w:tcBorders>
              <w:bottom w:val="single" w:sz="4" w:space="0" w:color="000000"/>
            </w:tcBorders>
          </w:tcPr>
          <w:p>
            <w:pPr>
              <w:pStyle w:val="TableParagraph"/>
              <w:spacing w:line="264" w:lineRule="auto" w:before="29"/>
              <w:ind w:left="385" w:right="114" w:firstLine="91"/>
              <w:rPr>
                <w:sz w:val="14"/>
              </w:rPr>
            </w:pPr>
            <w:r>
              <w:rPr>
                <w:sz w:val="14"/>
              </w:rPr>
              <w:t>% of Total Non Int/ Sal</w:t>
            </w:r>
          </w:p>
        </w:tc>
        <w:tc>
          <w:tcPr>
            <w:tcW w:w="1608" w:type="dxa"/>
            <w:tcBorders>
              <w:bottom w:val="single" w:sz="4" w:space="0" w:color="000000"/>
            </w:tcBorders>
          </w:tcPr>
          <w:p>
            <w:pPr>
              <w:pStyle w:val="TableParagraph"/>
              <w:spacing w:before="29"/>
              <w:ind w:left="651"/>
              <w:rPr>
                <w:sz w:val="14"/>
              </w:rPr>
            </w:pPr>
            <w:r>
              <w:rPr>
                <w:sz w:val="14"/>
              </w:rPr>
              <w:t>FY</w:t>
            </w:r>
            <w:r>
              <w:rPr>
                <w:spacing w:val="17"/>
                <w:sz w:val="14"/>
              </w:rPr>
              <w:t> </w:t>
            </w:r>
            <w:r>
              <w:rPr>
                <w:spacing w:val="4"/>
                <w:sz w:val="14"/>
              </w:rPr>
              <w:t>2021</w:t>
            </w:r>
          </w:p>
          <w:p>
            <w:pPr>
              <w:pStyle w:val="TableParagraph"/>
              <w:spacing w:before="17"/>
              <w:ind w:left="579"/>
              <w:rPr>
                <w:sz w:val="14"/>
              </w:rPr>
            </w:pPr>
            <w:r>
              <w:rPr>
                <w:spacing w:val="3"/>
                <w:sz w:val="14"/>
              </w:rPr>
              <w:t>Indicative</w:t>
            </w:r>
          </w:p>
        </w:tc>
        <w:tc>
          <w:tcPr>
            <w:tcW w:w="1313" w:type="dxa"/>
            <w:tcBorders>
              <w:bottom w:val="single" w:sz="4" w:space="0" w:color="000000"/>
            </w:tcBorders>
          </w:tcPr>
          <w:p>
            <w:pPr>
              <w:pStyle w:val="TableParagraph"/>
              <w:spacing w:line="249" w:lineRule="auto" w:before="29"/>
              <w:ind w:left="382" w:right="174" w:firstLine="86"/>
              <w:jc w:val="both"/>
              <w:rPr>
                <w:sz w:val="14"/>
              </w:rPr>
            </w:pPr>
            <w:r>
              <w:rPr>
                <w:sz w:val="14"/>
              </w:rPr>
              <w:t>% of Total Non Int/ Sal Recurr Exp</w:t>
            </w:r>
          </w:p>
        </w:tc>
        <w:tc>
          <w:tcPr>
            <w:tcW w:w="1270" w:type="dxa"/>
            <w:tcBorders>
              <w:bottom w:val="single" w:sz="4" w:space="0" w:color="000000"/>
            </w:tcBorders>
          </w:tcPr>
          <w:p>
            <w:pPr>
              <w:pStyle w:val="TableParagraph"/>
              <w:spacing w:before="29"/>
              <w:ind w:left="509"/>
              <w:rPr>
                <w:sz w:val="14"/>
              </w:rPr>
            </w:pPr>
            <w:r>
              <w:rPr>
                <w:sz w:val="14"/>
              </w:rPr>
              <w:t>FY</w:t>
            </w:r>
            <w:r>
              <w:rPr>
                <w:spacing w:val="17"/>
                <w:sz w:val="14"/>
              </w:rPr>
              <w:t> </w:t>
            </w:r>
            <w:r>
              <w:rPr>
                <w:spacing w:val="4"/>
                <w:sz w:val="14"/>
              </w:rPr>
              <w:t>2022</w:t>
            </w:r>
          </w:p>
          <w:p>
            <w:pPr>
              <w:pStyle w:val="TableParagraph"/>
              <w:spacing w:before="17"/>
              <w:ind w:left="437"/>
              <w:rPr>
                <w:sz w:val="14"/>
              </w:rPr>
            </w:pPr>
            <w:r>
              <w:rPr>
                <w:spacing w:val="3"/>
                <w:sz w:val="14"/>
              </w:rPr>
              <w:t>Indicative</w:t>
            </w:r>
          </w:p>
        </w:tc>
        <w:tc>
          <w:tcPr>
            <w:tcW w:w="1250" w:type="dxa"/>
            <w:tcBorders>
              <w:bottom w:val="single" w:sz="4" w:space="0" w:color="000000"/>
            </w:tcBorders>
          </w:tcPr>
          <w:p>
            <w:pPr>
              <w:pStyle w:val="TableParagraph"/>
              <w:spacing w:line="249" w:lineRule="auto" w:before="29"/>
              <w:ind w:left="179" w:right="313" w:firstLine="86"/>
              <w:jc w:val="both"/>
              <w:rPr>
                <w:sz w:val="14"/>
              </w:rPr>
            </w:pPr>
            <w:r>
              <w:rPr>
                <w:sz w:val="14"/>
              </w:rPr>
              <w:t>% of Total Non Int/ Sal Recurr Exp</w:t>
            </w:r>
          </w:p>
        </w:tc>
      </w:tr>
      <w:tr>
        <w:trPr>
          <w:trHeight w:val="354" w:hRule="atLeast"/>
        </w:trPr>
        <w:tc>
          <w:tcPr>
            <w:tcW w:w="474" w:type="dxa"/>
            <w:tcBorders>
              <w:top w:val="single" w:sz="4" w:space="0" w:color="000000"/>
            </w:tcBorders>
          </w:tcPr>
          <w:p>
            <w:pPr>
              <w:pStyle w:val="TableParagraph"/>
              <w:spacing w:before="103"/>
              <w:ind w:right="91"/>
              <w:jc w:val="right"/>
              <w:rPr>
                <w:b/>
                <w:sz w:val="14"/>
              </w:rPr>
            </w:pPr>
            <w:r>
              <w:rPr>
                <w:b/>
                <w:w w:val="99"/>
                <w:sz w:val="14"/>
              </w:rPr>
              <w:t>1</w:t>
            </w:r>
          </w:p>
        </w:tc>
        <w:tc>
          <w:tcPr>
            <w:tcW w:w="5848" w:type="dxa"/>
            <w:tcBorders>
              <w:top w:val="single" w:sz="4" w:space="0" w:color="000000"/>
            </w:tcBorders>
          </w:tcPr>
          <w:p>
            <w:pPr>
              <w:pStyle w:val="TableParagraph"/>
              <w:spacing w:before="103"/>
              <w:ind w:left="136"/>
              <w:rPr>
                <w:b/>
                <w:sz w:val="14"/>
              </w:rPr>
            </w:pPr>
            <w:r>
              <w:rPr>
                <w:b/>
                <w:sz w:val="14"/>
              </w:rPr>
              <w:t>GENERAL SERVICES</w:t>
            </w:r>
          </w:p>
        </w:tc>
        <w:tc>
          <w:tcPr>
            <w:tcW w:w="1582" w:type="dxa"/>
            <w:tcBorders>
              <w:top w:val="single" w:sz="4" w:space="0" w:color="000000"/>
            </w:tcBorders>
          </w:tcPr>
          <w:p>
            <w:pPr>
              <w:pStyle w:val="TableParagraph"/>
              <w:spacing w:before="103"/>
              <w:ind w:right="540"/>
              <w:jc w:val="right"/>
              <w:rPr>
                <w:b/>
                <w:sz w:val="14"/>
              </w:rPr>
            </w:pPr>
            <w:r>
              <w:rPr>
                <w:b/>
                <w:sz w:val="14"/>
              </w:rPr>
              <w:t>690,079.0</w:t>
            </w:r>
          </w:p>
        </w:tc>
        <w:tc>
          <w:tcPr>
            <w:tcW w:w="1458" w:type="dxa"/>
            <w:tcBorders>
              <w:top w:val="single" w:sz="4" w:space="0" w:color="000000"/>
            </w:tcBorders>
          </w:tcPr>
          <w:p>
            <w:pPr>
              <w:pStyle w:val="TableParagraph"/>
              <w:spacing w:before="103"/>
              <w:ind w:left="463"/>
              <w:rPr>
                <w:b/>
                <w:sz w:val="14"/>
              </w:rPr>
            </w:pPr>
            <w:r>
              <w:rPr>
                <w:b/>
                <w:sz w:val="14"/>
              </w:rPr>
              <w:t>31.0%</w:t>
            </w:r>
          </w:p>
        </w:tc>
        <w:tc>
          <w:tcPr>
            <w:tcW w:w="1608" w:type="dxa"/>
            <w:tcBorders>
              <w:top w:val="single" w:sz="4" w:space="0" w:color="000000"/>
            </w:tcBorders>
          </w:tcPr>
          <w:p>
            <w:pPr>
              <w:pStyle w:val="TableParagraph"/>
              <w:spacing w:before="103"/>
              <w:ind w:right="659"/>
              <w:jc w:val="right"/>
              <w:rPr>
                <w:b/>
                <w:sz w:val="14"/>
              </w:rPr>
            </w:pPr>
            <w:r>
              <w:rPr>
                <w:b/>
                <w:sz w:val="14"/>
              </w:rPr>
              <w:t>817,031.0</w:t>
            </w:r>
          </w:p>
        </w:tc>
        <w:tc>
          <w:tcPr>
            <w:tcW w:w="1313" w:type="dxa"/>
            <w:tcBorders>
              <w:top w:val="single" w:sz="4" w:space="0" w:color="000000"/>
            </w:tcBorders>
          </w:tcPr>
          <w:p>
            <w:pPr>
              <w:pStyle w:val="TableParagraph"/>
              <w:spacing w:before="103"/>
              <w:ind w:left="402"/>
              <w:rPr>
                <w:b/>
                <w:sz w:val="14"/>
              </w:rPr>
            </w:pPr>
            <w:r>
              <w:rPr>
                <w:b/>
                <w:sz w:val="14"/>
              </w:rPr>
              <w:t>36.6%</w:t>
            </w:r>
          </w:p>
        </w:tc>
        <w:tc>
          <w:tcPr>
            <w:tcW w:w="1270" w:type="dxa"/>
            <w:tcBorders>
              <w:top w:val="single" w:sz="4" w:space="0" w:color="000000"/>
            </w:tcBorders>
          </w:tcPr>
          <w:p>
            <w:pPr>
              <w:pStyle w:val="TableParagraph"/>
              <w:spacing w:before="103"/>
              <w:ind w:right="463"/>
              <w:jc w:val="right"/>
              <w:rPr>
                <w:b/>
                <w:sz w:val="14"/>
              </w:rPr>
            </w:pPr>
            <w:r>
              <w:rPr>
                <w:b/>
                <w:sz w:val="14"/>
              </w:rPr>
              <w:t>983,455.4</w:t>
            </w:r>
          </w:p>
        </w:tc>
        <w:tc>
          <w:tcPr>
            <w:tcW w:w="1250" w:type="dxa"/>
            <w:tcBorders>
              <w:top w:val="single" w:sz="4" w:space="0" w:color="000000"/>
            </w:tcBorders>
          </w:tcPr>
          <w:p>
            <w:pPr>
              <w:pStyle w:val="TableParagraph"/>
              <w:spacing w:before="103"/>
              <w:ind w:left="425"/>
              <w:rPr>
                <w:b/>
                <w:sz w:val="14"/>
              </w:rPr>
            </w:pPr>
            <w:r>
              <w:rPr>
                <w:b/>
                <w:sz w:val="14"/>
              </w:rPr>
              <w:t>44.5%</w:t>
            </w:r>
          </w:p>
        </w:tc>
      </w:tr>
      <w:tr>
        <w:trPr>
          <w:trHeight w:val="252" w:hRule="atLeast"/>
        </w:trPr>
        <w:tc>
          <w:tcPr>
            <w:tcW w:w="474" w:type="dxa"/>
          </w:tcPr>
          <w:p>
            <w:pPr>
              <w:pStyle w:val="TableParagraph"/>
              <w:spacing w:line="147" w:lineRule="exact" w:before="85"/>
              <w:ind w:right="95"/>
              <w:jc w:val="right"/>
              <w:rPr>
                <w:sz w:val="14"/>
              </w:rPr>
            </w:pPr>
            <w:r>
              <w:rPr>
                <w:w w:val="95"/>
                <w:sz w:val="14"/>
              </w:rPr>
              <w:t>105</w:t>
            </w:r>
          </w:p>
        </w:tc>
        <w:tc>
          <w:tcPr>
            <w:tcW w:w="5848" w:type="dxa"/>
          </w:tcPr>
          <w:p>
            <w:pPr>
              <w:pStyle w:val="TableParagraph"/>
              <w:spacing w:line="147" w:lineRule="exact" w:before="85"/>
              <w:ind w:left="93"/>
              <w:rPr>
                <w:sz w:val="14"/>
              </w:rPr>
            </w:pPr>
            <w:r>
              <w:rPr>
                <w:sz w:val="14"/>
              </w:rPr>
              <w:t>Ministry of Political and Public Affairs</w:t>
            </w:r>
          </w:p>
        </w:tc>
        <w:tc>
          <w:tcPr>
            <w:tcW w:w="1582" w:type="dxa"/>
          </w:tcPr>
          <w:p>
            <w:pPr>
              <w:pStyle w:val="TableParagraph"/>
              <w:spacing w:line="147" w:lineRule="exact" w:before="85"/>
              <w:ind w:right="531"/>
              <w:jc w:val="right"/>
              <w:rPr>
                <w:b/>
                <w:sz w:val="14"/>
              </w:rPr>
            </w:pPr>
            <w:r>
              <w:rPr>
                <w:b/>
                <w:sz w:val="14"/>
              </w:rPr>
              <w:t>2,197.2</w:t>
            </w:r>
          </w:p>
        </w:tc>
        <w:tc>
          <w:tcPr>
            <w:tcW w:w="1458" w:type="dxa"/>
          </w:tcPr>
          <w:p>
            <w:pPr>
              <w:pStyle w:val="TableParagraph"/>
              <w:spacing w:line="147" w:lineRule="exact" w:before="85"/>
              <w:ind w:left="491"/>
              <w:rPr>
                <w:sz w:val="14"/>
              </w:rPr>
            </w:pPr>
            <w:r>
              <w:rPr>
                <w:sz w:val="14"/>
              </w:rPr>
              <w:t>0 . 1 %</w:t>
            </w:r>
          </w:p>
        </w:tc>
        <w:tc>
          <w:tcPr>
            <w:tcW w:w="1608" w:type="dxa"/>
          </w:tcPr>
          <w:p>
            <w:pPr>
              <w:pStyle w:val="TableParagraph"/>
              <w:spacing w:line="147" w:lineRule="exact" w:before="85"/>
              <w:ind w:right="627"/>
              <w:jc w:val="right"/>
              <w:rPr>
                <w:sz w:val="14"/>
              </w:rPr>
            </w:pPr>
            <w:r>
              <w:rPr>
                <w:sz w:val="14"/>
              </w:rPr>
              <w:t>2,112 .9</w:t>
            </w:r>
          </w:p>
        </w:tc>
        <w:tc>
          <w:tcPr>
            <w:tcW w:w="1313" w:type="dxa"/>
          </w:tcPr>
          <w:p>
            <w:pPr>
              <w:pStyle w:val="TableParagraph"/>
              <w:spacing w:line="147" w:lineRule="exact" w:before="85"/>
              <w:ind w:left="430"/>
              <w:rPr>
                <w:sz w:val="14"/>
              </w:rPr>
            </w:pPr>
            <w:r>
              <w:rPr>
                <w:sz w:val="14"/>
              </w:rPr>
              <w:t>0 . 1 %</w:t>
            </w:r>
          </w:p>
        </w:tc>
        <w:tc>
          <w:tcPr>
            <w:tcW w:w="1270" w:type="dxa"/>
          </w:tcPr>
          <w:p>
            <w:pPr>
              <w:pStyle w:val="TableParagraph"/>
              <w:spacing w:line="147" w:lineRule="exact" w:before="85"/>
              <w:ind w:right="431"/>
              <w:jc w:val="right"/>
              <w:rPr>
                <w:sz w:val="14"/>
              </w:rPr>
            </w:pPr>
            <w:r>
              <w:rPr>
                <w:sz w:val="14"/>
              </w:rPr>
              <w:t>2,239 .4</w:t>
            </w:r>
          </w:p>
        </w:tc>
        <w:tc>
          <w:tcPr>
            <w:tcW w:w="1250" w:type="dxa"/>
          </w:tcPr>
          <w:p>
            <w:pPr>
              <w:pStyle w:val="TableParagraph"/>
              <w:spacing w:line="147" w:lineRule="exact" w:before="85"/>
              <w:ind w:left="454"/>
              <w:rPr>
                <w:sz w:val="14"/>
              </w:rPr>
            </w:pPr>
            <w:r>
              <w:rPr>
                <w:sz w:val="14"/>
              </w:rPr>
              <w:t>0 . 1 %</w:t>
            </w:r>
          </w:p>
        </w:tc>
      </w:tr>
      <w:tr>
        <w:trPr>
          <w:trHeight w:val="252" w:hRule="atLeast"/>
        </w:trPr>
        <w:tc>
          <w:tcPr>
            <w:tcW w:w="474" w:type="dxa"/>
          </w:tcPr>
          <w:p>
            <w:pPr>
              <w:pStyle w:val="TableParagraph"/>
              <w:rPr>
                <w:rFonts w:ascii="Times New Roman"/>
                <w:sz w:val="14"/>
              </w:rPr>
            </w:pPr>
          </w:p>
        </w:tc>
        <w:tc>
          <w:tcPr>
            <w:tcW w:w="5848" w:type="dxa"/>
          </w:tcPr>
          <w:p>
            <w:pPr>
              <w:pStyle w:val="TableParagraph"/>
              <w:spacing w:before="1"/>
              <w:ind w:left="428"/>
              <w:rPr>
                <w:sz w:val="14"/>
              </w:rPr>
            </w:pPr>
            <w:r>
              <w:rPr>
                <w:sz w:val="14"/>
              </w:rPr>
              <w:t>African Peer Review Mechanism (APRM)</w:t>
            </w:r>
          </w:p>
        </w:tc>
        <w:tc>
          <w:tcPr>
            <w:tcW w:w="1582" w:type="dxa"/>
          </w:tcPr>
          <w:p>
            <w:pPr>
              <w:pStyle w:val="TableParagraph"/>
              <w:spacing w:before="1"/>
              <w:ind w:right="514"/>
              <w:jc w:val="right"/>
              <w:rPr>
                <w:b/>
                <w:sz w:val="14"/>
              </w:rPr>
            </w:pPr>
            <w:r>
              <w:rPr>
                <w:b/>
                <w:sz w:val="14"/>
              </w:rPr>
              <w:t>602.7</w:t>
            </w:r>
          </w:p>
        </w:tc>
        <w:tc>
          <w:tcPr>
            <w:tcW w:w="1458" w:type="dxa"/>
          </w:tcPr>
          <w:p>
            <w:pPr>
              <w:pStyle w:val="TableParagraph"/>
              <w:spacing w:before="1"/>
              <w:ind w:left="491"/>
              <w:rPr>
                <w:sz w:val="14"/>
              </w:rPr>
            </w:pPr>
            <w:r>
              <w:rPr>
                <w:sz w:val="14"/>
              </w:rPr>
              <w:t>0 . 0 %</w:t>
            </w:r>
          </w:p>
        </w:tc>
        <w:tc>
          <w:tcPr>
            <w:tcW w:w="1608" w:type="dxa"/>
          </w:tcPr>
          <w:p>
            <w:pPr>
              <w:pStyle w:val="TableParagraph"/>
              <w:spacing w:before="1"/>
              <w:ind w:right="620"/>
              <w:jc w:val="right"/>
              <w:rPr>
                <w:sz w:val="14"/>
              </w:rPr>
            </w:pPr>
            <w:r>
              <w:rPr>
                <w:sz w:val="14"/>
              </w:rPr>
              <w:t>249.7</w:t>
            </w:r>
          </w:p>
        </w:tc>
        <w:tc>
          <w:tcPr>
            <w:tcW w:w="1313" w:type="dxa"/>
          </w:tcPr>
          <w:p>
            <w:pPr>
              <w:pStyle w:val="TableParagraph"/>
              <w:spacing w:before="1"/>
              <w:ind w:left="430"/>
              <w:rPr>
                <w:sz w:val="14"/>
              </w:rPr>
            </w:pPr>
            <w:r>
              <w:rPr>
                <w:sz w:val="14"/>
              </w:rPr>
              <w:t>0 . 0 %</w:t>
            </w:r>
          </w:p>
        </w:tc>
        <w:tc>
          <w:tcPr>
            <w:tcW w:w="1270" w:type="dxa"/>
          </w:tcPr>
          <w:p>
            <w:pPr>
              <w:pStyle w:val="TableParagraph"/>
              <w:spacing w:before="1"/>
              <w:ind w:right="428"/>
              <w:jc w:val="right"/>
              <w:rPr>
                <w:sz w:val="14"/>
              </w:rPr>
            </w:pPr>
            <w:r>
              <w:rPr>
                <w:sz w:val="14"/>
              </w:rPr>
              <w:t>264.7</w:t>
            </w:r>
          </w:p>
        </w:tc>
        <w:tc>
          <w:tcPr>
            <w:tcW w:w="1250" w:type="dxa"/>
          </w:tcPr>
          <w:p>
            <w:pPr>
              <w:pStyle w:val="TableParagraph"/>
              <w:spacing w:before="1"/>
              <w:ind w:left="454"/>
              <w:rPr>
                <w:sz w:val="14"/>
              </w:rPr>
            </w:pPr>
            <w:r>
              <w:rPr>
                <w:sz w:val="14"/>
              </w:rPr>
              <w:t>0 . 0 %</w:t>
            </w:r>
          </w:p>
        </w:tc>
      </w:tr>
      <w:tr>
        <w:trPr>
          <w:trHeight w:val="251" w:hRule="atLeast"/>
        </w:trPr>
        <w:tc>
          <w:tcPr>
            <w:tcW w:w="474" w:type="dxa"/>
          </w:tcPr>
          <w:p>
            <w:pPr>
              <w:pStyle w:val="TableParagraph"/>
              <w:spacing w:line="147" w:lineRule="exact" w:before="85"/>
              <w:ind w:right="95"/>
              <w:jc w:val="right"/>
              <w:rPr>
                <w:sz w:val="14"/>
              </w:rPr>
            </w:pPr>
            <w:r>
              <w:rPr>
                <w:w w:val="95"/>
                <w:sz w:val="14"/>
              </w:rPr>
              <w:t>106</w:t>
            </w:r>
          </w:p>
        </w:tc>
        <w:tc>
          <w:tcPr>
            <w:tcW w:w="5848" w:type="dxa"/>
          </w:tcPr>
          <w:p>
            <w:pPr>
              <w:pStyle w:val="TableParagraph"/>
              <w:spacing w:line="147" w:lineRule="exact" w:before="85"/>
              <w:ind w:left="92"/>
              <w:rPr>
                <w:sz w:val="14"/>
              </w:rPr>
            </w:pPr>
            <w:r>
              <w:rPr>
                <w:sz w:val="14"/>
              </w:rPr>
              <w:t>Office of the Chief Minister</w:t>
            </w:r>
          </w:p>
        </w:tc>
        <w:tc>
          <w:tcPr>
            <w:tcW w:w="1582" w:type="dxa"/>
          </w:tcPr>
          <w:p>
            <w:pPr>
              <w:pStyle w:val="TableParagraph"/>
              <w:spacing w:line="147" w:lineRule="exact" w:before="85"/>
              <w:ind w:right="531"/>
              <w:jc w:val="right"/>
              <w:rPr>
                <w:b/>
                <w:sz w:val="14"/>
              </w:rPr>
            </w:pPr>
            <w:r>
              <w:rPr>
                <w:b/>
                <w:sz w:val="14"/>
              </w:rPr>
              <w:t>13,448.2</w:t>
            </w:r>
          </w:p>
        </w:tc>
        <w:tc>
          <w:tcPr>
            <w:tcW w:w="1458" w:type="dxa"/>
          </w:tcPr>
          <w:p>
            <w:pPr>
              <w:pStyle w:val="TableParagraph"/>
              <w:spacing w:line="147" w:lineRule="exact" w:before="85"/>
              <w:ind w:left="491"/>
              <w:rPr>
                <w:sz w:val="14"/>
              </w:rPr>
            </w:pPr>
            <w:r>
              <w:rPr>
                <w:sz w:val="14"/>
              </w:rPr>
              <w:t>0 . 6 %</w:t>
            </w:r>
          </w:p>
        </w:tc>
        <w:tc>
          <w:tcPr>
            <w:tcW w:w="1608" w:type="dxa"/>
          </w:tcPr>
          <w:p>
            <w:pPr>
              <w:pStyle w:val="TableParagraph"/>
              <w:spacing w:line="147" w:lineRule="exact" w:before="85"/>
              <w:ind w:right="629"/>
              <w:jc w:val="right"/>
              <w:rPr>
                <w:sz w:val="14"/>
              </w:rPr>
            </w:pPr>
            <w:r>
              <w:rPr>
                <w:sz w:val="14"/>
              </w:rPr>
              <w:t>13,021.0</w:t>
            </w:r>
          </w:p>
        </w:tc>
        <w:tc>
          <w:tcPr>
            <w:tcW w:w="1313" w:type="dxa"/>
          </w:tcPr>
          <w:p>
            <w:pPr>
              <w:pStyle w:val="TableParagraph"/>
              <w:spacing w:line="147" w:lineRule="exact" w:before="85"/>
              <w:ind w:left="430"/>
              <w:rPr>
                <w:sz w:val="14"/>
              </w:rPr>
            </w:pPr>
            <w:r>
              <w:rPr>
                <w:sz w:val="14"/>
              </w:rPr>
              <w:t>0 . 6 %</w:t>
            </w:r>
          </w:p>
        </w:tc>
        <w:tc>
          <w:tcPr>
            <w:tcW w:w="1270" w:type="dxa"/>
          </w:tcPr>
          <w:p>
            <w:pPr>
              <w:pStyle w:val="TableParagraph"/>
              <w:spacing w:line="147" w:lineRule="exact" w:before="85"/>
              <w:ind w:right="432"/>
              <w:jc w:val="right"/>
              <w:rPr>
                <w:sz w:val="14"/>
              </w:rPr>
            </w:pPr>
            <w:r>
              <w:rPr>
                <w:sz w:val="14"/>
              </w:rPr>
              <w:t>13,800.9</w:t>
            </w:r>
          </w:p>
        </w:tc>
        <w:tc>
          <w:tcPr>
            <w:tcW w:w="1250" w:type="dxa"/>
          </w:tcPr>
          <w:p>
            <w:pPr>
              <w:pStyle w:val="TableParagraph"/>
              <w:spacing w:line="147" w:lineRule="exact" w:before="85"/>
              <w:ind w:left="454"/>
              <w:rPr>
                <w:sz w:val="14"/>
              </w:rPr>
            </w:pPr>
            <w:r>
              <w:rPr>
                <w:sz w:val="14"/>
              </w:rPr>
              <w:t>0 . 7 %</w:t>
            </w:r>
          </w:p>
        </w:tc>
      </w:tr>
      <w:tr>
        <w:trPr>
          <w:trHeight w:val="167"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Administrative and Operating Costs</w:t>
            </w:r>
          </w:p>
        </w:tc>
        <w:tc>
          <w:tcPr>
            <w:tcW w:w="1582" w:type="dxa"/>
          </w:tcPr>
          <w:p>
            <w:pPr>
              <w:pStyle w:val="TableParagraph"/>
              <w:spacing w:line="147" w:lineRule="exact" w:before="1"/>
              <w:ind w:right="531"/>
              <w:jc w:val="right"/>
              <w:rPr>
                <w:b/>
                <w:sz w:val="14"/>
              </w:rPr>
            </w:pPr>
            <w:r>
              <w:rPr>
                <w:b/>
                <w:sz w:val="14"/>
              </w:rPr>
              <w:t>6,900.9</w:t>
            </w:r>
          </w:p>
        </w:tc>
        <w:tc>
          <w:tcPr>
            <w:tcW w:w="1458" w:type="dxa"/>
          </w:tcPr>
          <w:p>
            <w:pPr>
              <w:pStyle w:val="TableParagraph"/>
              <w:spacing w:line="147" w:lineRule="exact" w:before="1"/>
              <w:ind w:left="491"/>
              <w:rPr>
                <w:sz w:val="14"/>
              </w:rPr>
            </w:pPr>
            <w:r>
              <w:rPr>
                <w:sz w:val="14"/>
              </w:rPr>
              <w:t>0 . 3 %</w:t>
            </w:r>
          </w:p>
        </w:tc>
        <w:tc>
          <w:tcPr>
            <w:tcW w:w="1608" w:type="dxa"/>
          </w:tcPr>
          <w:p>
            <w:pPr>
              <w:pStyle w:val="TableParagraph"/>
              <w:spacing w:line="147" w:lineRule="exact" w:before="1"/>
              <w:ind w:right="627"/>
              <w:jc w:val="right"/>
              <w:rPr>
                <w:sz w:val="14"/>
              </w:rPr>
            </w:pPr>
            <w:r>
              <w:rPr>
                <w:sz w:val="14"/>
              </w:rPr>
              <w:t>6,220 .5</w:t>
            </w:r>
          </w:p>
        </w:tc>
        <w:tc>
          <w:tcPr>
            <w:tcW w:w="1313" w:type="dxa"/>
          </w:tcPr>
          <w:p>
            <w:pPr>
              <w:pStyle w:val="TableParagraph"/>
              <w:spacing w:line="147" w:lineRule="exact" w:before="1"/>
              <w:ind w:left="430"/>
              <w:rPr>
                <w:sz w:val="14"/>
              </w:rPr>
            </w:pPr>
            <w:r>
              <w:rPr>
                <w:sz w:val="14"/>
              </w:rPr>
              <w:t>0 . 3 %</w:t>
            </w:r>
          </w:p>
        </w:tc>
        <w:tc>
          <w:tcPr>
            <w:tcW w:w="1270" w:type="dxa"/>
          </w:tcPr>
          <w:p>
            <w:pPr>
              <w:pStyle w:val="TableParagraph"/>
              <w:spacing w:line="147" w:lineRule="exact" w:before="1"/>
              <w:ind w:right="431"/>
              <w:jc w:val="right"/>
              <w:rPr>
                <w:sz w:val="14"/>
              </w:rPr>
            </w:pPr>
            <w:r>
              <w:rPr>
                <w:sz w:val="14"/>
              </w:rPr>
              <w:t>6,593 .1</w:t>
            </w:r>
          </w:p>
        </w:tc>
        <w:tc>
          <w:tcPr>
            <w:tcW w:w="1250" w:type="dxa"/>
          </w:tcPr>
          <w:p>
            <w:pPr>
              <w:pStyle w:val="TableParagraph"/>
              <w:spacing w:line="147" w:lineRule="exact" w:before="1"/>
              <w:ind w:left="454"/>
              <w:rPr>
                <w:sz w:val="14"/>
              </w:rPr>
            </w:pPr>
            <w:r>
              <w:rPr>
                <w:sz w:val="14"/>
              </w:rPr>
              <w:t>0 . 3 %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Communications Unit</w:t>
            </w:r>
          </w:p>
        </w:tc>
        <w:tc>
          <w:tcPr>
            <w:tcW w:w="1582" w:type="dxa"/>
          </w:tcPr>
          <w:p>
            <w:pPr>
              <w:pStyle w:val="TableParagraph"/>
              <w:spacing w:line="147" w:lineRule="exact" w:before="1"/>
              <w:ind w:right="514"/>
              <w:jc w:val="right"/>
              <w:rPr>
                <w:b/>
                <w:sz w:val="14"/>
              </w:rPr>
            </w:pPr>
            <w:r>
              <w:rPr>
                <w:b/>
                <w:sz w:val="14"/>
              </w:rPr>
              <w:t>777.8</w:t>
            </w:r>
          </w:p>
        </w:tc>
        <w:tc>
          <w:tcPr>
            <w:tcW w:w="1458" w:type="dxa"/>
          </w:tcPr>
          <w:p>
            <w:pPr>
              <w:pStyle w:val="TableParagraph"/>
              <w:spacing w:line="147" w:lineRule="exact" w:before="1"/>
              <w:ind w:left="491"/>
              <w:rPr>
                <w:sz w:val="14"/>
              </w:rPr>
            </w:pPr>
            <w:r>
              <w:rPr>
                <w:sz w:val="14"/>
              </w:rPr>
              <w:t>0 . 0 %</w:t>
            </w:r>
          </w:p>
        </w:tc>
        <w:tc>
          <w:tcPr>
            <w:tcW w:w="1608" w:type="dxa"/>
          </w:tcPr>
          <w:p>
            <w:pPr>
              <w:pStyle w:val="TableParagraph"/>
              <w:spacing w:line="147" w:lineRule="exact" w:before="1"/>
              <w:ind w:right="620"/>
              <w:jc w:val="right"/>
              <w:rPr>
                <w:sz w:val="14"/>
              </w:rPr>
            </w:pPr>
            <w:r>
              <w:rPr>
                <w:sz w:val="14"/>
              </w:rPr>
              <w:t>342.2</w:t>
            </w:r>
          </w:p>
        </w:tc>
        <w:tc>
          <w:tcPr>
            <w:tcW w:w="1313" w:type="dxa"/>
          </w:tcPr>
          <w:p>
            <w:pPr>
              <w:pStyle w:val="TableParagraph"/>
              <w:spacing w:line="147" w:lineRule="exact" w:before="1"/>
              <w:ind w:left="430"/>
              <w:rPr>
                <w:sz w:val="14"/>
              </w:rPr>
            </w:pPr>
            <w:r>
              <w:rPr>
                <w:sz w:val="14"/>
              </w:rPr>
              <w:t>0 . 0 %</w:t>
            </w:r>
          </w:p>
        </w:tc>
        <w:tc>
          <w:tcPr>
            <w:tcW w:w="1270" w:type="dxa"/>
          </w:tcPr>
          <w:p>
            <w:pPr>
              <w:pStyle w:val="TableParagraph"/>
              <w:spacing w:line="147" w:lineRule="exact" w:before="1"/>
              <w:ind w:right="428"/>
              <w:jc w:val="right"/>
              <w:rPr>
                <w:sz w:val="14"/>
              </w:rPr>
            </w:pPr>
            <w:r>
              <w:rPr>
                <w:sz w:val="14"/>
              </w:rPr>
              <w:t>362.7</w:t>
            </w:r>
          </w:p>
        </w:tc>
        <w:tc>
          <w:tcPr>
            <w:tcW w:w="1250" w:type="dxa"/>
          </w:tcPr>
          <w:p>
            <w:pPr>
              <w:pStyle w:val="TableParagraph"/>
              <w:spacing w:line="147" w:lineRule="exact" w:before="1"/>
              <w:ind w:left="454"/>
              <w:rPr>
                <w:sz w:val="14"/>
              </w:rPr>
            </w:pPr>
            <w:r>
              <w:rPr>
                <w:sz w:val="14"/>
              </w:rPr>
              <w:t>0 . 0 %</w:t>
            </w:r>
          </w:p>
        </w:tc>
      </w:tr>
      <w:tr>
        <w:trPr>
          <w:trHeight w:val="167"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Office of Presidential Infrastructure Initiative</w:t>
            </w:r>
          </w:p>
        </w:tc>
        <w:tc>
          <w:tcPr>
            <w:tcW w:w="1582" w:type="dxa"/>
          </w:tcPr>
          <w:p>
            <w:pPr>
              <w:pStyle w:val="TableParagraph"/>
              <w:spacing w:line="147" w:lineRule="exact" w:before="1"/>
              <w:ind w:right="531"/>
              <w:jc w:val="right"/>
              <w:rPr>
                <w:b/>
                <w:sz w:val="14"/>
              </w:rPr>
            </w:pPr>
            <w:r>
              <w:rPr>
                <w:b/>
                <w:sz w:val="14"/>
              </w:rPr>
              <w:t>1,054.7</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1,164 .1</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1,233 .8</w:t>
            </w:r>
          </w:p>
        </w:tc>
        <w:tc>
          <w:tcPr>
            <w:tcW w:w="1250" w:type="dxa"/>
          </w:tcPr>
          <w:p>
            <w:pPr>
              <w:pStyle w:val="TableParagraph"/>
              <w:spacing w:line="147" w:lineRule="exact" w:before="1"/>
              <w:ind w:left="454"/>
              <w:rPr>
                <w:sz w:val="14"/>
              </w:rPr>
            </w:pPr>
            <w:r>
              <w:rPr>
                <w:sz w:val="14"/>
              </w:rPr>
              <w:t>0 . 1 %</w:t>
            </w:r>
          </w:p>
        </w:tc>
      </w:tr>
      <w:tr>
        <w:trPr>
          <w:trHeight w:val="167"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9"/>
              <w:rPr>
                <w:sz w:val="14"/>
              </w:rPr>
            </w:pPr>
            <w:r>
              <w:rPr>
                <w:sz w:val="14"/>
              </w:rPr>
              <w:t>Directorate of Science, Technology and Innovation</w:t>
            </w:r>
          </w:p>
        </w:tc>
        <w:tc>
          <w:tcPr>
            <w:tcW w:w="1582" w:type="dxa"/>
          </w:tcPr>
          <w:p>
            <w:pPr>
              <w:pStyle w:val="TableParagraph"/>
              <w:spacing w:line="147" w:lineRule="exact" w:before="1"/>
              <w:ind w:right="531"/>
              <w:jc w:val="right"/>
              <w:rPr>
                <w:b/>
                <w:sz w:val="14"/>
              </w:rPr>
            </w:pPr>
            <w:r>
              <w:rPr>
                <w:b/>
                <w:sz w:val="14"/>
              </w:rPr>
              <w:t>3,727.1</w:t>
            </w:r>
          </w:p>
        </w:tc>
        <w:tc>
          <w:tcPr>
            <w:tcW w:w="1458" w:type="dxa"/>
          </w:tcPr>
          <w:p>
            <w:pPr>
              <w:pStyle w:val="TableParagraph"/>
              <w:spacing w:line="147" w:lineRule="exact" w:before="1"/>
              <w:ind w:left="491"/>
              <w:rPr>
                <w:sz w:val="14"/>
              </w:rPr>
            </w:pPr>
            <w:r>
              <w:rPr>
                <w:sz w:val="14"/>
              </w:rPr>
              <w:t>0 . 2 %</w:t>
            </w:r>
          </w:p>
        </w:tc>
        <w:tc>
          <w:tcPr>
            <w:tcW w:w="1608" w:type="dxa"/>
          </w:tcPr>
          <w:p>
            <w:pPr>
              <w:pStyle w:val="TableParagraph"/>
              <w:spacing w:line="147" w:lineRule="exact" w:before="1"/>
              <w:ind w:right="627"/>
              <w:jc w:val="right"/>
              <w:rPr>
                <w:sz w:val="14"/>
              </w:rPr>
            </w:pPr>
            <w:r>
              <w:rPr>
                <w:sz w:val="14"/>
              </w:rPr>
              <w:t>4,185 .8</w:t>
            </w:r>
          </w:p>
        </w:tc>
        <w:tc>
          <w:tcPr>
            <w:tcW w:w="1313" w:type="dxa"/>
          </w:tcPr>
          <w:p>
            <w:pPr>
              <w:pStyle w:val="TableParagraph"/>
              <w:spacing w:line="147" w:lineRule="exact" w:before="1"/>
              <w:ind w:left="430"/>
              <w:rPr>
                <w:sz w:val="14"/>
              </w:rPr>
            </w:pPr>
            <w:r>
              <w:rPr>
                <w:sz w:val="14"/>
              </w:rPr>
              <w:t>0 . 2 %</w:t>
            </w:r>
          </w:p>
        </w:tc>
        <w:tc>
          <w:tcPr>
            <w:tcW w:w="1270" w:type="dxa"/>
          </w:tcPr>
          <w:p>
            <w:pPr>
              <w:pStyle w:val="TableParagraph"/>
              <w:spacing w:line="147" w:lineRule="exact" w:before="1"/>
              <w:ind w:right="431"/>
              <w:jc w:val="right"/>
              <w:rPr>
                <w:sz w:val="14"/>
              </w:rPr>
            </w:pPr>
            <w:r>
              <w:rPr>
                <w:sz w:val="14"/>
              </w:rPr>
              <w:t>4,436 .5</w:t>
            </w:r>
          </w:p>
        </w:tc>
        <w:tc>
          <w:tcPr>
            <w:tcW w:w="1250" w:type="dxa"/>
          </w:tcPr>
          <w:p>
            <w:pPr>
              <w:pStyle w:val="TableParagraph"/>
              <w:spacing w:line="147" w:lineRule="exact" w:before="1"/>
              <w:ind w:left="454"/>
              <w:rPr>
                <w:sz w:val="14"/>
              </w:rPr>
            </w:pPr>
            <w:r>
              <w:rPr>
                <w:sz w:val="14"/>
              </w:rPr>
              <w:t>0 . 2 %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Governance Advisory Unit</w:t>
            </w:r>
          </w:p>
        </w:tc>
        <w:tc>
          <w:tcPr>
            <w:tcW w:w="1582" w:type="dxa"/>
          </w:tcPr>
          <w:p>
            <w:pPr>
              <w:pStyle w:val="TableParagraph"/>
              <w:spacing w:line="147" w:lineRule="exact" w:before="1"/>
              <w:ind w:right="514"/>
              <w:jc w:val="right"/>
              <w:rPr>
                <w:b/>
                <w:sz w:val="14"/>
              </w:rPr>
            </w:pPr>
            <w:r>
              <w:rPr>
                <w:b/>
                <w:sz w:val="14"/>
              </w:rPr>
              <w:t>587.6</w:t>
            </w:r>
          </w:p>
        </w:tc>
        <w:tc>
          <w:tcPr>
            <w:tcW w:w="1458" w:type="dxa"/>
          </w:tcPr>
          <w:p>
            <w:pPr>
              <w:pStyle w:val="TableParagraph"/>
              <w:spacing w:line="147" w:lineRule="exact" w:before="1"/>
              <w:ind w:left="491"/>
              <w:rPr>
                <w:sz w:val="14"/>
              </w:rPr>
            </w:pPr>
            <w:r>
              <w:rPr>
                <w:sz w:val="14"/>
              </w:rPr>
              <w:t>0 . 0 %</w:t>
            </w:r>
          </w:p>
        </w:tc>
        <w:tc>
          <w:tcPr>
            <w:tcW w:w="1608" w:type="dxa"/>
          </w:tcPr>
          <w:p>
            <w:pPr>
              <w:pStyle w:val="TableParagraph"/>
              <w:spacing w:line="147" w:lineRule="exact" w:before="1"/>
              <w:ind w:right="620"/>
              <w:jc w:val="right"/>
              <w:rPr>
                <w:sz w:val="14"/>
              </w:rPr>
            </w:pPr>
            <w:r>
              <w:rPr>
                <w:sz w:val="14"/>
              </w:rPr>
              <w:t>723.8</w:t>
            </w:r>
          </w:p>
        </w:tc>
        <w:tc>
          <w:tcPr>
            <w:tcW w:w="1313" w:type="dxa"/>
          </w:tcPr>
          <w:p>
            <w:pPr>
              <w:pStyle w:val="TableParagraph"/>
              <w:spacing w:line="147" w:lineRule="exact" w:before="1"/>
              <w:ind w:left="430"/>
              <w:rPr>
                <w:sz w:val="14"/>
              </w:rPr>
            </w:pPr>
            <w:r>
              <w:rPr>
                <w:sz w:val="14"/>
              </w:rPr>
              <w:t>0 . 0 %</w:t>
            </w:r>
          </w:p>
        </w:tc>
        <w:tc>
          <w:tcPr>
            <w:tcW w:w="1270" w:type="dxa"/>
          </w:tcPr>
          <w:p>
            <w:pPr>
              <w:pStyle w:val="TableParagraph"/>
              <w:spacing w:line="147" w:lineRule="exact" w:before="1"/>
              <w:ind w:right="428"/>
              <w:jc w:val="right"/>
              <w:rPr>
                <w:sz w:val="14"/>
              </w:rPr>
            </w:pPr>
            <w:r>
              <w:rPr>
                <w:sz w:val="14"/>
              </w:rPr>
              <w:t>767.1</w:t>
            </w:r>
          </w:p>
        </w:tc>
        <w:tc>
          <w:tcPr>
            <w:tcW w:w="1250" w:type="dxa"/>
          </w:tcPr>
          <w:p>
            <w:pPr>
              <w:pStyle w:val="TableParagraph"/>
              <w:spacing w:line="147" w:lineRule="exact" w:before="1"/>
              <w:ind w:left="454"/>
              <w:rPr>
                <w:sz w:val="14"/>
              </w:rPr>
            </w:pPr>
            <w:r>
              <w:rPr>
                <w:sz w:val="14"/>
              </w:rPr>
              <w:t>0 . 0 %</w:t>
            </w:r>
          </w:p>
        </w:tc>
      </w:tr>
      <w:tr>
        <w:trPr>
          <w:trHeight w:val="251" w:hRule="atLeast"/>
        </w:trPr>
        <w:tc>
          <w:tcPr>
            <w:tcW w:w="474" w:type="dxa"/>
          </w:tcPr>
          <w:p>
            <w:pPr>
              <w:pStyle w:val="TableParagraph"/>
              <w:rPr>
                <w:rFonts w:ascii="Times New Roman"/>
                <w:sz w:val="14"/>
              </w:rPr>
            </w:pPr>
          </w:p>
        </w:tc>
        <w:tc>
          <w:tcPr>
            <w:tcW w:w="5848" w:type="dxa"/>
          </w:tcPr>
          <w:p>
            <w:pPr>
              <w:pStyle w:val="TableParagraph"/>
              <w:spacing w:before="1"/>
              <w:ind w:left="429"/>
              <w:rPr>
                <w:sz w:val="14"/>
              </w:rPr>
            </w:pPr>
            <w:r>
              <w:rPr>
                <w:sz w:val="14"/>
              </w:rPr>
              <w:t>Directorate of Service Delivery</w:t>
            </w:r>
          </w:p>
        </w:tc>
        <w:tc>
          <w:tcPr>
            <w:tcW w:w="1582" w:type="dxa"/>
          </w:tcPr>
          <w:p>
            <w:pPr>
              <w:pStyle w:val="TableParagraph"/>
              <w:spacing w:before="1"/>
              <w:ind w:right="514"/>
              <w:jc w:val="right"/>
              <w:rPr>
                <w:b/>
                <w:sz w:val="14"/>
              </w:rPr>
            </w:pPr>
            <w:r>
              <w:rPr>
                <w:b/>
                <w:sz w:val="14"/>
              </w:rPr>
              <w:t>400.0</w:t>
            </w:r>
          </w:p>
        </w:tc>
        <w:tc>
          <w:tcPr>
            <w:tcW w:w="1458" w:type="dxa"/>
          </w:tcPr>
          <w:p>
            <w:pPr>
              <w:pStyle w:val="TableParagraph"/>
              <w:spacing w:before="1"/>
              <w:ind w:left="491"/>
              <w:rPr>
                <w:sz w:val="14"/>
              </w:rPr>
            </w:pPr>
            <w:r>
              <w:rPr>
                <w:sz w:val="14"/>
              </w:rPr>
              <w:t>0 . 0 %</w:t>
            </w:r>
          </w:p>
        </w:tc>
        <w:tc>
          <w:tcPr>
            <w:tcW w:w="1608" w:type="dxa"/>
          </w:tcPr>
          <w:p>
            <w:pPr>
              <w:pStyle w:val="TableParagraph"/>
              <w:spacing w:before="1"/>
              <w:ind w:right="620"/>
              <w:jc w:val="right"/>
              <w:rPr>
                <w:sz w:val="14"/>
              </w:rPr>
            </w:pPr>
            <w:r>
              <w:rPr>
                <w:sz w:val="14"/>
              </w:rPr>
              <w:t>384.6</w:t>
            </w:r>
          </w:p>
        </w:tc>
        <w:tc>
          <w:tcPr>
            <w:tcW w:w="1313" w:type="dxa"/>
          </w:tcPr>
          <w:p>
            <w:pPr>
              <w:pStyle w:val="TableParagraph"/>
              <w:spacing w:before="1"/>
              <w:ind w:left="430"/>
              <w:rPr>
                <w:sz w:val="14"/>
              </w:rPr>
            </w:pPr>
            <w:r>
              <w:rPr>
                <w:sz w:val="14"/>
              </w:rPr>
              <w:t>0 . 0 %</w:t>
            </w:r>
          </w:p>
        </w:tc>
        <w:tc>
          <w:tcPr>
            <w:tcW w:w="1270" w:type="dxa"/>
          </w:tcPr>
          <w:p>
            <w:pPr>
              <w:pStyle w:val="TableParagraph"/>
              <w:spacing w:before="1"/>
              <w:ind w:right="428"/>
              <w:jc w:val="right"/>
              <w:rPr>
                <w:sz w:val="14"/>
              </w:rPr>
            </w:pPr>
            <w:r>
              <w:rPr>
                <w:sz w:val="14"/>
              </w:rPr>
              <w:t>407.7</w:t>
            </w:r>
          </w:p>
        </w:tc>
        <w:tc>
          <w:tcPr>
            <w:tcW w:w="1250" w:type="dxa"/>
          </w:tcPr>
          <w:p>
            <w:pPr>
              <w:pStyle w:val="TableParagraph"/>
              <w:spacing w:before="1"/>
              <w:ind w:left="454"/>
              <w:rPr>
                <w:sz w:val="14"/>
              </w:rPr>
            </w:pPr>
            <w:r>
              <w:rPr>
                <w:sz w:val="14"/>
              </w:rPr>
              <w:t>0 . 0 %</w:t>
            </w:r>
          </w:p>
        </w:tc>
      </w:tr>
      <w:tr>
        <w:trPr>
          <w:trHeight w:val="252" w:hRule="atLeast"/>
        </w:trPr>
        <w:tc>
          <w:tcPr>
            <w:tcW w:w="474" w:type="dxa"/>
          </w:tcPr>
          <w:p>
            <w:pPr>
              <w:pStyle w:val="TableParagraph"/>
              <w:spacing w:line="147" w:lineRule="exact" w:before="85"/>
              <w:ind w:right="95"/>
              <w:jc w:val="right"/>
              <w:rPr>
                <w:sz w:val="14"/>
              </w:rPr>
            </w:pPr>
            <w:r>
              <w:rPr>
                <w:w w:val="95"/>
                <w:sz w:val="14"/>
              </w:rPr>
              <w:t>107</w:t>
            </w:r>
          </w:p>
        </w:tc>
        <w:tc>
          <w:tcPr>
            <w:tcW w:w="5848" w:type="dxa"/>
          </w:tcPr>
          <w:p>
            <w:pPr>
              <w:pStyle w:val="TableParagraph"/>
              <w:spacing w:line="147" w:lineRule="exact" w:before="85"/>
              <w:ind w:left="93"/>
              <w:rPr>
                <w:sz w:val="14"/>
              </w:rPr>
            </w:pPr>
            <w:r>
              <w:rPr>
                <w:sz w:val="14"/>
              </w:rPr>
              <w:t>Ministry of Local Government &amp; Rural Development</w:t>
            </w:r>
          </w:p>
        </w:tc>
        <w:tc>
          <w:tcPr>
            <w:tcW w:w="1582" w:type="dxa"/>
          </w:tcPr>
          <w:p>
            <w:pPr>
              <w:pStyle w:val="TableParagraph"/>
              <w:spacing w:line="147" w:lineRule="exact" w:before="85"/>
              <w:ind w:right="533"/>
              <w:jc w:val="right"/>
              <w:rPr>
                <w:b/>
                <w:sz w:val="14"/>
              </w:rPr>
            </w:pPr>
            <w:r>
              <w:rPr>
                <w:b/>
                <w:sz w:val="14"/>
              </w:rPr>
              <w:t>13,799.2</w:t>
            </w:r>
          </w:p>
        </w:tc>
        <w:tc>
          <w:tcPr>
            <w:tcW w:w="1458" w:type="dxa"/>
          </w:tcPr>
          <w:p>
            <w:pPr>
              <w:pStyle w:val="TableParagraph"/>
              <w:spacing w:line="147" w:lineRule="exact" w:before="85"/>
              <w:ind w:left="491"/>
              <w:rPr>
                <w:sz w:val="14"/>
              </w:rPr>
            </w:pPr>
            <w:r>
              <w:rPr>
                <w:sz w:val="14"/>
              </w:rPr>
              <w:t>0 . 7 %</w:t>
            </w:r>
          </w:p>
        </w:tc>
        <w:tc>
          <w:tcPr>
            <w:tcW w:w="1608" w:type="dxa"/>
          </w:tcPr>
          <w:p>
            <w:pPr>
              <w:pStyle w:val="TableParagraph"/>
              <w:spacing w:line="147" w:lineRule="exact" w:before="85"/>
              <w:ind w:right="631"/>
              <w:jc w:val="right"/>
              <w:rPr>
                <w:sz w:val="14"/>
              </w:rPr>
            </w:pPr>
            <w:r>
              <w:rPr>
                <w:sz w:val="14"/>
              </w:rPr>
              <w:t>15,662.7</w:t>
            </w:r>
          </w:p>
        </w:tc>
        <w:tc>
          <w:tcPr>
            <w:tcW w:w="1313" w:type="dxa"/>
          </w:tcPr>
          <w:p>
            <w:pPr>
              <w:pStyle w:val="TableParagraph"/>
              <w:spacing w:line="147" w:lineRule="exact" w:before="85"/>
              <w:ind w:left="430"/>
              <w:rPr>
                <w:sz w:val="14"/>
              </w:rPr>
            </w:pPr>
            <w:r>
              <w:rPr>
                <w:sz w:val="14"/>
              </w:rPr>
              <w:t>0 . 8 %</w:t>
            </w:r>
          </w:p>
        </w:tc>
        <w:tc>
          <w:tcPr>
            <w:tcW w:w="1270" w:type="dxa"/>
          </w:tcPr>
          <w:p>
            <w:pPr>
              <w:pStyle w:val="TableParagraph"/>
              <w:spacing w:line="147" w:lineRule="exact" w:before="85"/>
              <w:ind w:right="440"/>
              <w:jc w:val="right"/>
              <w:rPr>
                <w:sz w:val="14"/>
              </w:rPr>
            </w:pPr>
            <w:r>
              <w:rPr>
                <w:sz w:val="14"/>
              </w:rPr>
              <w:t>16,600.9</w:t>
            </w:r>
          </w:p>
        </w:tc>
        <w:tc>
          <w:tcPr>
            <w:tcW w:w="1250" w:type="dxa"/>
          </w:tcPr>
          <w:p>
            <w:pPr>
              <w:pStyle w:val="TableParagraph"/>
              <w:spacing w:line="147" w:lineRule="exact" w:before="85"/>
              <w:ind w:left="454"/>
              <w:rPr>
                <w:sz w:val="14"/>
              </w:rPr>
            </w:pPr>
            <w:r>
              <w:rPr>
                <w:sz w:val="14"/>
              </w:rPr>
              <w:t>0 . 8 %</w:t>
            </w:r>
          </w:p>
        </w:tc>
      </w:tr>
      <w:tr>
        <w:trPr>
          <w:trHeight w:val="167"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Administrative and Operating Costs</w:t>
            </w:r>
          </w:p>
        </w:tc>
        <w:tc>
          <w:tcPr>
            <w:tcW w:w="1582" w:type="dxa"/>
          </w:tcPr>
          <w:p>
            <w:pPr>
              <w:pStyle w:val="TableParagraph"/>
              <w:spacing w:line="147" w:lineRule="exact" w:before="1"/>
              <w:ind w:right="531"/>
              <w:jc w:val="right"/>
              <w:rPr>
                <w:b/>
                <w:sz w:val="14"/>
              </w:rPr>
            </w:pPr>
            <w:r>
              <w:rPr>
                <w:b/>
                <w:sz w:val="14"/>
              </w:rPr>
              <w:t>4,395.9</w:t>
            </w:r>
          </w:p>
        </w:tc>
        <w:tc>
          <w:tcPr>
            <w:tcW w:w="1458" w:type="dxa"/>
          </w:tcPr>
          <w:p>
            <w:pPr>
              <w:pStyle w:val="TableParagraph"/>
              <w:spacing w:line="147" w:lineRule="exact" w:before="1"/>
              <w:ind w:left="491"/>
              <w:rPr>
                <w:sz w:val="14"/>
              </w:rPr>
            </w:pPr>
            <w:r>
              <w:rPr>
                <w:sz w:val="14"/>
              </w:rPr>
              <w:t>0 . 2 %</w:t>
            </w:r>
          </w:p>
        </w:tc>
        <w:tc>
          <w:tcPr>
            <w:tcW w:w="1608" w:type="dxa"/>
          </w:tcPr>
          <w:p>
            <w:pPr>
              <w:pStyle w:val="TableParagraph"/>
              <w:spacing w:line="147" w:lineRule="exact" w:before="1"/>
              <w:ind w:right="627"/>
              <w:jc w:val="right"/>
              <w:rPr>
                <w:sz w:val="14"/>
              </w:rPr>
            </w:pPr>
            <w:r>
              <w:rPr>
                <w:sz w:val="14"/>
              </w:rPr>
              <w:t>5,700 .9</w:t>
            </w:r>
          </w:p>
        </w:tc>
        <w:tc>
          <w:tcPr>
            <w:tcW w:w="1313" w:type="dxa"/>
          </w:tcPr>
          <w:p>
            <w:pPr>
              <w:pStyle w:val="TableParagraph"/>
              <w:spacing w:line="147" w:lineRule="exact" w:before="1"/>
              <w:ind w:left="430"/>
              <w:rPr>
                <w:sz w:val="14"/>
              </w:rPr>
            </w:pPr>
            <w:r>
              <w:rPr>
                <w:sz w:val="14"/>
              </w:rPr>
              <w:t>0 . 3 %</w:t>
            </w:r>
          </w:p>
        </w:tc>
        <w:tc>
          <w:tcPr>
            <w:tcW w:w="1270" w:type="dxa"/>
          </w:tcPr>
          <w:p>
            <w:pPr>
              <w:pStyle w:val="TableParagraph"/>
              <w:spacing w:line="147" w:lineRule="exact" w:before="1"/>
              <w:ind w:right="431"/>
              <w:jc w:val="right"/>
              <w:rPr>
                <w:sz w:val="14"/>
              </w:rPr>
            </w:pPr>
            <w:r>
              <w:rPr>
                <w:sz w:val="14"/>
              </w:rPr>
              <w:t>6,042 .4</w:t>
            </w:r>
          </w:p>
        </w:tc>
        <w:tc>
          <w:tcPr>
            <w:tcW w:w="1250" w:type="dxa"/>
          </w:tcPr>
          <w:p>
            <w:pPr>
              <w:pStyle w:val="TableParagraph"/>
              <w:spacing w:line="147" w:lineRule="exact" w:before="1"/>
              <w:ind w:left="454"/>
              <w:rPr>
                <w:sz w:val="14"/>
              </w:rPr>
            </w:pPr>
            <w:r>
              <w:rPr>
                <w:sz w:val="14"/>
              </w:rPr>
              <w:t>0 . 3 %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601"/>
              <w:rPr>
                <w:sz w:val="14"/>
              </w:rPr>
            </w:pPr>
            <w:r>
              <w:rPr>
                <w:sz w:val="14"/>
              </w:rPr>
              <w:t>o/ w: Social Capital Approaches Development in Sierra Leone (SCARDSIL)</w:t>
            </w:r>
          </w:p>
        </w:tc>
        <w:tc>
          <w:tcPr>
            <w:tcW w:w="1582" w:type="dxa"/>
          </w:tcPr>
          <w:p>
            <w:pPr>
              <w:pStyle w:val="TableParagraph"/>
              <w:spacing w:line="147" w:lineRule="exact" w:before="1"/>
              <w:ind w:right="514"/>
              <w:jc w:val="right"/>
              <w:rPr>
                <w:b/>
                <w:sz w:val="14"/>
              </w:rPr>
            </w:pPr>
            <w:r>
              <w:rPr>
                <w:b/>
                <w:sz w:val="14"/>
              </w:rPr>
              <w:t>446.9</w:t>
            </w:r>
          </w:p>
        </w:tc>
        <w:tc>
          <w:tcPr>
            <w:tcW w:w="1458" w:type="dxa"/>
          </w:tcPr>
          <w:p>
            <w:pPr>
              <w:pStyle w:val="TableParagraph"/>
              <w:spacing w:line="147" w:lineRule="exact" w:before="1"/>
              <w:ind w:left="491"/>
              <w:rPr>
                <w:sz w:val="14"/>
              </w:rPr>
            </w:pPr>
            <w:r>
              <w:rPr>
                <w:sz w:val="14"/>
              </w:rPr>
              <w:t>0 . 0 %</w:t>
            </w:r>
          </w:p>
        </w:tc>
        <w:tc>
          <w:tcPr>
            <w:tcW w:w="1608" w:type="dxa"/>
          </w:tcPr>
          <w:p>
            <w:pPr>
              <w:pStyle w:val="TableParagraph"/>
              <w:spacing w:line="147" w:lineRule="exact" w:before="1"/>
              <w:ind w:right="620"/>
              <w:jc w:val="right"/>
              <w:rPr>
                <w:sz w:val="14"/>
              </w:rPr>
            </w:pPr>
            <w:r>
              <w:rPr>
                <w:sz w:val="14"/>
              </w:rPr>
              <w:t>757.9</w:t>
            </w:r>
          </w:p>
        </w:tc>
        <w:tc>
          <w:tcPr>
            <w:tcW w:w="1313" w:type="dxa"/>
          </w:tcPr>
          <w:p>
            <w:pPr>
              <w:pStyle w:val="TableParagraph"/>
              <w:spacing w:line="147" w:lineRule="exact" w:before="1"/>
              <w:ind w:left="430"/>
              <w:rPr>
                <w:sz w:val="14"/>
              </w:rPr>
            </w:pPr>
            <w:r>
              <w:rPr>
                <w:sz w:val="14"/>
              </w:rPr>
              <w:t>0 . 0 %</w:t>
            </w:r>
          </w:p>
        </w:tc>
        <w:tc>
          <w:tcPr>
            <w:tcW w:w="1270" w:type="dxa"/>
          </w:tcPr>
          <w:p>
            <w:pPr>
              <w:pStyle w:val="TableParagraph"/>
              <w:spacing w:line="147" w:lineRule="exact" w:before="1"/>
              <w:ind w:right="428"/>
              <w:jc w:val="right"/>
              <w:rPr>
                <w:sz w:val="14"/>
              </w:rPr>
            </w:pPr>
            <w:r>
              <w:rPr>
                <w:sz w:val="14"/>
              </w:rPr>
              <w:t>803.3</w:t>
            </w:r>
          </w:p>
        </w:tc>
        <w:tc>
          <w:tcPr>
            <w:tcW w:w="1250" w:type="dxa"/>
          </w:tcPr>
          <w:p>
            <w:pPr>
              <w:pStyle w:val="TableParagraph"/>
              <w:spacing w:line="147" w:lineRule="exact" w:before="1"/>
              <w:ind w:left="454"/>
              <w:rPr>
                <w:sz w:val="14"/>
              </w:rPr>
            </w:pPr>
            <w:r>
              <w:rPr>
                <w:sz w:val="14"/>
              </w:rPr>
              <w:t>0 . 0 %</w:t>
            </w:r>
          </w:p>
        </w:tc>
      </w:tr>
      <w:tr>
        <w:trPr>
          <w:trHeight w:val="167" w:hRule="atLeast"/>
        </w:trPr>
        <w:tc>
          <w:tcPr>
            <w:tcW w:w="474" w:type="dxa"/>
          </w:tcPr>
          <w:p>
            <w:pPr>
              <w:pStyle w:val="TableParagraph"/>
              <w:rPr>
                <w:rFonts w:ascii="Times New Roman"/>
                <w:sz w:val="10"/>
              </w:rPr>
            </w:pPr>
          </w:p>
        </w:tc>
        <w:tc>
          <w:tcPr>
            <w:tcW w:w="5848" w:type="dxa"/>
          </w:tcPr>
          <w:p>
            <w:pPr>
              <w:pStyle w:val="TableParagraph"/>
              <w:spacing w:line="147" w:lineRule="exact" w:before="1"/>
              <w:ind w:left="601"/>
              <w:rPr>
                <w:sz w:val="14"/>
              </w:rPr>
            </w:pPr>
            <w:r>
              <w:rPr>
                <w:sz w:val="14"/>
              </w:rPr>
              <w:t>o/ w: Decentralisation Secretariat</w:t>
            </w:r>
          </w:p>
        </w:tc>
        <w:tc>
          <w:tcPr>
            <w:tcW w:w="1582" w:type="dxa"/>
          </w:tcPr>
          <w:p>
            <w:pPr>
              <w:pStyle w:val="TableParagraph"/>
              <w:spacing w:line="147" w:lineRule="exact" w:before="1"/>
              <w:ind w:right="531"/>
              <w:jc w:val="right"/>
              <w:rPr>
                <w:b/>
                <w:sz w:val="14"/>
              </w:rPr>
            </w:pPr>
            <w:r>
              <w:rPr>
                <w:b/>
                <w:sz w:val="14"/>
              </w:rPr>
              <w:t>1,555.5</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1,645 .9</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1,744 .5</w:t>
            </w:r>
          </w:p>
        </w:tc>
        <w:tc>
          <w:tcPr>
            <w:tcW w:w="1250" w:type="dxa"/>
          </w:tcPr>
          <w:p>
            <w:pPr>
              <w:pStyle w:val="TableParagraph"/>
              <w:spacing w:line="147" w:lineRule="exact" w:before="1"/>
              <w:ind w:left="454"/>
              <w:rPr>
                <w:sz w:val="14"/>
              </w:rPr>
            </w:pPr>
            <w:r>
              <w:rPr>
                <w:sz w:val="14"/>
              </w:rPr>
              <w:t>0 . 1 %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Southern Province</w:t>
            </w:r>
          </w:p>
        </w:tc>
        <w:tc>
          <w:tcPr>
            <w:tcW w:w="1582" w:type="dxa"/>
          </w:tcPr>
          <w:p>
            <w:pPr>
              <w:pStyle w:val="TableParagraph"/>
              <w:spacing w:line="147" w:lineRule="exact" w:before="1"/>
              <w:ind w:right="531"/>
              <w:jc w:val="right"/>
              <w:rPr>
                <w:b/>
                <w:sz w:val="14"/>
              </w:rPr>
            </w:pPr>
            <w:r>
              <w:rPr>
                <w:b/>
                <w:sz w:val="14"/>
              </w:rPr>
              <w:t>2,513.7</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2,691 .1</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2,852 .2</w:t>
            </w:r>
          </w:p>
        </w:tc>
        <w:tc>
          <w:tcPr>
            <w:tcW w:w="1250" w:type="dxa"/>
          </w:tcPr>
          <w:p>
            <w:pPr>
              <w:pStyle w:val="TableParagraph"/>
              <w:spacing w:line="147" w:lineRule="exact" w:before="1"/>
              <w:ind w:left="454"/>
              <w:rPr>
                <w:sz w:val="14"/>
              </w:rPr>
            </w:pPr>
            <w:r>
              <w:rPr>
                <w:sz w:val="14"/>
              </w:rPr>
              <w:t>0 . 1 %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601"/>
              <w:rPr>
                <w:sz w:val="14"/>
              </w:rPr>
            </w:pPr>
            <w:r>
              <w:rPr>
                <w:sz w:val="14"/>
              </w:rPr>
              <w:t>o/ w: District Offices (Bo, Moyamba, Pujehun, Bonthe)</w:t>
            </w:r>
          </w:p>
        </w:tc>
        <w:tc>
          <w:tcPr>
            <w:tcW w:w="1582" w:type="dxa"/>
          </w:tcPr>
          <w:p>
            <w:pPr>
              <w:pStyle w:val="TableParagraph"/>
              <w:spacing w:line="147" w:lineRule="exact" w:before="1"/>
              <w:ind w:right="531"/>
              <w:jc w:val="right"/>
              <w:rPr>
                <w:b/>
                <w:sz w:val="14"/>
              </w:rPr>
            </w:pPr>
            <w:r>
              <w:rPr>
                <w:b/>
                <w:sz w:val="14"/>
              </w:rPr>
              <w:t>1,833.2</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1,987 .9</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2,107 .0</w:t>
            </w:r>
          </w:p>
        </w:tc>
        <w:tc>
          <w:tcPr>
            <w:tcW w:w="1250" w:type="dxa"/>
          </w:tcPr>
          <w:p>
            <w:pPr>
              <w:pStyle w:val="TableParagraph"/>
              <w:spacing w:line="147" w:lineRule="exact" w:before="1"/>
              <w:ind w:left="454"/>
              <w:rPr>
                <w:sz w:val="14"/>
              </w:rPr>
            </w:pPr>
            <w:r>
              <w:rPr>
                <w:sz w:val="14"/>
              </w:rPr>
              <w:t>0 . 1 %</w:t>
            </w:r>
          </w:p>
        </w:tc>
      </w:tr>
      <w:tr>
        <w:trPr>
          <w:trHeight w:val="167"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Eastern Province</w:t>
            </w:r>
          </w:p>
        </w:tc>
        <w:tc>
          <w:tcPr>
            <w:tcW w:w="1582" w:type="dxa"/>
          </w:tcPr>
          <w:p>
            <w:pPr>
              <w:pStyle w:val="TableParagraph"/>
              <w:spacing w:line="147" w:lineRule="exact" w:before="1"/>
              <w:ind w:right="531"/>
              <w:jc w:val="right"/>
              <w:rPr>
                <w:b/>
                <w:sz w:val="14"/>
              </w:rPr>
            </w:pPr>
            <w:r>
              <w:rPr>
                <w:b/>
                <w:sz w:val="14"/>
              </w:rPr>
              <w:t>2,222.3</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2,332 .1</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2,471 .8</w:t>
            </w:r>
          </w:p>
        </w:tc>
        <w:tc>
          <w:tcPr>
            <w:tcW w:w="1250" w:type="dxa"/>
          </w:tcPr>
          <w:p>
            <w:pPr>
              <w:pStyle w:val="TableParagraph"/>
              <w:spacing w:line="147" w:lineRule="exact" w:before="1"/>
              <w:ind w:left="454"/>
              <w:rPr>
                <w:sz w:val="14"/>
              </w:rPr>
            </w:pPr>
            <w:r>
              <w:rPr>
                <w:sz w:val="14"/>
              </w:rPr>
              <w:t>0 . 1 %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769"/>
              <w:rPr>
                <w:sz w:val="14"/>
              </w:rPr>
            </w:pPr>
            <w:r>
              <w:rPr>
                <w:sz w:val="14"/>
              </w:rPr>
              <w:t>o/ w: District Offices (Kenema, Kono, Kailahun)</w:t>
            </w:r>
          </w:p>
        </w:tc>
        <w:tc>
          <w:tcPr>
            <w:tcW w:w="1582" w:type="dxa"/>
          </w:tcPr>
          <w:p>
            <w:pPr>
              <w:pStyle w:val="TableParagraph"/>
              <w:spacing w:line="147" w:lineRule="exact" w:before="1"/>
              <w:ind w:right="531"/>
              <w:jc w:val="right"/>
              <w:rPr>
                <w:b/>
                <w:sz w:val="14"/>
              </w:rPr>
            </w:pPr>
            <w:r>
              <w:rPr>
                <w:b/>
                <w:sz w:val="14"/>
              </w:rPr>
              <w:t>1,541.8</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1,629 .0</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1,726 .5</w:t>
            </w:r>
          </w:p>
        </w:tc>
        <w:tc>
          <w:tcPr>
            <w:tcW w:w="1250" w:type="dxa"/>
          </w:tcPr>
          <w:p>
            <w:pPr>
              <w:pStyle w:val="TableParagraph"/>
              <w:spacing w:line="147" w:lineRule="exact" w:before="1"/>
              <w:ind w:left="454"/>
              <w:rPr>
                <w:sz w:val="14"/>
              </w:rPr>
            </w:pPr>
            <w:r>
              <w:rPr>
                <w:sz w:val="14"/>
              </w:rPr>
              <w:t>0 . 1 %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Northern Province</w:t>
            </w:r>
          </w:p>
        </w:tc>
        <w:tc>
          <w:tcPr>
            <w:tcW w:w="1582" w:type="dxa"/>
          </w:tcPr>
          <w:p>
            <w:pPr>
              <w:pStyle w:val="TableParagraph"/>
              <w:spacing w:line="147" w:lineRule="exact" w:before="1"/>
              <w:ind w:right="531"/>
              <w:jc w:val="right"/>
              <w:rPr>
                <w:b/>
                <w:sz w:val="14"/>
              </w:rPr>
            </w:pPr>
            <w:r>
              <w:rPr>
                <w:b/>
                <w:sz w:val="14"/>
              </w:rPr>
              <w:t>2,481.2</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2,651 .0</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2,809 .8</w:t>
            </w:r>
          </w:p>
        </w:tc>
        <w:tc>
          <w:tcPr>
            <w:tcW w:w="1250" w:type="dxa"/>
          </w:tcPr>
          <w:p>
            <w:pPr>
              <w:pStyle w:val="TableParagraph"/>
              <w:spacing w:line="147" w:lineRule="exact" w:before="1"/>
              <w:ind w:left="454"/>
              <w:rPr>
                <w:sz w:val="14"/>
              </w:rPr>
            </w:pPr>
            <w:r>
              <w:rPr>
                <w:sz w:val="14"/>
              </w:rPr>
              <w:t>0 . 1 %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769"/>
              <w:rPr>
                <w:sz w:val="14"/>
              </w:rPr>
            </w:pPr>
            <w:r>
              <w:rPr>
                <w:sz w:val="14"/>
              </w:rPr>
              <w:t>o/ w: District Offices (Bombali, Tonkolili, Koinadugu,Falaba)</w:t>
            </w:r>
          </w:p>
        </w:tc>
        <w:tc>
          <w:tcPr>
            <w:tcW w:w="1582" w:type="dxa"/>
          </w:tcPr>
          <w:p>
            <w:pPr>
              <w:pStyle w:val="TableParagraph"/>
              <w:spacing w:line="147" w:lineRule="exact" w:before="1"/>
              <w:ind w:right="531"/>
              <w:jc w:val="right"/>
              <w:rPr>
                <w:b/>
                <w:sz w:val="14"/>
              </w:rPr>
            </w:pPr>
            <w:r>
              <w:rPr>
                <w:b/>
                <w:sz w:val="14"/>
              </w:rPr>
              <w:t>1,800.7</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1,947 .9</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2,064 .6</w:t>
            </w:r>
          </w:p>
        </w:tc>
        <w:tc>
          <w:tcPr>
            <w:tcW w:w="1250" w:type="dxa"/>
          </w:tcPr>
          <w:p>
            <w:pPr>
              <w:pStyle w:val="TableParagraph"/>
              <w:spacing w:line="147" w:lineRule="exact" w:before="1"/>
              <w:ind w:left="454"/>
              <w:rPr>
                <w:sz w:val="14"/>
              </w:rPr>
            </w:pPr>
            <w:r>
              <w:rPr>
                <w:sz w:val="14"/>
              </w:rPr>
              <w:t>0 . 1 %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North West Province</w:t>
            </w:r>
          </w:p>
        </w:tc>
        <w:tc>
          <w:tcPr>
            <w:tcW w:w="1582" w:type="dxa"/>
          </w:tcPr>
          <w:p>
            <w:pPr>
              <w:pStyle w:val="TableParagraph"/>
              <w:spacing w:line="147" w:lineRule="exact" w:before="1"/>
              <w:ind w:right="531"/>
              <w:jc w:val="right"/>
              <w:rPr>
                <w:b/>
                <w:sz w:val="14"/>
              </w:rPr>
            </w:pPr>
            <w:r>
              <w:rPr>
                <w:b/>
                <w:sz w:val="14"/>
              </w:rPr>
              <w:t>2,186.1</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2,287 .6</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2,424 .6</w:t>
            </w:r>
          </w:p>
        </w:tc>
        <w:tc>
          <w:tcPr>
            <w:tcW w:w="1250" w:type="dxa"/>
          </w:tcPr>
          <w:p>
            <w:pPr>
              <w:pStyle w:val="TableParagraph"/>
              <w:spacing w:line="147" w:lineRule="exact" w:before="1"/>
              <w:ind w:left="454"/>
              <w:rPr>
                <w:sz w:val="14"/>
              </w:rPr>
            </w:pPr>
            <w:r>
              <w:rPr>
                <w:sz w:val="14"/>
              </w:rPr>
              <w:t>0 . 1 %</w:t>
            </w:r>
          </w:p>
        </w:tc>
      </w:tr>
      <w:tr>
        <w:trPr>
          <w:trHeight w:val="251" w:hRule="atLeast"/>
        </w:trPr>
        <w:tc>
          <w:tcPr>
            <w:tcW w:w="474" w:type="dxa"/>
          </w:tcPr>
          <w:p>
            <w:pPr>
              <w:pStyle w:val="TableParagraph"/>
              <w:rPr>
                <w:rFonts w:ascii="Times New Roman"/>
                <w:sz w:val="14"/>
              </w:rPr>
            </w:pPr>
          </w:p>
        </w:tc>
        <w:tc>
          <w:tcPr>
            <w:tcW w:w="5848" w:type="dxa"/>
          </w:tcPr>
          <w:p>
            <w:pPr>
              <w:pStyle w:val="TableParagraph"/>
              <w:spacing w:before="1"/>
              <w:ind w:left="769"/>
              <w:rPr>
                <w:sz w:val="14"/>
              </w:rPr>
            </w:pPr>
            <w:r>
              <w:rPr>
                <w:sz w:val="14"/>
              </w:rPr>
              <w:t>o/ w: District Offices (Port Loko, Kambia, Karene)</w:t>
            </w:r>
          </w:p>
        </w:tc>
        <w:tc>
          <w:tcPr>
            <w:tcW w:w="1582" w:type="dxa"/>
          </w:tcPr>
          <w:p>
            <w:pPr>
              <w:pStyle w:val="TableParagraph"/>
              <w:spacing w:before="1"/>
              <w:ind w:right="531"/>
              <w:jc w:val="right"/>
              <w:rPr>
                <w:b/>
                <w:sz w:val="14"/>
              </w:rPr>
            </w:pPr>
            <w:r>
              <w:rPr>
                <w:b/>
                <w:sz w:val="14"/>
              </w:rPr>
              <w:t>1,505.6</w:t>
            </w:r>
          </w:p>
        </w:tc>
        <w:tc>
          <w:tcPr>
            <w:tcW w:w="1458" w:type="dxa"/>
          </w:tcPr>
          <w:p>
            <w:pPr>
              <w:pStyle w:val="TableParagraph"/>
              <w:spacing w:before="1"/>
              <w:ind w:left="491"/>
              <w:rPr>
                <w:sz w:val="14"/>
              </w:rPr>
            </w:pPr>
            <w:r>
              <w:rPr>
                <w:sz w:val="14"/>
              </w:rPr>
              <w:t>0 . 1 %</w:t>
            </w:r>
          </w:p>
        </w:tc>
        <w:tc>
          <w:tcPr>
            <w:tcW w:w="1608" w:type="dxa"/>
          </w:tcPr>
          <w:p>
            <w:pPr>
              <w:pStyle w:val="TableParagraph"/>
              <w:spacing w:before="1"/>
              <w:ind w:right="627"/>
              <w:jc w:val="right"/>
              <w:rPr>
                <w:sz w:val="14"/>
              </w:rPr>
            </w:pPr>
            <w:r>
              <w:rPr>
                <w:sz w:val="14"/>
              </w:rPr>
              <w:t>1,584 .5</w:t>
            </w:r>
          </w:p>
        </w:tc>
        <w:tc>
          <w:tcPr>
            <w:tcW w:w="1313" w:type="dxa"/>
          </w:tcPr>
          <w:p>
            <w:pPr>
              <w:pStyle w:val="TableParagraph"/>
              <w:spacing w:before="1"/>
              <w:ind w:left="430"/>
              <w:rPr>
                <w:sz w:val="14"/>
              </w:rPr>
            </w:pPr>
            <w:r>
              <w:rPr>
                <w:sz w:val="14"/>
              </w:rPr>
              <w:t>0 . 1 %</w:t>
            </w:r>
          </w:p>
        </w:tc>
        <w:tc>
          <w:tcPr>
            <w:tcW w:w="1270" w:type="dxa"/>
          </w:tcPr>
          <w:p>
            <w:pPr>
              <w:pStyle w:val="TableParagraph"/>
              <w:spacing w:before="1"/>
              <w:ind w:right="431"/>
              <w:jc w:val="right"/>
              <w:rPr>
                <w:sz w:val="14"/>
              </w:rPr>
            </w:pPr>
            <w:r>
              <w:rPr>
                <w:sz w:val="14"/>
              </w:rPr>
              <w:t>1,679 .4</w:t>
            </w:r>
          </w:p>
        </w:tc>
        <w:tc>
          <w:tcPr>
            <w:tcW w:w="1250" w:type="dxa"/>
          </w:tcPr>
          <w:p>
            <w:pPr>
              <w:pStyle w:val="TableParagraph"/>
              <w:spacing w:before="1"/>
              <w:ind w:left="454"/>
              <w:rPr>
                <w:sz w:val="14"/>
              </w:rPr>
            </w:pPr>
            <w:r>
              <w:rPr>
                <w:sz w:val="14"/>
              </w:rPr>
              <w:t>0 . 1 %</w:t>
            </w:r>
          </w:p>
        </w:tc>
      </w:tr>
      <w:tr>
        <w:trPr>
          <w:trHeight w:val="336" w:hRule="atLeast"/>
        </w:trPr>
        <w:tc>
          <w:tcPr>
            <w:tcW w:w="474" w:type="dxa"/>
          </w:tcPr>
          <w:p>
            <w:pPr>
              <w:pStyle w:val="TableParagraph"/>
              <w:spacing w:before="85"/>
              <w:ind w:right="95"/>
              <w:jc w:val="right"/>
              <w:rPr>
                <w:sz w:val="14"/>
              </w:rPr>
            </w:pPr>
            <w:r>
              <w:rPr>
                <w:w w:val="95"/>
                <w:sz w:val="14"/>
              </w:rPr>
              <w:t>108</w:t>
            </w:r>
          </w:p>
        </w:tc>
        <w:tc>
          <w:tcPr>
            <w:tcW w:w="5848" w:type="dxa"/>
          </w:tcPr>
          <w:p>
            <w:pPr>
              <w:pStyle w:val="TableParagraph"/>
              <w:spacing w:before="85"/>
              <w:ind w:left="92"/>
              <w:rPr>
                <w:sz w:val="14"/>
              </w:rPr>
            </w:pPr>
            <w:r>
              <w:rPr>
                <w:sz w:val="14"/>
              </w:rPr>
              <w:t>Sierra Leone Small Arms Commission</w:t>
            </w:r>
          </w:p>
        </w:tc>
        <w:tc>
          <w:tcPr>
            <w:tcW w:w="1582" w:type="dxa"/>
          </w:tcPr>
          <w:p>
            <w:pPr>
              <w:pStyle w:val="TableParagraph"/>
              <w:spacing w:before="85"/>
              <w:ind w:right="531"/>
              <w:jc w:val="right"/>
              <w:rPr>
                <w:b/>
                <w:sz w:val="14"/>
              </w:rPr>
            </w:pPr>
            <w:r>
              <w:rPr>
                <w:b/>
                <w:sz w:val="14"/>
              </w:rPr>
              <w:t>1,240.7</w:t>
            </w:r>
          </w:p>
        </w:tc>
        <w:tc>
          <w:tcPr>
            <w:tcW w:w="1458" w:type="dxa"/>
          </w:tcPr>
          <w:p>
            <w:pPr>
              <w:pStyle w:val="TableParagraph"/>
              <w:spacing w:before="85"/>
              <w:ind w:left="491"/>
              <w:rPr>
                <w:sz w:val="14"/>
              </w:rPr>
            </w:pPr>
            <w:r>
              <w:rPr>
                <w:sz w:val="14"/>
              </w:rPr>
              <w:t>0 . 1 %</w:t>
            </w:r>
          </w:p>
        </w:tc>
        <w:tc>
          <w:tcPr>
            <w:tcW w:w="1608" w:type="dxa"/>
          </w:tcPr>
          <w:p>
            <w:pPr>
              <w:pStyle w:val="TableParagraph"/>
              <w:spacing w:before="85"/>
              <w:ind w:right="627"/>
              <w:jc w:val="right"/>
              <w:rPr>
                <w:sz w:val="14"/>
              </w:rPr>
            </w:pPr>
            <w:r>
              <w:rPr>
                <w:sz w:val="14"/>
              </w:rPr>
              <w:t>1,243 .0</w:t>
            </w:r>
          </w:p>
        </w:tc>
        <w:tc>
          <w:tcPr>
            <w:tcW w:w="1313" w:type="dxa"/>
          </w:tcPr>
          <w:p>
            <w:pPr>
              <w:pStyle w:val="TableParagraph"/>
              <w:spacing w:before="85"/>
              <w:ind w:left="430"/>
              <w:rPr>
                <w:sz w:val="14"/>
              </w:rPr>
            </w:pPr>
            <w:r>
              <w:rPr>
                <w:sz w:val="14"/>
              </w:rPr>
              <w:t>0 . 1 %</w:t>
            </w:r>
          </w:p>
        </w:tc>
        <w:tc>
          <w:tcPr>
            <w:tcW w:w="1270" w:type="dxa"/>
          </w:tcPr>
          <w:p>
            <w:pPr>
              <w:pStyle w:val="TableParagraph"/>
              <w:spacing w:before="85"/>
              <w:ind w:right="431"/>
              <w:jc w:val="right"/>
              <w:rPr>
                <w:sz w:val="14"/>
              </w:rPr>
            </w:pPr>
            <w:r>
              <w:rPr>
                <w:sz w:val="14"/>
              </w:rPr>
              <w:t>1,317 .4</w:t>
            </w:r>
          </w:p>
        </w:tc>
        <w:tc>
          <w:tcPr>
            <w:tcW w:w="1250" w:type="dxa"/>
          </w:tcPr>
          <w:p>
            <w:pPr>
              <w:pStyle w:val="TableParagraph"/>
              <w:spacing w:before="85"/>
              <w:ind w:left="454"/>
              <w:rPr>
                <w:sz w:val="14"/>
              </w:rPr>
            </w:pPr>
            <w:r>
              <w:rPr>
                <w:sz w:val="14"/>
              </w:rPr>
              <w:t>0 . 1 %</w:t>
            </w:r>
          </w:p>
        </w:tc>
      </w:tr>
      <w:tr>
        <w:trPr>
          <w:trHeight w:val="254" w:hRule="atLeast"/>
        </w:trPr>
        <w:tc>
          <w:tcPr>
            <w:tcW w:w="474" w:type="dxa"/>
          </w:tcPr>
          <w:p>
            <w:pPr>
              <w:pStyle w:val="TableParagraph"/>
              <w:spacing w:line="149" w:lineRule="exact" w:before="85"/>
              <w:ind w:right="95"/>
              <w:jc w:val="right"/>
              <w:rPr>
                <w:sz w:val="14"/>
              </w:rPr>
            </w:pPr>
            <w:r>
              <w:rPr>
                <w:w w:val="95"/>
                <w:sz w:val="14"/>
              </w:rPr>
              <w:t>110</w:t>
            </w:r>
          </w:p>
        </w:tc>
        <w:tc>
          <w:tcPr>
            <w:tcW w:w="5848" w:type="dxa"/>
          </w:tcPr>
          <w:p>
            <w:pPr>
              <w:pStyle w:val="TableParagraph"/>
              <w:spacing w:line="149" w:lineRule="exact" w:before="85"/>
              <w:ind w:left="92"/>
              <w:rPr>
                <w:sz w:val="14"/>
              </w:rPr>
            </w:pPr>
            <w:r>
              <w:rPr>
                <w:sz w:val="14"/>
              </w:rPr>
              <w:t>Office of the President</w:t>
            </w:r>
          </w:p>
        </w:tc>
        <w:tc>
          <w:tcPr>
            <w:tcW w:w="1582" w:type="dxa"/>
          </w:tcPr>
          <w:p>
            <w:pPr>
              <w:pStyle w:val="TableParagraph"/>
              <w:spacing w:line="149" w:lineRule="exact" w:before="85"/>
              <w:ind w:right="531"/>
              <w:jc w:val="right"/>
              <w:rPr>
                <w:b/>
                <w:sz w:val="14"/>
              </w:rPr>
            </w:pPr>
            <w:r>
              <w:rPr>
                <w:b/>
                <w:sz w:val="14"/>
              </w:rPr>
              <w:t>54,055.8</w:t>
            </w:r>
          </w:p>
        </w:tc>
        <w:tc>
          <w:tcPr>
            <w:tcW w:w="1458" w:type="dxa"/>
          </w:tcPr>
          <w:p>
            <w:pPr>
              <w:pStyle w:val="TableParagraph"/>
              <w:spacing w:line="149" w:lineRule="exact" w:before="85"/>
              <w:ind w:left="491"/>
              <w:rPr>
                <w:sz w:val="14"/>
              </w:rPr>
            </w:pPr>
            <w:r>
              <w:rPr>
                <w:sz w:val="14"/>
              </w:rPr>
              <w:t>2 . 6 %</w:t>
            </w:r>
          </w:p>
        </w:tc>
        <w:tc>
          <w:tcPr>
            <w:tcW w:w="1608" w:type="dxa"/>
          </w:tcPr>
          <w:p>
            <w:pPr>
              <w:pStyle w:val="TableParagraph"/>
              <w:spacing w:line="149" w:lineRule="exact" w:before="85"/>
              <w:ind w:right="629"/>
              <w:jc w:val="right"/>
              <w:rPr>
                <w:sz w:val="14"/>
              </w:rPr>
            </w:pPr>
            <w:r>
              <w:rPr>
                <w:sz w:val="14"/>
              </w:rPr>
              <w:t>58,925.1</w:t>
            </w:r>
          </w:p>
        </w:tc>
        <w:tc>
          <w:tcPr>
            <w:tcW w:w="1313" w:type="dxa"/>
          </w:tcPr>
          <w:p>
            <w:pPr>
              <w:pStyle w:val="TableParagraph"/>
              <w:spacing w:line="149" w:lineRule="exact" w:before="85"/>
              <w:ind w:left="430"/>
              <w:rPr>
                <w:sz w:val="14"/>
              </w:rPr>
            </w:pPr>
            <w:r>
              <w:rPr>
                <w:sz w:val="14"/>
              </w:rPr>
              <w:t>2 . 8 %</w:t>
            </w:r>
          </w:p>
        </w:tc>
        <w:tc>
          <w:tcPr>
            <w:tcW w:w="1270" w:type="dxa"/>
          </w:tcPr>
          <w:p>
            <w:pPr>
              <w:pStyle w:val="TableParagraph"/>
              <w:spacing w:line="149" w:lineRule="exact" w:before="85"/>
              <w:ind w:right="432"/>
              <w:jc w:val="right"/>
              <w:rPr>
                <w:sz w:val="14"/>
              </w:rPr>
            </w:pPr>
            <w:r>
              <w:rPr>
                <w:sz w:val="14"/>
              </w:rPr>
              <w:t>62,454.7</w:t>
            </w:r>
          </w:p>
        </w:tc>
        <w:tc>
          <w:tcPr>
            <w:tcW w:w="1250" w:type="dxa"/>
          </w:tcPr>
          <w:p>
            <w:pPr>
              <w:pStyle w:val="TableParagraph"/>
              <w:spacing w:line="149" w:lineRule="exact" w:before="85"/>
              <w:ind w:left="454"/>
              <w:rPr>
                <w:sz w:val="14"/>
              </w:rPr>
            </w:pPr>
            <w:r>
              <w:rPr>
                <w:sz w:val="14"/>
              </w:rPr>
              <w:t>3 . 0 %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7" w:lineRule="exact" w:before="3"/>
              <w:ind w:left="428"/>
              <w:rPr>
                <w:sz w:val="14"/>
              </w:rPr>
            </w:pPr>
            <w:r>
              <w:rPr>
                <w:sz w:val="14"/>
              </w:rPr>
              <w:t>Office of the Secretary to the President</w:t>
            </w:r>
          </w:p>
        </w:tc>
        <w:tc>
          <w:tcPr>
            <w:tcW w:w="1582" w:type="dxa"/>
          </w:tcPr>
          <w:p>
            <w:pPr>
              <w:pStyle w:val="TableParagraph"/>
              <w:spacing w:line="147" w:lineRule="exact" w:before="3"/>
              <w:ind w:right="533"/>
              <w:jc w:val="right"/>
              <w:rPr>
                <w:b/>
                <w:sz w:val="14"/>
              </w:rPr>
            </w:pPr>
            <w:r>
              <w:rPr>
                <w:b/>
                <w:sz w:val="14"/>
              </w:rPr>
              <w:t>34,919.3</w:t>
            </w:r>
          </w:p>
        </w:tc>
        <w:tc>
          <w:tcPr>
            <w:tcW w:w="1458" w:type="dxa"/>
          </w:tcPr>
          <w:p>
            <w:pPr>
              <w:pStyle w:val="TableParagraph"/>
              <w:spacing w:line="147" w:lineRule="exact" w:before="3"/>
              <w:ind w:left="491"/>
              <w:rPr>
                <w:sz w:val="14"/>
              </w:rPr>
            </w:pPr>
            <w:r>
              <w:rPr>
                <w:sz w:val="14"/>
              </w:rPr>
              <w:t>1 . 7 %</w:t>
            </w:r>
          </w:p>
        </w:tc>
        <w:tc>
          <w:tcPr>
            <w:tcW w:w="1608" w:type="dxa"/>
          </w:tcPr>
          <w:p>
            <w:pPr>
              <w:pStyle w:val="TableParagraph"/>
              <w:spacing w:line="147" w:lineRule="exact" w:before="3"/>
              <w:ind w:right="631"/>
              <w:jc w:val="right"/>
              <w:rPr>
                <w:sz w:val="14"/>
              </w:rPr>
            </w:pPr>
            <w:r>
              <w:rPr>
                <w:sz w:val="14"/>
              </w:rPr>
              <w:t>41,551.1</w:t>
            </w:r>
          </w:p>
        </w:tc>
        <w:tc>
          <w:tcPr>
            <w:tcW w:w="1313" w:type="dxa"/>
          </w:tcPr>
          <w:p>
            <w:pPr>
              <w:pStyle w:val="TableParagraph"/>
              <w:spacing w:line="147" w:lineRule="exact" w:before="3"/>
              <w:ind w:left="430"/>
              <w:rPr>
                <w:sz w:val="14"/>
              </w:rPr>
            </w:pPr>
            <w:r>
              <w:rPr>
                <w:sz w:val="14"/>
              </w:rPr>
              <w:t>2 . 0 %</w:t>
            </w:r>
          </w:p>
        </w:tc>
        <w:tc>
          <w:tcPr>
            <w:tcW w:w="1270" w:type="dxa"/>
          </w:tcPr>
          <w:p>
            <w:pPr>
              <w:pStyle w:val="TableParagraph"/>
              <w:spacing w:line="147" w:lineRule="exact" w:before="3"/>
              <w:ind w:right="440"/>
              <w:jc w:val="right"/>
              <w:rPr>
                <w:sz w:val="14"/>
              </w:rPr>
            </w:pPr>
            <w:r>
              <w:rPr>
                <w:sz w:val="14"/>
              </w:rPr>
              <w:t>44,040.1</w:t>
            </w:r>
          </w:p>
        </w:tc>
        <w:tc>
          <w:tcPr>
            <w:tcW w:w="1250" w:type="dxa"/>
          </w:tcPr>
          <w:p>
            <w:pPr>
              <w:pStyle w:val="TableParagraph"/>
              <w:spacing w:line="147" w:lineRule="exact" w:before="3"/>
              <w:ind w:left="454"/>
              <w:rPr>
                <w:sz w:val="14"/>
              </w:rPr>
            </w:pPr>
            <w:r>
              <w:rPr>
                <w:sz w:val="14"/>
              </w:rPr>
              <w:t>2 . 1 %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9" w:lineRule="exact" w:before="1"/>
              <w:ind w:left="769"/>
              <w:rPr>
                <w:sz w:val="14"/>
              </w:rPr>
            </w:pPr>
            <w:r>
              <w:rPr>
                <w:sz w:val="14"/>
              </w:rPr>
              <w:t>o/ w: Commission of Enquiry</w:t>
            </w:r>
          </w:p>
        </w:tc>
        <w:tc>
          <w:tcPr>
            <w:tcW w:w="1582" w:type="dxa"/>
          </w:tcPr>
          <w:p>
            <w:pPr>
              <w:pStyle w:val="TableParagraph"/>
              <w:spacing w:line="149" w:lineRule="exact" w:before="1"/>
              <w:ind w:right="514"/>
              <w:jc w:val="right"/>
              <w:rPr>
                <w:b/>
                <w:sz w:val="14"/>
              </w:rPr>
            </w:pPr>
            <w:r>
              <w:rPr>
                <w:b/>
                <w:sz w:val="14"/>
              </w:rPr>
              <w:t>201.3</w:t>
            </w:r>
          </w:p>
        </w:tc>
        <w:tc>
          <w:tcPr>
            <w:tcW w:w="1458" w:type="dxa"/>
          </w:tcPr>
          <w:p>
            <w:pPr>
              <w:pStyle w:val="TableParagraph"/>
              <w:spacing w:line="149" w:lineRule="exact" w:before="1"/>
              <w:ind w:left="491"/>
              <w:rPr>
                <w:sz w:val="14"/>
              </w:rPr>
            </w:pPr>
            <w:r>
              <w:rPr>
                <w:sz w:val="14"/>
              </w:rPr>
              <w:t>0 . 0 %</w:t>
            </w:r>
          </w:p>
        </w:tc>
        <w:tc>
          <w:tcPr>
            <w:tcW w:w="1608" w:type="dxa"/>
          </w:tcPr>
          <w:p>
            <w:pPr>
              <w:pStyle w:val="TableParagraph"/>
              <w:spacing w:line="149" w:lineRule="exact" w:before="1"/>
              <w:ind w:right="620"/>
              <w:jc w:val="right"/>
              <w:rPr>
                <w:sz w:val="14"/>
              </w:rPr>
            </w:pPr>
            <w:r>
              <w:rPr>
                <w:sz w:val="14"/>
              </w:rPr>
              <w:t>247.9</w:t>
            </w:r>
          </w:p>
        </w:tc>
        <w:tc>
          <w:tcPr>
            <w:tcW w:w="1313" w:type="dxa"/>
          </w:tcPr>
          <w:p>
            <w:pPr>
              <w:pStyle w:val="TableParagraph"/>
              <w:spacing w:line="149" w:lineRule="exact" w:before="1"/>
              <w:ind w:left="430"/>
              <w:rPr>
                <w:sz w:val="14"/>
              </w:rPr>
            </w:pPr>
            <w:r>
              <w:rPr>
                <w:sz w:val="14"/>
              </w:rPr>
              <w:t>0 . 0 %</w:t>
            </w:r>
          </w:p>
        </w:tc>
        <w:tc>
          <w:tcPr>
            <w:tcW w:w="1270" w:type="dxa"/>
          </w:tcPr>
          <w:p>
            <w:pPr>
              <w:pStyle w:val="TableParagraph"/>
              <w:spacing w:line="149" w:lineRule="exact" w:before="1"/>
              <w:ind w:right="428"/>
              <w:jc w:val="right"/>
              <w:rPr>
                <w:sz w:val="14"/>
              </w:rPr>
            </w:pPr>
            <w:r>
              <w:rPr>
                <w:sz w:val="14"/>
              </w:rPr>
              <w:t>262.8</w:t>
            </w:r>
          </w:p>
        </w:tc>
        <w:tc>
          <w:tcPr>
            <w:tcW w:w="1250" w:type="dxa"/>
          </w:tcPr>
          <w:p>
            <w:pPr>
              <w:pStyle w:val="TableParagraph"/>
              <w:spacing w:line="149" w:lineRule="exact" w:before="1"/>
              <w:ind w:left="454"/>
              <w:rPr>
                <w:sz w:val="14"/>
              </w:rPr>
            </w:pPr>
            <w:r>
              <w:rPr>
                <w:sz w:val="14"/>
              </w:rPr>
              <w:t>0 . 0 %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7" w:lineRule="exact" w:before="3"/>
              <w:ind w:left="1206"/>
              <w:rPr>
                <w:sz w:val="14"/>
              </w:rPr>
            </w:pPr>
            <w:r>
              <w:rPr>
                <w:sz w:val="14"/>
              </w:rPr>
              <w:t>Economic and Financial Policy Advisory Unit</w:t>
            </w:r>
          </w:p>
        </w:tc>
        <w:tc>
          <w:tcPr>
            <w:tcW w:w="1582" w:type="dxa"/>
          </w:tcPr>
          <w:p>
            <w:pPr>
              <w:pStyle w:val="TableParagraph"/>
              <w:spacing w:line="147" w:lineRule="exact" w:before="3"/>
              <w:ind w:right="514"/>
              <w:jc w:val="right"/>
              <w:rPr>
                <w:b/>
                <w:sz w:val="14"/>
              </w:rPr>
            </w:pPr>
            <w:r>
              <w:rPr>
                <w:b/>
                <w:sz w:val="14"/>
              </w:rPr>
              <w:t>200.0</w:t>
            </w:r>
          </w:p>
        </w:tc>
        <w:tc>
          <w:tcPr>
            <w:tcW w:w="1458" w:type="dxa"/>
          </w:tcPr>
          <w:p>
            <w:pPr>
              <w:pStyle w:val="TableParagraph"/>
              <w:spacing w:line="147" w:lineRule="exact" w:before="3"/>
              <w:ind w:left="491"/>
              <w:rPr>
                <w:sz w:val="14"/>
              </w:rPr>
            </w:pPr>
            <w:r>
              <w:rPr>
                <w:sz w:val="14"/>
              </w:rPr>
              <w:t>0 . 0 %</w:t>
            </w:r>
          </w:p>
        </w:tc>
        <w:tc>
          <w:tcPr>
            <w:tcW w:w="1608" w:type="dxa"/>
          </w:tcPr>
          <w:p>
            <w:pPr>
              <w:pStyle w:val="TableParagraph"/>
              <w:spacing w:line="147" w:lineRule="exact" w:before="3"/>
              <w:ind w:right="620"/>
              <w:jc w:val="right"/>
              <w:rPr>
                <w:sz w:val="14"/>
              </w:rPr>
            </w:pPr>
            <w:r>
              <w:rPr>
                <w:sz w:val="14"/>
              </w:rPr>
              <w:t>192.3</w:t>
            </w:r>
          </w:p>
        </w:tc>
        <w:tc>
          <w:tcPr>
            <w:tcW w:w="1313" w:type="dxa"/>
          </w:tcPr>
          <w:p>
            <w:pPr>
              <w:pStyle w:val="TableParagraph"/>
              <w:spacing w:line="147" w:lineRule="exact" w:before="3"/>
              <w:ind w:left="430"/>
              <w:rPr>
                <w:sz w:val="14"/>
              </w:rPr>
            </w:pPr>
            <w:r>
              <w:rPr>
                <w:sz w:val="14"/>
              </w:rPr>
              <w:t>0 . 0 %</w:t>
            </w:r>
          </w:p>
        </w:tc>
        <w:tc>
          <w:tcPr>
            <w:tcW w:w="1270" w:type="dxa"/>
          </w:tcPr>
          <w:p>
            <w:pPr>
              <w:pStyle w:val="TableParagraph"/>
              <w:spacing w:line="147" w:lineRule="exact" w:before="3"/>
              <w:ind w:right="428"/>
              <w:jc w:val="right"/>
              <w:rPr>
                <w:sz w:val="14"/>
              </w:rPr>
            </w:pPr>
            <w:r>
              <w:rPr>
                <w:sz w:val="14"/>
              </w:rPr>
              <w:t>203.8</w:t>
            </w:r>
          </w:p>
        </w:tc>
        <w:tc>
          <w:tcPr>
            <w:tcW w:w="1250" w:type="dxa"/>
          </w:tcPr>
          <w:p>
            <w:pPr>
              <w:pStyle w:val="TableParagraph"/>
              <w:spacing w:line="147" w:lineRule="exact" w:before="3"/>
              <w:ind w:left="454"/>
              <w:rPr>
                <w:sz w:val="14"/>
              </w:rPr>
            </w:pPr>
            <w:r>
              <w:rPr>
                <w:sz w:val="14"/>
              </w:rPr>
              <w:t>0 . 0 %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9" w:lineRule="exact" w:before="1"/>
              <w:ind w:left="1157"/>
              <w:rPr>
                <w:sz w:val="14"/>
              </w:rPr>
            </w:pPr>
            <w:r>
              <w:rPr>
                <w:sz w:val="14"/>
              </w:rPr>
              <w:t>Culture and Heritage Advisor</w:t>
            </w:r>
          </w:p>
        </w:tc>
        <w:tc>
          <w:tcPr>
            <w:tcW w:w="1582" w:type="dxa"/>
          </w:tcPr>
          <w:p>
            <w:pPr>
              <w:pStyle w:val="TableParagraph"/>
              <w:spacing w:line="149" w:lineRule="exact" w:before="1"/>
              <w:ind w:right="514"/>
              <w:jc w:val="right"/>
              <w:rPr>
                <w:b/>
                <w:sz w:val="14"/>
              </w:rPr>
            </w:pPr>
            <w:r>
              <w:rPr>
                <w:b/>
                <w:sz w:val="14"/>
              </w:rPr>
              <w:t>150.0</w:t>
            </w:r>
          </w:p>
        </w:tc>
        <w:tc>
          <w:tcPr>
            <w:tcW w:w="1458" w:type="dxa"/>
          </w:tcPr>
          <w:p>
            <w:pPr>
              <w:pStyle w:val="TableParagraph"/>
              <w:spacing w:line="149" w:lineRule="exact" w:before="1"/>
              <w:ind w:left="491"/>
              <w:rPr>
                <w:sz w:val="14"/>
              </w:rPr>
            </w:pPr>
            <w:r>
              <w:rPr>
                <w:sz w:val="14"/>
              </w:rPr>
              <w:t>0 . 0 %</w:t>
            </w:r>
          </w:p>
        </w:tc>
        <w:tc>
          <w:tcPr>
            <w:tcW w:w="1608" w:type="dxa"/>
          </w:tcPr>
          <w:p>
            <w:pPr>
              <w:pStyle w:val="TableParagraph"/>
              <w:spacing w:line="149" w:lineRule="exact" w:before="1"/>
              <w:ind w:right="620"/>
              <w:jc w:val="right"/>
              <w:rPr>
                <w:sz w:val="14"/>
              </w:rPr>
            </w:pPr>
            <w:r>
              <w:rPr>
                <w:sz w:val="14"/>
              </w:rPr>
              <w:t>144.2</w:t>
            </w:r>
          </w:p>
        </w:tc>
        <w:tc>
          <w:tcPr>
            <w:tcW w:w="1313" w:type="dxa"/>
          </w:tcPr>
          <w:p>
            <w:pPr>
              <w:pStyle w:val="TableParagraph"/>
              <w:spacing w:line="149" w:lineRule="exact" w:before="1"/>
              <w:ind w:left="430"/>
              <w:rPr>
                <w:sz w:val="14"/>
              </w:rPr>
            </w:pPr>
            <w:r>
              <w:rPr>
                <w:sz w:val="14"/>
              </w:rPr>
              <w:t>0 . 0 %</w:t>
            </w:r>
          </w:p>
        </w:tc>
        <w:tc>
          <w:tcPr>
            <w:tcW w:w="1270" w:type="dxa"/>
          </w:tcPr>
          <w:p>
            <w:pPr>
              <w:pStyle w:val="TableParagraph"/>
              <w:spacing w:line="149" w:lineRule="exact" w:before="1"/>
              <w:ind w:right="428"/>
              <w:jc w:val="right"/>
              <w:rPr>
                <w:sz w:val="14"/>
              </w:rPr>
            </w:pPr>
            <w:r>
              <w:rPr>
                <w:sz w:val="14"/>
              </w:rPr>
              <w:t>152.9</w:t>
            </w:r>
          </w:p>
        </w:tc>
        <w:tc>
          <w:tcPr>
            <w:tcW w:w="1250" w:type="dxa"/>
          </w:tcPr>
          <w:p>
            <w:pPr>
              <w:pStyle w:val="TableParagraph"/>
              <w:spacing w:line="149" w:lineRule="exact" w:before="1"/>
              <w:ind w:left="454"/>
              <w:rPr>
                <w:sz w:val="14"/>
              </w:rPr>
            </w:pPr>
            <w:r>
              <w:rPr>
                <w:sz w:val="14"/>
              </w:rPr>
              <w:t>0 . 0 %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7" w:lineRule="exact" w:before="3"/>
              <w:ind w:left="1137"/>
              <w:rPr>
                <w:sz w:val="14"/>
              </w:rPr>
            </w:pPr>
            <w:r>
              <w:rPr>
                <w:sz w:val="14"/>
              </w:rPr>
              <w:t>Security Advisor</w:t>
            </w:r>
          </w:p>
        </w:tc>
        <w:tc>
          <w:tcPr>
            <w:tcW w:w="1582" w:type="dxa"/>
          </w:tcPr>
          <w:p>
            <w:pPr>
              <w:pStyle w:val="TableParagraph"/>
              <w:spacing w:line="147" w:lineRule="exact" w:before="3"/>
              <w:ind w:right="514"/>
              <w:jc w:val="right"/>
              <w:rPr>
                <w:b/>
                <w:sz w:val="14"/>
              </w:rPr>
            </w:pPr>
            <w:r>
              <w:rPr>
                <w:b/>
                <w:sz w:val="14"/>
              </w:rPr>
              <w:t>150.0</w:t>
            </w:r>
          </w:p>
        </w:tc>
        <w:tc>
          <w:tcPr>
            <w:tcW w:w="1458" w:type="dxa"/>
          </w:tcPr>
          <w:p>
            <w:pPr>
              <w:pStyle w:val="TableParagraph"/>
              <w:spacing w:line="147" w:lineRule="exact" w:before="3"/>
              <w:ind w:left="491"/>
              <w:rPr>
                <w:sz w:val="14"/>
              </w:rPr>
            </w:pPr>
            <w:r>
              <w:rPr>
                <w:sz w:val="14"/>
              </w:rPr>
              <w:t>0 . 0 %</w:t>
            </w:r>
          </w:p>
        </w:tc>
        <w:tc>
          <w:tcPr>
            <w:tcW w:w="1608" w:type="dxa"/>
          </w:tcPr>
          <w:p>
            <w:pPr>
              <w:pStyle w:val="TableParagraph"/>
              <w:spacing w:line="147" w:lineRule="exact" w:before="3"/>
              <w:ind w:right="620"/>
              <w:jc w:val="right"/>
              <w:rPr>
                <w:sz w:val="14"/>
              </w:rPr>
            </w:pPr>
            <w:r>
              <w:rPr>
                <w:sz w:val="14"/>
              </w:rPr>
              <w:t>144.2</w:t>
            </w:r>
          </w:p>
        </w:tc>
        <w:tc>
          <w:tcPr>
            <w:tcW w:w="1313" w:type="dxa"/>
          </w:tcPr>
          <w:p>
            <w:pPr>
              <w:pStyle w:val="TableParagraph"/>
              <w:spacing w:line="147" w:lineRule="exact" w:before="3"/>
              <w:ind w:left="430"/>
              <w:rPr>
                <w:sz w:val="14"/>
              </w:rPr>
            </w:pPr>
            <w:r>
              <w:rPr>
                <w:sz w:val="14"/>
              </w:rPr>
              <w:t>0 . 0 %</w:t>
            </w:r>
          </w:p>
        </w:tc>
        <w:tc>
          <w:tcPr>
            <w:tcW w:w="1270" w:type="dxa"/>
          </w:tcPr>
          <w:p>
            <w:pPr>
              <w:pStyle w:val="TableParagraph"/>
              <w:spacing w:line="147" w:lineRule="exact" w:before="3"/>
              <w:ind w:right="428"/>
              <w:jc w:val="right"/>
              <w:rPr>
                <w:sz w:val="14"/>
              </w:rPr>
            </w:pPr>
            <w:r>
              <w:rPr>
                <w:sz w:val="14"/>
              </w:rPr>
              <w:t>152.9</w:t>
            </w:r>
          </w:p>
        </w:tc>
        <w:tc>
          <w:tcPr>
            <w:tcW w:w="1250" w:type="dxa"/>
          </w:tcPr>
          <w:p>
            <w:pPr>
              <w:pStyle w:val="TableParagraph"/>
              <w:spacing w:line="147" w:lineRule="exact" w:before="3"/>
              <w:ind w:left="454"/>
              <w:rPr>
                <w:sz w:val="14"/>
              </w:rPr>
            </w:pPr>
            <w:r>
              <w:rPr>
                <w:sz w:val="14"/>
              </w:rPr>
              <w:t>0 . 0 %</w:t>
            </w:r>
          </w:p>
        </w:tc>
      </w:tr>
      <w:tr>
        <w:trPr>
          <w:trHeight w:val="168" w:hRule="atLeast"/>
        </w:trPr>
        <w:tc>
          <w:tcPr>
            <w:tcW w:w="474" w:type="dxa"/>
          </w:tcPr>
          <w:p>
            <w:pPr>
              <w:pStyle w:val="TableParagraph"/>
              <w:rPr>
                <w:rFonts w:ascii="Times New Roman"/>
                <w:sz w:val="10"/>
              </w:rPr>
            </w:pPr>
          </w:p>
        </w:tc>
        <w:tc>
          <w:tcPr>
            <w:tcW w:w="5848" w:type="dxa"/>
          </w:tcPr>
          <w:p>
            <w:pPr>
              <w:pStyle w:val="TableParagraph"/>
              <w:spacing w:line="147" w:lineRule="exact" w:before="1"/>
              <w:ind w:left="428"/>
              <w:rPr>
                <w:sz w:val="14"/>
              </w:rPr>
            </w:pPr>
            <w:r>
              <w:rPr>
                <w:sz w:val="14"/>
              </w:rPr>
              <w:t>National Assets and Government Property Commission</w:t>
            </w:r>
          </w:p>
        </w:tc>
        <w:tc>
          <w:tcPr>
            <w:tcW w:w="1582" w:type="dxa"/>
          </w:tcPr>
          <w:p>
            <w:pPr>
              <w:pStyle w:val="TableParagraph"/>
              <w:spacing w:line="147" w:lineRule="exact" w:before="1"/>
              <w:ind w:right="531"/>
              <w:jc w:val="right"/>
              <w:rPr>
                <w:b/>
                <w:sz w:val="14"/>
              </w:rPr>
            </w:pPr>
            <w:r>
              <w:rPr>
                <w:b/>
                <w:sz w:val="14"/>
              </w:rPr>
              <w:t>1,291.0</w:t>
            </w:r>
          </w:p>
        </w:tc>
        <w:tc>
          <w:tcPr>
            <w:tcW w:w="1458" w:type="dxa"/>
          </w:tcPr>
          <w:p>
            <w:pPr>
              <w:pStyle w:val="TableParagraph"/>
              <w:spacing w:line="147" w:lineRule="exact" w:before="1"/>
              <w:ind w:left="491"/>
              <w:rPr>
                <w:sz w:val="14"/>
              </w:rPr>
            </w:pPr>
            <w:r>
              <w:rPr>
                <w:sz w:val="14"/>
              </w:rPr>
              <w:t>0 . 1 %</w:t>
            </w:r>
          </w:p>
        </w:tc>
        <w:tc>
          <w:tcPr>
            <w:tcW w:w="1608" w:type="dxa"/>
          </w:tcPr>
          <w:p>
            <w:pPr>
              <w:pStyle w:val="TableParagraph"/>
              <w:spacing w:line="147" w:lineRule="exact" w:before="1"/>
              <w:ind w:right="627"/>
              <w:jc w:val="right"/>
              <w:rPr>
                <w:sz w:val="14"/>
              </w:rPr>
            </w:pPr>
            <w:r>
              <w:rPr>
                <w:sz w:val="14"/>
              </w:rPr>
              <w:t>1,289 .8</w:t>
            </w:r>
          </w:p>
        </w:tc>
        <w:tc>
          <w:tcPr>
            <w:tcW w:w="1313" w:type="dxa"/>
          </w:tcPr>
          <w:p>
            <w:pPr>
              <w:pStyle w:val="TableParagraph"/>
              <w:spacing w:line="147" w:lineRule="exact" w:before="1"/>
              <w:ind w:left="430"/>
              <w:rPr>
                <w:sz w:val="14"/>
              </w:rPr>
            </w:pPr>
            <w:r>
              <w:rPr>
                <w:sz w:val="14"/>
              </w:rPr>
              <w:t>0 . 1 %</w:t>
            </w:r>
          </w:p>
        </w:tc>
        <w:tc>
          <w:tcPr>
            <w:tcW w:w="1270" w:type="dxa"/>
          </w:tcPr>
          <w:p>
            <w:pPr>
              <w:pStyle w:val="TableParagraph"/>
              <w:spacing w:line="147" w:lineRule="exact" w:before="1"/>
              <w:ind w:right="431"/>
              <w:jc w:val="right"/>
              <w:rPr>
                <w:sz w:val="14"/>
              </w:rPr>
            </w:pPr>
            <w:r>
              <w:rPr>
                <w:sz w:val="14"/>
              </w:rPr>
              <w:t>1,367 .1</w:t>
            </w:r>
          </w:p>
        </w:tc>
        <w:tc>
          <w:tcPr>
            <w:tcW w:w="1250" w:type="dxa"/>
          </w:tcPr>
          <w:p>
            <w:pPr>
              <w:pStyle w:val="TableParagraph"/>
              <w:spacing w:line="147" w:lineRule="exact" w:before="1"/>
              <w:ind w:left="454"/>
              <w:rPr>
                <w:sz w:val="14"/>
              </w:rPr>
            </w:pPr>
            <w:r>
              <w:rPr>
                <w:sz w:val="14"/>
              </w:rPr>
              <w:t>0 . 1 %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9" w:lineRule="exact" w:before="1"/>
              <w:ind w:left="428"/>
              <w:rPr>
                <w:sz w:val="14"/>
              </w:rPr>
            </w:pPr>
            <w:r>
              <w:rPr>
                <w:sz w:val="14"/>
              </w:rPr>
              <w:t>Public Sector Reform Unit (PSRU)</w:t>
            </w:r>
          </w:p>
        </w:tc>
        <w:tc>
          <w:tcPr>
            <w:tcW w:w="1582" w:type="dxa"/>
          </w:tcPr>
          <w:p>
            <w:pPr>
              <w:pStyle w:val="TableParagraph"/>
              <w:spacing w:line="149" w:lineRule="exact" w:before="1"/>
              <w:ind w:right="531"/>
              <w:jc w:val="right"/>
              <w:rPr>
                <w:b/>
                <w:sz w:val="14"/>
              </w:rPr>
            </w:pPr>
            <w:r>
              <w:rPr>
                <w:b/>
                <w:sz w:val="14"/>
              </w:rPr>
              <w:t>1,221.8</w:t>
            </w:r>
          </w:p>
        </w:tc>
        <w:tc>
          <w:tcPr>
            <w:tcW w:w="1458" w:type="dxa"/>
          </w:tcPr>
          <w:p>
            <w:pPr>
              <w:pStyle w:val="TableParagraph"/>
              <w:spacing w:line="149" w:lineRule="exact" w:before="1"/>
              <w:ind w:left="491"/>
              <w:rPr>
                <w:sz w:val="14"/>
              </w:rPr>
            </w:pPr>
            <w:r>
              <w:rPr>
                <w:sz w:val="14"/>
              </w:rPr>
              <w:t>0 . 1 %</w:t>
            </w:r>
          </w:p>
        </w:tc>
        <w:tc>
          <w:tcPr>
            <w:tcW w:w="1608" w:type="dxa"/>
          </w:tcPr>
          <w:p>
            <w:pPr>
              <w:pStyle w:val="TableParagraph"/>
              <w:spacing w:line="149" w:lineRule="exact" w:before="1"/>
              <w:ind w:right="627"/>
              <w:jc w:val="right"/>
              <w:rPr>
                <w:sz w:val="14"/>
              </w:rPr>
            </w:pPr>
            <w:r>
              <w:rPr>
                <w:sz w:val="14"/>
              </w:rPr>
              <w:t>1,204 .6</w:t>
            </w:r>
          </w:p>
        </w:tc>
        <w:tc>
          <w:tcPr>
            <w:tcW w:w="1313" w:type="dxa"/>
          </w:tcPr>
          <w:p>
            <w:pPr>
              <w:pStyle w:val="TableParagraph"/>
              <w:spacing w:line="149" w:lineRule="exact" w:before="1"/>
              <w:ind w:left="430"/>
              <w:rPr>
                <w:sz w:val="14"/>
              </w:rPr>
            </w:pPr>
            <w:r>
              <w:rPr>
                <w:sz w:val="14"/>
              </w:rPr>
              <w:t>0 . 1 %</w:t>
            </w:r>
          </w:p>
        </w:tc>
        <w:tc>
          <w:tcPr>
            <w:tcW w:w="1270" w:type="dxa"/>
          </w:tcPr>
          <w:p>
            <w:pPr>
              <w:pStyle w:val="TableParagraph"/>
              <w:spacing w:line="149" w:lineRule="exact" w:before="1"/>
              <w:ind w:right="431"/>
              <w:jc w:val="right"/>
              <w:rPr>
                <w:sz w:val="14"/>
              </w:rPr>
            </w:pPr>
            <w:r>
              <w:rPr>
                <w:sz w:val="14"/>
              </w:rPr>
              <w:t>1,276 .8</w:t>
            </w:r>
          </w:p>
        </w:tc>
        <w:tc>
          <w:tcPr>
            <w:tcW w:w="1250" w:type="dxa"/>
          </w:tcPr>
          <w:p>
            <w:pPr>
              <w:pStyle w:val="TableParagraph"/>
              <w:spacing w:line="149" w:lineRule="exact" w:before="1"/>
              <w:ind w:left="454"/>
              <w:rPr>
                <w:sz w:val="14"/>
              </w:rPr>
            </w:pPr>
            <w:r>
              <w:rPr>
                <w:sz w:val="14"/>
              </w:rPr>
              <w:t>0 . 1 %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7" w:lineRule="exact" w:before="3"/>
              <w:ind w:left="428"/>
              <w:rPr>
                <w:sz w:val="14"/>
              </w:rPr>
            </w:pPr>
            <w:r>
              <w:rPr>
                <w:sz w:val="14"/>
              </w:rPr>
              <w:t>Anti-Corruption Commission (ACC)</w:t>
            </w:r>
          </w:p>
        </w:tc>
        <w:tc>
          <w:tcPr>
            <w:tcW w:w="1582" w:type="dxa"/>
          </w:tcPr>
          <w:p>
            <w:pPr>
              <w:pStyle w:val="TableParagraph"/>
              <w:spacing w:line="147" w:lineRule="exact" w:before="3"/>
              <w:ind w:right="531"/>
              <w:jc w:val="right"/>
              <w:rPr>
                <w:b/>
                <w:sz w:val="14"/>
              </w:rPr>
            </w:pPr>
            <w:r>
              <w:rPr>
                <w:b/>
                <w:sz w:val="14"/>
              </w:rPr>
              <w:t>8,037.2</w:t>
            </w:r>
          </w:p>
        </w:tc>
        <w:tc>
          <w:tcPr>
            <w:tcW w:w="1458" w:type="dxa"/>
          </w:tcPr>
          <w:p>
            <w:pPr>
              <w:pStyle w:val="TableParagraph"/>
              <w:spacing w:line="147" w:lineRule="exact" w:before="3"/>
              <w:ind w:left="491"/>
              <w:rPr>
                <w:sz w:val="14"/>
              </w:rPr>
            </w:pPr>
            <w:r>
              <w:rPr>
                <w:sz w:val="14"/>
              </w:rPr>
              <w:t>0 . 4 %</w:t>
            </w:r>
          </w:p>
        </w:tc>
        <w:tc>
          <w:tcPr>
            <w:tcW w:w="1608" w:type="dxa"/>
          </w:tcPr>
          <w:p>
            <w:pPr>
              <w:pStyle w:val="TableParagraph"/>
              <w:spacing w:line="147" w:lineRule="exact" w:before="3"/>
              <w:ind w:right="627"/>
              <w:jc w:val="right"/>
              <w:rPr>
                <w:sz w:val="14"/>
              </w:rPr>
            </w:pPr>
            <w:r>
              <w:rPr>
                <w:sz w:val="14"/>
              </w:rPr>
              <w:t>7,728 .6</w:t>
            </w:r>
          </w:p>
        </w:tc>
        <w:tc>
          <w:tcPr>
            <w:tcW w:w="1313" w:type="dxa"/>
          </w:tcPr>
          <w:p>
            <w:pPr>
              <w:pStyle w:val="TableParagraph"/>
              <w:spacing w:line="147" w:lineRule="exact" w:before="3"/>
              <w:ind w:left="430"/>
              <w:rPr>
                <w:sz w:val="14"/>
              </w:rPr>
            </w:pPr>
            <w:r>
              <w:rPr>
                <w:sz w:val="14"/>
              </w:rPr>
              <w:t>0 . 4 %</w:t>
            </w:r>
          </w:p>
        </w:tc>
        <w:tc>
          <w:tcPr>
            <w:tcW w:w="1270" w:type="dxa"/>
          </w:tcPr>
          <w:p>
            <w:pPr>
              <w:pStyle w:val="TableParagraph"/>
              <w:spacing w:line="147" w:lineRule="exact" w:before="3"/>
              <w:ind w:right="431"/>
              <w:jc w:val="right"/>
              <w:rPr>
                <w:sz w:val="14"/>
              </w:rPr>
            </w:pPr>
            <w:r>
              <w:rPr>
                <w:sz w:val="14"/>
              </w:rPr>
              <w:t>8,191 .6</w:t>
            </w:r>
          </w:p>
        </w:tc>
        <w:tc>
          <w:tcPr>
            <w:tcW w:w="1250" w:type="dxa"/>
          </w:tcPr>
          <w:p>
            <w:pPr>
              <w:pStyle w:val="TableParagraph"/>
              <w:spacing w:line="147" w:lineRule="exact" w:before="3"/>
              <w:ind w:left="454"/>
              <w:rPr>
                <w:sz w:val="14"/>
              </w:rPr>
            </w:pPr>
            <w:r>
              <w:rPr>
                <w:sz w:val="14"/>
              </w:rPr>
              <w:t>0 . 4 %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9" w:lineRule="exact" w:before="1"/>
              <w:ind w:left="428"/>
              <w:rPr>
                <w:sz w:val="14"/>
              </w:rPr>
            </w:pPr>
            <w:r>
              <w:rPr>
                <w:sz w:val="14"/>
              </w:rPr>
              <w:t>Office of the Ombudsman</w:t>
            </w:r>
          </w:p>
        </w:tc>
        <w:tc>
          <w:tcPr>
            <w:tcW w:w="1582" w:type="dxa"/>
          </w:tcPr>
          <w:p>
            <w:pPr>
              <w:pStyle w:val="TableParagraph"/>
              <w:spacing w:line="149" w:lineRule="exact" w:before="1"/>
              <w:ind w:right="531"/>
              <w:jc w:val="right"/>
              <w:rPr>
                <w:b/>
                <w:sz w:val="14"/>
              </w:rPr>
            </w:pPr>
            <w:r>
              <w:rPr>
                <w:b/>
                <w:sz w:val="14"/>
              </w:rPr>
              <w:t>2,004.1</w:t>
            </w:r>
          </w:p>
        </w:tc>
        <w:tc>
          <w:tcPr>
            <w:tcW w:w="1458" w:type="dxa"/>
          </w:tcPr>
          <w:p>
            <w:pPr>
              <w:pStyle w:val="TableParagraph"/>
              <w:spacing w:line="149" w:lineRule="exact" w:before="1"/>
              <w:ind w:left="491"/>
              <w:rPr>
                <w:sz w:val="14"/>
              </w:rPr>
            </w:pPr>
            <w:r>
              <w:rPr>
                <w:sz w:val="14"/>
              </w:rPr>
              <w:t>0 . 1 %</w:t>
            </w:r>
          </w:p>
        </w:tc>
        <w:tc>
          <w:tcPr>
            <w:tcW w:w="1608" w:type="dxa"/>
          </w:tcPr>
          <w:p>
            <w:pPr>
              <w:pStyle w:val="TableParagraph"/>
              <w:spacing w:line="149" w:lineRule="exact" w:before="1"/>
              <w:ind w:right="627"/>
              <w:jc w:val="right"/>
              <w:rPr>
                <w:sz w:val="14"/>
              </w:rPr>
            </w:pPr>
            <w:r>
              <w:rPr>
                <w:sz w:val="14"/>
              </w:rPr>
              <w:t>1,840 .9</w:t>
            </w:r>
          </w:p>
        </w:tc>
        <w:tc>
          <w:tcPr>
            <w:tcW w:w="1313" w:type="dxa"/>
          </w:tcPr>
          <w:p>
            <w:pPr>
              <w:pStyle w:val="TableParagraph"/>
              <w:spacing w:line="149" w:lineRule="exact" w:before="1"/>
              <w:ind w:left="430"/>
              <w:rPr>
                <w:sz w:val="14"/>
              </w:rPr>
            </w:pPr>
            <w:r>
              <w:rPr>
                <w:sz w:val="14"/>
              </w:rPr>
              <w:t>0 . 1 %</w:t>
            </w:r>
          </w:p>
        </w:tc>
        <w:tc>
          <w:tcPr>
            <w:tcW w:w="1270" w:type="dxa"/>
          </w:tcPr>
          <w:p>
            <w:pPr>
              <w:pStyle w:val="TableParagraph"/>
              <w:spacing w:line="149" w:lineRule="exact" w:before="1"/>
              <w:ind w:right="431"/>
              <w:jc w:val="right"/>
              <w:rPr>
                <w:sz w:val="14"/>
              </w:rPr>
            </w:pPr>
            <w:r>
              <w:rPr>
                <w:sz w:val="14"/>
              </w:rPr>
              <w:t>1,951 .1</w:t>
            </w:r>
          </w:p>
        </w:tc>
        <w:tc>
          <w:tcPr>
            <w:tcW w:w="1250" w:type="dxa"/>
          </w:tcPr>
          <w:p>
            <w:pPr>
              <w:pStyle w:val="TableParagraph"/>
              <w:spacing w:line="149" w:lineRule="exact" w:before="1"/>
              <w:ind w:left="454"/>
              <w:rPr>
                <w:sz w:val="14"/>
              </w:rPr>
            </w:pPr>
            <w:r>
              <w:rPr>
                <w:sz w:val="14"/>
              </w:rPr>
              <w:t>0 . 1 %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7" w:lineRule="exact" w:before="3"/>
              <w:ind w:left="429"/>
              <w:rPr>
                <w:sz w:val="14"/>
              </w:rPr>
            </w:pPr>
            <w:r>
              <w:rPr>
                <w:sz w:val="14"/>
              </w:rPr>
              <w:t>Independent Media Commission (IMC)</w:t>
            </w:r>
          </w:p>
        </w:tc>
        <w:tc>
          <w:tcPr>
            <w:tcW w:w="1582" w:type="dxa"/>
          </w:tcPr>
          <w:p>
            <w:pPr>
              <w:pStyle w:val="TableParagraph"/>
              <w:spacing w:line="147" w:lineRule="exact" w:before="3"/>
              <w:ind w:right="531"/>
              <w:jc w:val="right"/>
              <w:rPr>
                <w:b/>
                <w:sz w:val="14"/>
              </w:rPr>
            </w:pPr>
            <w:r>
              <w:rPr>
                <w:b/>
                <w:sz w:val="14"/>
              </w:rPr>
              <w:t>1,406.3</w:t>
            </w:r>
          </w:p>
        </w:tc>
        <w:tc>
          <w:tcPr>
            <w:tcW w:w="1458" w:type="dxa"/>
          </w:tcPr>
          <w:p>
            <w:pPr>
              <w:pStyle w:val="TableParagraph"/>
              <w:spacing w:line="147" w:lineRule="exact" w:before="3"/>
              <w:ind w:left="491"/>
              <w:rPr>
                <w:sz w:val="14"/>
              </w:rPr>
            </w:pPr>
            <w:r>
              <w:rPr>
                <w:sz w:val="14"/>
              </w:rPr>
              <w:t>0 . 1 %</w:t>
            </w:r>
          </w:p>
        </w:tc>
        <w:tc>
          <w:tcPr>
            <w:tcW w:w="1608" w:type="dxa"/>
          </w:tcPr>
          <w:p>
            <w:pPr>
              <w:pStyle w:val="TableParagraph"/>
              <w:spacing w:line="147" w:lineRule="exact" w:before="3"/>
              <w:ind w:right="627"/>
              <w:jc w:val="right"/>
              <w:rPr>
                <w:sz w:val="14"/>
              </w:rPr>
            </w:pPr>
            <w:r>
              <w:rPr>
                <w:sz w:val="14"/>
              </w:rPr>
              <w:t>1,404 .9</w:t>
            </w:r>
          </w:p>
        </w:tc>
        <w:tc>
          <w:tcPr>
            <w:tcW w:w="1313" w:type="dxa"/>
          </w:tcPr>
          <w:p>
            <w:pPr>
              <w:pStyle w:val="TableParagraph"/>
              <w:spacing w:line="147" w:lineRule="exact" w:before="3"/>
              <w:ind w:left="430"/>
              <w:rPr>
                <w:sz w:val="14"/>
              </w:rPr>
            </w:pPr>
            <w:r>
              <w:rPr>
                <w:sz w:val="14"/>
              </w:rPr>
              <w:t>0 . 1 %</w:t>
            </w:r>
          </w:p>
        </w:tc>
        <w:tc>
          <w:tcPr>
            <w:tcW w:w="1270" w:type="dxa"/>
          </w:tcPr>
          <w:p>
            <w:pPr>
              <w:pStyle w:val="TableParagraph"/>
              <w:spacing w:line="147" w:lineRule="exact" w:before="3"/>
              <w:ind w:right="431"/>
              <w:jc w:val="right"/>
              <w:rPr>
                <w:sz w:val="14"/>
              </w:rPr>
            </w:pPr>
            <w:r>
              <w:rPr>
                <w:sz w:val="14"/>
              </w:rPr>
              <w:t>1,489 .0</w:t>
            </w:r>
          </w:p>
        </w:tc>
        <w:tc>
          <w:tcPr>
            <w:tcW w:w="1250" w:type="dxa"/>
          </w:tcPr>
          <w:p>
            <w:pPr>
              <w:pStyle w:val="TableParagraph"/>
              <w:spacing w:line="147" w:lineRule="exact" w:before="3"/>
              <w:ind w:left="454"/>
              <w:rPr>
                <w:sz w:val="14"/>
              </w:rPr>
            </w:pPr>
            <w:r>
              <w:rPr>
                <w:sz w:val="14"/>
              </w:rPr>
              <w:t>0 . 1 %</w:t>
            </w:r>
          </w:p>
        </w:tc>
      </w:tr>
      <w:tr>
        <w:trPr>
          <w:trHeight w:val="170" w:hRule="atLeast"/>
        </w:trPr>
        <w:tc>
          <w:tcPr>
            <w:tcW w:w="474" w:type="dxa"/>
          </w:tcPr>
          <w:p>
            <w:pPr>
              <w:pStyle w:val="TableParagraph"/>
              <w:rPr>
                <w:rFonts w:ascii="Times New Roman"/>
                <w:sz w:val="10"/>
              </w:rPr>
            </w:pPr>
          </w:p>
        </w:tc>
        <w:tc>
          <w:tcPr>
            <w:tcW w:w="5848" w:type="dxa"/>
          </w:tcPr>
          <w:p>
            <w:pPr>
              <w:pStyle w:val="TableParagraph"/>
              <w:spacing w:line="149" w:lineRule="exact" w:before="1"/>
              <w:ind w:left="428"/>
              <w:rPr>
                <w:sz w:val="14"/>
              </w:rPr>
            </w:pPr>
            <w:r>
              <w:rPr>
                <w:sz w:val="14"/>
              </w:rPr>
              <w:t>Political Parties Registration Commission (PPRC)</w:t>
            </w:r>
          </w:p>
        </w:tc>
        <w:tc>
          <w:tcPr>
            <w:tcW w:w="1582" w:type="dxa"/>
          </w:tcPr>
          <w:p>
            <w:pPr>
              <w:pStyle w:val="TableParagraph"/>
              <w:spacing w:line="149" w:lineRule="exact" w:before="1"/>
              <w:ind w:right="531"/>
              <w:jc w:val="right"/>
              <w:rPr>
                <w:b/>
                <w:sz w:val="14"/>
              </w:rPr>
            </w:pPr>
            <w:r>
              <w:rPr>
                <w:b/>
                <w:sz w:val="14"/>
              </w:rPr>
              <w:t>1,612.2</w:t>
            </w:r>
          </w:p>
        </w:tc>
        <w:tc>
          <w:tcPr>
            <w:tcW w:w="1458" w:type="dxa"/>
          </w:tcPr>
          <w:p>
            <w:pPr>
              <w:pStyle w:val="TableParagraph"/>
              <w:spacing w:line="149" w:lineRule="exact" w:before="1"/>
              <w:ind w:left="491"/>
              <w:rPr>
                <w:sz w:val="14"/>
              </w:rPr>
            </w:pPr>
            <w:r>
              <w:rPr>
                <w:sz w:val="14"/>
              </w:rPr>
              <w:t>0 . 1 %</w:t>
            </w:r>
          </w:p>
        </w:tc>
        <w:tc>
          <w:tcPr>
            <w:tcW w:w="1608" w:type="dxa"/>
          </w:tcPr>
          <w:p>
            <w:pPr>
              <w:pStyle w:val="TableParagraph"/>
              <w:spacing w:line="149" w:lineRule="exact" w:before="1"/>
              <w:ind w:right="627"/>
              <w:jc w:val="right"/>
              <w:rPr>
                <w:sz w:val="14"/>
              </w:rPr>
            </w:pPr>
            <w:r>
              <w:rPr>
                <w:sz w:val="14"/>
              </w:rPr>
              <w:t>1,535 .3</w:t>
            </w:r>
          </w:p>
        </w:tc>
        <w:tc>
          <w:tcPr>
            <w:tcW w:w="1313" w:type="dxa"/>
          </w:tcPr>
          <w:p>
            <w:pPr>
              <w:pStyle w:val="TableParagraph"/>
              <w:spacing w:line="149" w:lineRule="exact" w:before="1"/>
              <w:ind w:left="430"/>
              <w:rPr>
                <w:sz w:val="14"/>
              </w:rPr>
            </w:pPr>
            <w:r>
              <w:rPr>
                <w:sz w:val="14"/>
              </w:rPr>
              <w:t>0 . 1 %</w:t>
            </w:r>
          </w:p>
        </w:tc>
        <w:tc>
          <w:tcPr>
            <w:tcW w:w="1270" w:type="dxa"/>
          </w:tcPr>
          <w:p>
            <w:pPr>
              <w:pStyle w:val="TableParagraph"/>
              <w:spacing w:line="149" w:lineRule="exact" w:before="1"/>
              <w:ind w:right="431"/>
              <w:jc w:val="right"/>
              <w:rPr>
                <w:sz w:val="14"/>
              </w:rPr>
            </w:pPr>
            <w:r>
              <w:rPr>
                <w:sz w:val="14"/>
              </w:rPr>
              <w:t>1,627 .3</w:t>
            </w:r>
          </w:p>
        </w:tc>
        <w:tc>
          <w:tcPr>
            <w:tcW w:w="1250" w:type="dxa"/>
          </w:tcPr>
          <w:p>
            <w:pPr>
              <w:pStyle w:val="TableParagraph"/>
              <w:spacing w:line="149" w:lineRule="exact" w:before="1"/>
              <w:ind w:left="454"/>
              <w:rPr>
                <w:sz w:val="14"/>
              </w:rPr>
            </w:pPr>
            <w:r>
              <w:rPr>
                <w:sz w:val="14"/>
              </w:rPr>
              <w:t>0 . 1 %</w:t>
            </w:r>
          </w:p>
        </w:tc>
      </w:tr>
      <w:tr>
        <w:trPr>
          <w:trHeight w:val="198" w:hRule="atLeast"/>
        </w:trPr>
        <w:tc>
          <w:tcPr>
            <w:tcW w:w="474" w:type="dxa"/>
          </w:tcPr>
          <w:p>
            <w:pPr>
              <w:pStyle w:val="TableParagraph"/>
              <w:rPr>
                <w:rFonts w:ascii="Times New Roman"/>
                <w:sz w:val="12"/>
              </w:rPr>
            </w:pPr>
          </w:p>
        </w:tc>
        <w:tc>
          <w:tcPr>
            <w:tcW w:w="5848" w:type="dxa"/>
          </w:tcPr>
          <w:p>
            <w:pPr>
              <w:pStyle w:val="TableParagraph"/>
              <w:spacing w:before="3"/>
              <w:ind w:left="428"/>
              <w:rPr>
                <w:sz w:val="14"/>
              </w:rPr>
            </w:pPr>
            <w:r>
              <w:rPr>
                <w:sz w:val="14"/>
              </w:rPr>
              <w:t>Law Reform Commission</w:t>
            </w:r>
          </w:p>
        </w:tc>
        <w:tc>
          <w:tcPr>
            <w:tcW w:w="1582" w:type="dxa"/>
          </w:tcPr>
          <w:p>
            <w:pPr>
              <w:pStyle w:val="TableParagraph"/>
              <w:spacing w:before="3"/>
              <w:ind w:right="514"/>
              <w:jc w:val="right"/>
              <w:rPr>
                <w:b/>
                <w:sz w:val="14"/>
              </w:rPr>
            </w:pPr>
            <w:r>
              <w:rPr>
                <w:b/>
                <w:sz w:val="14"/>
              </w:rPr>
              <w:t>869.6</w:t>
            </w:r>
          </w:p>
        </w:tc>
        <w:tc>
          <w:tcPr>
            <w:tcW w:w="1458" w:type="dxa"/>
          </w:tcPr>
          <w:p>
            <w:pPr>
              <w:pStyle w:val="TableParagraph"/>
              <w:spacing w:before="3"/>
              <w:ind w:left="491"/>
              <w:rPr>
                <w:sz w:val="14"/>
              </w:rPr>
            </w:pPr>
            <w:r>
              <w:rPr>
                <w:sz w:val="14"/>
              </w:rPr>
              <w:t>0 . 0 %</w:t>
            </w:r>
          </w:p>
        </w:tc>
        <w:tc>
          <w:tcPr>
            <w:tcW w:w="1608" w:type="dxa"/>
          </w:tcPr>
          <w:p>
            <w:pPr>
              <w:pStyle w:val="TableParagraph"/>
              <w:spacing w:before="3"/>
              <w:ind w:right="620"/>
              <w:jc w:val="right"/>
              <w:rPr>
                <w:sz w:val="14"/>
              </w:rPr>
            </w:pPr>
            <w:r>
              <w:rPr>
                <w:sz w:val="14"/>
              </w:rPr>
              <w:t>770.8</w:t>
            </w:r>
          </w:p>
        </w:tc>
        <w:tc>
          <w:tcPr>
            <w:tcW w:w="1313" w:type="dxa"/>
          </w:tcPr>
          <w:p>
            <w:pPr>
              <w:pStyle w:val="TableParagraph"/>
              <w:spacing w:before="3"/>
              <w:ind w:left="430"/>
              <w:rPr>
                <w:sz w:val="14"/>
              </w:rPr>
            </w:pPr>
            <w:r>
              <w:rPr>
                <w:sz w:val="14"/>
              </w:rPr>
              <w:t>0 . 0 %</w:t>
            </w:r>
          </w:p>
        </w:tc>
        <w:tc>
          <w:tcPr>
            <w:tcW w:w="1270" w:type="dxa"/>
          </w:tcPr>
          <w:p>
            <w:pPr>
              <w:pStyle w:val="TableParagraph"/>
              <w:spacing w:before="3"/>
              <w:ind w:right="428"/>
              <w:jc w:val="right"/>
              <w:rPr>
                <w:sz w:val="14"/>
              </w:rPr>
            </w:pPr>
            <w:r>
              <w:rPr>
                <w:sz w:val="14"/>
              </w:rPr>
              <w:t>816.9</w:t>
            </w:r>
          </w:p>
        </w:tc>
        <w:tc>
          <w:tcPr>
            <w:tcW w:w="1250" w:type="dxa"/>
          </w:tcPr>
          <w:p>
            <w:pPr>
              <w:pStyle w:val="TableParagraph"/>
              <w:spacing w:before="3"/>
              <w:ind w:left="454"/>
              <w:rPr>
                <w:sz w:val="14"/>
              </w:rPr>
            </w:pPr>
            <w:r>
              <w:rPr>
                <w:sz w:val="14"/>
              </w:rPr>
              <w:t>0 . 0 %</w:t>
            </w:r>
          </w:p>
        </w:tc>
      </w:tr>
    </w:tbl>
    <w:p>
      <w:pPr>
        <w:spacing w:after="0"/>
        <w:rPr>
          <w:sz w:val="14"/>
        </w:rPr>
        <w:sectPr>
          <w:headerReference w:type="default" r:id="rId7"/>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91.119995pt;width:14.35pt;height:10.15pt;mso-position-horizontal-relative:page;mso-position-vertical-relative:page;z-index:1192" type="#_x0000_t202" filled="false" stroked="false">
            <v:textbox inset="0,0,0,0" style="layout-flow:vertical">
              <w:txbxContent>
                <w:p>
                  <w:pPr>
                    <w:spacing w:before="13"/>
                    <w:ind w:left="20" w:right="0" w:firstLine="0"/>
                    <w:jc w:val="left"/>
                    <w:rPr>
                      <w:rFonts w:ascii="Arial"/>
                      <w:sz w:val="22"/>
                    </w:rPr>
                  </w:pPr>
                  <w:r>
                    <w:rPr>
                      <w:rFonts w:ascii="Arial"/>
                      <w:sz w:val="22"/>
                    </w:rPr>
                    <w:t>vi</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199"/>
        <w:gridCol w:w="2230"/>
        <w:gridCol w:w="1487"/>
        <w:gridCol w:w="1575"/>
        <w:gridCol w:w="1339"/>
        <w:gridCol w:w="1239"/>
        <w:gridCol w:w="1247"/>
      </w:tblGrid>
      <w:tr>
        <w:trPr>
          <w:trHeight w:val="568" w:hRule="atLeast"/>
        </w:trPr>
        <w:tc>
          <w:tcPr>
            <w:tcW w:w="5670" w:type="dxa"/>
            <w:gridSpan w:val="2"/>
            <w:tcBorders>
              <w:bottom w:val="single" w:sz="4" w:space="0" w:color="000000"/>
            </w:tcBorders>
          </w:tcPr>
          <w:p>
            <w:pPr>
              <w:pStyle w:val="TableParagraph"/>
              <w:rPr>
                <w:rFonts w:ascii="Times New Roman"/>
                <w:sz w:val="14"/>
              </w:rPr>
            </w:pPr>
          </w:p>
        </w:tc>
        <w:tc>
          <w:tcPr>
            <w:tcW w:w="2230" w:type="dxa"/>
            <w:tcBorders>
              <w:bottom w:val="single" w:sz="4" w:space="0" w:color="000000"/>
            </w:tcBorders>
          </w:tcPr>
          <w:p>
            <w:pPr>
              <w:pStyle w:val="TableParagraph"/>
              <w:spacing w:before="29"/>
              <w:ind w:left="1222" w:right="360"/>
              <w:jc w:val="center"/>
              <w:rPr>
                <w:b/>
                <w:sz w:val="14"/>
              </w:rPr>
            </w:pPr>
            <w:r>
              <w:rPr>
                <w:b/>
                <w:spacing w:val="2"/>
                <w:sz w:val="14"/>
              </w:rPr>
              <w:t>FY</w:t>
            </w:r>
            <w:r>
              <w:rPr>
                <w:b/>
                <w:spacing w:val="6"/>
                <w:sz w:val="14"/>
              </w:rPr>
              <w:t> </w:t>
            </w:r>
            <w:r>
              <w:rPr>
                <w:b/>
                <w:spacing w:val="4"/>
                <w:sz w:val="14"/>
              </w:rPr>
              <w:t>2020</w:t>
            </w:r>
          </w:p>
          <w:p>
            <w:pPr>
              <w:pStyle w:val="TableParagraph"/>
              <w:spacing w:before="17"/>
              <w:ind w:left="1248" w:right="262"/>
              <w:jc w:val="center"/>
              <w:rPr>
                <w:b/>
                <w:sz w:val="14"/>
              </w:rPr>
            </w:pPr>
            <w:r>
              <w:rPr>
                <w:b/>
                <w:sz w:val="14"/>
              </w:rPr>
              <w:t>Budget</w:t>
            </w:r>
          </w:p>
        </w:tc>
        <w:tc>
          <w:tcPr>
            <w:tcW w:w="1487" w:type="dxa"/>
            <w:tcBorders>
              <w:bottom w:val="single" w:sz="4" w:space="0" w:color="000000"/>
            </w:tcBorders>
          </w:tcPr>
          <w:p>
            <w:pPr>
              <w:pStyle w:val="TableParagraph"/>
              <w:spacing w:line="264" w:lineRule="auto" w:before="29"/>
              <w:ind w:left="389" w:right="140" w:firstLine="91"/>
              <w:rPr>
                <w:sz w:val="14"/>
              </w:rPr>
            </w:pPr>
            <w:r>
              <w:rPr>
                <w:sz w:val="14"/>
              </w:rPr>
              <w:t>% of Total Non Int/ Sal</w:t>
            </w:r>
          </w:p>
        </w:tc>
        <w:tc>
          <w:tcPr>
            <w:tcW w:w="1575" w:type="dxa"/>
            <w:tcBorders>
              <w:bottom w:val="single" w:sz="4" w:space="0" w:color="000000"/>
            </w:tcBorders>
          </w:tcPr>
          <w:p>
            <w:pPr>
              <w:pStyle w:val="TableParagraph"/>
              <w:spacing w:before="29"/>
              <w:ind w:left="626"/>
              <w:rPr>
                <w:sz w:val="14"/>
              </w:rPr>
            </w:pPr>
            <w:r>
              <w:rPr>
                <w:sz w:val="14"/>
              </w:rPr>
              <w:t>FY</w:t>
            </w:r>
            <w:r>
              <w:rPr>
                <w:spacing w:val="17"/>
                <w:sz w:val="14"/>
              </w:rPr>
              <w:t> </w:t>
            </w:r>
            <w:r>
              <w:rPr>
                <w:spacing w:val="4"/>
                <w:sz w:val="14"/>
              </w:rPr>
              <w:t>2021</w:t>
            </w:r>
          </w:p>
          <w:p>
            <w:pPr>
              <w:pStyle w:val="TableParagraph"/>
              <w:spacing w:before="17"/>
              <w:ind w:left="554"/>
              <w:rPr>
                <w:sz w:val="14"/>
              </w:rPr>
            </w:pPr>
            <w:r>
              <w:rPr>
                <w:spacing w:val="3"/>
                <w:sz w:val="14"/>
              </w:rPr>
              <w:t>Indicative</w:t>
            </w:r>
          </w:p>
        </w:tc>
        <w:tc>
          <w:tcPr>
            <w:tcW w:w="1339" w:type="dxa"/>
            <w:tcBorders>
              <w:bottom w:val="single" w:sz="4" w:space="0" w:color="000000"/>
            </w:tcBorders>
          </w:tcPr>
          <w:p>
            <w:pPr>
              <w:pStyle w:val="TableParagraph"/>
              <w:spacing w:line="249" w:lineRule="auto" w:before="29"/>
              <w:ind w:left="390" w:right="192" w:firstLine="86"/>
              <w:jc w:val="both"/>
              <w:rPr>
                <w:sz w:val="14"/>
              </w:rPr>
            </w:pPr>
            <w:r>
              <w:rPr>
                <w:sz w:val="14"/>
              </w:rPr>
              <w:t>% of Total Non Int/ Sal Recurr Exp</w:t>
            </w:r>
          </w:p>
        </w:tc>
        <w:tc>
          <w:tcPr>
            <w:tcW w:w="1239" w:type="dxa"/>
            <w:tcBorders>
              <w:bottom w:val="single" w:sz="4" w:space="0" w:color="000000"/>
            </w:tcBorders>
          </w:tcPr>
          <w:p>
            <w:pPr>
              <w:pStyle w:val="TableParagraph"/>
              <w:spacing w:before="29"/>
              <w:ind w:left="491"/>
              <w:rPr>
                <w:sz w:val="14"/>
              </w:rPr>
            </w:pPr>
            <w:r>
              <w:rPr>
                <w:sz w:val="14"/>
              </w:rPr>
              <w:t>FY</w:t>
            </w:r>
            <w:r>
              <w:rPr>
                <w:spacing w:val="17"/>
                <w:sz w:val="14"/>
              </w:rPr>
              <w:t> </w:t>
            </w:r>
            <w:r>
              <w:rPr>
                <w:spacing w:val="4"/>
                <w:sz w:val="14"/>
              </w:rPr>
              <w:t>2022</w:t>
            </w:r>
          </w:p>
          <w:p>
            <w:pPr>
              <w:pStyle w:val="TableParagraph"/>
              <w:spacing w:before="17"/>
              <w:ind w:left="419"/>
              <w:rPr>
                <w:sz w:val="14"/>
              </w:rPr>
            </w:pPr>
            <w:r>
              <w:rPr>
                <w:spacing w:val="3"/>
                <w:sz w:val="14"/>
              </w:rPr>
              <w:t>Indicative</w:t>
            </w:r>
          </w:p>
        </w:tc>
        <w:tc>
          <w:tcPr>
            <w:tcW w:w="1247" w:type="dxa"/>
            <w:tcBorders>
              <w:bottom w:val="single" w:sz="4" w:space="0" w:color="000000"/>
            </w:tcBorders>
          </w:tcPr>
          <w:p>
            <w:pPr>
              <w:pStyle w:val="TableParagraph"/>
              <w:spacing w:line="249" w:lineRule="auto" w:before="29"/>
              <w:ind w:left="192" w:right="297" w:firstLine="86"/>
              <w:jc w:val="both"/>
              <w:rPr>
                <w:sz w:val="14"/>
              </w:rPr>
            </w:pPr>
            <w:r>
              <w:rPr>
                <w:sz w:val="14"/>
              </w:rPr>
              <w:t>% of Total Non Int/ Sal Recurr Exp</w:t>
            </w:r>
          </w:p>
        </w:tc>
      </w:tr>
      <w:tr>
        <w:trPr>
          <w:trHeight w:val="273" w:hRule="atLeast"/>
        </w:trPr>
        <w:tc>
          <w:tcPr>
            <w:tcW w:w="471" w:type="dxa"/>
            <w:tcBorders>
              <w:top w:val="single" w:sz="4" w:space="0" w:color="000000"/>
            </w:tcBorders>
          </w:tcPr>
          <w:p>
            <w:pPr>
              <w:pStyle w:val="TableParagraph"/>
              <w:rPr>
                <w:rFonts w:ascii="Times New Roman"/>
                <w:sz w:val="14"/>
              </w:rPr>
            </w:pPr>
          </w:p>
        </w:tc>
        <w:tc>
          <w:tcPr>
            <w:tcW w:w="5199" w:type="dxa"/>
            <w:tcBorders>
              <w:top w:val="single" w:sz="4" w:space="0" w:color="000000"/>
            </w:tcBorders>
          </w:tcPr>
          <w:p>
            <w:pPr>
              <w:pStyle w:val="TableParagraph"/>
              <w:spacing w:line="145" w:lineRule="exact" w:before="108"/>
              <w:ind w:left="431"/>
              <w:rPr>
                <w:sz w:val="14"/>
              </w:rPr>
            </w:pPr>
            <w:r>
              <w:rPr>
                <w:sz w:val="14"/>
              </w:rPr>
              <w:t>Corporate Affairs Commission</w:t>
            </w:r>
          </w:p>
        </w:tc>
        <w:tc>
          <w:tcPr>
            <w:tcW w:w="2230" w:type="dxa"/>
            <w:tcBorders>
              <w:top w:val="single" w:sz="4" w:space="0" w:color="000000"/>
            </w:tcBorders>
          </w:tcPr>
          <w:p>
            <w:pPr>
              <w:pStyle w:val="TableParagraph"/>
              <w:spacing w:line="145" w:lineRule="exact" w:before="108"/>
              <w:ind w:right="510"/>
              <w:jc w:val="right"/>
              <w:rPr>
                <w:b/>
                <w:sz w:val="14"/>
              </w:rPr>
            </w:pPr>
            <w:r>
              <w:rPr>
                <w:b/>
                <w:sz w:val="14"/>
              </w:rPr>
              <w:t>885.2</w:t>
            </w:r>
          </w:p>
        </w:tc>
        <w:tc>
          <w:tcPr>
            <w:tcW w:w="1487" w:type="dxa"/>
            <w:tcBorders>
              <w:top w:val="single" w:sz="4" w:space="0" w:color="000000"/>
            </w:tcBorders>
          </w:tcPr>
          <w:p>
            <w:pPr>
              <w:pStyle w:val="TableParagraph"/>
              <w:spacing w:line="145" w:lineRule="exact" w:before="108"/>
              <w:ind w:left="495"/>
              <w:rPr>
                <w:sz w:val="14"/>
              </w:rPr>
            </w:pPr>
            <w:r>
              <w:rPr>
                <w:sz w:val="14"/>
              </w:rPr>
              <w:t>0 . 0 %</w:t>
            </w:r>
          </w:p>
        </w:tc>
        <w:tc>
          <w:tcPr>
            <w:tcW w:w="1575" w:type="dxa"/>
            <w:tcBorders>
              <w:top w:val="single" w:sz="4" w:space="0" w:color="000000"/>
            </w:tcBorders>
          </w:tcPr>
          <w:p>
            <w:pPr>
              <w:pStyle w:val="TableParagraph"/>
              <w:spacing w:line="145" w:lineRule="exact" w:before="108"/>
              <w:ind w:right="612"/>
              <w:jc w:val="right"/>
              <w:rPr>
                <w:sz w:val="14"/>
              </w:rPr>
            </w:pPr>
            <w:r>
              <w:rPr>
                <w:sz w:val="14"/>
              </w:rPr>
              <w:t>666.8</w:t>
            </w:r>
          </w:p>
        </w:tc>
        <w:tc>
          <w:tcPr>
            <w:tcW w:w="1339" w:type="dxa"/>
            <w:tcBorders>
              <w:top w:val="single" w:sz="4" w:space="0" w:color="000000"/>
            </w:tcBorders>
          </w:tcPr>
          <w:p>
            <w:pPr>
              <w:pStyle w:val="TableParagraph"/>
              <w:spacing w:line="145" w:lineRule="exact" w:before="108"/>
              <w:ind w:left="438"/>
              <w:rPr>
                <w:sz w:val="14"/>
              </w:rPr>
            </w:pPr>
            <w:r>
              <w:rPr>
                <w:sz w:val="14"/>
              </w:rPr>
              <w:t>0 . 0 %</w:t>
            </w:r>
          </w:p>
        </w:tc>
        <w:tc>
          <w:tcPr>
            <w:tcW w:w="1239" w:type="dxa"/>
            <w:tcBorders>
              <w:top w:val="single" w:sz="4" w:space="0" w:color="000000"/>
            </w:tcBorders>
          </w:tcPr>
          <w:p>
            <w:pPr>
              <w:pStyle w:val="TableParagraph"/>
              <w:spacing w:line="145" w:lineRule="exact" w:before="108"/>
              <w:ind w:right="415"/>
              <w:jc w:val="right"/>
              <w:rPr>
                <w:sz w:val="14"/>
              </w:rPr>
            </w:pPr>
            <w:r>
              <w:rPr>
                <w:sz w:val="14"/>
              </w:rPr>
              <w:t>706.8</w:t>
            </w:r>
          </w:p>
        </w:tc>
        <w:tc>
          <w:tcPr>
            <w:tcW w:w="1247" w:type="dxa"/>
            <w:tcBorders>
              <w:top w:val="single" w:sz="4" w:space="0" w:color="000000"/>
            </w:tcBorders>
          </w:tcPr>
          <w:p>
            <w:pPr>
              <w:pStyle w:val="TableParagraph"/>
              <w:spacing w:line="145" w:lineRule="exact" w:before="108"/>
              <w:ind w:left="416" w:right="354"/>
              <w:jc w:val="center"/>
              <w:rPr>
                <w:sz w:val="14"/>
              </w:rPr>
            </w:pPr>
            <w:r>
              <w:rPr>
                <w:sz w:val="14"/>
              </w:rPr>
              <w:t>0 . 0 %</w:t>
            </w:r>
          </w:p>
        </w:tc>
      </w:tr>
      <w:tr>
        <w:trPr>
          <w:trHeight w:val="165" w:hRule="atLeast"/>
        </w:trPr>
        <w:tc>
          <w:tcPr>
            <w:tcW w:w="471" w:type="dxa"/>
          </w:tcPr>
          <w:p>
            <w:pPr>
              <w:pStyle w:val="TableParagraph"/>
              <w:rPr>
                <w:rFonts w:ascii="Times New Roman"/>
                <w:sz w:val="10"/>
              </w:rPr>
            </w:pPr>
          </w:p>
        </w:tc>
        <w:tc>
          <w:tcPr>
            <w:tcW w:w="5199" w:type="dxa"/>
          </w:tcPr>
          <w:p>
            <w:pPr>
              <w:pStyle w:val="TableParagraph"/>
              <w:spacing w:line="146" w:lineRule="exact"/>
              <w:ind w:left="431"/>
              <w:rPr>
                <w:sz w:val="14"/>
              </w:rPr>
            </w:pPr>
            <w:r>
              <w:rPr>
                <w:sz w:val="14"/>
              </w:rPr>
              <w:t>Sierra Leone Insurance Commission</w:t>
            </w:r>
          </w:p>
        </w:tc>
        <w:tc>
          <w:tcPr>
            <w:tcW w:w="2230" w:type="dxa"/>
          </w:tcPr>
          <w:p>
            <w:pPr>
              <w:pStyle w:val="TableParagraph"/>
              <w:spacing w:line="146" w:lineRule="exact"/>
              <w:ind w:right="510"/>
              <w:jc w:val="right"/>
              <w:rPr>
                <w:b/>
                <w:sz w:val="14"/>
              </w:rPr>
            </w:pPr>
            <w:r>
              <w:rPr>
                <w:b/>
                <w:sz w:val="14"/>
              </w:rPr>
              <w:t>856.8</w:t>
            </w:r>
          </w:p>
        </w:tc>
        <w:tc>
          <w:tcPr>
            <w:tcW w:w="1487" w:type="dxa"/>
          </w:tcPr>
          <w:p>
            <w:pPr>
              <w:pStyle w:val="TableParagraph"/>
              <w:spacing w:line="146" w:lineRule="exact"/>
              <w:ind w:left="495"/>
              <w:rPr>
                <w:sz w:val="14"/>
              </w:rPr>
            </w:pPr>
            <w:r>
              <w:rPr>
                <w:sz w:val="14"/>
              </w:rPr>
              <w:t>0 . 0 %</w:t>
            </w:r>
          </w:p>
        </w:tc>
        <w:tc>
          <w:tcPr>
            <w:tcW w:w="1575" w:type="dxa"/>
          </w:tcPr>
          <w:p>
            <w:pPr>
              <w:pStyle w:val="TableParagraph"/>
              <w:spacing w:line="146" w:lineRule="exact"/>
              <w:ind w:right="612"/>
              <w:jc w:val="right"/>
              <w:rPr>
                <w:sz w:val="14"/>
              </w:rPr>
            </w:pPr>
            <w:r>
              <w:rPr>
                <w:sz w:val="14"/>
              </w:rPr>
              <w:t>932.2</w:t>
            </w:r>
          </w:p>
        </w:tc>
        <w:tc>
          <w:tcPr>
            <w:tcW w:w="1339" w:type="dxa"/>
          </w:tcPr>
          <w:p>
            <w:pPr>
              <w:pStyle w:val="TableParagraph"/>
              <w:spacing w:line="146" w:lineRule="exact"/>
              <w:ind w:left="438"/>
              <w:rPr>
                <w:sz w:val="14"/>
              </w:rPr>
            </w:pPr>
            <w:r>
              <w:rPr>
                <w:sz w:val="14"/>
              </w:rPr>
              <w:t>0 . 0 %</w:t>
            </w:r>
          </w:p>
        </w:tc>
        <w:tc>
          <w:tcPr>
            <w:tcW w:w="1239" w:type="dxa"/>
          </w:tcPr>
          <w:p>
            <w:pPr>
              <w:pStyle w:val="TableParagraph"/>
              <w:spacing w:line="146" w:lineRule="exact"/>
              <w:ind w:right="415"/>
              <w:jc w:val="right"/>
              <w:rPr>
                <w:sz w:val="14"/>
              </w:rPr>
            </w:pPr>
            <w:r>
              <w:rPr>
                <w:sz w:val="14"/>
              </w:rPr>
              <w:t>988.0</w:t>
            </w:r>
          </w:p>
        </w:tc>
        <w:tc>
          <w:tcPr>
            <w:tcW w:w="1247" w:type="dxa"/>
          </w:tcPr>
          <w:p>
            <w:pPr>
              <w:pStyle w:val="TableParagraph"/>
              <w:spacing w:line="146" w:lineRule="exact"/>
              <w:ind w:left="416" w:right="354"/>
              <w:jc w:val="center"/>
              <w:rPr>
                <w:sz w:val="14"/>
              </w:rPr>
            </w:pPr>
            <w:r>
              <w:rPr>
                <w:sz w:val="14"/>
              </w:rPr>
              <w:t>0 . 0 %</w:t>
            </w:r>
          </w:p>
        </w:tc>
      </w:tr>
      <w:tr>
        <w:trPr>
          <w:trHeight w:val="251" w:hRule="atLeast"/>
        </w:trPr>
        <w:tc>
          <w:tcPr>
            <w:tcW w:w="471" w:type="dxa"/>
          </w:tcPr>
          <w:p>
            <w:pPr>
              <w:pStyle w:val="TableParagraph"/>
              <w:rPr>
                <w:rFonts w:ascii="Times New Roman"/>
                <w:sz w:val="14"/>
              </w:rPr>
            </w:pPr>
          </w:p>
        </w:tc>
        <w:tc>
          <w:tcPr>
            <w:tcW w:w="5199" w:type="dxa"/>
          </w:tcPr>
          <w:p>
            <w:pPr>
              <w:pStyle w:val="TableParagraph"/>
              <w:spacing w:before="1"/>
              <w:ind w:left="431"/>
              <w:rPr>
                <w:sz w:val="14"/>
              </w:rPr>
            </w:pPr>
            <w:r>
              <w:rPr>
                <w:sz w:val="14"/>
              </w:rPr>
              <w:t>Local Government Service Commission</w:t>
            </w:r>
          </w:p>
        </w:tc>
        <w:tc>
          <w:tcPr>
            <w:tcW w:w="2230" w:type="dxa"/>
          </w:tcPr>
          <w:p>
            <w:pPr>
              <w:pStyle w:val="TableParagraph"/>
              <w:spacing w:before="1"/>
              <w:ind w:right="510"/>
              <w:jc w:val="right"/>
              <w:rPr>
                <w:b/>
                <w:sz w:val="14"/>
              </w:rPr>
            </w:pPr>
            <w:r>
              <w:rPr>
                <w:b/>
                <w:sz w:val="14"/>
              </w:rPr>
              <w:t>952.2</w:t>
            </w:r>
          </w:p>
        </w:tc>
        <w:tc>
          <w:tcPr>
            <w:tcW w:w="1487" w:type="dxa"/>
          </w:tcPr>
          <w:p>
            <w:pPr>
              <w:pStyle w:val="TableParagraph"/>
              <w:spacing w:before="1"/>
              <w:ind w:left="495"/>
              <w:rPr>
                <w:sz w:val="14"/>
              </w:rPr>
            </w:pPr>
            <w:r>
              <w:rPr>
                <w:sz w:val="14"/>
              </w:rPr>
              <w:t>0 . 0 %</w:t>
            </w:r>
          </w:p>
        </w:tc>
        <w:tc>
          <w:tcPr>
            <w:tcW w:w="1575" w:type="dxa"/>
          </w:tcPr>
          <w:p>
            <w:pPr>
              <w:pStyle w:val="TableParagraph"/>
              <w:spacing w:before="1"/>
              <w:ind w:right="612"/>
              <w:jc w:val="right"/>
              <w:rPr>
                <w:sz w:val="14"/>
              </w:rPr>
            </w:pPr>
            <w:r>
              <w:rPr>
                <w:sz w:val="14"/>
              </w:rPr>
              <w:t>914.6</w:t>
            </w:r>
          </w:p>
        </w:tc>
        <w:tc>
          <w:tcPr>
            <w:tcW w:w="1339" w:type="dxa"/>
          </w:tcPr>
          <w:p>
            <w:pPr>
              <w:pStyle w:val="TableParagraph"/>
              <w:spacing w:before="1"/>
              <w:ind w:left="438"/>
              <w:rPr>
                <w:sz w:val="14"/>
              </w:rPr>
            </w:pPr>
            <w:r>
              <w:rPr>
                <w:sz w:val="14"/>
              </w:rPr>
              <w:t>0 . 0 %</w:t>
            </w:r>
          </w:p>
        </w:tc>
        <w:tc>
          <w:tcPr>
            <w:tcW w:w="1239" w:type="dxa"/>
          </w:tcPr>
          <w:p>
            <w:pPr>
              <w:pStyle w:val="TableParagraph"/>
              <w:spacing w:before="1"/>
              <w:ind w:right="415"/>
              <w:jc w:val="right"/>
              <w:rPr>
                <w:sz w:val="14"/>
              </w:rPr>
            </w:pPr>
            <w:r>
              <w:rPr>
                <w:sz w:val="14"/>
              </w:rPr>
              <w:t>969.4</w:t>
            </w:r>
          </w:p>
        </w:tc>
        <w:tc>
          <w:tcPr>
            <w:tcW w:w="1247" w:type="dxa"/>
          </w:tcPr>
          <w:p>
            <w:pPr>
              <w:pStyle w:val="TableParagraph"/>
              <w:spacing w:before="1"/>
              <w:ind w:left="416" w:right="354"/>
              <w:jc w:val="center"/>
              <w:rPr>
                <w:sz w:val="14"/>
              </w:rPr>
            </w:pPr>
            <w:r>
              <w:rPr>
                <w:sz w:val="14"/>
              </w:rPr>
              <w:t>0 . 0 %</w:t>
            </w:r>
          </w:p>
        </w:tc>
      </w:tr>
      <w:tr>
        <w:trPr>
          <w:trHeight w:val="251" w:hRule="atLeast"/>
        </w:trPr>
        <w:tc>
          <w:tcPr>
            <w:tcW w:w="471" w:type="dxa"/>
          </w:tcPr>
          <w:p>
            <w:pPr>
              <w:pStyle w:val="TableParagraph"/>
              <w:spacing w:line="147" w:lineRule="exact" w:before="85"/>
              <w:ind w:left="125"/>
              <w:rPr>
                <w:sz w:val="14"/>
              </w:rPr>
            </w:pPr>
            <w:r>
              <w:rPr>
                <w:sz w:val="14"/>
              </w:rPr>
              <w:t>112</w:t>
            </w:r>
          </w:p>
        </w:tc>
        <w:tc>
          <w:tcPr>
            <w:tcW w:w="5199" w:type="dxa"/>
          </w:tcPr>
          <w:p>
            <w:pPr>
              <w:pStyle w:val="TableParagraph"/>
              <w:spacing w:line="147" w:lineRule="exact" w:before="85"/>
              <w:ind w:left="95"/>
              <w:rPr>
                <w:sz w:val="14"/>
              </w:rPr>
            </w:pPr>
            <w:r>
              <w:rPr>
                <w:sz w:val="14"/>
              </w:rPr>
              <w:t>Office of the Vice President</w:t>
            </w:r>
          </w:p>
        </w:tc>
        <w:tc>
          <w:tcPr>
            <w:tcW w:w="2230" w:type="dxa"/>
          </w:tcPr>
          <w:p>
            <w:pPr>
              <w:pStyle w:val="TableParagraph"/>
              <w:spacing w:line="147" w:lineRule="exact" w:before="85"/>
              <w:ind w:right="527"/>
              <w:jc w:val="right"/>
              <w:rPr>
                <w:b/>
                <w:sz w:val="14"/>
              </w:rPr>
            </w:pPr>
            <w:r>
              <w:rPr>
                <w:b/>
                <w:sz w:val="14"/>
              </w:rPr>
              <w:t>15,338.5</w:t>
            </w:r>
          </w:p>
        </w:tc>
        <w:tc>
          <w:tcPr>
            <w:tcW w:w="1487" w:type="dxa"/>
          </w:tcPr>
          <w:p>
            <w:pPr>
              <w:pStyle w:val="TableParagraph"/>
              <w:spacing w:line="147" w:lineRule="exact" w:before="85"/>
              <w:ind w:left="495"/>
              <w:rPr>
                <w:sz w:val="14"/>
              </w:rPr>
            </w:pPr>
            <w:r>
              <w:rPr>
                <w:sz w:val="14"/>
              </w:rPr>
              <w:t>0 . 7 %</w:t>
            </w:r>
          </w:p>
        </w:tc>
        <w:tc>
          <w:tcPr>
            <w:tcW w:w="1575" w:type="dxa"/>
          </w:tcPr>
          <w:p>
            <w:pPr>
              <w:pStyle w:val="TableParagraph"/>
              <w:spacing w:line="147" w:lineRule="exact" w:before="85"/>
              <w:ind w:right="621"/>
              <w:jc w:val="right"/>
              <w:rPr>
                <w:sz w:val="14"/>
              </w:rPr>
            </w:pPr>
            <w:r>
              <w:rPr>
                <w:sz w:val="14"/>
              </w:rPr>
              <w:t>18,714.8</w:t>
            </w:r>
          </w:p>
        </w:tc>
        <w:tc>
          <w:tcPr>
            <w:tcW w:w="1339" w:type="dxa"/>
          </w:tcPr>
          <w:p>
            <w:pPr>
              <w:pStyle w:val="TableParagraph"/>
              <w:spacing w:line="147" w:lineRule="exact" w:before="85"/>
              <w:ind w:left="438"/>
              <w:rPr>
                <w:sz w:val="14"/>
              </w:rPr>
            </w:pPr>
            <w:r>
              <w:rPr>
                <w:sz w:val="14"/>
              </w:rPr>
              <w:t>0 . 9 %</w:t>
            </w:r>
          </w:p>
        </w:tc>
        <w:tc>
          <w:tcPr>
            <w:tcW w:w="1239" w:type="dxa"/>
          </w:tcPr>
          <w:p>
            <w:pPr>
              <w:pStyle w:val="TableParagraph"/>
              <w:spacing w:line="147" w:lineRule="exact" w:before="85"/>
              <w:ind w:right="419"/>
              <w:jc w:val="right"/>
              <w:rPr>
                <w:sz w:val="14"/>
              </w:rPr>
            </w:pPr>
            <w:r>
              <w:rPr>
                <w:sz w:val="14"/>
              </w:rPr>
              <w:t>19,835.8</w:t>
            </w:r>
          </w:p>
        </w:tc>
        <w:tc>
          <w:tcPr>
            <w:tcW w:w="1247" w:type="dxa"/>
          </w:tcPr>
          <w:p>
            <w:pPr>
              <w:pStyle w:val="TableParagraph"/>
              <w:spacing w:line="147" w:lineRule="exact" w:before="85"/>
              <w:ind w:left="416" w:right="354"/>
              <w:jc w:val="center"/>
              <w:rPr>
                <w:sz w:val="14"/>
              </w:rPr>
            </w:pPr>
            <w:r>
              <w:rPr>
                <w:sz w:val="14"/>
              </w:rPr>
              <w:t>1 . 0 %</w:t>
            </w:r>
          </w:p>
        </w:tc>
      </w:tr>
      <w:tr>
        <w:trPr>
          <w:trHeight w:val="168" w:hRule="atLeast"/>
        </w:trPr>
        <w:tc>
          <w:tcPr>
            <w:tcW w:w="471" w:type="dxa"/>
          </w:tcPr>
          <w:p>
            <w:pPr>
              <w:pStyle w:val="TableParagraph"/>
              <w:rPr>
                <w:rFonts w:ascii="Times New Roman"/>
                <w:sz w:val="10"/>
              </w:rPr>
            </w:pPr>
          </w:p>
        </w:tc>
        <w:tc>
          <w:tcPr>
            <w:tcW w:w="5199" w:type="dxa"/>
          </w:tcPr>
          <w:p>
            <w:pPr>
              <w:pStyle w:val="TableParagraph"/>
              <w:spacing w:line="147" w:lineRule="exact" w:before="1"/>
              <w:ind w:left="604"/>
              <w:rPr>
                <w:sz w:val="14"/>
              </w:rPr>
            </w:pPr>
            <w:r>
              <w:rPr>
                <w:sz w:val="14"/>
              </w:rPr>
              <w:t>Office of the Secretary to the Vice President</w:t>
            </w:r>
          </w:p>
        </w:tc>
        <w:tc>
          <w:tcPr>
            <w:tcW w:w="2230" w:type="dxa"/>
          </w:tcPr>
          <w:p>
            <w:pPr>
              <w:pStyle w:val="TableParagraph"/>
              <w:spacing w:line="147" w:lineRule="exact" w:before="1"/>
              <w:ind w:right="529"/>
              <w:jc w:val="right"/>
              <w:rPr>
                <w:b/>
                <w:sz w:val="14"/>
              </w:rPr>
            </w:pPr>
            <w:r>
              <w:rPr>
                <w:b/>
                <w:sz w:val="14"/>
              </w:rPr>
              <w:t>11,168.1</w:t>
            </w:r>
          </w:p>
        </w:tc>
        <w:tc>
          <w:tcPr>
            <w:tcW w:w="1487" w:type="dxa"/>
          </w:tcPr>
          <w:p>
            <w:pPr>
              <w:pStyle w:val="TableParagraph"/>
              <w:spacing w:line="147" w:lineRule="exact" w:before="1"/>
              <w:ind w:left="495"/>
              <w:rPr>
                <w:sz w:val="14"/>
              </w:rPr>
            </w:pPr>
            <w:r>
              <w:rPr>
                <w:sz w:val="14"/>
              </w:rPr>
              <w:t>0 . 5 %</w:t>
            </w:r>
          </w:p>
        </w:tc>
        <w:tc>
          <w:tcPr>
            <w:tcW w:w="1575" w:type="dxa"/>
          </w:tcPr>
          <w:p>
            <w:pPr>
              <w:pStyle w:val="TableParagraph"/>
              <w:spacing w:line="147" w:lineRule="exact" w:before="1"/>
              <w:ind w:right="623"/>
              <w:jc w:val="right"/>
              <w:rPr>
                <w:sz w:val="14"/>
              </w:rPr>
            </w:pPr>
            <w:r>
              <w:rPr>
                <w:sz w:val="14"/>
              </w:rPr>
              <w:t>14,971.6</w:t>
            </w:r>
          </w:p>
        </w:tc>
        <w:tc>
          <w:tcPr>
            <w:tcW w:w="1339" w:type="dxa"/>
          </w:tcPr>
          <w:p>
            <w:pPr>
              <w:pStyle w:val="TableParagraph"/>
              <w:spacing w:line="147" w:lineRule="exact" w:before="1"/>
              <w:ind w:left="438"/>
              <w:rPr>
                <w:sz w:val="14"/>
              </w:rPr>
            </w:pPr>
            <w:r>
              <w:rPr>
                <w:sz w:val="14"/>
              </w:rPr>
              <w:t>0 . 7 %</w:t>
            </w:r>
          </w:p>
        </w:tc>
        <w:tc>
          <w:tcPr>
            <w:tcW w:w="1239" w:type="dxa"/>
          </w:tcPr>
          <w:p>
            <w:pPr>
              <w:pStyle w:val="TableParagraph"/>
              <w:spacing w:line="147" w:lineRule="exact" w:before="1"/>
              <w:ind w:right="427"/>
              <w:jc w:val="right"/>
              <w:rPr>
                <w:sz w:val="14"/>
              </w:rPr>
            </w:pPr>
            <w:r>
              <w:rPr>
                <w:sz w:val="14"/>
              </w:rPr>
              <w:t>15,868.4</w:t>
            </w:r>
          </w:p>
        </w:tc>
        <w:tc>
          <w:tcPr>
            <w:tcW w:w="1247" w:type="dxa"/>
          </w:tcPr>
          <w:p>
            <w:pPr>
              <w:pStyle w:val="TableParagraph"/>
              <w:spacing w:line="147" w:lineRule="exact" w:before="1"/>
              <w:ind w:left="416" w:right="354"/>
              <w:jc w:val="center"/>
              <w:rPr>
                <w:sz w:val="14"/>
              </w:rPr>
            </w:pPr>
            <w:r>
              <w:rPr>
                <w:sz w:val="14"/>
              </w:rPr>
              <w:t>0 . 8 %</w:t>
            </w:r>
          </w:p>
        </w:tc>
      </w:tr>
      <w:tr>
        <w:trPr>
          <w:trHeight w:val="168" w:hRule="atLeast"/>
        </w:trPr>
        <w:tc>
          <w:tcPr>
            <w:tcW w:w="471" w:type="dxa"/>
          </w:tcPr>
          <w:p>
            <w:pPr>
              <w:pStyle w:val="TableParagraph"/>
              <w:rPr>
                <w:rFonts w:ascii="Times New Roman"/>
                <w:sz w:val="10"/>
              </w:rPr>
            </w:pPr>
          </w:p>
        </w:tc>
        <w:tc>
          <w:tcPr>
            <w:tcW w:w="5199" w:type="dxa"/>
          </w:tcPr>
          <w:p>
            <w:pPr>
              <w:pStyle w:val="TableParagraph"/>
              <w:spacing w:line="147" w:lineRule="exact" w:before="1"/>
              <w:ind w:left="604"/>
              <w:rPr>
                <w:sz w:val="14"/>
              </w:rPr>
            </w:pPr>
            <w:r>
              <w:rPr>
                <w:sz w:val="14"/>
              </w:rPr>
              <w:t>Scaling Up Nutrition</w:t>
            </w:r>
          </w:p>
        </w:tc>
        <w:tc>
          <w:tcPr>
            <w:tcW w:w="2230" w:type="dxa"/>
          </w:tcPr>
          <w:p>
            <w:pPr>
              <w:pStyle w:val="TableParagraph"/>
              <w:spacing w:line="147" w:lineRule="exact" w:before="1"/>
              <w:ind w:right="510"/>
              <w:jc w:val="right"/>
              <w:rPr>
                <w:b/>
                <w:sz w:val="14"/>
              </w:rPr>
            </w:pPr>
            <w:r>
              <w:rPr>
                <w:b/>
                <w:sz w:val="14"/>
              </w:rPr>
              <w:t>260.5</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320.9</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5"/>
              <w:jc w:val="right"/>
              <w:rPr>
                <w:sz w:val="14"/>
              </w:rPr>
            </w:pPr>
            <w:r>
              <w:rPr>
                <w:sz w:val="14"/>
              </w:rPr>
              <w:t>340.1</w:t>
            </w:r>
          </w:p>
        </w:tc>
        <w:tc>
          <w:tcPr>
            <w:tcW w:w="1247" w:type="dxa"/>
          </w:tcPr>
          <w:p>
            <w:pPr>
              <w:pStyle w:val="TableParagraph"/>
              <w:spacing w:line="147" w:lineRule="exact" w:before="1"/>
              <w:ind w:left="416" w:right="354"/>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199" w:type="dxa"/>
          </w:tcPr>
          <w:p>
            <w:pPr>
              <w:pStyle w:val="TableParagraph"/>
              <w:spacing w:line="147" w:lineRule="exact" w:before="1"/>
              <w:ind w:left="605"/>
              <w:rPr>
                <w:sz w:val="14"/>
              </w:rPr>
            </w:pPr>
            <w:r>
              <w:rPr>
                <w:sz w:val="14"/>
              </w:rPr>
              <w:t>Millennium Challenge Compact Secretariat</w:t>
            </w:r>
          </w:p>
        </w:tc>
        <w:tc>
          <w:tcPr>
            <w:tcW w:w="2230" w:type="dxa"/>
          </w:tcPr>
          <w:p>
            <w:pPr>
              <w:pStyle w:val="TableParagraph"/>
              <w:spacing w:line="147" w:lineRule="exact" w:before="1"/>
              <w:ind w:right="527"/>
              <w:jc w:val="right"/>
              <w:rPr>
                <w:b/>
                <w:sz w:val="14"/>
              </w:rPr>
            </w:pPr>
            <w:r>
              <w:rPr>
                <w:b/>
                <w:sz w:val="14"/>
              </w:rPr>
              <w:t>1,138.5</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2"/>
              <w:jc w:val="right"/>
              <w:rPr>
                <w:sz w:val="14"/>
              </w:rPr>
            </w:pPr>
            <w:r>
              <w:rPr>
                <w:sz w:val="14"/>
              </w:rPr>
              <w:t>993.9</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8"/>
              <w:jc w:val="right"/>
              <w:rPr>
                <w:sz w:val="14"/>
              </w:rPr>
            </w:pPr>
            <w:r>
              <w:rPr>
                <w:sz w:val="14"/>
              </w:rPr>
              <w:t>1,053 .4</w:t>
            </w:r>
          </w:p>
        </w:tc>
        <w:tc>
          <w:tcPr>
            <w:tcW w:w="1247" w:type="dxa"/>
          </w:tcPr>
          <w:p>
            <w:pPr>
              <w:pStyle w:val="TableParagraph"/>
              <w:spacing w:line="147" w:lineRule="exact" w:before="1"/>
              <w:ind w:left="416" w:right="354"/>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199" w:type="dxa"/>
          </w:tcPr>
          <w:p>
            <w:pPr>
              <w:pStyle w:val="TableParagraph"/>
              <w:spacing w:line="147" w:lineRule="exact" w:before="1"/>
              <w:ind w:left="604"/>
              <w:rPr>
                <w:sz w:val="14"/>
              </w:rPr>
            </w:pPr>
            <w:r>
              <w:rPr>
                <w:sz w:val="14"/>
              </w:rPr>
              <w:t>Extractive Industry Transparency Initiative Secretariat</w:t>
            </w:r>
          </w:p>
        </w:tc>
        <w:tc>
          <w:tcPr>
            <w:tcW w:w="2230" w:type="dxa"/>
          </w:tcPr>
          <w:p>
            <w:pPr>
              <w:pStyle w:val="TableParagraph"/>
              <w:spacing w:line="147" w:lineRule="exact" w:before="1"/>
              <w:ind w:right="510"/>
              <w:jc w:val="right"/>
              <w:rPr>
                <w:b/>
                <w:sz w:val="14"/>
              </w:rPr>
            </w:pPr>
            <w:r>
              <w:rPr>
                <w:b/>
                <w:sz w:val="14"/>
              </w:rPr>
              <w:t>352.6</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434.3</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5"/>
              <w:jc w:val="right"/>
              <w:rPr>
                <w:sz w:val="14"/>
              </w:rPr>
            </w:pPr>
            <w:r>
              <w:rPr>
                <w:sz w:val="14"/>
              </w:rPr>
              <w:t>460.4</w:t>
            </w:r>
          </w:p>
        </w:tc>
        <w:tc>
          <w:tcPr>
            <w:tcW w:w="1247" w:type="dxa"/>
          </w:tcPr>
          <w:p>
            <w:pPr>
              <w:pStyle w:val="TableParagraph"/>
              <w:spacing w:line="147" w:lineRule="exact" w:before="1"/>
              <w:ind w:left="416" w:right="354"/>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199" w:type="dxa"/>
          </w:tcPr>
          <w:p>
            <w:pPr>
              <w:pStyle w:val="TableParagraph"/>
              <w:spacing w:line="147" w:lineRule="exact" w:before="1"/>
              <w:ind w:left="604"/>
              <w:rPr>
                <w:sz w:val="14"/>
              </w:rPr>
            </w:pPr>
            <w:r>
              <w:rPr>
                <w:sz w:val="14"/>
              </w:rPr>
              <w:t>Public Private Partnership Unit</w:t>
            </w:r>
          </w:p>
        </w:tc>
        <w:tc>
          <w:tcPr>
            <w:tcW w:w="2230" w:type="dxa"/>
          </w:tcPr>
          <w:p>
            <w:pPr>
              <w:pStyle w:val="TableParagraph"/>
              <w:spacing w:line="147" w:lineRule="exact" w:before="1"/>
              <w:ind w:right="527"/>
              <w:jc w:val="right"/>
              <w:rPr>
                <w:b/>
                <w:sz w:val="14"/>
              </w:rPr>
            </w:pPr>
            <w:r>
              <w:rPr>
                <w:b/>
                <w:sz w:val="14"/>
              </w:rPr>
              <w:t>1,563.1</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2"/>
              <w:jc w:val="right"/>
              <w:rPr>
                <w:sz w:val="14"/>
              </w:rPr>
            </w:pPr>
            <w:r>
              <w:rPr>
                <w:sz w:val="14"/>
              </w:rPr>
              <w:t>940.0</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5"/>
              <w:jc w:val="right"/>
              <w:rPr>
                <w:sz w:val="14"/>
              </w:rPr>
            </w:pPr>
            <w:r>
              <w:rPr>
                <w:sz w:val="14"/>
              </w:rPr>
              <w:t>996.3</w:t>
            </w:r>
          </w:p>
        </w:tc>
        <w:tc>
          <w:tcPr>
            <w:tcW w:w="1247" w:type="dxa"/>
          </w:tcPr>
          <w:p>
            <w:pPr>
              <w:pStyle w:val="TableParagraph"/>
              <w:spacing w:line="147" w:lineRule="exact" w:before="1"/>
              <w:ind w:left="416" w:right="354"/>
              <w:jc w:val="center"/>
              <w:rPr>
                <w:sz w:val="14"/>
              </w:rPr>
            </w:pPr>
            <w:r>
              <w:rPr>
                <w:sz w:val="14"/>
              </w:rPr>
              <w:t>0 . 0 %</w:t>
            </w:r>
          </w:p>
        </w:tc>
      </w:tr>
      <w:tr>
        <w:trPr>
          <w:trHeight w:val="252" w:hRule="atLeast"/>
        </w:trPr>
        <w:tc>
          <w:tcPr>
            <w:tcW w:w="471" w:type="dxa"/>
          </w:tcPr>
          <w:p>
            <w:pPr>
              <w:pStyle w:val="TableParagraph"/>
              <w:rPr>
                <w:rFonts w:ascii="Times New Roman"/>
                <w:sz w:val="14"/>
              </w:rPr>
            </w:pPr>
          </w:p>
        </w:tc>
        <w:tc>
          <w:tcPr>
            <w:tcW w:w="5199" w:type="dxa"/>
          </w:tcPr>
          <w:p>
            <w:pPr>
              <w:pStyle w:val="TableParagraph"/>
              <w:spacing w:before="1"/>
              <w:ind w:left="604"/>
              <w:rPr>
                <w:sz w:val="14"/>
              </w:rPr>
            </w:pPr>
            <w:r>
              <w:rPr>
                <w:sz w:val="14"/>
              </w:rPr>
              <w:t>Establishment of National Investment Board</w:t>
            </w:r>
          </w:p>
        </w:tc>
        <w:tc>
          <w:tcPr>
            <w:tcW w:w="2230" w:type="dxa"/>
          </w:tcPr>
          <w:p>
            <w:pPr>
              <w:pStyle w:val="TableParagraph"/>
              <w:spacing w:before="1"/>
              <w:ind w:right="510"/>
              <w:jc w:val="right"/>
              <w:rPr>
                <w:b/>
                <w:sz w:val="14"/>
              </w:rPr>
            </w:pPr>
            <w:r>
              <w:rPr>
                <w:b/>
                <w:sz w:val="14"/>
              </w:rPr>
              <w:t>855.7</w:t>
            </w:r>
          </w:p>
        </w:tc>
        <w:tc>
          <w:tcPr>
            <w:tcW w:w="1487" w:type="dxa"/>
          </w:tcPr>
          <w:p>
            <w:pPr>
              <w:pStyle w:val="TableParagraph"/>
              <w:spacing w:before="1"/>
              <w:ind w:left="495"/>
              <w:rPr>
                <w:sz w:val="14"/>
              </w:rPr>
            </w:pPr>
            <w:r>
              <w:rPr>
                <w:sz w:val="14"/>
              </w:rPr>
              <w:t>0 . 0 %</w:t>
            </w:r>
          </w:p>
        </w:tc>
        <w:tc>
          <w:tcPr>
            <w:tcW w:w="1575" w:type="dxa"/>
          </w:tcPr>
          <w:p>
            <w:pPr>
              <w:pStyle w:val="TableParagraph"/>
              <w:spacing w:before="1"/>
              <w:ind w:right="619"/>
              <w:jc w:val="right"/>
              <w:rPr>
                <w:sz w:val="14"/>
              </w:rPr>
            </w:pPr>
            <w:r>
              <w:rPr>
                <w:sz w:val="14"/>
              </w:rPr>
              <w:t>1,054 .1</w:t>
            </w:r>
          </w:p>
        </w:tc>
        <w:tc>
          <w:tcPr>
            <w:tcW w:w="1339" w:type="dxa"/>
          </w:tcPr>
          <w:p>
            <w:pPr>
              <w:pStyle w:val="TableParagraph"/>
              <w:spacing w:before="1"/>
              <w:ind w:left="438"/>
              <w:rPr>
                <w:sz w:val="14"/>
              </w:rPr>
            </w:pPr>
            <w:r>
              <w:rPr>
                <w:sz w:val="14"/>
              </w:rPr>
              <w:t>0 . 1 %</w:t>
            </w:r>
          </w:p>
        </w:tc>
        <w:tc>
          <w:tcPr>
            <w:tcW w:w="1239" w:type="dxa"/>
          </w:tcPr>
          <w:p>
            <w:pPr>
              <w:pStyle w:val="TableParagraph"/>
              <w:spacing w:before="1"/>
              <w:ind w:right="418"/>
              <w:jc w:val="right"/>
              <w:rPr>
                <w:sz w:val="14"/>
              </w:rPr>
            </w:pPr>
            <w:r>
              <w:rPr>
                <w:sz w:val="14"/>
              </w:rPr>
              <w:t>1,117 .2</w:t>
            </w:r>
          </w:p>
        </w:tc>
        <w:tc>
          <w:tcPr>
            <w:tcW w:w="1247" w:type="dxa"/>
          </w:tcPr>
          <w:p>
            <w:pPr>
              <w:pStyle w:val="TableParagraph"/>
              <w:spacing w:before="1"/>
              <w:ind w:left="416" w:right="354"/>
              <w:jc w:val="center"/>
              <w:rPr>
                <w:sz w:val="14"/>
              </w:rPr>
            </w:pPr>
            <w:r>
              <w:rPr>
                <w:sz w:val="14"/>
              </w:rPr>
              <w:t>0 . 1 %</w:t>
            </w:r>
          </w:p>
        </w:tc>
      </w:tr>
      <w:tr>
        <w:trPr>
          <w:trHeight w:val="252" w:hRule="atLeast"/>
        </w:trPr>
        <w:tc>
          <w:tcPr>
            <w:tcW w:w="471" w:type="dxa"/>
          </w:tcPr>
          <w:p>
            <w:pPr>
              <w:pStyle w:val="TableParagraph"/>
              <w:spacing w:line="147" w:lineRule="exact" w:before="85"/>
              <w:ind w:left="125"/>
              <w:rPr>
                <w:sz w:val="14"/>
              </w:rPr>
            </w:pPr>
            <w:r>
              <w:rPr>
                <w:sz w:val="14"/>
              </w:rPr>
              <w:t>116</w:t>
            </w:r>
          </w:p>
        </w:tc>
        <w:tc>
          <w:tcPr>
            <w:tcW w:w="5199" w:type="dxa"/>
          </w:tcPr>
          <w:p>
            <w:pPr>
              <w:pStyle w:val="TableParagraph"/>
              <w:spacing w:line="147" w:lineRule="exact" w:before="85"/>
              <w:ind w:left="95"/>
              <w:rPr>
                <w:sz w:val="14"/>
              </w:rPr>
            </w:pPr>
            <w:r>
              <w:rPr>
                <w:sz w:val="14"/>
              </w:rPr>
              <w:t>Parliament</w:t>
            </w:r>
          </w:p>
        </w:tc>
        <w:tc>
          <w:tcPr>
            <w:tcW w:w="2230" w:type="dxa"/>
          </w:tcPr>
          <w:p>
            <w:pPr>
              <w:pStyle w:val="TableParagraph"/>
              <w:spacing w:line="147" w:lineRule="exact" w:before="85"/>
              <w:ind w:right="529"/>
              <w:jc w:val="right"/>
              <w:rPr>
                <w:b/>
                <w:sz w:val="14"/>
              </w:rPr>
            </w:pPr>
            <w:r>
              <w:rPr>
                <w:b/>
                <w:sz w:val="14"/>
              </w:rPr>
              <w:t>37,236.9</w:t>
            </w:r>
          </w:p>
        </w:tc>
        <w:tc>
          <w:tcPr>
            <w:tcW w:w="1487" w:type="dxa"/>
          </w:tcPr>
          <w:p>
            <w:pPr>
              <w:pStyle w:val="TableParagraph"/>
              <w:spacing w:line="147" w:lineRule="exact" w:before="85"/>
              <w:ind w:left="495"/>
              <w:rPr>
                <w:sz w:val="14"/>
              </w:rPr>
            </w:pPr>
            <w:r>
              <w:rPr>
                <w:sz w:val="14"/>
              </w:rPr>
              <w:t>1 . 8 %</w:t>
            </w:r>
          </w:p>
        </w:tc>
        <w:tc>
          <w:tcPr>
            <w:tcW w:w="1575" w:type="dxa"/>
          </w:tcPr>
          <w:p>
            <w:pPr>
              <w:pStyle w:val="TableParagraph"/>
              <w:spacing w:line="147" w:lineRule="exact" w:before="85"/>
              <w:ind w:right="623"/>
              <w:jc w:val="right"/>
              <w:rPr>
                <w:sz w:val="14"/>
              </w:rPr>
            </w:pPr>
            <w:r>
              <w:rPr>
                <w:sz w:val="14"/>
              </w:rPr>
              <w:t>40,205.3</w:t>
            </w:r>
          </w:p>
        </w:tc>
        <w:tc>
          <w:tcPr>
            <w:tcW w:w="1339" w:type="dxa"/>
          </w:tcPr>
          <w:p>
            <w:pPr>
              <w:pStyle w:val="TableParagraph"/>
              <w:spacing w:line="147" w:lineRule="exact" w:before="85"/>
              <w:ind w:left="438"/>
              <w:rPr>
                <w:sz w:val="14"/>
              </w:rPr>
            </w:pPr>
            <w:r>
              <w:rPr>
                <w:sz w:val="14"/>
              </w:rPr>
              <w:t>1 . 9 %</w:t>
            </w:r>
          </w:p>
        </w:tc>
        <w:tc>
          <w:tcPr>
            <w:tcW w:w="1239" w:type="dxa"/>
          </w:tcPr>
          <w:p>
            <w:pPr>
              <w:pStyle w:val="TableParagraph"/>
              <w:spacing w:line="147" w:lineRule="exact" w:before="85"/>
              <w:ind w:right="427"/>
              <w:jc w:val="right"/>
              <w:rPr>
                <w:sz w:val="14"/>
              </w:rPr>
            </w:pPr>
            <w:r>
              <w:rPr>
                <w:sz w:val="14"/>
              </w:rPr>
              <w:t>42,613.6</w:t>
            </w:r>
          </w:p>
        </w:tc>
        <w:tc>
          <w:tcPr>
            <w:tcW w:w="1247" w:type="dxa"/>
          </w:tcPr>
          <w:p>
            <w:pPr>
              <w:pStyle w:val="TableParagraph"/>
              <w:spacing w:line="147" w:lineRule="exact" w:before="85"/>
              <w:ind w:left="416" w:right="354"/>
              <w:jc w:val="center"/>
              <w:rPr>
                <w:sz w:val="14"/>
              </w:rPr>
            </w:pPr>
            <w:r>
              <w:rPr>
                <w:sz w:val="14"/>
              </w:rPr>
              <w:t>2 . 0 %</w:t>
            </w:r>
          </w:p>
        </w:tc>
      </w:tr>
      <w:tr>
        <w:trPr>
          <w:trHeight w:val="167" w:hRule="atLeast"/>
        </w:trPr>
        <w:tc>
          <w:tcPr>
            <w:tcW w:w="471" w:type="dxa"/>
          </w:tcPr>
          <w:p>
            <w:pPr>
              <w:pStyle w:val="TableParagraph"/>
              <w:rPr>
                <w:rFonts w:ascii="Times New Roman"/>
                <w:sz w:val="10"/>
              </w:rPr>
            </w:pPr>
          </w:p>
        </w:tc>
        <w:tc>
          <w:tcPr>
            <w:tcW w:w="5199" w:type="dxa"/>
          </w:tcPr>
          <w:p>
            <w:pPr>
              <w:pStyle w:val="TableParagraph"/>
              <w:spacing w:line="147" w:lineRule="exact" w:before="1"/>
              <w:ind w:left="263"/>
              <w:rPr>
                <w:sz w:val="14"/>
              </w:rPr>
            </w:pPr>
            <w:r>
              <w:rPr>
                <w:sz w:val="14"/>
              </w:rPr>
              <w:t>o/ w Mobility Facilitation Support</w:t>
            </w:r>
          </w:p>
        </w:tc>
        <w:tc>
          <w:tcPr>
            <w:tcW w:w="2230" w:type="dxa"/>
          </w:tcPr>
          <w:p>
            <w:pPr>
              <w:pStyle w:val="TableParagraph"/>
              <w:spacing w:line="147" w:lineRule="exact" w:before="1"/>
              <w:ind w:right="529"/>
              <w:jc w:val="right"/>
              <w:rPr>
                <w:b/>
                <w:sz w:val="14"/>
              </w:rPr>
            </w:pPr>
            <w:r>
              <w:rPr>
                <w:b/>
                <w:sz w:val="14"/>
              </w:rPr>
              <w:t>20,958.3</w:t>
            </w:r>
          </w:p>
        </w:tc>
        <w:tc>
          <w:tcPr>
            <w:tcW w:w="1487" w:type="dxa"/>
          </w:tcPr>
          <w:p>
            <w:pPr>
              <w:pStyle w:val="TableParagraph"/>
              <w:spacing w:line="147" w:lineRule="exact" w:before="1"/>
              <w:ind w:left="495"/>
              <w:rPr>
                <w:sz w:val="14"/>
              </w:rPr>
            </w:pPr>
            <w:r>
              <w:rPr>
                <w:sz w:val="14"/>
              </w:rPr>
              <w:t>1 . 0 %</w:t>
            </w:r>
          </w:p>
        </w:tc>
        <w:tc>
          <w:tcPr>
            <w:tcW w:w="1575" w:type="dxa"/>
          </w:tcPr>
          <w:p>
            <w:pPr>
              <w:pStyle w:val="TableParagraph"/>
              <w:spacing w:line="147" w:lineRule="exact" w:before="1"/>
              <w:ind w:right="603"/>
              <w:jc w:val="right"/>
              <w:rPr>
                <w:sz w:val="14"/>
              </w:rPr>
            </w:pPr>
            <w:r>
              <w:rPr>
                <w:w w:val="95"/>
                <w:sz w:val="14"/>
              </w:rPr>
              <w:t>0.0</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01"/>
              <w:jc w:val="right"/>
              <w:rPr>
                <w:sz w:val="14"/>
              </w:rPr>
            </w:pPr>
            <w:r>
              <w:rPr>
                <w:w w:val="95"/>
                <w:sz w:val="14"/>
              </w:rPr>
              <w:t>0.0</w:t>
            </w:r>
          </w:p>
        </w:tc>
        <w:tc>
          <w:tcPr>
            <w:tcW w:w="1247" w:type="dxa"/>
          </w:tcPr>
          <w:p>
            <w:pPr>
              <w:pStyle w:val="TableParagraph"/>
              <w:spacing w:line="147" w:lineRule="exact" w:before="1"/>
              <w:ind w:left="416" w:right="354"/>
              <w:jc w:val="center"/>
              <w:rPr>
                <w:sz w:val="14"/>
              </w:rPr>
            </w:pPr>
            <w:r>
              <w:rPr>
                <w:sz w:val="14"/>
              </w:rPr>
              <w:t>0 . 0 %</w:t>
            </w:r>
          </w:p>
        </w:tc>
      </w:tr>
      <w:tr>
        <w:trPr>
          <w:trHeight w:val="252" w:hRule="atLeast"/>
        </w:trPr>
        <w:tc>
          <w:tcPr>
            <w:tcW w:w="471" w:type="dxa"/>
          </w:tcPr>
          <w:p>
            <w:pPr>
              <w:pStyle w:val="TableParagraph"/>
              <w:rPr>
                <w:rFonts w:ascii="Times New Roman"/>
                <w:sz w:val="14"/>
              </w:rPr>
            </w:pPr>
          </w:p>
        </w:tc>
        <w:tc>
          <w:tcPr>
            <w:tcW w:w="5199" w:type="dxa"/>
          </w:tcPr>
          <w:p>
            <w:pPr>
              <w:pStyle w:val="TableParagraph"/>
              <w:spacing w:before="1"/>
              <w:ind w:left="604"/>
              <w:rPr>
                <w:sz w:val="14"/>
              </w:rPr>
            </w:pPr>
            <w:r>
              <w:rPr>
                <w:sz w:val="14"/>
              </w:rPr>
              <w:t>Parliamentary Service Commission</w:t>
            </w:r>
          </w:p>
        </w:tc>
        <w:tc>
          <w:tcPr>
            <w:tcW w:w="2230" w:type="dxa"/>
          </w:tcPr>
          <w:p>
            <w:pPr>
              <w:pStyle w:val="TableParagraph"/>
              <w:spacing w:before="1"/>
              <w:ind w:right="527"/>
              <w:jc w:val="right"/>
              <w:rPr>
                <w:b/>
                <w:sz w:val="14"/>
              </w:rPr>
            </w:pPr>
            <w:r>
              <w:rPr>
                <w:b/>
                <w:sz w:val="14"/>
              </w:rPr>
              <w:t>1,733.4</w:t>
            </w:r>
          </w:p>
        </w:tc>
        <w:tc>
          <w:tcPr>
            <w:tcW w:w="1487" w:type="dxa"/>
          </w:tcPr>
          <w:p>
            <w:pPr>
              <w:pStyle w:val="TableParagraph"/>
              <w:spacing w:before="1"/>
              <w:ind w:left="495"/>
              <w:rPr>
                <w:sz w:val="14"/>
              </w:rPr>
            </w:pPr>
            <w:r>
              <w:rPr>
                <w:sz w:val="14"/>
              </w:rPr>
              <w:t>0 . 1 %</w:t>
            </w:r>
          </w:p>
        </w:tc>
        <w:tc>
          <w:tcPr>
            <w:tcW w:w="1575" w:type="dxa"/>
          </w:tcPr>
          <w:p>
            <w:pPr>
              <w:pStyle w:val="TableParagraph"/>
              <w:spacing w:before="1"/>
              <w:ind w:right="619"/>
              <w:jc w:val="right"/>
              <w:rPr>
                <w:sz w:val="14"/>
              </w:rPr>
            </w:pPr>
            <w:r>
              <w:rPr>
                <w:sz w:val="14"/>
              </w:rPr>
              <w:t>2,135 .2</w:t>
            </w:r>
          </w:p>
        </w:tc>
        <w:tc>
          <w:tcPr>
            <w:tcW w:w="1339" w:type="dxa"/>
          </w:tcPr>
          <w:p>
            <w:pPr>
              <w:pStyle w:val="TableParagraph"/>
              <w:spacing w:before="1"/>
              <w:ind w:left="438"/>
              <w:rPr>
                <w:sz w:val="14"/>
              </w:rPr>
            </w:pPr>
            <w:r>
              <w:rPr>
                <w:sz w:val="14"/>
              </w:rPr>
              <w:t>0 . 1 %</w:t>
            </w:r>
          </w:p>
        </w:tc>
        <w:tc>
          <w:tcPr>
            <w:tcW w:w="1239" w:type="dxa"/>
          </w:tcPr>
          <w:p>
            <w:pPr>
              <w:pStyle w:val="TableParagraph"/>
              <w:spacing w:before="1"/>
              <w:ind w:right="418"/>
              <w:jc w:val="right"/>
              <w:rPr>
                <w:sz w:val="14"/>
              </w:rPr>
            </w:pPr>
            <w:r>
              <w:rPr>
                <w:sz w:val="14"/>
              </w:rPr>
              <w:t>2,263 .1</w:t>
            </w:r>
          </w:p>
        </w:tc>
        <w:tc>
          <w:tcPr>
            <w:tcW w:w="1247" w:type="dxa"/>
          </w:tcPr>
          <w:p>
            <w:pPr>
              <w:pStyle w:val="TableParagraph"/>
              <w:spacing w:before="1"/>
              <w:ind w:left="416" w:right="354"/>
              <w:jc w:val="center"/>
              <w:rPr>
                <w:sz w:val="14"/>
              </w:rPr>
            </w:pPr>
            <w:r>
              <w:rPr>
                <w:sz w:val="14"/>
              </w:rPr>
              <w:t>0 . 1 %</w:t>
            </w:r>
          </w:p>
        </w:tc>
      </w:tr>
      <w:tr>
        <w:trPr>
          <w:trHeight w:val="251" w:hRule="atLeast"/>
        </w:trPr>
        <w:tc>
          <w:tcPr>
            <w:tcW w:w="471" w:type="dxa"/>
          </w:tcPr>
          <w:p>
            <w:pPr>
              <w:pStyle w:val="TableParagraph"/>
              <w:spacing w:line="147" w:lineRule="exact" w:before="85"/>
              <w:ind w:left="125"/>
              <w:rPr>
                <w:sz w:val="14"/>
              </w:rPr>
            </w:pPr>
            <w:r>
              <w:rPr>
                <w:sz w:val="14"/>
              </w:rPr>
              <w:t>117</w:t>
            </w:r>
          </w:p>
        </w:tc>
        <w:tc>
          <w:tcPr>
            <w:tcW w:w="5199" w:type="dxa"/>
          </w:tcPr>
          <w:p>
            <w:pPr>
              <w:pStyle w:val="TableParagraph"/>
              <w:spacing w:line="147" w:lineRule="exact" w:before="85"/>
              <w:ind w:left="95"/>
              <w:rPr>
                <w:sz w:val="14"/>
              </w:rPr>
            </w:pPr>
            <w:r>
              <w:rPr>
                <w:sz w:val="14"/>
              </w:rPr>
              <w:t>Cabinet Secretariat</w:t>
            </w:r>
          </w:p>
        </w:tc>
        <w:tc>
          <w:tcPr>
            <w:tcW w:w="2230" w:type="dxa"/>
          </w:tcPr>
          <w:p>
            <w:pPr>
              <w:pStyle w:val="TableParagraph"/>
              <w:spacing w:line="147" w:lineRule="exact" w:before="85"/>
              <w:ind w:right="529"/>
              <w:jc w:val="right"/>
              <w:rPr>
                <w:b/>
                <w:sz w:val="14"/>
              </w:rPr>
            </w:pPr>
            <w:r>
              <w:rPr>
                <w:b/>
                <w:sz w:val="14"/>
              </w:rPr>
              <w:t>10,461.5</w:t>
            </w:r>
          </w:p>
        </w:tc>
        <w:tc>
          <w:tcPr>
            <w:tcW w:w="1487" w:type="dxa"/>
          </w:tcPr>
          <w:p>
            <w:pPr>
              <w:pStyle w:val="TableParagraph"/>
              <w:spacing w:line="147" w:lineRule="exact" w:before="85"/>
              <w:ind w:left="495"/>
              <w:rPr>
                <w:sz w:val="14"/>
              </w:rPr>
            </w:pPr>
            <w:r>
              <w:rPr>
                <w:sz w:val="14"/>
              </w:rPr>
              <w:t>0 . 5 %</w:t>
            </w:r>
          </w:p>
        </w:tc>
        <w:tc>
          <w:tcPr>
            <w:tcW w:w="1575" w:type="dxa"/>
          </w:tcPr>
          <w:p>
            <w:pPr>
              <w:pStyle w:val="TableParagraph"/>
              <w:spacing w:line="147" w:lineRule="exact" w:before="85"/>
              <w:ind w:right="623"/>
              <w:jc w:val="right"/>
              <w:rPr>
                <w:sz w:val="14"/>
              </w:rPr>
            </w:pPr>
            <w:r>
              <w:rPr>
                <w:sz w:val="14"/>
              </w:rPr>
              <w:t>10,386.7</w:t>
            </w:r>
          </w:p>
        </w:tc>
        <w:tc>
          <w:tcPr>
            <w:tcW w:w="1339" w:type="dxa"/>
          </w:tcPr>
          <w:p>
            <w:pPr>
              <w:pStyle w:val="TableParagraph"/>
              <w:spacing w:line="147" w:lineRule="exact" w:before="85"/>
              <w:ind w:left="438"/>
              <w:rPr>
                <w:sz w:val="14"/>
              </w:rPr>
            </w:pPr>
            <w:r>
              <w:rPr>
                <w:sz w:val="14"/>
              </w:rPr>
              <w:t>0 . 5 %</w:t>
            </w:r>
          </w:p>
        </w:tc>
        <w:tc>
          <w:tcPr>
            <w:tcW w:w="1239" w:type="dxa"/>
          </w:tcPr>
          <w:p>
            <w:pPr>
              <w:pStyle w:val="TableParagraph"/>
              <w:spacing w:line="147" w:lineRule="exact" w:before="85"/>
              <w:ind w:right="427"/>
              <w:jc w:val="right"/>
              <w:rPr>
                <w:sz w:val="14"/>
              </w:rPr>
            </w:pPr>
            <w:r>
              <w:rPr>
                <w:sz w:val="14"/>
              </w:rPr>
              <w:t>11,008.8</w:t>
            </w:r>
          </w:p>
        </w:tc>
        <w:tc>
          <w:tcPr>
            <w:tcW w:w="1247" w:type="dxa"/>
          </w:tcPr>
          <w:p>
            <w:pPr>
              <w:pStyle w:val="TableParagraph"/>
              <w:spacing w:line="147" w:lineRule="exact" w:before="85"/>
              <w:ind w:left="416" w:right="354"/>
              <w:jc w:val="center"/>
              <w:rPr>
                <w:sz w:val="14"/>
              </w:rPr>
            </w:pPr>
            <w:r>
              <w:rPr>
                <w:sz w:val="14"/>
              </w:rPr>
              <w:t>0 . 5 %</w:t>
            </w:r>
          </w:p>
        </w:tc>
      </w:tr>
      <w:tr>
        <w:trPr>
          <w:trHeight w:val="168" w:hRule="atLeast"/>
        </w:trPr>
        <w:tc>
          <w:tcPr>
            <w:tcW w:w="471" w:type="dxa"/>
          </w:tcPr>
          <w:p>
            <w:pPr>
              <w:pStyle w:val="TableParagraph"/>
              <w:rPr>
                <w:rFonts w:ascii="Times New Roman"/>
                <w:sz w:val="10"/>
              </w:rPr>
            </w:pPr>
          </w:p>
        </w:tc>
        <w:tc>
          <w:tcPr>
            <w:tcW w:w="5199" w:type="dxa"/>
          </w:tcPr>
          <w:p>
            <w:pPr>
              <w:pStyle w:val="TableParagraph"/>
              <w:spacing w:line="147" w:lineRule="exact" w:before="1"/>
              <w:ind w:left="263"/>
              <w:rPr>
                <w:sz w:val="14"/>
              </w:rPr>
            </w:pPr>
            <w:r>
              <w:rPr>
                <w:sz w:val="14"/>
              </w:rPr>
              <w:t>o/ w Mobility Facilitation Support</w:t>
            </w:r>
          </w:p>
        </w:tc>
        <w:tc>
          <w:tcPr>
            <w:tcW w:w="2230" w:type="dxa"/>
          </w:tcPr>
          <w:p>
            <w:pPr>
              <w:pStyle w:val="TableParagraph"/>
              <w:spacing w:line="147" w:lineRule="exact" w:before="1"/>
              <w:ind w:right="527"/>
              <w:jc w:val="right"/>
              <w:rPr>
                <w:b/>
                <w:sz w:val="14"/>
              </w:rPr>
            </w:pPr>
            <w:r>
              <w:rPr>
                <w:b/>
                <w:sz w:val="14"/>
              </w:rPr>
              <w:t>7,751.7</w:t>
            </w:r>
          </w:p>
        </w:tc>
        <w:tc>
          <w:tcPr>
            <w:tcW w:w="1487" w:type="dxa"/>
          </w:tcPr>
          <w:p>
            <w:pPr>
              <w:pStyle w:val="TableParagraph"/>
              <w:spacing w:line="147" w:lineRule="exact" w:before="1"/>
              <w:ind w:left="495"/>
              <w:rPr>
                <w:sz w:val="14"/>
              </w:rPr>
            </w:pPr>
            <w:r>
              <w:rPr>
                <w:sz w:val="14"/>
              </w:rPr>
              <w:t>0 . 4 %</w:t>
            </w:r>
          </w:p>
        </w:tc>
        <w:tc>
          <w:tcPr>
            <w:tcW w:w="1575" w:type="dxa"/>
          </w:tcPr>
          <w:p>
            <w:pPr>
              <w:pStyle w:val="TableParagraph"/>
              <w:spacing w:line="147" w:lineRule="exact" w:before="1"/>
              <w:ind w:right="603"/>
              <w:jc w:val="right"/>
              <w:rPr>
                <w:sz w:val="14"/>
              </w:rPr>
            </w:pPr>
            <w:r>
              <w:rPr>
                <w:w w:val="95"/>
                <w:sz w:val="14"/>
              </w:rPr>
              <w:t>0.0</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01"/>
              <w:jc w:val="right"/>
              <w:rPr>
                <w:sz w:val="14"/>
              </w:rPr>
            </w:pPr>
            <w:r>
              <w:rPr>
                <w:w w:val="95"/>
                <w:sz w:val="14"/>
              </w:rPr>
              <w:t>0.0</w:t>
            </w:r>
          </w:p>
        </w:tc>
        <w:tc>
          <w:tcPr>
            <w:tcW w:w="1247" w:type="dxa"/>
          </w:tcPr>
          <w:p>
            <w:pPr>
              <w:pStyle w:val="TableParagraph"/>
              <w:spacing w:line="147" w:lineRule="exact" w:before="1"/>
              <w:ind w:left="416" w:right="354"/>
              <w:jc w:val="center"/>
              <w:rPr>
                <w:sz w:val="14"/>
              </w:rPr>
            </w:pPr>
            <w:r>
              <w:rPr>
                <w:sz w:val="14"/>
              </w:rPr>
              <w:t>0 . 0 %</w:t>
            </w:r>
          </w:p>
        </w:tc>
      </w:tr>
      <w:tr>
        <w:trPr>
          <w:trHeight w:val="251" w:hRule="atLeast"/>
        </w:trPr>
        <w:tc>
          <w:tcPr>
            <w:tcW w:w="471" w:type="dxa"/>
          </w:tcPr>
          <w:p>
            <w:pPr>
              <w:pStyle w:val="TableParagraph"/>
              <w:rPr>
                <w:rFonts w:ascii="Times New Roman"/>
                <w:sz w:val="14"/>
              </w:rPr>
            </w:pPr>
          </w:p>
        </w:tc>
        <w:tc>
          <w:tcPr>
            <w:tcW w:w="5199" w:type="dxa"/>
          </w:tcPr>
          <w:p>
            <w:pPr>
              <w:pStyle w:val="TableParagraph"/>
              <w:spacing w:before="1"/>
              <w:ind w:left="604"/>
              <w:rPr>
                <w:sz w:val="14"/>
              </w:rPr>
            </w:pPr>
            <w:r>
              <w:rPr>
                <w:sz w:val="14"/>
              </w:rPr>
              <w:t>Cabinet Oversight and Monitoring Unit</w:t>
            </w:r>
          </w:p>
        </w:tc>
        <w:tc>
          <w:tcPr>
            <w:tcW w:w="2230" w:type="dxa"/>
          </w:tcPr>
          <w:p>
            <w:pPr>
              <w:pStyle w:val="TableParagraph"/>
              <w:spacing w:before="1"/>
              <w:ind w:right="510"/>
              <w:jc w:val="right"/>
              <w:rPr>
                <w:b/>
                <w:sz w:val="14"/>
              </w:rPr>
            </w:pPr>
            <w:r>
              <w:rPr>
                <w:b/>
                <w:sz w:val="14"/>
              </w:rPr>
              <w:t>385.8</w:t>
            </w:r>
          </w:p>
        </w:tc>
        <w:tc>
          <w:tcPr>
            <w:tcW w:w="1487" w:type="dxa"/>
          </w:tcPr>
          <w:p>
            <w:pPr>
              <w:pStyle w:val="TableParagraph"/>
              <w:spacing w:before="1"/>
              <w:ind w:left="495"/>
              <w:rPr>
                <w:sz w:val="14"/>
              </w:rPr>
            </w:pPr>
            <w:r>
              <w:rPr>
                <w:sz w:val="14"/>
              </w:rPr>
              <w:t>0 . 0 %</w:t>
            </w:r>
          </w:p>
        </w:tc>
        <w:tc>
          <w:tcPr>
            <w:tcW w:w="1575" w:type="dxa"/>
          </w:tcPr>
          <w:p>
            <w:pPr>
              <w:pStyle w:val="TableParagraph"/>
              <w:spacing w:before="1"/>
              <w:ind w:right="612"/>
              <w:jc w:val="right"/>
              <w:rPr>
                <w:sz w:val="14"/>
              </w:rPr>
            </w:pPr>
            <w:r>
              <w:rPr>
                <w:sz w:val="14"/>
              </w:rPr>
              <w:t>475.2</w:t>
            </w:r>
          </w:p>
        </w:tc>
        <w:tc>
          <w:tcPr>
            <w:tcW w:w="1339" w:type="dxa"/>
          </w:tcPr>
          <w:p>
            <w:pPr>
              <w:pStyle w:val="TableParagraph"/>
              <w:spacing w:before="1"/>
              <w:ind w:left="438"/>
              <w:rPr>
                <w:sz w:val="14"/>
              </w:rPr>
            </w:pPr>
            <w:r>
              <w:rPr>
                <w:sz w:val="14"/>
              </w:rPr>
              <w:t>0 . 0 %</w:t>
            </w:r>
          </w:p>
        </w:tc>
        <w:tc>
          <w:tcPr>
            <w:tcW w:w="1239" w:type="dxa"/>
          </w:tcPr>
          <w:p>
            <w:pPr>
              <w:pStyle w:val="TableParagraph"/>
              <w:spacing w:before="1"/>
              <w:ind w:right="415"/>
              <w:jc w:val="right"/>
              <w:rPr>
                <w:sz w:val="14"/>
              </w:rPr>
            </w:pPr>
            <w:r>
              <w:rPr>
                <w:sz w:val="14"/>
              </w:rPr>
              <w:t>503.7</w:t>
            </w:r>
          </w:p>
        </w:tc>
        <w:tc>
          <w:tcPr>
            <w:tcW w:w="1247" w:type="dxa"/>
          </w:tcPr>
          <w:p>
            <w:pPr>
              <w:pStyle w:val="TableParagraph"/>
              <w:spacing w:before="1"/>
              <w:ind w:left="416" w:right="354"/>
              <w:jc w:val="center"/>
              <w:rPr>
                <w:sz w:val="14"/>
              </w:rPr>
            </w:pPr>
            <w:r>
              <w:rPr>
                <w:sz w:val="14"/>
              </w:rPr>
              <w:t>0 . 0 %</w:t>
            </w:r>
          </w:p>
        </w:tc>
      </w:tr>
      <w:tr>
        <w:trPr>
          <w:trHeight w:val="336" w:hRule="atLeast"/>
        </w:trPr>
        <w:tc>
          <w:tcPr>
            <w:tcW w:w="471" w:type="dxa"/>
          </w:tcPr>
          <w:p>
            <w:pPr>
              <w:pStyle w:val="TableParagraph"/>
              <w:spacing w:before="85"/>
              <w:ind w:left="125"/>
              <w:rPr>
                <w:sz w:val="14"/>
              </w:rPr>
            </w:pPr>
            <w:r>
              <w:rPr>
                <w:sz w:val="14"/>
              </w:rPr>
              <w:t>118</w:t>
            </w:r>
          </w:p>
        </w:tc>
        <w:tc>
          <w:tcPr>
            <w:tcW w:w="5199" w:type="dxa"/>
          </w:tcPr>
          <w:p>
            <w:pPr>
              <w:pStyle w:val="TableParagraph"/>
              <w:spacing w:before="85"/>
              <w:ind w:left="95"/>
              <w:rPr>
                <w:sz w:val="14"/>
              </w:rPr>
            </w:pPr>
            <w:r>
              <w:rPr>
                <w:sz w:val="14"/>
              </w:rPr>
              <w:t>The Judiciary</w:t>
            </w:r>
          </w:p>
        </w:tc>
        <w:tc>
          <w:tcPr>
            <w:tcW w:w="2230" w:type="dxa"/>
          </w:tcPr>
          <w:p>
            <w:pPr>
              <w:pStyle w:val="TableParagraph"/>
              <w:spacing w:before="85"/>
              <w:ind w:right="529"/>
              <w:jc w:val="right"/>
              <w:rPr>
                <w:b/>
                <w:sz w:val="14"/>
              </w:rPr>
            </w:pPr>
            <w:r>
              <w:rPr>
                <w:b/>
                <w:sz w:val="14"/>
              </w:rPr>
              <w:t>16,967.1</w:t>
            </w:r>
          </w:p>
        </w:tc>
        <w:tc>
          <w:tcPr>
            <w:tcW w:w="1487" w:type="dxa"/>
          </w:tcPr>
          <w:p>
            <w:pPr>
              <w:pStyle w:val="TableParagraph"/>
              <w:spacing w:before="85"/>
              <w:ind w:left="495"/>
              <w:rPr>
                <w:sz w:val="14"/>
              </w:rPr>
            </w:pPr>
            <w:r>
              <w:rPr>
                <w:sz w:val="14"/>
              </w:rPr>
              <w:t>0 . 8 %</w:t>
            </w:r>
          </w:p>
        </w:tc>
        <w:tc>
          <w:tcPr>
            <w:tcW w:w="1575" w:type="dxa"/>
          </w:tcPr>
          <w:p>
            <w:pPr>
              <w:pStyle w:val="TableParagraph"/>
              <w:spacing w:before="85"/>
              <w:ind w:right="623"/>
              <w:jc w:val="right"/>
              <w:rPr>
                <w:sz w:val="14"/>
              </w:rPr>
            </w:pPr>
            <w:r>
              <w:rPr>
                <w:sz w:val="14"/>
              </w:rPr>
              <w:t>15,869.6</w:t>
            </w:r>
          </w:p>
        </w:tc>
        <w:tc>
          <w:tcPr>
            <w:tcW w:w="1339" w:type="dxa"/>
          </w:tcPr>
          <w:p>
            <w:pPr>
              <w:pStyle w:val="TableParagraph"/>
              <w:spacing w:before="85"/>
              <w:ind w:left="438"/>
              <w:rPr>
                <w:sz w:val="14"/>
              </w:rPr>
            </w:pPr>
            <w:r>
              <w:rPr>
                <w:sz w:val="14"/>
              </w:rPr>
              <w:t>0 . 8 %</w:t>
            </w:r>
          </w:p>
        </w:tc>
        <w:tc>
          <w:tcPr>
            <w:tcW w:w="1239" w:type="dxa"/>
          </w:tcPr>
          <w:p>
            <w:pPr>
              <w:pStyle w:val="TableParagraph"/>
              <w:spacing w:before="85"/>
              <w:ind w:right="427"/>
              <w:jc w:val="right"/>
              <w:rPr>
                <w:sz w:val="14"/>
              </w:rPr>
            </w:pPr>
            <w:r>
              <w:rPr>
                <w:sz w:val="14"/>
              </w:rPr>
              <w:t>16,820.1</w:t>
            </w:r>
          </w:p>
        </w:tc>
        <w:tc>
          <w:tcPr>
            <w:tcW w:w="1247" w:type="dxa"/>
          </w:tcPr>
          <w:p>
            <w:pPr>
              <w:pStyle w:val="TableParagraph"/>
              <w:spacing w:before="85"/>
              <w:ind w:left="416" w:right="354"/>
              <w:jc w:val="center"/>
              <w:rPr>
                <w:sz w:val="14"/>
              </w:rPr>
            </w:pPr>
            <w:r>
              <w:rPr>
                <w:sz w:val="14"/>
              </w:rPr>
              <w:t>0 . 8 %</w:t>
            </w:r>
          </w:p>
        </w:tc>
      </w:tr>
      <w:tr>
        <w:trPr>
          <w:trHeight w:val="336" w:hRule="atLeast"/>
        </w:trPr>
        <w:tc>
          <w:tcPr>
            <w:tcW w:w="471" w:type="dxa"/>
          </w:tcPr>
          <w:p>
            <w:pPr>
              <w:pStyle w:val="TableParagraph"/>
              <w:spacing w:before="85"/>
              <w:ind w:left="125"/>
              <w:rPr>
                <w:sz w:val="14"/>
              </w:rPr>
            </w:pPr>
            <w:r>
              <w:rPr>
                <w:sz w:val="14"/>
              </w:rPr>
              <w:t>121</w:t>
            </w:r>
          </w:p>
        </w:tc>
        <w:tc>
          <w:tcPr>
            <w:tcW w:w="5199" w:type="dxa"/>
          </w:tcPr>
          <w:p>
            <w:pPr>
              <w:pStyle w:val="TableParagraph"/>
              <w:spacing w:before="85"/>
              <w:ind w:left="95"/>
              <w:rPr>
                <w:sz w:val="14"/>
              </w:rPr>
            </w:pPr>
            <w:r>
              <w:rPr>
                <w:sz w:val="14"/>
              </w:rPr>
              <w:t>Audit Service Sierra Leone</w:t>
            </w:r>
          </w:p>
        </w:tc>
        <w:tc>
          <w:tcPr>
            <w:tcW w:w="2230" w:type="dxa"/>
          </w:tcPr>
          <w:p>
            <w:pPr>
              <w:pStyle w:val="TableParagraph"/>
              <w:spacing w:before="85"/>
              <w:ind w:right="527"/>
              <w:jc w:val="right"/>
              <w:rPr>
                <w:b/>
                <w:sz w:val="14"/>
              </w:rPr>
            </w:pPr>
            <w:r>
              <w:rPr>
                <w:b/>
                <w:sz w:val="14"/>
              </w:rPr>
              <w:t>7,242.2</w:t>
            </w:r>
          </w:p>
        </w:tc>
        <w:tc>
          <w:tcPr>
            <w:tcW w:w="1487" w:type="dxa"/>
          </w:tcPr>
          <w:p>
            <w:pPr>
              <w:pStyle w:val="TableParagraph"/>
              <w:spacing w:before="85"/>
              <w:ind w:left="495"/>
              <w:rPr>
                <w:sz w:val="14"/>
              </w:rPr>
            </w:pPr>
            <w:r>
              <w:rPr>
                <w:sz w:val="14"/>
              </w:rPr>
              <w:t>0 . 3 %</w:t>
            </w:r>
          </w:p>
        </w:tc>
        <w:tc>
          <w:tcPr>
            <w:tcW w:w="1575" w:type="dxa"/>
          </w:tcPr>
          <w:p>
            <w:pPr>
              <w:pStyle w:val="TableParagraph"/>
              <w:spacing w:before="85"/>
              <w:ind w:right="619"/>
              <w:jc w:val="right"/>
              <w:rPr>
                <w:sz w:val="14"/>
              </w:rPr>
            </w:pPr>
            <w:r>
              <w:rPr>
                <w:sz w:val="14"/>
              </w:rPr>
              <w:t>6,995 .3</w:t>
            </w:r>
          </w:p>
        </w:tc>
        <w:tc>
          <w:tcPr>
            <w:tcW w:w="1339" w:type="dxa"/>
          </w:tcPr>
          <w:p>
            <w:pPr>
              <w:pStyle w:val="TableParagraph"/>
              <w:spacing w:before="85"/>
              <w:ind w:left="438"/>
              <w:rPr>
                <w:sz w:val="14"/>
              </w:rPr>
            </w:pPr>
            <w:r>
              <w:rPr>
                <w:sz w:val="14"/>
              </w:rPr>
              <w:t>0 . 3 %</w:t>
            </w:r>
          </w:p>
        </w:tc>
        <w:tc>
          <w:tcPr>
            <w:tcW w:w="1239" w:type="dxa"/>
          </w:tcPr>
          <w:p>
            <w:pPr>
              <w:pStyle w:val="TableParagraph"/>
              <w:spacing w:before="85"/>
              <w:ind w:right="418"/>
              <w:jc w:val="right"/>
              <w:rPr>
                <w:sz w:val="14"/>
              </w:rPr>
            </w:pPr>
            <w:r>
              <w:rPr>
                <w:sz w:val="14"/>
              </w:rPr>
              <w:t>7,414 .3</w:t>
            </w:r>
          </w:p>
        </w:tc>
        <w:tc>
          <w:tcPr>
            <w:tcW w:w="1247" w:type="dxa"/>
          </w:tcPr>
          <w:p>
            <w:pPr>
              <w:pStyle w:val="TableParagraph"/>
              <w:spacing w:before="85"/>
              <w:ind w:left="416" w:right="354"/>
              <w:jc w:val="center"/>
              <w:rPr>
                <w:sz w:val="14"/>
              </w:rPr>
            </w:pPr>
            <w:r>
              <w:rPr>
                <w:sz w:val="14"/>
              </w:rPr>
              <w:t>0 . 4 %</w:t>
            </w:r>
          </w:p>
        </w:tc>
      </w:tr>
      <w:tr>
        <w:trPr>
          <w:trHeight w:val="335" w:hRule="atLeast"/>
        </w:trPr>
        <w:tc>
          <w:tcPr>
            <w:tcW w:w="471" w:type="dxa"/>
          </w:tcPr>
          <w:p>
            <w:pPr>
              <w:pStyle w:val="TableParagraph"/>
              <w:spacing w:before="85"/>
              <w:ind w:left="125"/>
              <w:rPr>
                <w:sz w:val="14"/>
              </w:rPr>
            </w:pPr>
            <w:r>
              <w:rPr>
                <w:sz w:val="14"/>
              </w:rPr>
              <w:t>122</w:t>
            </w:r>
          </w:p>
        </w:tc>
        <w:tc>
          <w:tcPr>
            <w:tcW w:w="5199" w:type="dxa"/>
          </w:tcPr>
          <w:p>
            <w:pPr>
              <w:pStyle w:val="TableParagraph"/>
              <w:spacing w:before="85"/>
              <w:ind w:left="96"/>
              <w:rPr>
                <w:sz w:val="14"/>
              </w:rPr>
            </w:pPr>
            <w:r>
              <w:rPr>
                <w:sz w:val="14"/>
              </w:rPr>
              <w:t>Human Resource Management Office</w:t>
            </w:r>
          </w:p>
        </w:tc>
        <w:tc>
          <w:tcPr>
            <w:tcW w:w="2230" w:type="dxa"/>
          </w:tcPr>
          <w:p>
            <w:pPr>
              <w:pStyle w:val="TableParagraph"/>
              <w:spacing w:before="85"/>
              <w:ind w:right="527"/>
              <w:jc w:val="right"/>
              <w:rPr>
                <w:b/>
                <w:sz w:val="14"/>
              </w:rPr>
            </w:pPr>
            <w:r>
              <w:rPr>
                <w:b/>
                <w:sz w:val="14"/>
              </w:rPr>
              <w:t>3,543.6</w:t>
            </w:r>
          </w:p>
        </w:tc>
        <w:tc>
          <w:tcPr>
            <w:tcW w:w="1487" w:type="dxa"/>
          </w:tcPr>
          <w:p>
            <w:pPr>
              <w:pStyle w:val="TableParagraph"/>
              <w:spacing w:before="85"/>
              <w:ind w:left="495"/>
              <w:rPr>
                <w:sz w:val="14"/>
              </w:rPr>
            </w:pPr>
            <w:r>
              <w:rPr>
                <w:sz w:val="14"/>
              </w:rPr>
              <w:t>0 . 2 %</w:t>
            </w:r>
          </w:p>
        </w:tc>
        <w:tc>
          <w:tcPr>
            <w:tcW w:w="1575" w:type="dxa"/>
          </w:tcPr>
          <w:p>
            <w:pPr>
              <w:pStyle w:val="TableParagraph"/>
              <w:spacing w:before="85"/>
              <w:ind w:right="619"/>
              <w:jc w:val="right"/>
              <w:rPr>
                <w:sz w:val="14"/>
              </w:rPr>
            </w:pPr>
            <w:r>
              <w:rPr>
                <w:sz w:val="14"/>
              </w:rPr>
              <w:t>3,370 .8</w:t>
            </w:r>
          </w:p>
        </w:tc>
        <w:tc>
          <w:tcPr>
            <w:tcW w:w="1339" w:type="dxa"/>
          </w:tcPr>
          <w:p>
            <w:pPr>
              <w:pStyle w:val="TableParagraph"/>
              <w:spacing w:before="85"/>
              <w:ind w:left="438"/>
              <w:rPr>
                <w:sz w:val="14"/>
              </w:rPr>
            </w:pPr>
            <w:r>
              <w:rPr>
                <w:sz w:val="14"/>
              </w:rPr>
              <w:t>0 . 2 %</w:t>
            </w:r>
          </w:p>
        </w:tc>
        <w:tc>
          <w:tcPr>
            <w:tcW w:w="1239" w:type="dxa"/>
          </w:tcPr>
          <w:p>
            <w:pPr>
              <w:pStyle w:val="TableParagraph"/>
              <w:spacing w:before="85"/>
              <w:ind w:right="418"/>
              <w:jc w:val="right"/>
              <w:rPr>
                <w:sz w:val="14"/>
              </w:rPr>
            </w:pPr>
            <w:r>
              <w:rPr>
                <w:sz w:val="14"/>
              </w:rPr>
              <w:t>3,572 .7</w:t>
            </w:r>
          </w:p>
        </w:tc>
        <w:tc>
          <w:tcPr>
            <w:tcW w:w="1247" w:type="dxa"/>
          </w:tcPr>
          <w:p>
            <w:pPr>
              <w:pStyle w:val="TableParagraph"/>
              <w:spacing w:before="85"/>
              <w:ind w:left="416" w:right="354"/>
              <w:jc w:val="center"/>
              <w:rPr>
                <w:sz w:val="14"/>
              </w:rPr>
            </w:pPr>
            <w:r>
              <w:rPr>
                <w:sz w:val="14"/>
              </w:rPr>
              <w:t>0 . 2 %</w:t>
            </w:r>
          </w:p>
        </w:tc>
      </w:tr>
      <w:tr>
        <w:trPr>
          <w:trHeight w:val="335" w:hRule="atLeast"/>
        </w:trPr>
        <w:tc>
          <w:tcPr>
            <w:tcW w:w="471" w:type="dxa"/>
          </w:tcPr>
          <w:p>
            <w:pPr>
              <w:pStyle w:val="TableParagraph"/>
              <w:spacing w:before="85"/>
              <w:ind w:left="125"/>
              <w:rPr>
                <w:sz w:val="14"/>
              </w:rPr>
            </w:pPr>
            <w:r>
              <w:rPr>
                <w:sz w:val="14"/>
              </w:rPr>
              <w:t>123</w:t>
            </w:r>
          </w:p>
        </w:tc>
        <w:tc>
          <w:tcPr>
            <w:tcW w:w="5199" w:type="dxa"/>
          </w:tcPr>
          <w:p>
            <w:pPr>
              <w:pStyle w:val="TableParagraph"/>
              <w:spacing w:before="85"/>
              <w:ind w:left="95"/>
              <w:rPr>
                <w:sz w:val="14"/>
              </w:rPr>
            </w:pPr>
            <w:r>
              <w:rPr>
                <w:sz w:val="14"/>
              </w:rPr>
              <w:t>Public Service Commission</w:t>
            </w:r>
          </w:p>
        </w:tc>
        <w:tc>
          <w:tcPr>
            <w:tcW w:w="2230" w:type="dxa"/>
          </w:tcPr>
          <w:p>
            <w:pPr>
              <w:pStyle w:val="TableParagraph"/>
              <w:spacing w:before="85"/>
              <w:ind w:right="527"/>
              <w:jc w:val="right"/>
              <w:rPr>
                <w:b/>
                <w:sz w:val="14"/>
              </w:rPr>
            </w:pPr>
            <w:r>
              <w:rPr>
                <w:b/>
                <w:sz w:val="14"/>
              </w:rPr>
              <w:t>2,408.8</w:t>
            </w:r>
          </w:p>
        </w:tc>
        <w:tc>
          <w:tcPr>
            <w:tcW w:w="1487" w:type="dxa"/>
          </w:tcPr>
          <w:p>
            <w:pPr>
              <w:pStyle w:val="TableParagraph"/>
              <w:spacing w:before="85"/>
              <w:ind w:left="495"/>
              <w:rPr>
                <w:sz w:val="14"/>
              </w:rPr>
            </w:pPr>
            <w:r>
              <w:rPr>
                <w:sz w:val="14"/>
              </w:rPr>
              <w:t>0 . 1 %</w:t>
            </w:r>
          </w:p>
        </w:tc>
        <w:tc>
          <w:tcPr>
            <w:tcW w:w="1575" w:type="dxa"/>
          </w:tcPr>
          <w:p>
            <w:pPr>
              <w:pStyle w:val="TableParagraph"/>
              <w:spacing w:before="85"/>
              <w:ind w:right="619"/>
              <w:jc w:val="right"/>
              <w:rPr>
                <w:sz w:val="14"/>
              </w:rPr>
            </w:pPr>
            <w:r>
              <w:rPr>
                <w:sz w:val="14"/>
              </w:rPr>
              <w:t>2,312 .3</w:t>
            </w:r>
          </w:p>
        </w:tc>
        <w:tc>
          <w:tcPr>
            <w:tcW w:w="1339" w:type="dxa"/>
          </w:tcPr>
          <w:p>
            <w:pPr>
              <w:pStyle w:val="TableParagraph"/>
              <w:spacing w:before="85"/>
              <w:ind w:left="438"/>
              <w:rPr>
                <w:sz w:val="14"/>
              </w:rPr>
            </w:pPr>
            <w:r>
              <w:rPr>
                <w:sz w:val="14"/>
              </w:rPr>
              <w:t>0 . 1 %</w:t>
            </w:r>
          </w:p>
        </w:tc>
        <w:tc>
          <w:tcPr>
            <w:tcW w:w="1239" w:type="dxa"/>
          </w:tcPr>
          <w:p>
            <w:pPr>
              <w:pStyle w:val="TableParagraph"/>
              <w:spacing w:before="85"/>
              <w:ind w:right="418"/>
              <w:jc w:val="right"/>
              <w:rPr>
                <w:sz w:val="14"/>
              </w:rPr>
            </w:pPr>
            <w:r>
              <w:rPr>
                <w:sz w:val="14"/>
              </w:rPr>
              <w:t>2,450 .8</w:t>
            </w:r>
          </w:p>
        </w:tc>
        <w:tc>
          <w:tcPr>
            <w:tcW w:w="1247" w:type="dxa"/>
          </w:tcPr>
          <w:p>
            <w:pPr>
              <w:pStyle w:val="TableParagraph"/>
              <w:spacing w:before="85"/>
              <w:ind w:left="416" w:right="354"/>
              <w:jc w:val="center"/>
              <w:rPr>
                <w:sz w:val="14"/>
              </w:rPr>
            </w:pPr>
            <w:r>
              <w:rPr>
                <w:sz w:val="14"/>
              </w:rPr>
              <w:t>0 . 1 %</w:t>
            </w:r>
          </w:p>
        </w:tc>
      </w:tr>
      <w:tr>
        <w:trPr>
          <w:trHeight w:val="252" w:hRule="atLeast"/>
        </w:trPr>
        <w:tc>
          <w:tcPr>
            <w:tcW w:w="471" w:type="dxa"/>
          </w:tcPr>
          <w:p>
            <w:pPr>
              <w:pStyle w:val="TableParagraph"/>
              <w:spacing w:line="147" w:lineRule="exact" w:before="85"/>
              <w:ind w:left="125"/>
              <w:rPr>
                <w:sz w:val="14"/>
              </w:rPr>
            </w:pPr>
            <w:r>
              <w:rPr>
                <w:sz w:val="14"/>
              </w:rPr>
              <w:t>124</w:t>
            </w:r>
          </w:p>
        </w:tc>
        <w:tc>
          <w:tcPr>
            <w:tcW w:w="5199" w:type="dxa"/>
          </w:tcPr>
          <w:p>
            <w:pPr>
              <w:pStyle w:val="TableParagraph"/>
              <w:spacing w:line="147" w:lineRule="exact" w:before="85"/>
              <w:ind w:left="95"/>
              <w:rPr>
                <w:sz w:val="14"/>
              </w:rPr>
            </w:pPr>
            <w:r>
              <w:rPr>
                <w:sz w:val="14"/>
              </w:rPr>
              <w:t>Law Officers’ Department</w:t>
            </w:r>
          </w:p>
        </w:tc>
        <w:tc>
          <w:tcPr>
            <w:tcW w:w="2230" w:type="dxa"/>
          </w:tcPr>
          <w:p>
            <w:pPr>
              <w:pStyle w:val="TableParagraph"/>
              <w:spacing w:line="147" w:lineRule="exact" w:before="85"/>
              <w:ind w:right="527"/>
              <w:jc w:val="right"/>
              <w:rPr>
                <w:b/>
                <w:sz w:val="14"/>
              </w:rPr>
            </w:pPr>
            <w:r>
              <w:rPr>
                <w:b/>
                <w:sz w:val="14"/>
              </w:rPr>
              <w:t>18,776.3</w:t>
            </w:r>
          </w:p>
        </w:tc>
        <w:tc>
          <w:tcPr>
            <w:tcW w:w="1487" w:type="dxa"/>
          </w:tcPr>
          <w:p>
            <w:pPr>
              <w:pStyle w:val="TableParagraph"/>
              <w:spacing w:line="147" w:lineRule="exact" w:before="85"/>
              <w:ind w:left="495"/>
              <w:rPr>
                <w:sz w:val="14"/>
              </w:rPr>
            </w:pPr>
            <w:r>
              <w:rPr>
                <w:sz w:val="14"/>
              </w:rPr>
              <w:t>0 . 9 %</w:t>
            </w:r>
          </w:p>
        </w:tc>
        <w:tc>
          <w:tcPr>
            <w:tcW w:w="1575" w:type="dxa"/>
          </w:tcPr>
          <w:p>
            <w:pPr>
              <w:pStyle w:val="TableParagraph"/>
              <w:spacing w:line="147" w:lineRule="exact" w:before="85"/>
              <w:ind w:right="621"/>
              <w:jc w:val="right"/>
              <w:rPr>
                <w:sz w:val="14"/>
              </w:rPr>
            </w:pPr>
            <w:r>
              <w:rPr>
                <w:sz w:val="14"/>
              </w:rPr>
              <w:t>17,700.7</w:t>
            </w:r>
          </w:p>
        </w:tc>
        <w:tc>
          <w:tcPr>
            <w:tcW w:w="1339" w:type="dxa"/>
          </w:tcPr>
          <w:p>
            <w:pPr>
              <w:pStyle w:val="TableParagraph"/>
              <w:spacing w:line="147" w:lineRule="exact" w:before="85"/>
              <w:ind w:left="438"/>
              <w:rPr>
                <w:sz w:val="14"/>
              </w:rPr>
            </w:pPr>
            <w:r>
              <w:rPr>
                <w:sz w:val="14"/>
              </w:rPr>
              <w:t>0 . 9 %</w:t>
            </w:r>
          </w:p>
        </w:tc>
        <w:tc>
          <w:tcPr>
            <w:tcW w:w="1239" w:type="dxa"/>
          </w:tcPr>
          <w:p>
            <w:pPr>
              <w:pStyle w:val="TableParagraph"/>
              <w:spacing w:line="147" w:lineRule="exact" w:before="85"/>
              <w:ind w:right="419"/>
              <w:jc w:val="right"/>
              <w:rPr>
                <w:sz w:val="14"/>
              </w:rPr>
            </w:pPr>
            <w:r>
              <w:rPr>
                <w:sz w:val="14"/>
              </w:rPr>
              <w:t>18,760.9</w:t>
            </w:r>
          </w:p>
        </w:tc>
        <w:tc>
          <w:tcPr>
            <w:tcW w:w="1247" w:type="dxa"/>
          </w:tcPr>
          <w:p>
            <w:pPr>
              <w:pStyle w:val="TableParagraph"/>
              <w:spacing w:line="147" w:lineRule="exact" w:before="85"/>
              <w:ind w:left="416" w:right="354"/>
              <w:jc w:val="center"/>
              <w:rPr>
                <w:sz w:val="14"/>
              </w:rPr>
            </w:pPr>
            <w:r>
              <w:rPr>
                <w:sz w:val="14"/>
              </w:rPr>
              <w:t>0 . 9 %</w:t>
            </w:r>
          </w:p>
        </w:tc>
      </w:tr>
      <w:tr>
        <w:trPr>
          <w:trHeight w:val="167" w:hRule="atLeast"/>
        </w:trPr>
        <w:tc>
          <w:tcPr>
            <w:tcW w:w="471" w:type="dxa"/>
          </w:tcPr>
          <w:p>
            <w:pPr>
              <w:pStyle w:val="TableParagraph"/>
              <w:rPr>
                <w:rFonts w:ascii="Times New Roman"/>
                <w:sz w:val="10"/>
              </w:rPr>
            </w:pPr>
          </w:p>
        </w:tc>
        <w:tc>
          <w:tcPr>
            <w:tcW w:w="5199" w:type="dxa"/>
          </w:tcPr>
          <w:p>
            <w:pPr>
              <w:pStyle w:val="TableParagraph"/>
              <w:spacing w:line="147" w:lineRule="exact" w:before="1"/>
              <w:ind w:left="431"/>
              <w:rPr>
                <w:sz w:val="14"/>
              </w:rPr>
            </w:pPr>
            <w:r>
              <w:rPr>
                <w:sz w:val="14"/>
              </w:rPr>
              <w:t>Office of the Solicitor General</w:t>
            </w:r>
          </w:p>
        </w:tc>
        <w:tc>
          <w:tcPr>
            <w:tcW w:w="2230" w:type="dxa"/>
          </w:tcPr>
          <w:p>
            <w:pPr>
              <w:pStyle w:val="TableParagraph"/>
              <w:spacing w:line="147" w:lineRule="exact" w:before="1"/>
              <w:ind w:right="527"/>
              <w:jc w:val="right"/>
              <w:rPr>
                <w:b/>
                <w:sz w:val="14"/>
              </w:rPr>
            </w:pPr>
            <w:r>
              <w:rPr>
                <w:b/>
                <w:sz w:val="14"/>
              </w:rPr>
              <w:t>8,923.5</w:t>
            </w:r>
          </w:p>
        </w:tc>
        <w:tc>
          <w:tcPr>
            <w:tcW w:w="1487" w:type="dxa"/>
          </w:tcPr>
          <w:p>
            <w:pPr>
              <w:pStyle w:val="TableParagraph"/>
              <w:spacing w:line="147" w:lineRule="exact" w:before="1"/>
              <w:ind w:left="495"/>
              <w:rPr>
                <w:sz w:val="14"/>
              </w:rPr>
            </w:pPr>
            <w:r>
              <w:rPr>
                <w:sz w:val="14"/>
              </w:rPr>
              <w:t>0 . 4 %</w:t>
            </w:r>
          </w:p>
        </w:tc>
        <w:tc>
          <w:tcPr>
            <w:tcW w:w="1575" w:type="dxa"/>
          </w:tcPr>
          <w:p>
            <w:pPr>
              <w:pStyle w:val="TableParagraph"/>
              <w:spacing w:line="147" w:lineRule="exact" w:before="1"/>
              <w:ind w:right="619"/>
              <w:jc w:val="right"/>
              <w:rPr>
                <w:sz w:val="14"/>
              </w:rPr>
            </w:pPr>
            <w:r>
              <w:rPr>
                <w:sz w:val="14"/>
              </w:rPr>
              <w:t>7,987 .9</w:t>
            </w:r>
          </w:p>
        </w:tc>
        <w:tc>
          <w:tcPr>
            <w:tcW w:w="1339" w:type="dxa"/>
          </w:tcPr>
          <w:p>
            <w:pPr>
              <w:pStyle w:val="TableParagraph"/>
              <w:spacing w:line="147" w:lineRule="exact" w:before="1"/>
              <w:ind w:left="438"/>
              <w:rPr>
                <w:sz w:val="14"/>
              </w:rPr>
            </w:pPr>
            <w:r>
              <w:rPr>
                <w:sz w:val="14"/>
              </w:rPr>
              <w:t>0 . 4 %</w:t>
            </w:r>
          </w:p>
        </w:tc>
        <w:tc>
          <w:tcPr>
            <w:tcW w:w="1239" w:type="dxa"/>
          </w:tcPr>
          <w:p>
            <w:pPr>
              <w:pStyle w:val="TableParagraph"/>
              <w:spacing w:line="147" w:lineRule="exact" w:before="1"/>
              <w:ind w:right="418"/>
              <w:jc w:val="right"/>
              <w:rPr>
                <w:sz w:val="14"/>
              </w:rPr>
            </w:pPr>
            <w:r>
              <w:rPr>
                <w:sz w:val="14"/>
              </w:rPr>
              <w:t>8,466 .4</w:t>
            </w:r>
          </w:p>
        </w:tc>
        <w:tc>
          <w:tcPr>
            <w:tcW w:w="1247" w:type="dxa"/>
          </w:tcPr>
          <w:p>
            <w:pPr>
              <w:pStyle w:val="TableParagraph"/>
              <w:spacing w:line="147" w:lineRule="exact" w:before="1"/>
              <w:ind w:left="416" w:right="354"/>
              <w:jc w:val="center"/>
              <w:rPr>
                <w:sz w:val="14"/>
              </w:rPr>
            </w:pPr>
            <w:r>
              <w:rPr>
                <w:sz w:val="14"/>
              </w:rPr>
              <w:t>0 . 4 %</w:t>
            </w:r>
          </w:p>
        </w:tc>
      </w:tr>
      <w:tr>
        <w:trPr>
          <w:trHeight w:val="168" w:hRule="atLeast"/>
        </w:trPr>
        <w:tc>
          <w:tcPr>
            <w:tcW w:w="471" w:type="dxa"/>
          </w:tcPr>
          <w:p>
            <w:pPr>
              <w:pStyle w:val="TableParagraph"/>
              <w:rPr>
                <w:rFonts w:ascii="Times New Roman"/>
                <w:sz w:val="10"/>
              </w:rPr>
            </w:pPr>
          </w:p>
        </w:tc>
        <w:tc>
          <w:tcPr>
            <w:tcW w:w="5199" w:type="dxa"/>
          </w:tcPr>
          <w:p>
            <w:pPr>
              <w:pStyle w:val="TableParagraph"/>
              <w:spacing w:line="147" w:lineRule="exact" w:before="1"/>
              <w:ind w:left="432"/>
              <w:rPr>
                <w:sz w:val="14"/>
              </w:rPr>
            </w:pPr>
            <w:r>
              <w:rPr>
                <w:sz w:val="14"/>
              </w:rPr>
              <w:t>Justice Sector Coordinating Office</w:t>
            </w:r>
          </w:p>
        </w:tc>
        <w:tc>
          <w:tcPr>
            <w:tcW w:w="2230" w:type="dxa"/>
          </w:tcPr>
          <w:p>
            <w:pPr>
              <w:pStyle w:val="TableParagraph"/>
              <w:spacing w:line="147" w:lineRule="exact" w:before="1"/>
              <w:ind w:right="510"/>
              <w:jc w:val="right"/>
              <w:rPr>
                <w:b/>
                <w:sz w:val="14"/>
              </w:rPr>
            </w:pPr>
            <w:r>
              <w:rPr>
                <w:b/>
                <w:sz w:val="14"/>
              </w:rPr>
              <w:t>373.3</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459.9</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5"/>
              <w:jc w:val="right"/>
              <w:rPr>
                <w:sz w:val="14"/>
              </w:rPr>
            </w:pPr>
            <w:r>
              <w:rPr>
                <w:sz w:val="14"/>
              </w:rPr>
              <w:t>487.4</w:t>
            </w:r>
          </w:p>
        </w:tc>
        <w:tc>
          <w:tcPr>
            <w:tcW w:w="1247" w:type="dxa"/>
          </w:tcPr>
          <w:p>
            <w:pPr>
              <w:pStyle w:val="TableParagraph"/>
              <w:spacing w:line="147" w:lineRule="exact" w:before="1"/>
              <w:ind w:left="416" w:right="354"/>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199" w:type="dxa"/>
          </w:tcPr>
          <w:p>
            <w:pPr>
              <w:pStyle w:val="TableParagraph"/>
              <w:spacing w:line="147" w:lineRule="exact" w:before="1"/>
              <w:ind w:left="431"/>
              <w:rPr>
                <w:sz w:val="14"/>
              </w:rPr>
            </w:pPr>
            <w:r>
              <w:rPr>
                <w:sz w:val="14"/>
              </w:rPr>
              <w:t>Sierra Leone Law School</w:t>
            </w:r>
          </w:p>
        </w:tc>
        <w:tc>
          <w:tcPr>
            <w:tcW w:w="2230" w:type="dxa"/>
          </w:tcPr>
          <w:p>
            <w:pPr>
              <w:pStyle w:val="TableParagraph"/>
              <w:spacing w:line="147" w:lineRule="exact" w:before="1"/>
              <w:ind w:right="510"/>
              <w:jc w:val="right"/>
              <w:rPr>
                <w:b/>
                <w:sz w:val="14"/>
              </w:rPr>
            </w:pPr>
            <w:r>
              <w:rPr>
                <w:b/>
                <w:sz w:val="14"/>
              </w:rPr>
              <w:t>616.3</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759.2</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5"/>
              <w:jc w:val="right"/>
              <w:rPr>
                <w:sz w:val="14"/>
              </w:rPr>
            </w:pPr>
            <w:r>
              <w:rPr>
                <w:sz w:val="14"/>
              </w:rPr>
              <w:t>804.7</w:t>
            </w:r>
          </w:p>
        </w:tc>
        <w:tc>
          <w:tcPr>
            <w:tcW w:w="1247" w:type="dxa"/>
          </w:tcPr>
          <w:p>
            <w:pPr>
              <w:pStyle w:val="TableParagraph"/>
              <w:spacing w:line="147" w:lineRule="exact" w:before="1"/>
              <w:ind w:left="416" w:right="354"/>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199" w:type="dxa"/>
          </w:tcPr>
          <w:p>
            <w:pPr>
              <w:pStyle w:val="TableParagraph"/>
              <w:spacing w:line="147" w:lineRule="exact" w:before="1"/>
              <w:ind w:left="431"/>
              <w:rPr>
                <w:sz w:val="14"/>
              </w:rPr>
            </w:pPr>
            <w:r>
              <w:rPr>
                <w:sz w:val="14"/>
              </w:rPr>
              <w:t>Legal Aid Board</w:t>
            </w:r>
          </w:p>
        </w:tc>
        <w:tc>
          <w:tcPr>
            <w:tcW w:w="2230" w:type="dxa"/>
          </w:tcPr>
          <w:p>
            <w:pPr>
              <w:pStyle w:val="TableParagraph"/>
              <w:spacing w:line="147" w:lineRule="exact" w:before="1"/>
              <w:ind w:right="527"/>
              <w:jc w:val="right"/>
              <w:rPr>
                <w:b/>
                <w:sz w:val="14"/>
              </w:rPr>
            </w:pPr>
            <w:r>
              <w:rPr>
                <w:b/>
                <w:sz w:val="14"/>
              </w:rPr>
              <w:t>6,241.1</w:t>
            </w:r>
          </w:p>
        </w:tc>
        <w:tc>
          <w:tcPr>
            <w:tcW w:w="1487" w:type="dxa"/>
          </w:tcPr>
          <w:p>
            <w:pPr>
              <w:pStyle w:val="TableParagraph"/>
              <w:spacing w:line="147" w:lineRule="exact" w:before="1"/>
              <w:ind w:left="495"/>
              <w:rPr>
                <w:sz w:val="14"/>
              </w:rPr>
            </w:pPr>
            <w:r>
              <w:rPr>
                <w:sz w:val="14"/>
              </w:rPr>
              <w:t>0 . 3 %</w:t>
            </w:r>
          </w:p>
        </w:tc>
        <w:tc>
          <w:tcPr>
            <w:tcW w:w="1575" w:type="dxa"/>
          </w:tcPr>
          <w:p>
            <w:pPr>
              <w:pStyle w:val="TableParagraph"/>
              <w:spacing w:line="147" w:lineRule="exact" w:before="1"/>
              <w:ind w:right="619"/>
              <w:jc w:val="right"/>
              <w:rPr>
                <w:sz w:val="14"/>
              </w:rPr>
            </w:pPr>
            <w:r>
              <w:rPr>
                <w:sz w:val="14"/>
              </w:rPr>
              <w:t>6,531 .4</w:t>
            </w:r>
          </w:p>
        </w:tc>
        <w:tc>
          <w:tcPr>
            <w:tcW w:w="1339" w:type="dxa"/>
          </w:tcPr>
          <w:p>
            <w:pPr>
              <w:pStyle w:val="TableParagraph"/>
              <w:spacing w:line="147" w:lineRule="exact" w:before="1"/>
              <w:ind w:left="438"/>
              <w:rPr>
                <w:sz w:val="14"/>
              </w:rPr>
            </w:pPr>
            <w:r>
              <w:rPr>
                <w:sz w:val="14"/>
              </w:rPr>
              <w:t>0 . 3 %</w:t>
            </w:r>
          </w:p>
        </w:tc>
        <w:tc>
          <w:tcPr>
            <w:tcW w:w="1239" w:type="dxa"/>
          </w:tcPr>
          <w:p>
            <w:pPr>
              <w:pStyle w:val="TableParagraph"/>
              <w:spacing w:line="147" w:lineRule="exact" w:before="1"/>
              <w:ind w:right="418"/>
              <w:jc w:val="right"/>
              <w:rPr>
                <w:sz w:val="14"/>
              </w:rPr>
            </w:pPr>
            <w:r>
              <w:rPr>
                <w:sz w:val="14"/>
              </w:rPr>
              <w:t>6,922 .6</w:t>
            </w:r>
          </w:p>
        </w:tc>
        <w:tc>
          <w:tcPr>
            <w:tcW w:w="1247" w:type="dxa"/>
          </w:tcPr>
          <w:p>
            <w:pPr>
              <w:pStyle w:val="TableParagraph"/>
              <w:spacing w:line="147" w:lineRule="exact" w:before="1"/>
              <w:ind w:left="416" w:right="354"/>
              <w:jc w:val="center"/>
              <w:rPr>
                <w:sz w:val="14"/>
              </w:rPr>
            </w:pPr>
            <w:r>
              <w:rPr>
                <w:sz w:val="14"/>
              </w:rPr>
              <w:t>0 . 3 %</w:t>
            </w:r>
          </w:p>
        </w:tc>
      </w:tr>
      <w:tr>
        <w:trPr>
          <w:trHeight w:val="252" w:hRule="atLeast"/>
        </w:trPr>
        <w:tc>
          <w:tcPr>
            <w:tcW w:w="471" w:type="dxa"/>
          </w:tcPr>
          <w:p>
            <w:pPr>
              <w:pStyle w:val="TableParagraph"/>
              <w:rPr>
                <w:rFonts w:ascii="Times New Roman"/>
                <w:sz w:val="14"/>
              </w:rPr>
            </w:pPr>
          </w:p>
        </w:tc>
        <w:tc>
          <w:tcPr>
            <w:tcW w:w="5199" w:type="dxa"/>
          </w:tcPr>
          <w:p>
            <w:pPr>
              <w:pStyle w:val="TableParagraph"/>
              <w:spacing w:before="1"/>
              <w:ind w:left="431"/>
              <w:rPr>
                <w:sz w:val="14"/>
              </w:rPr>
            </w:pPr>
            <w:r>
              <w:rPr>
                <w:sz w:val="14"/>
              </w:rPr>
              <w:t>Administrator and Registrar General</w:t>
            </w:r>
          </w:p>
        </w:tc>
        <w:tc>
          <w:tcPr>
            <w:tcW w:w="2230" w:type="dxa"/>
          </w:tcPr>
          <w:p>
            <w:pPr>
              <w:pStyle w:val="TableParagraph"/>
              <w:spacing w:before="1"/>
              <w:ind w:right="527"/>
              <w:jc w:val="right"/>
              <w:rPr>
                <w:b/>
                <w:sz w:val="14"/>
              </w:rPr>
            </w:pPr>
            <w:r>
              <w:rPr>
                <w:b/>
                <w:sz w:val="14"/>
              </w:rPr>
              <w:t>2,622.0</w:t>
            </w:r>
          </w:p>
        </w:tc>
        <w:tc>
          <w:tcPr>
            <w:tcW w:w="1487" w:type="dxa"/>
          </w:tcPr>
          <w:p>
            <w:pPr>
              <w:pStyle w:val="TableParagraph"/>
              <w:spacing w:before="1"/>
              <w:ind w:left="495"/>
              <w:rPr>
                <w:sz w:val="14"/>
              </w:rPr>
            </w:pPr>
            <w:r>
              <w:rPr>
                <w:sz w:val="14"/>
              </w:rPr>
              <w:t>0 . 1 %</w:t>
            </w:r>
          </w:p>
        </w:tc>
        <w:tc>
          <w:tcPr>
            <w:tcW w:w="1575" w:type="dxa"/>
          </w:tcPr>
          <w:p>
            <w:pPr>
              <w:pStyle w:val="TableParagraph"/>
              <w:spacing w:before="1"/>
              <w:ind w:right="619"/>
              <w:jc w:val="right"/>
              <w:rPr>
                <w:sz w:val="14"/>
              </w:rPr>
            </w:pPr>
            <w:r>
              <w:rPr>
                <w:sz w:val="14"/>
              </w:rPr>
              <w:t>1,962 .3</w:t>
            </w:r>
          </w:p>
        </w:tc>
        <w:tc>
          <w:tcPr>
            <w:tcW w:w="1339" w:type="dxa"/>
          </w:tcPr>
          <w:p>
            <w:pPr>
              <w:pStyle w:val="TableParagraph"/>
              <w:spacing w:before="1"/>
              <w:ind w:left="438"/>
              <w:rPr>
                <w:sz w:val="14"/>
              </w:rPr>
            </w:pPr>
            <w:r>
              <w:rPr>
                <w:sz w:val="14"/>
              </w:rPr>
              <w:t>0 . 1 %</w:t>
            </w:r>
          </w:p>
        </w:tc>
        <w:tc>
          <w:tcPr>
            <w:tcW w:w="1239" w:type="dxa"/>
          </w:tcPr>
          <w:p>
            <w:pPr>
              <w:pStyle w:val="TableParagraph"/>
              <w:spacing w:before="1"/>
              <w:ind w:right="418"/>
              <w:jc w:val="right"/>
              <w:rPr>
                <w:sz w:val="14"/>
              </w:rPr>
            </w:pPr>
            <w:r>
              <w:rPr>
                <w:sz w:val="14"/>
              </w:rPr>
              <w:t>2,079 .8</w:t>
            </w:r>
          </w:p>
        </w:tc>
        <w:tc>
          <w:tcPr>
            <w:tcW w:w="1247" w:type="dxa"/>
          </w:tcPr>
          <w:p>
            <w:pPr>
              <w:pStyle w:val="TableParagraph"/>
              <w:spacing w:before="1"/>
              <w:ind w:left="416" w:right="354"/>
              <w:jc w:val="center"/>
              <w:rPr>
                <w:sz w:val="14"/>
              </w:rPr>
            </w:pPr>
            <w:r>
              <w:rPr>
                <w:sz w:val="14"/>
              </w:rPr>
              <w:t>0 . 1 %</w:t>
            </w:r>
          </w:p>
        </w:tc>
      </w:tr>
      <w:tr>
        <w:trPr>
          <w:trHeight w:val="335" w:hRule="atLeast"/>
        </w:trPr>
        <w:tc>
          <w:tcPr>
            <w:tcW w:w="471" w:type="dxa"/>
          </w:tcPr>
          <w:p>
            <w:pPr>
              <w:pStyle w:val="TableParagraph"/>
              <w:spacing w:before="85"/>
              <w:ind w:left="125"/>
              <w:rPr>
                <w:sz w:val="14"/>
              </w:rPr>
            </w:pPr>
            <w:r>
              <w:rPr>
                <w:sz w:val="14"/>
              </w:rPr>
              <w:t>125</w:t>
            </w:r>
          </w:p>
        </w:tc>
        <w:tc>
          <w:tcPr>
            <w:tcW w:w="5199" w:type="dxa"/>
          </w:tcPr>
          <w:p>
            <w:pPr>
              <w:pStyle w:val="TableParagraph"/>
              <w:spacing w:before="85"/>
              <w:ind w:left="95"/>
              <w:rPr>
                <w:sz w:val="14"/>
              </w:rPr>
            </w:pPr>
            <w:r>
              <w:rPr>
                <w:sz w:val="14"/>
              </w:rPr>
              <w:t>Local Courts</w:t>
            </w:r>
          </w:p>
        </w:tc>
        <w:tc>
          <w:tcPr>
            <w:tcW w:w="2230" w:type="dxa"/>
          </w:tcPr>
          <w:p>
            <w:pPr>
              <w:pStyle w:val="TableParagraph"/>
              <w:spacing w:before="85"/>
              <w:ind w:right="510"/>
              <w:jc w:val="right"/>
              <w:rPr>
                <w:b/>
                <w:sz w:val="14"/>
              </w:rPr>
            </w:pPr>
            <w:r>
              <w:rPr>
                <w:b/>
                <w:sz w:val="14"/>
              </w:rPr>
              <w:t>425.3</w:t>
            </w:r>
          </w:p>
        </w:tc>
        <w:tc>
          <w:tcPr>
            <w:tcW w:w="1487" w:type="dxa"/>
          </w:tcPr>
          <w:p>
            <w:pPr>
              <w:pStyle w:val="TableParagraph"/>
              <w:spacing w:before="85"/>
              <w:ind w:left="495"/>
              <w:rPr>
                <w:sz w:val="14"/>
              </w:rPr>
            </w:pPr>
            <w:r>
              <w:rPr>
                <w:sz w:val="14"/>
              </w:rPr>
              <w:t>0 . 0 %</w:t>
            </w:r>
          </w:p>
        </w:tc>
        <w:tc>
          <w:tcPr>
            <w:tcW w:w="1575" w:type="dxa"/>
          </w:tcPr>
          <w:p>
            <w:pPr>
              <w:pStyle w:val="TableParagraph"/>
              <w:spacing w:before="85"/>
              <w:ind w:right="612"/>
              <w:jc w:val="right"/>
              <w:rPr>
                <w:sz w:val="14"/>
              </w:rPr>
            </w:pPr>
            <w:r>
              <w:rPr>
                <w:sz w:val="14"/>
              </w:rPr>
              <w:t>716.2</w:t>
            </w:r>
          </w:p>
        </w:tc>
        <w:tc>
          <w:tcPr>
            <w:tcW w:w="1339" w:type="dxa"/>
          </w:tcPr>
          <w:p>
            <w:pPr>
              <w:pStyle w:val="TableParagraph"/>
              <w:spacing w:before="85"/>
              <w:ind w:left="438"/>
              <w:rPr>
                <w:sz w:val="14"/>
              </w:rPr>
            </w:pPr>
            <w:r>
              <w:rPr>
                <w:sz w:val="14"/>
              </w:rPr>
              <w:t>0 . 0 %</w:t>
            </w:r>
          </w:p>
        </w:tc>
        <w:tc>
          <w:tcPr>
            <w:tcW w:w="1239" w:type="dxa"/>
          </w:tcPr>
          <w:p>
            <w:pPr>
              <w:pStyle w:val="TableParagraph"/>
              <w:spacing w:before="85"/>
              <w:ind w:right="415"/>
              <w:jc w:val="right"/>
              <w:rPr>
                <w:sz w:val="14"/>
              </w:rPr>
            </w:pPr>
            <w:r>
              <w:rPr>
                <w:sz w:val="14"/>
              </w:rPr>
              <w:t>759.1</w:t>
            </w:r>
          </w:p>
        </w:tc>
        <w:tc>
          <w:tcPr>
            <w:tcW w:w="1247" w:type="dxa"/>
          </w:tcPr>
          <w:p>
            <w:pPr>
              <w:pStyle w:val="TableParagraph"/>
              <w:spacing w:before="85"/>
              <w:ind w:left="416" w:right="354"/>
              <w:jc w:val="center"/>
              <w:rPr>
                <w:sz w:val="14"/>
              </w:rPr>
            </w:pPr>
            <w:r>
              <w:rPr>
                <w:sz w:val="14"/>
              </w:rPr>
              <w:t>0 . 0 %</w:t>
            </w:r>
          </w:p>
        </w:tc>
      </w:tr>
      <w:tr>
        <w:trPr>
          <w:trHeight w:val="280" w:hRule="atLeast"/>
        </w:trPr>
        <w:tc>
          <w:tcPr>
            <w:tcW w:w="471" w:type="dxa"/>
          </w:tcPr>
          <w:p>
            <w:pPr>
              <w:pStyle w:val="TableParagraph"/>
              <w:spacing w:before="85"/>
              <w:ind w:left="125"/>
              <w:rPr>
                <w:sz w:val="14"/>
              </w:rPr>
            </w:pPr>
            <w:r>
              <w:rPr>
                <w:sz w:val="14"/>
              </w:rPr>
              <w:t>126</w:t>
            </w:r>
          </w:p>
        </w:tc>
        <w:tc>
          <w:tcPr>
            <w:tcW w:w="5199" w:type="dxa"/>
          </w:tcPr>
          <w:p>
            <w:pPr>
              <w:pStyle w:val="TableParagraph"/>
              <w:spacing w:before="85"/>
              <w:ind w:left="96"/>
              <w:rPr>
                <w:sz w:val="14"/>
              </w:rPr>
            </w:pPr>
            <w:r>
              <w:rPr>
                <w:sz w:val="14"/>
              </w:rPr>
              <w:t>Independent Police Complaints Board</w:t>
            </w:r>
          </w:p>
        </w:tc>
        <w:tc>
          <w:tcPr>
            <w:tcW w:w="2230" w:type="dxa"/>
          </w:tcPr>
          <w:p>
            <w:pPr>
              <w:pStyle w:val="TableParagraph"/>
              <w:spacing w:before="85"/>
              <w:ind w:right="527"/>
              <w:jc w:val="right"/>
              <w:rPr>
                <w:b/>
                <w:sz w:val="14"/>
              </w:rPr>
            </w:pPr>
            <w:r>
              <w:rPr>
                <w:b/>
                <w:sz w:val="14"/>
              </w:rPr>
              <w:t>1,090.8</w:t>
            </w:r>
          </w:p>
        </w:tc>
        <w:tc>
          <w:tcPr>
            <w:tcW w:w="1487" w:type="dxa"/>
          </w:tcPr>
          <w:p>
            <w:pPr>
              <w:pStyle w:val="TableParagraph"/>
              <w:spacing w:before="85"/>
              <w:ind w:left="495"/>
              <w:rPr>
                <w:sz w:val="14"/>
              </w:rPr>
            </w:pPr>
            <w:r>
              <w:rPr>
                <w:sz w:val="14"/>
              </w:rPr>
              <w:t>0 . 1 %</w:t>
            </w:r>
          </w:p>
        </w:tc>
        <w:tc>
          <w:tcPr>
            <w:tcW w:w="1575" w:type="dxa"/>
          </w:tcPr>
          <w:p>
            <w:pPr>
              <w:pStyle w:val="TableParagraph"/>
              <w:spacing w:before="85"/>
              <w:ind w:right="619"/>
              <w:jc w:val="right"/>
              <w:rPr>
                <w:sz w:val="14"/>
              </w:rPr>
            </w:pPr>
            <w:r>
              <w:rPr>
                <w:sz w:val="14"/>
              </w:rPr>
              <w:t>1,016 .2</w:t>
            </w:r>
          </w:p>
        </w:tc>
        <w:tc>
          <w:tcPr>
            <w:tcW w:w="1339" w:type="dxa"/>
          </w:tcPr>
          <w:p>
            <w:pPr>
              <w:pStyle w:val="TableParagraph"/>
              <w:spacing w:before="85"/>
              <w:ind w:left="438"/>
              <w:rPr>
                <w:sz w:val="14"/>
              </w:rPr>
            </w:pPr>
            <w:r>
              <w:rPr>
                <w:sz w:val="14"/>
              </w:rPr>
              <w:t>0 . 0 %</w:t>
            </w:r>
          </w:p>
        </w:tc>
        <w:tc>
          <w:tcPr>
            <w:tcW w:w="1239" w:type="dxa"/>
          </w:tcPr>
          <w:p>
            <w:pPr>
              <w:pStyle w:val="TableParagraph"/>
              <w:spacing w:before="85"/>
              <w:ind w:right="418"/>
              <w:jc w:val="right"/>
              <w:rPr>
                <w:sz w:val="14"/>
              </w:rPr>
            </w:pPr>
            <w:r>
              <w:rPr>
                <w:sz w:val="14"/>
              </w:rPr>
              <w:t>1,077 .0</w:t>
            </w:r>
          </w:p>
        </w:tc>
        <w:tc>
          <w:tcPr>
            <w:tcW w:w="1247" w:type="dxa"/>
          </w:tcPr>
          <w:p>
            <w:pPr>
              <w:pStyle w:val="TableParagraph"/>
              <w:spacing w:before="85"/>
              <w:ind w:left="416" w:right="354"/>
              <w:jc w:val="center"/>
              <w:rPr>
                <w:sz w:val="14"/>
              </w:rPr>
            </w:pPr>
            <w:r>
              <w:rPr>
                <w:sz w:val="14"/>
              </w:rPr>
              <w:t>0 . 1 %</w:t>
            </w:r>
          </w:p>
        </w:tc>
      </w:tr>
    </w:tbl>
    <w:p>
      <w:pPr>
        <w:spacing w:after="0"/>
        <w:jc w:val="center"/>
        <w:rPr>
          <w:sz w:val="14"/>
        </w:rPr>
        <w:sectPr>
          <w:pgSz w:w="16840" w:h="11900" w:orient="landscape"/>
          <w:pgMar w:header="1064" w:footer="0" w:top="2760" w:bottom="280" w:left="880" w:right="920"/>
        </w:sectPr>
      </w:pPr>
    </w:p>
    <w:p>
      <w:pPr>
        <w:pStyle w:val="BodyText"/>
        <w:rPr>
          <w:rFonts w:ascii="Times New Roman"/>
          <w:sz w:val="20"/>
        </w:rPr>
      </w:pPr>
      <w:r>
        <w:rPr/>
        <w:pict>
          <v:shape style="position:absolute;margin-left:27.140491pt;margin-top:289.440002pt;width:14.35pt;height:13.1pt;mso-position-horizontal-relative:page;mso-position-vertical-relative:page;z-index:1216" type="#_x0000_t202" filled="false" stroked="false">
            <v:textbox inset="0,0,0,0" style="layout-flow:vertical">
              <w:txbxContent>
                <w:p>
                  <w:pPr>
                    <w:spacing w:before="13"/>
                    <w:ind w:left="20" w:right="0" w:firstLine="0"/>
                    <w:jc w:val="left"/>
                    <w:rPr>
                      <w:rFonts w:ascii="Arial"/>
                      <w:sz w:val="22"/>
                    </w:rPr>
                  </w:pPr>
                  <w:r>
                    <w:rPr>
                      <w:rFonts w:ascii="Arial"/>
                      <w:sz w:val="22"/>
                    </w:rPr>
                    <w:t>vii</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
        <w:gridCol w:w="5151"/>
        <w:gridCol w:w="2280"/>
        <w:gridCol w:w="1488"/>
        <w:gridCol w:w="1576"/>
        <w:gridCol w:w="1312"/>
        <w:gridCol w:w="1268"/>
        <w:gridCol w:w="1248"/>
      </w:tblGrid>
      <w:tr>
        <w:trPr>
          <w:trHeight w:val="568" w:hRule="atLeast"/>
        </w:trPr>
        <w:tc>
          <w:tcPr>
            <w:tcW w:w="7903" w:type="dxa"/>
            <w:gridSpan w:val="3"/>
            <w:tcBorders>
              <w:bottom w:val="single" w:sz="4" w:space="0" w:color="000000"/>
            </w:tcBorders>
          </w:tcPr>
          <w:p>
            <w:pPr>
              <w:pStyle w:val="TableParagraph"/>
              <w:spacing w:before="29"/>
              <w:ind w:right="405"/>
              <w:jc w:val="right"/>
              <w:rPr>
                <w:b/>
                <w:sz w:val="14"/>
              </w:rPr>
            </w:pPr>
            <w:r>
              <w:rPr>
                <w:b/>
                <w:spacing w:val="2"/>
                <w:sz w:val="14"/>
              </w:rPr>
              <w:t>FY</w:t>
            </w:r>
            <w:r>
              <w:rPr>
                <w:b/>
                <w:spacing w:val="6"/>
                <w:sz w:val="14"/>
              </w:rPr>
              <w:t> </w:t>
            </w:r>
            <w:r>
              <w:rPr>
                <w:b/>
                <w:spacing w:val="4"/>
                <w:sz w:val="14"/>
              </w:rPr>
              <w:t>2020</w:t>
            </w:r>
          </w:p>
          <w:p>
            <w:pPr>
              <w:pStyle w:val="TableParagraph"/>
              <w:spacing w:before="17"/>
              <w:ind w:right="386"/>
              <w:jc w:val="right"/>
              <w:rPr>
                <w:b/>
                <w:sz w:val="14"/>
              </w:rPr>
            </w:pPr>
            <w:r>
              <w:rPr>
                <w:b/>
                <w:spacing w:val="-1"/>
                <w:w w:val="95"/>
                <w:sz w:val="14"/>
              </w:rPr>
              <w:t>Budget</w:t>
            </w:r>
          </w:p>
        </w:tc>
        <w:tc>
          <w:tcPr>
            <w:tcW w:w="1488" w:type="dxa"/>
            <w:tcBorders>
              <w:bottom w:val="single" w:sz="4" w:space="0" w:color="000000"/>
            </w:tcBorders>
          </w:tcPr>
          <w:p>
            <w:pPr>
              <w:pStyle w:val="TableParagraph"/>
              <w:spacing w:line="264" w:lineRule="auto" w:before="29"/>
              <w:ind w:left="386" w:right="143" w:firstLine="91"/>
              <w:rPr>
                <w:sz w:val="14"/>
              </w:rPr>
            </w:pPr>
            <w:r>
              <w:rPr>
                <w:sz w:val="14"/>
              </w:rPr>
              <w:t>% of Total Non Int/ Sal</w:t>
            </w:r>
          </w:p>
        </w:tc>
        <w:tc>
          <w:tcPr>
            <w:tcW w:w="1576" w:type="dxa"/>
            <w:tcBorders>
              <w:bottom w:val="single" w:sz="4" w:space="0" w:color="000000"/>
            </w:tcBorders>
          </w:tcPr>
          <w:p>
            <w:pPr>
              <w:pStyle w:val="TableParagraph"/>
              <w:spacing w:before="29"/>
              <w:ind w:left="622"/>
              <w:rPr>
                <w:sz w:val="14"/>
              </w:rPr>
            </w:pPr>
            <w:r>
              <w:rPr>
                <w:sz w:val="14"/>
              </w:rPr>
              <w:t>FY</w:t>
            </w:r>
            <w:r>
              <w:rPr>
                <w:spacing w:val="17"/>
                <w:sz w:val="14"/>
              </w:rPr>
              <w:t> </w:t>
            </w:r>
            <w:r>
              <w:rPr>
                <w:spacing w:val="4"/>
                <w:sz w:val="14"/>
              </w:rPr>
              <w:t>2021</w:t>
            </w:r>
          </w:p>
          <w:p>
            <w:pPr>
              <w:pStyle w:val="TableParagraph"/>
              <w:spacing w:before="17"/>
              <w:ind w:left="550"/>
              <w:rPr>
                <w:sz w:val="14"/>
              </w:rPr>
            </w:pPr>
            <w:r>
              <w:rPr>
                <w:spacing w:val="3"/>
                <w:sz w:val="14"/>
              </w:rPr>
              <w:t>Indicative</w:t>
            </w:r>
          </w:p>
        </w:tc>
        <w:tc>
          <w:tcPr>
            <w:tcW w:w="1312" w:type="dxa"/>
            <w:tcBorders>
              <w:bottom w:val="single" w:sz="4" w:space="0" w:color="000000"/>
            </w:tcBorders>
          </w:tcPr>
          <w:p>
            <w:pPr>
              <w:pStyle w:val="TableParagraph"/>
              <w:spacing w:line="249" w:lineRule="auto" w:before="29"/>
              <w:ind w:left="385" w:right="170" w:firstLine="86"/>
              <w:jc w:val="both"/>
              <w:rPr>
                <w:sz w:val="14"/>
              </w:rPr>
            </w:pPr>
            <w:r>
              <w:rPr>
                <w:sz w:val="14"/>
              </w:rPr>
              <w:t>% of Total Non Int/ Sal Recurr Exp</w:t>
            </w:r>
          </w:p>
        </w:tc>
        <w:tc>
          <w:tcPr>
            <w:tcW w:w="1268" w:type="dxa"/>
            <w:tcBorders>
              <w:bottom w:val="single" w:sz="4" w:space="0" w:color="000000"/>
            </w:tcBorders>
          </w:tcPr>
          <w:p>
            <w:pPr>
              <w:pStyle w:val="TableParagraph"/>
              <w:spacing w:before="29"/>
              <w:ind w:left="513"/>
              <w:rPr>
                <w:sz w:val="14"/>
              </w:rPr>
            </w:pPr>
            <w:r>
              <w:rPr>
                <w:sz w:val="14"/>
              </w:rPr>
              <w:t>FY</w:t>
            </w:r>
            <w:r>
              <w:rPr>
                <w:spacing w:val="17"/>
                <w:sz w:val="14"/>
              </w:rPr>
              <w:t> </w:t>
            </w:r>
            <w:r>
              <w:rPr>
                <w:spacing w:val="4"/>
                <w:sz w:val="14"/>
              </w:rPr>
              <w:t>2022</w:t>
            </w:r>
          </w:p>
          <w:p>
            <w:pPr>
              <w:pStyle w:val="TableParagraph"/>
              <w:spacing w:before="17"/>
              <w:ind w:left="441"/>
              <w:rPr>
                <w:sz w:val="14"/>
              </w:rPr>
            </w:pPr>
            <w:r>
              <w:rPr>
                <w:spacing w:val="3"/>
                <w:sz w:val="14"/>
              </w:rPr>
              <w:t>Indicative</w:t>
            </w:r>
          </w:p>
        </w:tc>
        <w:tc>
          <w:tcPr>
            <w:tcW w:w="1248" w:type="dxa"/>
            <w:tcBorders>
              <w:bottom w:val="single" w:sz="4" w:space="0" w:color="000000"/>
            </w:tcBorders>
          </w:tcPr>
          <w:p>
            <w:pPr>
              <w:pStyle w:val="TableParagraph"/>
              <w:spacing w:line="249" w:lineRule="auto" w:before="29"/>
              <w:ind w:left="185" w:right="305" w:firstLine="86"/>
              <w:jc w:val="both"/>
              <w:rPr>
                <w:sz w:val="14"/>
              </w:rPr>
            </w:pPr>
            <w:r>
              <w:rPr>
                <w:sz w:val="14"/>
              </w:rPr>
              <w:t>% of Total Non Int/ Sal Recurr Exp</w:t>
            </w:r>
          </w:p>
        </w:tc>
      </w:tr>
      <w:tr>
        <w:trPr>
          <w:trHeight w:val="270" w:hRule="atLeast"/>
        </w:trPr>
        <w:tc>
          <w:tcPr>
            <w:tcW w:w="472" w:type="dxa"/>
            <w:tcBorders>
              <w:top w:val="single" w:sz="4" w:space="0" w:color="000000"/>
            </w:tcBorders>
          </w:tcPr>
          <w:p>
            <w:pPr>
              <w:pStyle w:val="TableParagraph"/>
              <w:spacing w:line="147" w:lineRule="exact" w:before="103"/>
              <w:ind w:left="125"/>
              <w:rPr>
                <w:sz w:val="14"/>
              </w:rPr>
            </w:pPr>
            <w:r>
              <w:rPr>
                <w:sz w:val="14"/>
              </w:rPr>
              <w:t>127</w:t>
            </w:r>
          </w:p>
        </w:tc>
        <w:tc>
          <w:tcPr>
            <w:tcW w:w="5151" w:type="dxa"/>
            <w:tcBorders>
              <w:top w:val="single" w:sz="4" w:space="0" w:color="000000"/>
            </w:tcBorders>
          </w:tcPr>
          <w:p>
            <w:pPr>
              <w:pStyle w:val="TableParagraph"/>
              <w:spacing w:line="147" w:lineRule="exact" w:before="103"/>
              <w:ind w:left="95"/>
              <w:rPr>
                <w:sz w:val="14"/>
              </w:rPr>
            </w:pPr>
            <w:r>
              <w:rPr>
                <w:sz w:val="14"/>
              </w:rPr>
              <w:t>Ministry of Planning and Economic Development</w:t>
            </w:r>
          </w:p>
        </w:tc>
        <w:tc>
          <w:tcPr>
            <w:tcW w:w="2280" w:type="dxa"/>
            <w:tcBorders>
              <w:top w:val="single" w:sz="4" w:space="0" w:color="000000"/>
            </w:tcBorders>
          </w:tcPr>
          <w:p>
            <w:pPr>
              <w:pStyle w:val="TableParagraph"/>
              <w:spacing w:line="147" w:lineRule="exact" w:before="103"/>
              <w:ind w:right="532"/>
              <w:jc w:val="right"/>
              <w:rPr>
                <w:b/>
                <w:sz w:val="14"/>
              </w:rPr>
            </w:pPr>
            <w:r>
              <w:rPr>
                <w:b/>
                <w:sz w:val="14"/>
              </w:rPr>
              <w:t>43,481.7</w:t>
            </w:r>
          </w:p>
        </w:tc>
        <w:tc>
          <w:tcPr>
            <w:tcW w:w="1488" w:type="dxa"/>
            <w:tcBorders>
              <w:top w:val="single" w:sz="4" w:space="0" w:color="000000"/>
            </w:tcBorders>
          </w:tcPr>
          <w:p>
            <w:pPr>
              <w:pStyle w:val="TableParagraph"/>
              <w:spacing w:line="147" w:lineRule="exact" w:before="103"/>
              <w:ind w:left="492"/>
              <w:rPr>
                <w:sz w:val="14"/>
              </w:rPr>
            </w:pPr>
            <w:r>
              <w:rPr>
                <w:sz w:val="14"/>
              </w:rPr>
              <w:t>2 . 1 %</w:t>
            </w:r>
          </w:p>
        </w:tc>
        <w:tc>
          <w:tcPr>
            <w:tcW w:w="1576" w:type="dxa"/>
            <w:tcBorders>
              <w:top w:val="single" w:sz="4" w:space="0" w:color="000000"/>
            </w:tcBorders>
          </w:tcPr>
          <w:p>
            <w:pPr>
              <w:pStyle w:val="TableParagraph"/>
              <w:spacing w:line="147" w:lineRule="exact" w:before="103"/>
              <w:ind w:right="628"/>
              <w:jc w:val="right"/>
              <w:rPr>
                <w:sz w:val="14"/>
              </w:rPr>
            </w:pPr>
            <w:r>
              <w:rPr>
                <w:sz w:val="14"/>
              </w:rPr>
              <w:t>53,819.2</w:t>
            </w:r>
          </w:p>
        </w:tc>
        <w:tc>
          <w:tcPr>
            <w:tcW w:w="1312" w:type="dxa"/>
            <w:tcBorders>
              <w:top w:val="single" w:sz="4" w:space="0" w:color="000000"/>
            </w:tcBorders>
          </w:tcPr>
          <w:p>
            <w:pPr>
              <w:pStyle w:val="TableParagraph"/>
              <w:spacing w:line="147" w:lineRule="exact" w:before="103"/>
              <w:ind w:left="433"/>
              <w:rPr>
                <w:sz w:val="14"/>
              </w:rPr>
            </w:pPr>
            <w:r>
              <w:rPr>
                <w:sz w:val="14"/>
              </w:rPr>
              <w:t>2 . 6 %</w:t>
            </w:r>
          </w:p>
        </w:tc>
        <w:tc>
          <w:tcPr>
            <w:tcW w:w="1268" w:type="dxa"/>
            <w:tcBorders>
              <w:top w:val="single" w:sz="4" w:space="0" w:color="000000"/>
            </w:tcBorders>
          </w:tcPr>
          <w:p>
            <w:pPr>
              <w:pStyle w:val="TableParagraph"/>
              <w:spacing w:line="147" w:lineRule="exact" w:before="103"/>
              <w:ind w:right="434"/>
              <w:jc w:val="right"/>
              <w:rPr>
                <w:sz w:val="14"/>
              </w:rPr>
            </w:pPr>
            <w:r>
              <w:rPr>
                <w:sz w:val="14"/>
              </w:rPr>
              <w:t>57,186.1</w:t>
            </w:r>
          </w:p>
        </w:tc>
        <w:tc>
          <w:tcPr>
            <w:tcW w:w="1248" w:type="dxa"/>
            <w:tcBorders>
              <w:top w:val="single" w:sz="4" w:space="0" w:color="000000"/>
            </w:tcBorders>
          </w:tcPr>
          <w:p>
            <w:pPr>
              <w:pStyle w:val="TableParagraph"/>
              <w:spacing w:line="147" w:lineRule="exact" w:before="103"/>
              <w:ind w:left="402"/>
              <w:rPr>
                <w:sz w:val="14"/>
              </w:rPr>
            </w:pPr>
            <w:r>
              <w:rPr>
                <w:sz w:val="14"/>
              </w:rPr>
              <w:t>2 . 7 %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430"/>
              <w:rPr>
                <w:sz w:val="14"/>
              </w:rPr>
            </w:pPr>
            <w:r>
              <w:rPr>
                <w:sz w:val="14"/>
              </w:rPr>
              <w:t>Office of the Development Secretary</w:t>
            </w:r>
          </w:p>
        </w:tc>
        <w:tc>
          <w:tcPr>
            <w:tcW w:w="2280" w:type="dxa"/>
          </w:tcPr>
          <w:p>
            <w:pPr>
              <w:pStyle w:val="TableParagraph"/>
              <w:spacing w:line="147" w:lineRule="exact" w:before="1"/>
              <w:ind w:right="530"/>
              <w:jc w:val="right"/>
              <w:rPr>
                <w:b/>
                <w:sz w:val="14"/>
              </w:rPr>
            </w:pPr>
            <w:r>
              <w:rPr>
                <w:b/>
                <w:sz w:val="14"/>
              </w:rPr>
              <w:t>6,693.3</w:t>
            </w:r>
          </w:p>
        </w:tc>
        <w:tc>
          <w:tcPr>
            <w:tcW w:w="1488" w:type="dxa"/>
          </w:tcPr>
          <w:p>
            <w:pPr>
              <w:pStyle w:val="TableParagraph"/>
              <w:spacing w:line="147" w:lineRule="exact" w:before="1"/>
              <w:ind w:left="492"/>
              <w:rPr>
                <w:sz w:val="14"/>
              </w:rPr>
            </w:pPr>
            <w:r>
              <w:rPr>
                <w:sz w:val="14"/>
              </w:rPr>
              <w:t>0 . 3 %</w:t>
            </w:r>
          </w:p>
        </w:tc>
        <w:tc>
          <w:tcPr>
            <w:tcW w:w="1576" w:type="dxa"/>
          </w:tcPr>
          <w:p>
            <w:pPr>
              <w:pStyle w:val="TableParagraph"/>
              <w:spacing w:line="147" w:lineRule="exact" w:before="1"/>
              <w:ind w:right="628"/>
              <w:jc w:val="right"/>
              <w:rPr>
                <w:sz w:val="14"/>
              </w:rPr>
            </w:pPr>
            <w:r>
              <w:rPr>
                <w:sz w:val="14"/>
              </w:rPr>
              <w:t>14,975.9</w:t>
            </w:r>
          </w:p>
        </w:tc>
        <w:tc>
          <w:tcPr>
            <w:tcW w:w="1312" w:type="dxa"/>
          </w:tcPr>
          <w:p>
            <w:pPr>
              <w:pStyle w:val="TableParagraph"/>
              <w:spacing w:line="147" w:lineRule="exact" w:before="1"/>
              <w:ind w:left="433"/>
              <w:rPr>
                <w:sz w:val="14"/>
              </w:rPr>
            </w:pPr>
            <w:r>
              <w:rPr>
                <w:sz w:val="14"/>
              </w:rPr>
              <w:t>0 . 7 %</w:t>
            </w:r>
          </w:p>
        </w:tc>
        <w:tc>
          <w:tcPr>
            <w:tcW w:w="1268" w:type="dxa"/>
          </w:tcPr>
          <w:p>
            <w:pPr>
              <w:pStyle w:val="TableParagraph"/>
              <w:spacing w:line="147" w:lineRule="exact" w:before="1"/>
              <w:ind w:right="434"/>
              <w:jc w:val="right"/>
              <w:rPr>
                <w:sz w:val="14"/>
              </w:rPr>
            </w:pPr>
            <w:r>
              <w:rPr>
                <w:sz w:val="14"/>
              </w:rPr>
              <w:t>15,873.0</w:t>
            </w:r>
          </w:p>
        </w:tc>
        <w:tc>
          <w:tcPr>
            <w:tcW w:w="1248" w:type="dxa"/>
          </w:tcPr>
          <w:p>
            <w:pPr>
              <w:pStyle w:val="TableParagraph"/>
              <w:spacing w:line="147" w:lineRule="exact" w:before="1"/>
              <w:ind w:left="402"/>
              <w:rPr>
                <w:sz w:val="14"/>
              </w:rPr>
            </w:pPr>
            <w:r>
              <w:rPr>
                <w:sz w:val="14"/>
              </w:rPr>
              <w:t>0 . 8 %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430"/>
              <w:rPr>
                <w:sz w:val="14"/>
              </w:rPr>
            </w:pPr>
            <w:r>
              <w:rPr>
                <w:sz w:val="14"/>
              </w:rPr>
              <w:t>National Council for Civic Education and Development</w:t>
            </w:r>
          </w:p>
        </w:tc>
        <w:tc>
          <w:tcPr>
            <w:tcW w:w="2280" w:type="dxa"/>
          </w:tcPr>
          <w:p>
            <w:pPr>
              <w:pStyle w:val="TableParagraph"/>
              <w:spacing w:line="147" w:lineRule="exact" w:before="1"/>
              <w:ind w:right="530"/>
              <w:jc w:val="right"/>
              <w:rPr>
                <w:b/>
                <w:sz w:val="14"/>
              </w:rPr>
            </w:pPr>
            <w:r>
              <w:rPr>
                <w:b/>
                <w:sz w:val="14"/>
              </w:rPr>
              <w:t>2,000.0</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1,923 .2</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2,038 .4</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430"/>
              <w:rPr>
                <w:sz w:val="14"/>
              </w:rPr>
            </w:pPr>
            <w:r>
              <w:rPr>
                <w:sz w:val="14"/>
              </w:rPr>
              <w:t>National Monitoring and Evaluation Department</w:t>
            </w:r>
          </w:p>
        </w:tc>
        <w:tc>
          <w:tcPr>
            <w:tcW w:w="2280" w:type="dxa"/>
          </w:tcPr>
          <w:p>
            <w:pPr>
              <w:pStyle w:val="TableParagraph"/>
              <w:spacing w:line="147" w:lineRule="exact" w:before="1"/>
              <w:ind w:right="530"/>
              <w:jc w:val="right"/>
              <w:rPr>
                <w:b/>
                <w:sz w:val="14"/>
              </w:rPr>
            </w:pPr>
            <w:r>
              <w:rPr>
                <w:b/>
                <w:sz w:val="14"/>
              </w:rPr>
              <w:t>3,000.0</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2,884 .8</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3,057 .6</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430"/>
              <w:rPr>
                <w:sz w:val="14"/>
              </w:rPr>
            </w:pPr>
            <w:r>
              <w:rPr>
                <w:sz w:val="14"/>
              </w:rPr>
              <w:t>National Authorising Office</w:t>
            </w:r>
          </w:p>
        </w:tc>
        <w:tc>
          <w:tcPr>
            <w:tcW w:w="2280" w:type="dxa"/>
          </w:tcPr>
          <w:p>
            <w:pPr>
              <w:pStyle w:val="TableParagraph"/>
              <w:spacing w:line="147" w:lineRule="exact" w:before="1"/>
              <w:ind w:right="530"/>
              <w:jc w:val="right"/>
              <w:rPr>
                <w:b/>
                <w:sz w:val="14"/>
              </w:rPr>
            </w:pPr>
            <w:r>
              <w:rPr>
                <w:b/>
                <w:sz w:val="14"/>
              </w:rPr>
              <w:t>1,438.7</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2,253 .0</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2,388 .0</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430"/>
              <w:rPr>
                <w:sz w:val="14"/>
              </w:rPr>
            </w:pPr>
            <w:r>
              <w:rPr>
                <w:sz w:val="14"/>
              </w:rPr>
              <w:t>Rural Development</w:t>
            </w:r>
          </w:p>
        </w:tc>
        <w:tc>
          <w:tcPr>
            <w:tcW w:w="2280" w:type="dxa"/>
          </w:tcPr>
          <w:p>
            <w:pPr>
              <w:pStyle w:val="TableParagraph"/>
              <w:spacing w:line="147" w:lineRule="exact" w:before="1"/>
              <w:ind w:right="513"/>
              <w:jc w:val="right"/>
              <w:rPr>
                <w:b/>
                <w:sz w:val="14"/>
              </w:rPr>
            </w:pPr>
            <w:r>
              <w:rPr>
                <w:b/>
                <w:sz w:val="14"/>
              </w:rPr>
              <w:t>244.7</w:t>
            </w:r>
          </w:p>
        </w:tc>
        <w:tc>
          <w:tcPr>
            <w:tcW w:w="1488" w:type="dxa"/>
          </w:tcPr>
          <w:p>
            <w:pPr>
              <w:pStyle w:val="TableParagraph"/>
              <w:spacing w:line="147" w:lineRule="exact" w:before="1"/>
              <w:ind w:left="492"/>
              <w:rPr>
                <w:sz w:val="14"/>
              </w:rPr>
            </w:pPr>
            <w:r>
              <w:rPr>
                <w:sz w:val="14"/>
              </w:rPr>
              <w:t>0 . 0 %</w:t>
            </w:r>
          </w:p>
        </w:tc>
        <w:tc>
          <w:tcPr>
            <w:tcW w:w="1576" w:type="dxa"/>
          </w:tcPr>
          <w:p>
            <w:pPr>
              <w:pStyle w:val="TableParagraph"/>
              <w:spacing w:line="147" w:lineRule="exact" w:before="1"/>
              <w:ind w:right="617"/>
              <w:jc w:val="right"/>
              <w:rPr>
                <w:sz w:val="14"/>
              </w:rPr>
            </w:pPr>
            <w:r>
              <w:rPr>
                <w:sz w:val="14"/>
              </w:rPr>
              <w:t>782.3</w:t>
            </w:r>
          </w:p>
        </w:tc>
        <w:tc>
          <w:tcPr>
            <w:tcW w:w="1312" w:type="dxa"/>
          </w:tcPr>
          <w:p>
            <w:pPr>
              <w:pStyle w:val="TableParagraph"/>
              <w:spacing w:line="147" w:lineRule="exact" w:before="1"/>
              <w:ind w:left="433"/>
              <w:rPr>
                <w:sz w:val="14"/>
              </w:rPr>
            </w:pPr>
            <w:r>
              <w:rPr>
                <w:sz w:val="14"/>
              </w:rPr>
              <w:t>0 . 0 %</w:t>
            </w:r>
          </w:p>
        </w:tc>
        <w:tc>
          <w:tcPr>
            <w:tcW w:w="1268" w:type="dxa"/>
          </w:tcPr>
          <w:p>
            <w:pPr>
              <w:pStyle w:val="TableParagraph"/>
              <w:spacing w:line="147" w:lineRule="exact" w:before="1"/>
              <w:ind w:right="422"/>
              <w:jc w:val="right"/>
              <w:rPr>
                <w:sz w:val="14"/>
              </w:rPr>
            </w:pPr>
            <w:r>
              <w:rPr>
                <w:sz w:val="14"/>
              </w:rPr>
              <w:t>829.1</w:t>
            </w:r>
          </w:p>
        </w:tc>
        <w:tc>
          <w:tcPr>
            <w:tcW w:w="1248" w:type="dxa"/>
          </w:tcPr>
          <w:p>
            <w:pPr>
              <w:pStyle w:val="TableParagraph"/>
              <w:spacing w:line="147" w:lineRule="exact" w:before="1"/>
              <w:ind w:left="402"/>
              <w:rPr>
                <w:sz w:val="14"/>
              </w:rPr>
            </w:pPr>
            <w:r>
              <w:rPr>
                <w:sz w:val="14"/>
              </w:rPr>
              <w:t>0 . 0 %</w:t>
            </w:r>
          </w:p>
        </w:tc>
      </w:tr>
      <w:tr>
        <w:trPr>
          <w:trHeight w:val="251" w:hRule="atLeast"/>
        </w:trPr>
        <w:tc>
          <w:tcPr>
            <w:tcW w:w="472" w:type="dxa"/>
          </w:tcPr>
          <w:p>
            <w:pPr>
              <w:pStyle w:val="TableParagraph"/>
              <w:rPr>
                <w:rFonts w:ascii="Times New Roman"/>
                <w:sz w:val="14"/>
              </w:rPr>
            </w:pPr>
          </w:p>
        </w:tc>
        <w:tc>
          <w:tcPr>
            <w:tcW w:w="5151" w:type="dxa"/>
          </w:tcPr>
          <w:p>
            <w:pPr>
              <w:pStyle w:val="TableParagraph"/>
              <w:spacing w:before="1"/>
              <w:ind w:left="430"/>
              <w:rPr>
                <w:sz w:val="14"/>
              </w:rPr>
            </w:pPr>
            <w:r>
              <w:rPr>
                <w:sz w:val="14"/>
              </w:rPr>
              <w:t>ECOWAS Levy</w:t>
            </w:r>
          </w:p>
        </w:tc>
        <w:tc>
          <w:tcPr>
            <w:tcW w:w="2280" w:type="dxa"/>
          </w:tcPr>
          <w:p>
            <w:pPr>
              <w:pStyle w:val="TableParagraph"/>
              <w:spacing w:before="1"/>
              <w:ind w:right="532"/>
              <w:jc w:val="right"/>
              <w:rPr>
                <w:b/>
                <w:sz w:val="14"/>
              </w:rPr>
            </w:pPr>
            <w:r>
              <w:rPr>
                <w:b/>
                <w:sz w:val="14"/>
              </w:rPr>
              <w:t>30,105.0</w:t>
            </w:r>
          </w:p>
        </w:tc>
        <w:tc>
          <w:tcPr>
            <w:tcW w:w="1488" w:type="dxa"/>
          </w:tcPr>
          <w:p>
            <w:pPr>
              <w:pStyle w:val="TableParagraph"/>
              <w:spacing w:before="1"/>
              <w:ind w:left="492"/>
              <w:rPr>
                <w:sz w:val="14"/>
              </w:rPr>
            </w:pPr>
            <w:r>
              <w:rPr>
                <w:sz w:val="14"/>
              </w:rPr>
              <w:t>1 . 4 %</w:t>
            </w:r>
          </w:p>
        </w:tc>
        <w:tc>
          <w:tcPr>
            <w:tcW w:w="1576" w:type="dxa"/>
          </w:tcPr>
          <w:p>
            <w:pPr>
              <w:pStyle w:val="TableParagraph"/>
              <w:spacing w:before="1"/>
              <w:ind w:right="628"/>
              <w:jc w:val="right"/>
              <w:rPr>
                <w:sz w:val="14"/>
              </w:rPr>
            </w:pPr>
            <w:r>
              <w:rPr>
                <w:sz w:val="14"/>
              </w:rPr>
              <w:t>31,000.0</w:t>
            </w:r>
          </w:p>
        </w:tc>
        <w:tc>
          <w:tcPr>
            <w:tcW w:w="1312" w:type="dxa"/>
          </w:tcPr>
          <w:p>
            <w:pPr>
              <w:pStyle w:val="TableParagraph"/>
              <w:spacing w:before="1"/>
              <w:ind w:left="433"/>
              <w:rPr>
                <w:sz w:val="14"/>
              </w:rPr>
            </w:pPr>
            <w:r>
              <w:rPr>
                <w:sz w:val="14"/>
              </w:rPr>
              <w:t>1 . 5 %</w:t>
            </w:r>
          </w:p>
        </w:tc>
        <w:tc>
          <w:tcPr>
            <w:tcW w:w="1268" w:type="dxa"/>
          </w:tcPr>
          <w:p>
            <w:pPr>
              <w:pStyle w:val="TableParagraph"/>
              <w:spacing w:before="1"/>
              <w:ind w:right="434"/>
              <w:jc w:val="right"/>
              <w:rPr>
                <w:sz w:val="14"/>
              </w:rPr>
            </w:pPr>
            <w:r>
              <w:rPr>
                <w:sz w:val="14"/>
              </w:rPr>
              <w:t>33,000.0</w:t>
            </w:r>
          </w:p>
        </w:tc>
        <w:tc>
          <w:tcPr>
            <w:tcW w:w="1248" w:type="dxa"/>
          </w:tcPr>
          <w:p>
            <w:pPr>
              <w:pStyle w:val="TableParagraph"/>
              <w:spacing w:before="1"/>
              <w:ind w:left="402"/>
              <w:rPr>
                <w:sz w:val="14"/>
              </w:rPr>
            </w:pPr>
            <w:r>
              <w:rPr>
                <w:sz w:val="14"/>
              </w:rPr>
              <w:t>1 . 6 %</w:t>
            </w:r>
          </w:p>
        </w:tc>
      </w:tr>
      <w:tr>
        <w:trPr>
          <w:trHeight w:val="252" w:hRule="atLeast"/>
        </w:trPr>
        <w:tc>
          <w:tcPr>
            <w:tcW w:w="472" w:type="dxa"/>
          </w:tcPr>
          <w:p>
            <w:pPr>
              <w:pStyle w:val="TableParagraph"/>
              <w:spacing w:line="147" w:lineRule="exact" w:before="85"/>
              <w:ind w:left="125"/>
              <w:rPr>
                <w:sz w:val="14"/>
              </w:rPr>
            </w:pPr>
            <w:r>
              <w:rPr>
                <w:sz w:val="14"/>
              </w:rPr>
              <w:t>128</w:t>
            </w:r>
          </w:p>
        </w:tc>
        <w:tc>
          <w:tcPr>
            <w:tcW w:w="5151" w:type="dxa"/>
          </w:tcPr>
          <w:p>
            <w:pPr>
              <w:pStyle w:val="TableParagraph"/>
              <w:spacing w:line="147" w:lineRule="exact" w:before="85"/>
              <w:ind w:left="95"/>
              <w:rPr>
                <w:sz w:val="14"/>
              </w:rPr>
            </w:pPr>
            <w:r>
              <w:rPr>
                <w:sz w:val="14"/>
              </w:rPr>
              <w:t>Ministry of Foreign Affairs &amp; International Co-operation</w:t>
            </w:r>
          </w:p>
        </w:tc>
        <w:tc>
          <w:tcPr>
            <w:tcW w:w="2280" w:type="dxa"/>
          </w:tcPr>
          <w:p>
            <w:pPr>
              <w:pStyle w:val="TableParagraph"/>
              <w:spacing w:line="147" w:lineRule="exact" w:before="85"/>
              <w:ind w:right="532"/>
              <w:jc w:val="right"/>
              <w:rPr>
                <w:b/>
                <w:sz w:val="14"/>
              </w:rPr>
            </w:pPr>
            <w:r>
              <w:rPr>
                <w:b/>
                <w:sz w:val="14"/>
              </w:rPr>
              <w:t>92,990.7</w:t>
            </w:r>
          </w:p>
        </w:tc>
        <w:tc>
          <w:tcPr>
            <w:tcW w:w="1488" w:type="dxa"/>
          </w:tcPr>
          <w:p>
            <w:pPr>
              <w:pStyle w:val="TableParagraph"/>
              <w:spacing w:line="147" w:lineRule="exact" w:before="85"/>
              <w:ind w:left="492"/>
              <w:rPr>
                <w:sz w:val="14"/>
              </w:rPr>
            </w:pPr>
            <w:r>
              <w:rPr>
                <w:sz w:val="14"/>
              </w:rPr>
              <w:t>4 . 5 %</w:t>
            </w:r>
          </w:p>
        </w:tc>
        <w:tc>
          <w:tcPr>
            <w:tcW w:w="1576" w:type="dxa"/>
          </w:tcPr>
          <w:p>
            <w:pPr>
              <w:pStyle w:val="TableParagraph"/>
              <w:spacing w:line="147" w:lineRule="exact" w:before="85"/>
              <w:ind w:right="628"/>
              <w:jc w:val="right"/>
              <w:rPr>
                <w:sz w:val="14"/>
              </w:rPr>
            </w:pPr>
            <w:r>
              <w:rPr>
                <w:sz w:val="14"/>
              </w:rPr>
              <w:t>79,120.8</w:t>
            </w:r>
          </w:p>
        </w:tc>
        <w:tc>
          <w:tcPr>
            <w:tcW w:w="1312" w:type="dxa"/>
          </w:tcPr>
          <w:p>
            <w:pPr>
              <w:pStyle w:val="TableParagraph"/>
              <w:spacing w:line="147" w:lineRule="exact" w:before="85"/>
              <w:ind w:left="433"/>
              <w:rPr>
                <w:sz w:val="14"/>
              </w:rPr>
            </w:pPr>
            <w:r>
              <w:rPr>
                <w:sz w:val="14"/>
              </w:rPr>
              <w:t>3 . 8 %</w:t>
            </w:r>
          </w:p>
        </w:tc>
        <w:tc>
          <w:tcPr>
            <w:tcW w:w="1268" w:type="dxa"/>
          </w:tcPr>
          <w:p>
            <w:pPr>
              <w:pStyle w:val="TableParagraph"/>
              <w:spacing w:line="147" w:lineRule="exact" w:before="85"/>
              <w:ind w:right="434"/>
              <w:jc w:val="right"/>
              <w:rPr>
                <w:sz w:val="14"/>
              </w:rPr>
            </w:pPr>
            <w:r>
              <w:rPr>
                <w:sz w:val="14"/>
              </w:rPr>
              <w:t>61,477.2</w:t>
            </w:r>
          </w:p>
        </w:tc>
        <w:tc>
          <w:tcPr>
            <w:tcW w:w="1248" w:type="dxa"/>
          </w:tcPr>
          <w:p>
            <w:pPr>
              <w:pStyle w:val="TableParagraph"/>
              <w:spacing w:line="147" w:lineRule="exact" w:before="85"/>
              <w:ind w:left="402"/>
              <w:rPr>
                <w:sz w:val="14"/>
              </w:rPr>
            </w:pPr>
            <w:r>
              <w:rPr>
                <w:sz w:val="14"/>
              </w:rPr>
              <w:t>3 . 0 %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430"/>
              <w:rPr>
                <w:sz w:val="14"/>
              </w:rPr>
            </w:pPr>
            <w:r>
              <w:rPr>
                <w:sz w:val="14"/>
              </w:rPr>
              <w:t>Administrative and Operating Costs</w:t>
            </w:r>
          </w:p>
        </w:tc>
        <w:tc>
          <w:tcPr>
            <w:tcW w:w="2280" w:type="dxa"/>
          </w:tcPr>
          <w:p>
            <w:pPr>
              <w:pStyle w:val="TableParagraph"/>
              <w:spacing w:line="147" w:lineRule="exact" w:before="1"/>
              <w:ind w:right="532"/>
              <w:jc w:val="right"/>
              <w:rPr>
                <w:b/>
                <w:sz w:val="14"/>
              </w:rPr>
            </w:pPr>
            <w:r>
              <w:rPr>
                <w:b/>
                <w:sz w:val="14"/>
              </w:rPr>
              <w:t>55,410.3</w:t>
            </w:r>
          </w:p>
        </w:tc>
        <w:tc>
          <w:tcPr>
            <w:tcW w:w="1488" w:type="dxa"/>
          </w:tcPr>
          <w:p>
            <w:pPr>
              <w:pStyle w:val="TableParagraph"/>
              <w:spacing w:line="147" w:lineRule="exact" w:before="1"/>
              <w:ind w:left="492"/>
              <w:rPr>
                <w:sz w:val="14"/>
              </w:rPr>
            </w:pPr>
            <w:r>
              <w:rPr>
                <w:sz w:val="14"/>
              </w:rPr>
              <w:t>2 . 7 %</w:t>
            </w:r>
          </w:p>
        </w:tc>
        <w:tc>
          <w:tcPr>
            <w:tcW w:w="1576" w:type="dxa"/>
          </w:tcPr>
          <w:p>
            <w:pPr>
              <w:pStyle w:val="TableParagraph"/>
              <w:spacing w:line="147" w:lineRule="exact" w:before="1"/>
              <w:ind w:right="628"/>
              <w:jc w:val="right"/>
              <w:rPr>
                <w:sz w:val="14"/>
              </w:rPr>
            </w:pPr>
            <w:r>
              <w:rPr>
                <w:sz w:val="14"/>
              </w:rPr>
              <w:t>36,606.4</w:t>
            </w:r>
          </w:p>
        </w:tc>
        <w:tc>
          <w:tcPr>
            <w:tcW w:w="1312" w:type="dxa"/>
          </w:tcPr>
          <w:p>
            <w:pPr>
              <w:pStyle w:val="TableParagraph"/>
              <w:spacing w:line="147" w:lineRule="exact" w:before="1"/>
              <w:ind w:left="433"/>
              <w:rPr>
                <w:sz w:val="14"/>
              </w:rPr>
            </w:pPr>
            <w:r>
              <w:rPr>
                <w:sz w:val="14"/>
              </w:rPr>
              <w:t>1 . 8 %</w:t>
            </w:r>
          </w:p>
        </w:tc>
        <w:tc>
          <w:tcPr>
            <w:tcW w:w="1268" w:type="dxa"/>
          </w:tcPr>
          <w:p>
            <w:pPr>
              <w:pStyle w:val="TableParagraph"/>
              <w:spacing w:line="147" w:lineRule="exact" w:before="1"/>
              <w:ind w:right="434"/>
              <w:jc w:val="right"/>
              <w:rPr>
                <w:sz w:val="14"/>
              </w:rPr>
            </w:pPr>
            <w:r>
              <w:rPr>
                <w:sz w:val="14"/>
              </w:rPr>
              <w:t>16,416.2</w:t>
            </w:r>
          </w:p>
        </w:tc>
        <w:tc>
          <w:tcPr>
            <w:tcW w:w="1248" w:type="dxa"/>
          </w:tcPr>
          <w:p>
            <w:pPr>
              <w:pStyle w:val="TableParagraph"/>
              <w:spacing w:line="147" w:lineRule="exact" w:before="1"/>
              <w:ind w:left="402"/>
              <w:rPr>
                <w:sz w:val="14"/>
              </w:rPr>
            </w:pPr>
            <w:r>
              <w:rPr>
                <w:sz w:val="14"/>
              </w:rPr>
              <w:t>0 . 8 %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603"/>
              <w:rPr>
                <w:sz w:val="14"/>
              </w:rPr>
            </w:pPr>
            <w:r>
              <w:rPr>
                <w:sz w:val="14"/>
              </w:rPr>
              <w:t>o/ w Postings of New Ambassadors and Diplomats</w:t>
            </w:r>
          </w:p>
        </w:tc>
        <w:tc>
          <w:tcPr>
            <w:tcW w:w="2280" w:type="dxa"/>
          </w:tcPr>
          <w:p>
            <w:pPr>
              <w:pStyle w:val="TableParagraph"/>
              <w:spacing w:line="147" w:lineRule="exact" w:before="1"/>
              <w:ind w:right="530"/>
              <w:jc w:val="right"/>
              <w:rPr>
                <w:b/>
                <w:sz w:val="14"/>
              </w:rPr>
            </w:pPr>
            <w:r>
              <w:rPr>
                <w:b/>
                <w:sz w:val="14"/>
              </w:rPr>
              <w:t>2,935.0</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3,615 .3</w:t>
            </w:r>
          </w:p>
        </w:tc>
        <w:tc>
          <w:tcPr>
            <w:tcW w:w="1312" w:type="dxa"/>
          </w:tcPr>
          <w:p>
            <w:pPr>
              <w:pStyle w:val="TableParagraph"/>
              <w:spacing w:line="147" w:lineRule="exact" w:before="1"/>
              <w:ind w:left="433"/>
              <w:rPr>
                <w:sz w:val="14"/>
              </w:rPr>
            </w:pPr>
            <w:r>
              <w:rPr>
                <w:sz w:val="14"/>
              </w:rPr>
              <w:t>0 . 2 %</w:t>
            </w:r>
          </w:p>
        </w:tc>
        <w:tc>
          <w:tcPr>
            <w:tcW w:w="1268" w:type="dxa"/>
          </w:tcPr>
          <w:p>
            <w:pPr>
              <w:pStyle w:val="TableParagraph"/>
              <w:spacing w:line="147" w:lineRule="exact" w:before="1"/>
              <w:ind w:right="425"/>
              <w:jc w:val="right"/>
              <w:rPr>
                <w:sz w:val="14"/>
              </w:rPr>
            </w:pPr>
            <w:r>
              <w:rPr>
                <w:sz w:val="14"/>
              </w:rPr>
              <w:t>3,831 .8</w:t>
            </w:r>
          </w:p>
        </w:tc>
        <w:tc>
          <w:tcPr>
            <w:tcW w:w="1248" w:type="dxa"/>
          </w:tcPr>
          <w:p>
            <w:pPr>
              <w:pStyle w:val="TableParagraph"/>
              <w:spacing w:line="147" w:lineRule="exact" w:before="1"/>
              <w:ind w:left="402"/>
              <w:rPr>
                <w:sz w:val="14"/>
              </w:rPr>
            </w:pPr>
            <w:r>
              <w:rPr>
                <w:sz w:val="14"/>
              </w:rPr>
              <w:t>0 . 2 %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603"/>
              <w:rPr>
                <w:sz w:val="14"/>
              </w:rPr>
            </w:pPr>
            <w:r>
              <w:rPr>
                <w:sz w:val="14"/>
              </w:rPr>
              <w:t>o/ w Rent for Foreign Missions</w:t>
            </w:r>
          </w:p>
        </w:tc>
        <w:tc>
          <w:tcPr>
            <w:tcW w:w="2280" w:type="dxa"/>
          </w:tcPr>
          <w:p>
            <w:pPr>
              <w:pStyle w:val="TableParagraph"/>
              <w:spacing w:line="147" w:lineRule="exact" w:before="1"/>
              <w:ind w:right="532"/>
              <w:jc w:val="right"/>
              <w:rPr>
                <w:b/>
                <w:sz w:val="14"/>
              </w:rPr>
            </w:pPr>
            <w:r>
              <w:rPr>
                <w:b/>
                <w:sz w:val="14"/>
              </w:rPr>
              <w:t>16,976.5</w:t>
            </w:r>
          </w:p>
        </w:tc>
        <w:tc>
          <w:tcPr>
            <w:tcW w:w="1488" w:type="dxa"/>
          </w:tcPr>
          <w:p>
            <w:pPr>
              <w:pStyle w:val="TableParagraph"/>
              <w:spacing w:line="147" w:lineRule="exact" w:before="1"/>
              <w:ind w:left="492"/>
              <w:rPr>
                <w:sz w:val="14"/>
              </w:rPr>
            </w:pPr>
            <w:r>
              <w:rPr>
                <w:sz w:val="14"/>
              </w:rPr>
              <w:t>0 . 8 %</w:t>
            </w:r>
          </w:p>
        </w:tc>
        <w:tc>
          <w:tcPr>
            <w:tcW w:w="1576" w:type="dxa"/>
          </w:tcPr>
          <w:p>
            <w:pPr>
              <w:pStyle w:val="TableParagraph"/>
              <w:spacing w:line="147" w:lineRule="exact" w:before="1"/>
              <w:ind w:right="628"/>
              <w:jc w:val="right"/>
              <w:rPr>
                <w:sz w:val="14"/>
              </w:rPr>
            </w:pPr>
            <w:r>
              <w:rPr>
                <w:sz w:val="14"/>
              </w:rPr>
              <w:t>16,324.6</w:t>
            </w:r>
          </w:p>
        </w:tc>
        <w:tc>
          <w:tcPr>
            <w:tcW w:w="1312" w:type="dxa"/>
          </w:tcPr>
          <w:p>
            <w:pPr>
              <w:pStyle w:val="TableParagraph"/>
              <w:spacing w:line="147" w:lineRule="exact" w:before="1"/>
              <w:ind w:left="433"/>
              <w:rPr>
                <w:sz w:val="14"/>
              </w:rPr>
            </w:pPr>
            <w:r>
              <w:rPr>
                <w:sz w:val="14"/>
              </w:rPr>
              <w:t>0 . 8 %</w:t>
            </w:r>
          </w:p>
        </w:tc>
        <w:tc>
          <w:tcPr>
            <w:tcW w:w="1268" w:type="dxa"/>
          </w:tcPr>
          <w:p>
            <w:pPr>
              <w:pStyle w:val="TableParagraph"/>
              <w:spacing w:line="147" w:lineRule="exact" w:before="1"/>
              <w:ind w:right="434"/>
              <w:jc w:val="right"/>
              <w:rPr>
                <w:sz w:val="14"/>
              </w:rPr>
            </w:pPr>
            <w:r>
              <w:rPr>
                <w:sz w:val="14"/>
              </w:rPr>
              <w:t>17,302.5</w:t>
            </w:r>
          </w:p>
        </w:tc>
        <w:tc>
          <w:tcPr>
            <w:tcW w:w="1248" w:type="dxa"/>
          </w:tcPr>
          <w:p>
            <w:pPr>
              <w:pStyle w:val="TableParagraph"/>
              <w:spacing w:line="147" w:lineRule="exact" w:before="1"/>
              <w:ind w:left="402"/>
              <w:rPr>
                <w:sz w:val="14"/>
              </w:rPr>
            </w:pPr>
            <w:r>
              <w:rPr>
                <w:sz w:val="14"/>
              </w:rPr>
              <w:t>0 . 8 %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603"/>
              <w:rPr>
                <w:sz w:val="14"/>
              </w:rPr>
            </w:pPr>
            <w:r>
              <w:rPr>
                <w:sz w:val="14"/>
              </w:rPr>
              <w:t>o/ w Vehicle for Foreign Missions</w:t>
            </w:r>
          </w:p>
        </w:tc>
        <w:tc>
          <w:tcPr>
            <w:tcW w:w="2280" w:type="dxa"/>
          </w:tcPr>
          <w:p>
            <w:pPr>
              <w:pStyle w:val="TableParagraph"/>
              <w:spacing w:line="147" w:lineRule="exact" w:before="1"/>
              <w:ind w:right="532"/>
              <w:jc w:val="right"/>
              <w:rPr>
                <w:b/>
                <w:sz w:val="14"/>
              </w:rPr>
            </w:pPr>
            <w:r>
              <w:rPr>
                <w:b/>
                <w:sz w:val="14"/>
              </w:rPr>
              <w:t>20,341.1</w:t>
            </w:r>
          </w:p>
        </w:tc>
        <w:tc>
          <w:tcPr>
            <w:tcW w:w="1488" w:type="dxa"/>
          </w:tcPr>
          <w:p>
            <w:pPr>
              <w:pStyle w:val="TableParagraph"/>
              <w:spacing w:line="147" w:lineRule="exact" w:before="1"/>
              <w:ind w:left="492"/>
              <w:rPr>
                <w:sz w:val="14"/>
              </w:rPr>
            </w:pPr>
            <w:r>
              <w:rPr>
                <w:sz w:val="14"/>
              </w:rPr>
              <w:t>1 . 0 %</w:t>
            </w:r>
          </w:p>
        </w:tc>
        <w:tc>
          <w:tcPr>
            <w:tcW w:w="1576" w:type="dxa"/>
          </w:tcPr>
          <w:p>
            <w:pPr>
              <w:pStyle w:val="TableParagraph"/>
              <w:spacing w:line="147" w:lineRule="exact" w:before="1"/>
              <w:ind w:right="628"/>
              <w:jc w:val="right"/>
              <w:rPr>
                <w:sz w:val="14"/>
              </w:rPr>
            </w:pPr>
            <w:r>
              <w:rPr>
                <w:sz w:val="14"/>
              </w:rPr>
              <w:t>19,560.0</w:t>
            </w:r>
          </w:p>
        </w:tc>
        <w:tc>
          <w:tcPr>
            <w:tcW w:w="1312" w:type="dxa"/>
          </w:tcPr>
          <w:p>
            <w:pPr>
              <w:pStyle w:val="TableParagraph"/>
              <w:spacing w:line="147" w:lineRule="exact" w:before="1"/>
              <w:ind w:left="433"/>
              <w:rPr>
                <w:sz w:val="14"/>
              </w:rPr>
            </w:pPr>
            <w:r>
              <w:rPr>
                <w:sz w:val="14"/>
              </w:rPr>
              <w:t>0 . 9 %</w:t>
            </w:r>
          </w:p>
        </w:tc>
        <w:tc>
          <w:tcPr>
            <w:tcW w:w="1268" w:type="dxa"/>
          </w:tcPr>
          <w:p>
            <w:pPr>
              <w:pStyle w:val="TableParagraph"/>
              <w:spacing w:line="147" w:lineRule="exact" w:before="1"/>
              <w:ind w:right="434"/>
              <w:jc w:val="right"/>
              <w:rPr>
                <w:sz w:val="14"/>
              </w:rPr>
            </w:pPr>
            <w:r>
              <w:rPr>
                <w:sz w:val="14"/>
              </w:rPr>
              <w:t>20,731.6</w:t>
            </w:r>
          </w:p>
        </w:tc>
        <w:tc>
          <w:tcPr>
            <w:tcW w:w="1248" w:type="dxa"/>
          </w:tcPr>
          <w:p>
            <w:pPr>
              <w:pStyle w:val="TableParagraph"/>
              <w:spacing w:line="147" w:lineRule="exact" w:before="1"/>
              <w:ind w:left="402"/>
              <w:rPr>
                <w:sz w:val="14"/>
              </w:rPr>
            </w:pPr>
            <w:r>
              <w:rPr>
                <w:sz w:val="14"/>
              </w:rPr>
              <w:t>1 . 0 %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3"/>
              <w:rPr>
                <w:sz w:val="14"/>
              </w:rPr>
            </w:pPr>
            <w:r>
              <w:rPr>
                <w:sz w:val="14"/>
              </w:rPr>
              <w:t>High Commission, London</w:t>
            </w:r>
          </w:p>
        </w:tc>
        <w:tc>
          <w:tcPr>
            <w:tcW w:w="2280" w:type="dxa"/>
          </w:tcPr>
          <w:p>
            <w:pPr>
              <w:pStyle w:val="TableParagraph"/>
              <w:spacing w:line="147" w:lineRule="exact" w:before="1"/>
              <w:ind w:right="530"/>
              <w:jc w:val="right"/>
              <w:rPr>
                <w:b/>
                <w:sz w:val="14"/>
              </w:rPr>
            </w:pPr>
            <w:r>
              <w:rPr>
                <w:b/>
                <w:sz w:val="14"/>
              </w:rPr>
              <w:t>1,937.7</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2,192 .2</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2,323 .5</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U.N. Delegation</w:t>
            </w:r>
          </w:p>
        </w:tc>
        <w:tc>
          <w:tcPr>
            <w:tcW w:w="2280" w:type="dxa"/>
          </w:tcPr>
          <w:p>
            <w:pPr>
              <w:pStyle w:val="TableParagraph"/>
              <w:spacing w:line="147" w:lineRule="exact" w:before="1"/>
              <w:ind w:right="530"/>
              <w:jc w:val="right"/>
              <w:rPr>
                <w:b/>
                <w:sz w:val="14"/>
              </w:rPr>
            </w:pPr>
            <w:r>
              <w:rPr>
                <w:b/>
                <w:sz w:val="14"/>
              </w:rPr>
              <w:t>2,598.9</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2,940 .2</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3,116 .3</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3"/>
              <w:rPr>
                <w:sz w:val="14"/>
              </w:rPr>
            </w:pPr>
            <w:r>
              <w:rPr>
                <w:sz w:val="14"/>
              </w:rPr>
              <w:t>High Commission, Abuja</w:t>
            </w:r>
          </w:p>
        </w:tc>
        <w:tc>
          <w:tcPr>
            <w:tcW w:w="2280" w:type="dxa"/>
          </w:tcPr>
          <w:p>
            <w:pPr>
              <w:pStyle w:val="TableParagraph"/>
              <w:spacing w:line="147" w:lineRule="exact" w:before="1"/>
              <w:ind w:right="530"/>
              <w:jc w:val="right"/>
              <w:rPr>
                <w:b/>
                <w:sz w:val="14"/>
              </w:rPr>
            </w:pPr>
            <w:r>
              <w:rPr>
                <w:b/>
                <w:sz w:val="14"/>
              </w:rPr>
              <w:t>1,615.9</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1,828 .1</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1,937 .6</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Monrovia</w:t>
            </w:r>
          </w:p>
        </w:tc>
        <w:tc>
          <w:tcPr>
            <w:tcW w:w="2280" w:type="dxa"/>
          </w:tcPr>
          <w:p>
            <w:pPr>
              <w:pStyle w:val="TableParagraph"/>
              <w:spacing w:line="147" w:lineRule="exact" w:before="1"/>
              <w:ind w:right="530"/>
              <w:jc w:val="right"/>
              <w:rPr>
                <w:b/>
                <w:sz w:val="14"/>
              </w:rPr>
            </w:pPr>
            <w:r>
              <w:rPr>
                <w:b/>
                <w:sz w:val="14"/>
              </w:rPr>
              <w:t>1,650.9</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1,867 .7</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1,979 .6</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Conakry</w:t>
            </w:r>
          </w:p>
        </w:tc>
        <w:tc>
          <w:tcPr>
            <w:tcW w:w="2280" w:type="dxa"/>
          </w:tcPr>
          <w:p>
            <w:pPr>
              <w:pStyle w:val="TableParagraph"/>
              <w:spacing w:line="147" w:lineRule="exact" w:before="1"/>
              <w:ind w:right="530"/>
              <w:jc w:val="right"/>
              <w:rPr>
                <w:b/>
                <w:sz w:val="14"/>
              </w:rPr>
            </w:pPr>
            <w:r>
              <w:rPr>
                <w:b/>
                <w:sz w:val="14"/>
              </w:rPr>
              <w:t>1,548.1</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1,751 .3</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1,856 .2</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Washington</w:t>
            </w:r>
          </w:p>
        </w:tc>
        <w:tc>
          <w:tcPr>
            <w:tcW w:w="2280" w:type="dxa"/>
          </w:tcPr>
          <w:p>
            <w:pPr>
              <w:pStyle w:val="TableParagraph"/>
              <w:spacing w:line="147" w:lineRule="exact" w:before="1"/>
              <w:ind w:right="530"/>
              <w:jc w:val="right"/>
              <w:rPr>
                <w:b/>
                <w:sz w:val="14"/>
              </w:rPr>
            </w:pPr>
            <w:r>
              <w:rPr>
                <w:b/>
                <w:sz w:val="14"/>
              </w:rPr>
              <w:t>1,651.7</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1,868 .5</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1,980 .5</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Moscow</w:t>
            </w:r>
          </w:p>
        </w:tc>
        <w:tc>
          <w:tcPr>
            <w:tcW w:w="2280" w:type="dxa"/>
          </w:tcPr>
          <w:p>
            <w:pPr>
              <w:pStyle w:val="TableParagraph"/>
              <w:spacing w:line="147" w:lineRule="exact" w:before="1"/>
              <w:ind w:right="530"/>
              <w:jc w:val="right"/>
              <w:rPr>
                <w:b/>
                <w:sz w:val="14"/>
              </w:rPr>
            </w:pPr>
            <w:r>
              <w:rPr>
                <w:b/>
                <w:sz w:val="14"/>
              </w:rPr>
              <w:t>1,532.8</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1,734 .0</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1,837 .9</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Addis Ababa</w:t>
            </w:r>
          </w:p>
        </w:tc>
        <w:tc>
          <w:tcPr>
            <w:tcW w:w="2280" w:type="dxa"/>
          </w:tcPr>
          <w:p>
            <w:pPr>
              <w:pStyle w:val="TableParagraph"/>
              <w:spacing w:line="147" w:lineRule="exact" w:before="1"/>
              <w:ind w:right="530"/>
              <w:jc w:val="right"/>
              <w:rPr>
                <w:b/>
                <w:sz w:val="14"/>
              </w:rPr>
            </w:pPr>
            <w:r>
              <w:rPr>
                <w:b/>
                <w:sz w:val="14"/>
              </w:rPr>
              <w:t>1,650.0</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1,866 .6</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1,978 .4</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Beijing</w:t>
            </w:r>
          </w:p>
        </w:tc>
        <w:tc>
          <w:tcPr>
            <w:tcW w:w="2280" w:type="dxa"/>
          </w:tcPr>
          <w:p>
            <w:pPr>
              <w:pStyle w:val="TableParagraph"/>
              <w:spacing w:line="147" w:lineRule="exact" w:before="1"/>
              <w:ind w:right="530"/>
              <w:jc w:val="right"/>
              <w:rPr>
                <w:b/>
                <w:sz w:val="14"/>
              </w:rPr>
            </w:pPr>
            <w:r>
              <w:rPr>
                <w:b/>
                <w:sz w:val="14"/>
              </w:rPr>
              <w:t>1,548.1</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1,751 .3</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1,856 .2</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3"/>
              <w:rPr>
                <w:sz w:val="14"/>
              </w:rPr>
            </w:pPr>
            <w:r>
              <w:rPr>
                <w:sz w:val="14"/>
              </w:rPr>
              <w:t>High Commission, Banjul</w:t>
            </w:r>
          </w:p>
        </w:tc>
        <w:tc>
          <w:tcPr>
            <w:tcW w:w="2280" w:type="dxa"/>
          </w:tcPr>
          <w:p>
            <w:pPr>
              <w:pStyle w:val="TableParagraph"/>
              <w:spacing w:line="147" w:lineRule="exact" w:before="1"/>
              <w:ind w:right="530"/>
              <w:jc w:val="right"/>
              <w:rPr>
                <w:b/>
                <w:sz w:val="14"/>
              </w:rPr>
            </w:pPr>
            <w:r>
              <w:rPr>
                <w:b/>
                <w:sz w:val="14"/>
              </w:rPr>
              <w:t>1,556.1</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1,760 .4</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1,865 .8</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Brussels</w:t>
            </w:r>
          </w:p>
        </w:tc>
        <w:tc>
          <w:tcPr>
            <w:tcW w:w="2280" w:type="dxa"/>
          </w:tcPr>
          <w:p>
            <w:pPr>
              <w:pStyle w:val="TableParagraph"/>
              <w:spacing w:line="147" w:lineRule="exact" w:before="1"/>
              <w:ind w:right="530"/>
              <w:jc w:val="right"/>
              <w:rPr>
                <w:b/>
                <w:sz w:val="14"/>
              </w:rPr>
            </w:pPr>
            <w:r>
              <w:rPr>
                <w:b/>
                <w:sz w:val="14"/>
              </w:rPr>
              <w:t>1,601.4</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1,811 .7</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1,920 .2</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Saudi Arabia</w:t>
            </w:r>
          </w:p>
        </w:tc>
        <w:tc>
          <w:tcPr>
            <w:tcW w:w="2280" w:type="dxa"/>
          </w:tcPr>
          <w:p>
            <w:pPr>
              <w:pStyle w:val="TableParagraph"/>
              <w:spacing w:line="147" w:lineRule="exact" w:before="1"/>
              <w:ind w:right="530"/>
              <w:jc w:val="right"/>
              <w:rPr>
                <w:b/>
                <w:sz w:val="14"/>
              </w:rPr>
            </w:pPr>
            <w:r>
              <w:rPr>
                <w:b/>
                <w:sz w:val="14"/>
              </w:rPr>
              <w:t>1,586.1</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1,794 .3</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1,901 .8</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Berlin</w:t>
            </w:r>
          </w:p>
        </w:tc>
        <w:tc>
          <w:tcPr>
            <w:tcW w:w="2280" w:type="dxa"/>
          </w:tcPr>
          <w:p>
            <w:pPr>
              <w:pStyle w:val="TableParagraph"/>
              <w:spacing w:line="147" w:lineRule="exact" w:before="1"/>
              <w:ind w:right="530"/>
              <w:jc w:val="right"/>
              <w:rPr>
                <w:b/>
                <w:sz w:val="14"/>
              </w:rPr>
            </w:pPr>
            <w:r>
              <w:rPr>
                <w:b/>
                <w:sz w:val="14"/>
              </w:rPr>
              <w:t>1,550.1</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1,753 .6</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1,858 .6</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Iran</w:t>
            </w:r>
          </w:p>
        </w:tc>
        <w:tc>
          <w:tcPr>
            <w:tcW w:w="2280" w:type="dxa"/>
          </w:tcPr>
          <w:p>
            <w:pPr>
              <w:pStyle w:val="TableParagraph"/>
              <w:spacing w:line="147" w:lineRule="exact" w:before="1"/>
              <w:ind w:right="530"/>
              <w:jc w:val="right"/>
              <w:rPr>
                <w:b/>
                <w:sz w:val="14"/>
              </w:rPr>
            </w:pPr>
            <w:r>
              <w:rPr>
                <w:b/>
                <w:sz w:val="14"/>
              </w:rPr>
              <w:t>1,599.6</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1,809 .6</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1,918 .0</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3"/>
              <w:rPr>
                <w:sz w:val="14"/>
              </w:rPr>
            </w:pPr>
            <w:r>
              <w:rPr>
                <w:sz w:val="14"/>
              </w:rPr>
              <w:t>High Commission, Accra</w:t>
            </w:r>
          </w:p>
        </w:tc>
        <w:tc>
          <w:tcPr>
            <w:tcW w:w="2280" w:type="dxa"/>
          </w:tcPr>
          <w:p>
            <w:pPr>
              <w:pStyle w:val="TableParagraph"/>
              <w:spacing w:line="147" w:lineRule="exact" w:before="1"/>
              <w:ind w:right="530"/>
              <w:jc w:val="right"/>
              <w:rPr>
                <w:b/>
                <w:sz w:val="14"/>
              </w:rPr>
            </w:pPr>
            <w:r>
              <w:rPr>
                <w:b/>
                <w:sz w:val="14"/>
              </w:rPr>
              <w:t>1,646.0</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1,862 .1</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1,973 .7</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Egypt</w:t>
            </w:r>
          </w:p>
        </w:tc>
        <w:tc>
          <w:tcPr>
            <w:tcW w:w="2280" w:type="dxa"/>
          </w:tcPr>
          <w:p>
            <w:pPr>
              <w:pStyle w:val="TableParagraph"/>
              <w:spacing w:line="147" w:lineRule="exact" w:before="1"/>
              <w:ind w:right="530"/>
              <w:jc w:val="right"/>
              <w:rPr>
                <w:b/>
                <w:sz w:val="14"/>
              </w:rPr>
            </w:pPr>
            <w:r>
              <w:rPr>
                <w:b/>
                <w:sz w:val="14"/>
              </w:rPr>
              <w:t>1,584.3</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1,792 .3</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1,899 .6</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Dakar</w:t>
            </w:r>
          </w:p>
        </w:tc>
        <w:tc>
          <w:tcPr>
            <w:tcW w:w="2280" w:type="dxa"/>
          </w:tcPr>
          <w:p>
            <w:pPr>
              <w:pStyle w:val="TableParagraph"/>
              <w:spacing w:line="147" w:lineRule="exact" w:before="1"/>
              <w:ind w:right="530"/>
              <w:jc w:val="right"/>
              <w:rPr>
                <w:b/>
                <w:sz w:val="14"/>
              </w:rPr>
            </w:pPr>
            <w:r>
              <w:rPr>
                <w:b/>
                <w:sz w:val="14"/>
              </w:rPr>
              <w:t>1,531.6</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1,732 .7</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1,836 .5</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Dubai</w:t>
            </w:r>
          </w:p>
        </w:tc>
        <w:tc>
          <w:tcPr>
            <w:tcW w:w="2280" w:type="dxa"/>
          </w:tcPr>
          <w:p>
            <w:pPr>
              <w:pStyle w:val="TableParagraph"/>
              <w:spacing w:line="147" w:lineRule="exact" w:before="1"/>
              <w:ind w:right="530"/>
              <w:jc w:val="right"/>
              <w:rPr>
                <w:b/>
                <w:sz w:val="14"/>
              </w:rPr>
            </w:pPr>
            <w:r>
              <w:rPr>
                <w:b/>
                <w:sz w:val="14"/>
              </w:rPr>
              <w:t>1,590.8</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1,799 .6</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1,907 .4</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Kenya</w:t>
            </w:r>
          </w:p>
        </w:tc>
        <w:tc>
          <w:tcPr>
            <w:tcW w:w="2280" w:type="dxa"/>
          </w:tcPr>
          <w:p>
            <w:pPr>
              <w:pStyle w:val="TableParagraph"/>
              <w:spacing w:line="147" w:lineRule="exact" w:before="1"/>
              <w:ind w:right="530"/>
              <w:jc w:val="right"/>
              <w:rPr>
                <w:b/>
                <w:sz w:val="14"/>
              </w:rPr>
            </w:pPr>
            <w:r>
              <w:rPr>
                <w:b/>
                <w:sz w:val="14"/>
              </w:rPr>
              <w:t>1,577.7</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1,784 .9</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1,891 .8</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Sierra Leone Mission, Geneva</w:t>
            </w:r>
          </w:p>
        </w:tc>
        <w:tc>
          <w:tcPr>
            <w:tcW w:w="2280" w:type="dxa"/>
          </w:tcPr>
          <w:p>
            <w:pPr>
              <w:pStyle w:val="TableParagraph"/>
              <w:spacing w:line="147" w:lineRule="exact" w:before="1"/>
              <w:ind w:right="530"/>
              <w:jc w:val="right"/>
              <w:rPr>
                <w:b/>
                <w:sz w:val="14"/>
              </w:rPr>
            </w:pPr>
            <w:r>
              <w:rPr>
                <w:b/>
                <w:sz w:val="14"/>
              </w:rPr>
              <w:t>1,665.1</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1,883 .7</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1,996 .6</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Kuwait</w:t>
            </w:r>
          </w:p>
        </w:tc>
        <w:tc>
          <w:tcPr>
            <w:tcW w:w="2280" w:type="dxa"/>
          </w:tcPr>
          <w:p>
            <w:pPr>
              <w:pStyle w:val="TableParagraph"/>
              <w:spacing w:line="147" w:lineRule="exact" w:before="1"/>
              <w:ind w:right="530"/>
              <w:jc w:val="right"/>
              <w:rPr>
                <w:b/>
                <w:sz w:val="14"/>
              </w:rPr>
            </w:pPr>
            <w:r>
              <w:rPr>
                <w:b/>
                <w:sz w:val="14"/>
              </w:rPr>
              <w:t>1,580.4</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1,788 .0</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1,895 .0</w:t>
            </w:r>
          </w:p>
        </w:tc>
        <w:tc>
          <w:tcPr>
            <w:tcW w:w="1248" w:type="dxa"/>
          </w:tcPr>
          <w:p>
            <w:pPr>
              <w:pStyle w:val="TableParagraph"/>
              <w:spacing w:line="147" w:lineRule="exact" w:before="1"/>
              <w:ind w:left="402"/>
              <w:rPr>
                <w:sz w:val="14"/>
              </w:rPr>
            </w:pPr>
            <w:r>
              <w:rPr>
                <w:sz w:val="14"/>
              </w:rPr>
              <w:t>0 . 1 %</w:t>
            </w:r>
          </w:p>
        </w:tc>
      </w:tr>
      <w:tr>
        <w:trPr>
          <w:trHeight w:val="168"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Seoul</w:t>
            </w:r>
          </w:p>
        </w:tc>
        <w:tc>
          <w:tcPr>
            <w:tcW w:w="2280" w:type="dxa"/>
          </w:tcPr>
          <w:p>
            <w:pPr>
              <w:pStyle w:val="TableParagraph"/>
              <w:spacing w:line="147" w:lineRule="exact" w:before="1"/>
              <w:ind w:right="530"/>
              <w:jc w:val="right"/>
              <w:rPr>
                <w:b/>
                <w:sz w:val="14"/>
              </w:rPr>
            </w:pPr>
            <w:r>
              <w:rPr>
                <w:b/>
                <w:sz w:val="14"/>
              </w:rPr>
              <w:t>1,570.1</w:t>
            </w:r>
          </w:p>
        </w:tc>
        <w:tc>
          <w:tcPr>
            <w:tcW w:w="1488" w:type="dxa"/>
          </w:tcPr>
          <w:p>
            <w:pPr>
              <w:pStyle w:val="TableParagraph"/>
              <w:spacing w:line="147" w:lineRule="exact" w:before="1"/>
              <w:ind w:left="492"/>
              <w:rPr>
                <w:sz w:val="14"/>
              </w:rPr>
            </w:pPr>
            <w:r>
              <w:rPr>
                <w:sz w:val="14"/>
              </w:rPr>
              <w:t>0 . 1 %</w:t>
            </w:r>
          </w:p>
        </w:tc>
        <w:tc>
          <w:tcPr>
            <w:tcW w:w="1576" w:type="dxa"/>
          </w:tcPr>
          <w:p>
            <w:pPr>
              <w:pStyle w:val="TableParagraph"/>
              <w:spacing w:line="147" w:lineRule="exact" w:before="1"/>
              <w:ind w:right="624"/>
              <w:jc w:val="right"/>
              <w:rPr>
                <w:sz w:val="14"/>
              </w:rPr>
            </w:pPr>
            <w:r>
              <w:rPr>
                <w:sz w:val="14"/>
              </w:rPr>
              <w:t>1,776 .2</w:t>
            </w:r>
          </w:p>
        </w:tc>
        <w:tc>
          <w:tcPr>
            <w:tcW w:w="1312" w:type="dxa"/>
          </w:tcPr>
          <w:p>
            <w:pPr>
              <w:pStyle w:val="TableParagraph"/>
              <w:spacing w:line="147" w:lineRule="exact" w:before="1"/>
              <w:ind w:left="433"/>
              <w:rPr>
                <w:sz w:val="14"/>
              </w:rPr>
            </w:pPr>
            <w:r>
              <w:rPr>
                <w:sz w:val="14"/>
              </w:rPr>
              <w:t>0 . 1 %</w:t>
            </w:r>
          </w:p>
        </w:tc>
        <w:tc>
          <w:tcPr>
            <w:tcW w:w="1268" w:type="dxa"/>
          </w:tcPr>
          <w:p>
            <w:pPr>
              <w:pStyle w:val="TableParagraph"/>
              <w:spacing w:line="147" w:lineRule="exact" w:before="1"/>
              <w:ind w:right="425"/>
              <w:jc w:val="right"/>
              <w:rPr>
                <w:sz w:val="14"/>
              </w:rPr>
            </w:pPr>
            <w:r>
              <w:rPr>
                <w:sz w:val="14"/>
              </w:rPr>
              <w:t>1,882 .6</w:t>
            </w:r>
          </w:p>
        </w:tc>
        <w:tc>
          <w:tcPr>
            <w:tcW w:w="1248" w:type="dxa"/>
          </w:tcPr>
          <w:p>
            <w:pPr>
              <w:pStyle w:val="TableParagraph"/>
              <w:spacing w:line="147" w:lineRule="exact" w:before="1"/>
              <w:ind w:left="402"/>
              <w:rPr>
                <w:sz w:val="14"/>
              </w:rPr>
            </w:pPr>
            <w:r>
              <w:rPr>
                <w:sz w:val="14"/>
              </w:rPr>
              <w:t>0 . 1 %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Embassy, Rabbat</w:t>
            </w:r>
          </w:p>
        </w:tc>
        <w:tc>
          <w:tcPr>
            <w:tcW w:w="2280" w:type="dxa"/>
          </w:tcPr>
          <w:p>
            <w:pPr>
              <w:pStyle w:val="TableParagraph"/>
              <w:spacing w:line="147" w:lineRule="exact" w:before="1"/>
              <w:ind w:right="513"/>
              <w:jc w:val="right"/>
              <w:rPr>
                <w:b/>
                <w:sz w:val="14"/>
              </w:rPr>
            </w:pPr>
            <w:r>
              <w:rPr>
                <w:b/>
                <w:sz w:val="14"/>
              </w:rPr>
              <w:t>612.0</w:t>
            </w:r>
          </w:p>
        </w:tc>
        <w:tc>
          <w:tcPr>
            <w:tcW w:w="1488" w:type="dxa"/>
          </w:tcPr>
          <w:p>
            <w:pPr>
              <w:pStyle w:val="TableParagraph"/>
              <w:spacing w:line="147" w:lineRule="exact" w:before="1"/>
              <w:ind w:left="492"/>
              <w:rPr>
                <w:sz w:val="14"/>
              </w:rPr>
            </w:pPr>
            <w:r>
              <w:rPr>
                <w:sz w:val="14"/>
              </w:rPr>
              <w:t>0 . 0 %</w:t>
            </w:r>
          </w:p>
        </w:tc>
        <w:tc>
          <w:tcPr>
            <w:tcW w:w="1576" w:type="dxa"/>
          </w:tcPr>
          <w:p>
            <w:pPr>
              <w:pStyle w:val="TableParagraph"/>
              <w:spacing w:line="147" w:lineRule="exact" w:before="1"/>
              <w:ind w:right="617"/>
              <w:jc w:val="right"/>
              <w:rPr>
                <w:sz w:val="14"/>
              </w:rPr>
            </w:pPr>
            <w:r>
              <w:rPr>
                <w:sz w:val="14"/>
              </w:rPr>
              <w:t>692.4</w:t>
            </w:r>
          </w:p>
        </w:tc>
        <w:tc>
          <w:tcPr>
            <w:tcW w:w="1312" w:type="dxa"/>
          </w:tcPr>
          <w:p>
            <w:pPr>
              <w:pStyle w:val="TableParagraph"/>
              <w:spacing w:line="147" w:lineRule="exact" w:before="1"/>
              <w:ind w:left="433"/>
              <w:rPr>
                <w:sz w:val="14"/>
              </w:rPr>
            </w:pPr>
            <w:r>
              <w:rPr>
                <w:sz w:val="14"/>
              </w:rPr>
              <w:t>0 . 0 %</w:t>
            </w:r>
          </w:p>
        </w:tc>
        <w:tc>
          <w:tcPr>
            <w:tcW w:w="1268" w:type="dxa"/>
          </w:tcPr>
          <w:p>
            <w:pPr>
              <w:pStyle w:val="TableParagraph"/>
              <w:spacing w:line="147" w:lineRule="exact" w:before="1"/>
              <w:ind w:right="422"/>
              <w:jc w:val="right"/>
              <w:rPr>
                <w:sz w:val="14"/>
              </w:rPr>
            </w:pPr>
            <w:r>
              <w:rPr>
                <w:sz w:val="14"/>
              </w:rPr>
              <w:t>733.8</w:t>
            </w:r>
          </w:p>
        </w:tc>
        <w:tc>
          <w:tcPr>
            <w:tcW w:w="1248" w:type="dxa"/>
          </w:tcPr>
          <w:p>
            <w:pPr>
              <w:pStyle w:val="TableParagraph"/>
              <w:spacing w:line="147" w:lineRule="exact" w:before="1"/>
              <w:ind w:left="402"/>
              <w:rPr>
                <w:sz w:val="14"/>
              </w:rPr>
            </w:pPr>
            <w:r>
              <w:rPr>
                <w:sz w:val="14"/>
              </w:rPr>
              <w:t>0 . 0 %</w:t>
            </w:r>
          </w:p>
        </w:tc>
      </w:tr>
      <w:tr>
        <w:trPr>
          <w:trHeight w:val="251" w:hRule="atLeast"/>
        </w:trPr>
        <w:tc>
          <w:tcPr>
            <w:tcW w:w="472" w:type="dxa"/>
          </w:tcPr>
          <w:p>
            <w:pPr>
              <w:pStyle w:val="TableParagraph"/>
              <w:rPr>
                <w:rFonts w:ascii="Times New Roman"/>
                <w:sz w:val="14"/>
              </w:rPr>
            </w:pPr>
          </w:p>
        </w:tc>
        <w:tc>
          <w:tcPr>
            <w:tcW w:w="5151" w:type="dxa"/>
          </w:tcPr>
          <w:p>
            <w:pPr>
              <w:pStyle w:val="TableParagraph"/>
              <w:spacing w:before="1"/>
              <w:ind w:left="262"/>
              <w:rPr>
                <w:sz w:val="14"/>
              </w:rPr>
            </w:pPr>
            <w:r>
              <w:rPr>
                <w:sz w:val="14"/>
              </w:rPr>
              <w:t>Embassy, Istanbul</w:t>
            </w:r>
          </w:p>
        </w:tc>
        <w:tc>
          <w:tcPr>
            <w:tcW w:w="2280" w:type="dxa"/>
          </w:tcPr>
          <w:p>
            <w:pPr>
              <w:pStyle w:val="TableParagraph"/>
              <w:spacing w:before="1"/>
              <w:ind w:right="513"/>
              <w:jc w:val="right"/>
              <w:rPr>
                <w:b/>
                <w:sz w:val="14"/>
              </w:rPr>
            </w:pPr>
            <w:r>
              <w:rPr>
                <w:b/>
                <w:sz w:val="14"/>
              </w:rPr>
              <w:t>595.0</w:t>
            </w:r>
          </w:p>
        </w:tc>
        <w:tc>
          <w:tcPr>
            <w:tcW w:w="1488" w:type="dxa"/>
          </w:tcPr>
          <w:p>
            <w:pPr>
              <w:pStyle w:val="TableParagraph"/>
              <w:spacing w:before="1"/>
              <w:ind w:left="492"/>
              <w:rPr>
                <w:sz w:val="14"/>
              </w:rPr>
            </w:pPr>
            <w:r>
              <w:rPr>
                <w:sz w:val="14"/>
              </w:rPr>
              <w:t>0 . 0 %</w:t>
            </w:r>
          </w:p>
        </w:tc>
        <w:tc>
          <w:tcPr>
            <w:tcW w:w="1576" w:type="dxa"/>
          </w:tcPr>
          <w:p>
            <w:pPr>
              <w:pStyle w:val="TableParagraph"/>
              <w:spacing w:before="1"/>
              <w:ind w:right="617"/>
              <w:jc w:val="right"/>
              <w:rPr>
                <w:sz w:val="14"/>
              </w:rPr>
            </w:pPr>
            <w:r>
              <w:rPr>
                <w:sz w:val="14"/>
              </w:rPr>
              <w:t>673.1</w:t>
            </w:r>
          </w:p>
        </w:tc>
        <w:tc>
          <w:tcPr>
            <w:tcW w:w="1312" w:type="dxa"/>
          </w:tcPr>
          <w:p>
            <w:pPr>
              <w:pStyle w:val="TableParagraph"/>
              <w:spacing w:before="1"/>
              <w:ind w:left="433"/>
              <w:rPr>
                <w:sz w:val="14"/>
              </w:rPr>
            </w:pPr>
            <w:r>
              <w:rPr>
                <w:sz w:val="14"/>
              </w:rPr>
              <w:t>0 . 0 %</w:t>
            </w:r>
          </w:p>
        </w:tc>
        <w:tc>
          <w:tcPr>
            <w:tcW w:w="1268" w:type="dxa"/>
          </w:tcPr>
          <w:p>
            <w:pPr>
              <w:pStyle w:val="TableParagraph"/>
              <w:spacing w:before="1"/>
              <w:ind w:right="422"/>
              <w:jc w:val="right"/>
              <w:rPr>
                <w:sz w:val="14"/>
              </w:rPr>
            </w:pPr>
            <w:r>
              <w:rPr>
                <w:sz w:val="14"/>
              </w:rPr>
              <w:t>713.4</w:t>
            </w:r>
          </w:p>
        </w:tc>
        <w:tc>
          <w:tcPr>
            <w:tcW w:w="1248" w:type="dxa"/>
          </w:tcPr>
          <w:p>
            <w:pPr>
              <w:pStyle w:val="TableParagraph"/>
              <w:spacing w:before="1"/>
              <w:ind w:left="402"/>
              <w:rPr>
                <w:sz w:val="14"/>
              </w:rPr>
            </w:pPr>
            <w:r>
              <w:rPr>
                <w:sz w:val="14"/>
              </w:rPr>
              <w:t>0 . 0 %</w:t>
            </w:r>
          </w:p>
        </w:tc>
      </w:tr>
      <w:tr>
        <w:trPr>
          <w:trHeight w:val="252" w:hRule="atLeast"/>
        </w:trPr>
        <w:tc>
          <w:tcPr>
            <w:tcW w:w="472" w:type="dxa"/>
          </w:tcPr>
          <w:p>
            <w:pPr>
              <w:pStyle w:val="TableParagraph"/>
              <w:spacing w:line="147" w:lineRule="exact" w:before="85"/>
              <w:ind w:left="125"/>
              <w:rPr>
                <w:sz w:val="14"/>
              </w:rPr>
            </w:pPr>
            <w:r>
              <w:rPr>
                <w:sz w:val="14"/>
              </w:rPr>
              <w:t>129</w:t>
            </w:r>
          </w:p>
        </w:tc>
        <w:tc>
          <w:tcPr>
            <w:tcW w:w="5151" w:type="dxa"/>
          </w:tcPr>
          <w:p>
            <w:pPr>
              <w:pStyle w:val="TableParagraph"/>
              <w:spacing w:line="147" w:lineRule="exact" w:before="85"/>
              <w:ind w:left="95"/>
              <w:rPr>
                <w:sz w:val="14"/>
              </w:rPr>
            </w:pPr>
            <w:r>
              <w:rPr>
                <w:sz w:val="14"/>
              </w:rPr>
              <w:t>Ministry of Finance</w:t>
            </w:r>
          </w:p>
        </w:tc>
        <w:tc>
          <w:tcPr>
            <w:tcW w:w="2280" w:type="dxa"/>
          </w:tcPr>
          <w:p>
            <w:pPr>
              <w:pStyle w:val="TableParagraph"/>
              <w:spacing w:line="147" w:lineRule="exact" w:before="85"/>
              <w:ind w:right="530"/>
              <w:jc w:val="right"/>
              <w:rPr>
                <w:b/>
                <w:sz w:val="14"/>
              </w:rPr>
            </w:pPr>
            <w:r>
              <w:rPr>
                <w:b/>
                <w:sz w:val="14"/>
              </w:rPr>
              <w:t>82,952.3</w:t>
            </w:r>
          </w:p>
        </w:tc>
        <w:tc>
          <w:tcPr>
            <w:tcW w:w="1488" w:type="dxa"/>
          </w:tcPr>
          <w:p>
            <w:pPr>
              <w:pStyle w:val="TableParagraph"/>
              <w:spacing w:line="147" w:lineRule="exact" w:before="85"/>
              <w:ind w:left="492"/>
              <w:rPr>
                <w:sz w:val="14"/>
              </w:rPr>
            </w:pPr>
            <w:r>
              <w:rPr>
                <w:sz w:val="14"/>
              </w:rPr>
              <w:t>4 . 0 %</w:t>
            </w:r>
          </w:p>
        </w:tc>
        <w:tc>
          <w:tcPr>
            <w:tcW w:w="1576" w:type="dxa"/>
          </w:tcPr>
          <w:p>
            <w:pPr>
              <w:pStyle w:val="TableParagraph"/>
              <w:spacing w:line="147" w:lineRule="exact" w:before="85"/>
              <w:ind w:right="626"/>
              <w:jc w:val="right"/>
              <w:rPr>
                <w:sz w:val="14"/>
              </w:rPr>
            </w:pPr>
            <w:r>
              <w:rPr>
                <w:sz w:val="14"/>
              </w:rPr>
              <w:t>97,254.0</w:t>
            </w:r>
          </w:p>
        </w:tc>
        <w:tc>
          <w:tcPr>
            <w:tcW w:w="1312" w:type="dxa"/>
          </w:tcPr>
          <w:p>
            <w:pPr>
              <w:pStyle w:val="TableParagraph"/>
              <w:spacing w:line="147" w:lineRule="exact" w:before="85"/>
              <w:ind w:left="433"/>
              <w:rPr>
                <w:sz w:val="14"/>
              </w:rPr>
            </w:pPr>
            <w:r>
              <w:rPr>
                <w:sz w:val="14"/>
              </w:rPr>
              <w:t>4 . 7 %</w:t>
            </w:r>
          </w:p>
        </w:tc>
        <w:tc>
          <w:tcPr>
            <w:tcW w:w="1268" w:type="dxa"/>
          </w:tcPr>
          <w:p>
            <w:pPr>
              <w:pStyle w:val="TableParagraph"/>
              <w:spacing w:line="147" w:lineRule="exact" w:before="85"/>
              <w:ind w:right="432"/>
              <w:jc w:val="right"/>
              <w:rPr>
                <w:sz w:val="14"/>
              </w:rPr>
            </w:pPr>
            <w:r>
              <w:rPr>
                <w:sz w:val="14"/>
              </w:rPr>
              <w:t>103,079.5</w:t>
            </w:r>
          </w:p>
        </w:tc>
        <w:tc>
          <w:tcPr>
            <w:tcW w:w="1248" w:type="dxa"/>
          </w:tcPr>
          <w:p>
            <w:pPr>
              <w:pStyle w:val="TableParagraph"/>
              <w:spacing w:line="147" w:lineRule="exact" w:before="85"/>
              <w:ind w:left="402"/>
              <w:rPr>
                <w:sz w:val="14"/>
              </w:rPr>
            </w:pPr>
            <w:r>
              <w:rPr>
                <w:sz w:val="14"/>
              </w:rPr>
              <w:t>5 . 0 %</w:t>
            </w:r>
          </w:p>
        </w:tc>
      </w:tr>
      <w:tr>
        <w:trPr>
          <w:trHeight w:val="167" w:hRule="atLeast"/>
        </w:trPr>
        <w:tc>
          <w:tcPr>
            <w:tcW w:w="472" w:type="dxa"/>
          </w:tcPr>
          <w:p>
            <w:pPr>
              <w:pStyle w:val="TableParagraph"/>
              <w:rPr>
                <w:rFonts w:ascii="Times New Roman"/>
                <w:sz w:val="10"/>
              </w:rPr>
            </w:pPr>
          </w:p>
        </w:tc>
        <w:tc>
          <w:tcPr>
            <w:tcW w:w="5151" w:type="dxa"/>
          </w:tcPr>
          <w:p>
            <w:pPr>
              <w:pStyle w:val="TableParagraph"/>
              <w:spacing w:line="147" w:lineRule="exact" w:before="1"/>
              <w:ind w:left="262"/>
              <w:rPr>
                <w:sz w:val="14"/>
              </w:rPr>
            </w:pPr>
            <w:r>
              <w:rPr>
                <w:sz w:val="14"/>
              </w:rPr>
              <w:t>Office of the Financial Secretary</w:t>
            </w:r>
          </w:p>
        </w:tc>
        <w:tc>
          <w:tcPr>
            <w:tcW w:w="2280" w:type="dxa"/>
          </w:tcPr>
          <w:p>
            <w:pPr>
              <w:pStyle w:val="TableParagraph"/>
              <w:spacing w:line="147" w:lineRule="exact" w:before="1"/>
              <w:ind w:right="532"/>
              <w:jc w:val="right"/>
              <w:rPr>
                <w:b/>
                <w:sz w:val="14"/>
              </w:rPr>
            </w:pPr>
            <w:r>
              <w:rPr>
                <w:b/>
                <w:sz w:val="14"/>
              </w:rPr>
              <w:t>34,248.2</w:t>
            </w:r>
          </w:p>
        </w:tc>
        <w:tc>
          <w:tcPr>
            <w:tcW w:w="1488" w:type="dxa"/>
          </w:tcPr>
          <w:p>
            <w:pPr>
              <w:pStyle w:val="TableParagraph"/>
              <w:spacing w:line="147" w:lineRule="exact" w:before="1"/>
              <w:ind w:left="492"/>
              <w:rPr>
                <w:sz w:val="14"/>
              </w:rPr>
            </w:pPr>
            <w:r>
              <w:rPr>
                <w:sz w:val="14"/>
              </w:rPr>
              <w:t>1 . 6 %</w:t>
            </w:r>
          </w:p>
        </w:tc>
        <w:tc>
          <w:tcPr>
            <w:tcW w:w="1576" w:type="dxa"/>
          </w:tcPr>
          <w:p>
            <w:pPr>
              <w:pStyle w:val="TableParagraph"/>
              <w:spacing w:line="147" w:lineRule="exact" w:before="1"/>
              <w:ind w:right="628"/>
              <w:jc w:val="right"/>
              <w:rPr>
                <w:sz w:val="14"/>
              </w:rPr>
            </w:pPr>
            <w:r>
              <w:rPr>
                <w:sz w:val="14"/>
              </w:rPr>
              <w:t>36,723.9</w:t>
            </w:r>
          </w:p>
        </w:tc>
        <w:tc>
          <w:tcPr>
            <w:tcW w:w="1312" w:type="dxa"/>
          </w:tcPr>
          <w:p>
            <w:pPr>
              <w:pStyle w:val="TableParagraph"/>
              <w:spacing w:line="147" w:lineRule="exact" w:before="1"/>
              <w:ind w:left="433"/>
              <w:rPr>
                <w:sz w:val="14"/>
              </w:rPr>
            </w:pPr>
            <w:r>
              <w:rPr>
                <w:sz w:val="14"/>
              </w:rPr>
              <w:t>1 . 8 %</w:t>
            </w:r>
          </w:p>
        </w:tc>
        <w:tc>
          <w:tcPr>
            <w:tcW w:w="1268" w:type="dxa"/>
          </w:tcPr>
          <w:p>
            <w:pPr>
              <w:pStyle w:val="TableParagraph"/>
              <w:spacing w:line="147" w:lineRule="exact" w:before="1"/>
              <w:ind w:right="434"/>
              <w:jc w:val="right"/>
              <w:rPr>
                <w:sz w:val="14"/>
              </w:rPr>
            </w:pPr>
            <w:r>
              <w:rPr>
                <w:sz w:val="14"/>
              </w:rPr>
              <w:t>38,923.6</w:t>
            </w:r>
          </w:p>
        </w:tc>
        <w:tc>
          <w:tcPr>
            <w:tcW w:w="1248" w:type="dxa"/>
          </w:tcPr>
          <w:p>
            <w:pPr>
              <w:pStyle w:val="TableParagraph"/>
              <w:spacing w:line="147" w:lineRule="exact" w:before="1"/>
              <w:ind w:left="402"/>
              <w:rPr>
                <w:sz w:val="14"/>
              </w:rPr>
            </w:pPr>
            <w:r>
              <w:rPr>
                <w:sz w:val="14"/>
              </w:rPr>
              <w:t>1 . 9 %</w:t>
            </w:r>
          </w:p>
        </w:tc>
      </w:tr>
      <w:tr>
        <w:trPr>
          <w:trHeight w:val="196" w:hRule="atLeast"/>
        </w:trPr>
        <w:tc>
          <w:tcPr>
            <w:tcW w:w="472" w:type="dxa"/>
          </w:tcPr>
          <w:p>
            <w:pPr>
              <w:pStyle w:val="TableParagraph"/>
              <w:rPr>
                <w:rFonts w:ascii="Times New Roman"/>
                <w:sz w:val="12"/>
              </w:rPr>
            </w:pPr>
          </w:p>
        </w:tc>
        <w:tc>
          <w:tcPr>
            <w:tcW w:w="5151" w:type="dxa"/>
          </w:tcPr>
          <w:p>
            <w:pPr>
              <w:pStyle w:val="TableParagraph"/>
              <w:spacing w:before="1"/>
              <w:ind w:left="262"/>
              <w:rPr>
                <w:sz w:val="14"/>
              </w:rPr>
            </w:pPr>
            <w:r>
              <w:rPr>
                <w:sz w:val="14"/>
              </w:rPr>
              <w:t>Subscriptions to International Organisations</w:t>
            </w:r>
          </w:p>
        </w:tc>
        <w:tc>
          <w:tcPr>
            <w:tcW w:w="2280" w:type="dxa"/>
          </w:tcPr>
          <w:p>
            <w:pPr>
              <w:pStyle w:val="TableParagraph"/>
              <w:spacing w:before="1"/>
              <w:ind w:right="532"/>
              <w:jc w:val="right"/>
              <w:rPr>
                <w:b/>
                <w:sz w:val="14"/>
              </w:rPr>
            </w:pPr>
            <w:r>
              <w:rPr>
                <w:b/>
                <w:sz w:val="14"/>
              </w:rPr>
              <w:t>47,282.2</w:t>
            </w:r>
          </w:p>
        </w:tc>
        <w:tc>
          <w:tcPr>
            <w:tcW w:w="1488" w:type="dxa"/>
          </w:tcPr>
          <w:p>
            <w:pPr>
              <w:pStyle w:val="TableParagraph"/>
              <w:spacing w:before="1"/>
              <w:ind w:left="492"/>
              <w:rPr>
                <w:sz w:val="14"/>
              </w:rPr>
            </w:pPr>
            <w:r>
              <w:rPr>
                <w:sz w:val="14"/>
              </w:rPr>
              <w:t>2 . 3 %</w:t>
            </w:r>
          </w:p>
        </w:tc>
        <w:tc>
          <w:tcPr>
            <w:tcW w:w="1576" w:type="dxa"/>
          </w:tcPr>
          <w:p>
            <w:pPr>
              <w:pStyle w:val="TableParagraph"/>
              <w:spacing w:before="1"/>
              <w:ind w:right="628"/>
              <w:jc w:val="right"/>
              <w:rPr>
                <w:sz w:val="14"/>
              </w:rPr>
            </w:pPr>
            <w:r>
              <w:rPr>
                <w:sz w:val="14"/>
              </w:rPr>
              <w:t>58,457.3</w:t>
            </w:r>
          </w:p>
        </w:tc>
        <w:tc>
          <w:tcPr>
            <w:tcW w:w="1312" w:type="dxa"/>
          </w:tcPr>
          <w:p>
            <w:pPr>
              <w:pStyle w:val="TableParagraph"/>
              <w:spacing w:before="1"/>
              <w:ind w:left="433"/>
              <w:rPr>
                <w:sz w:val="14"/>
              </w:rPr>
            </w:pPr>
            <w:r>
              <w:rPr>
                <w:sz w:val="14"/>
              </w:rPr>
              <w:t>2 . 8 %</w:t>
            </w:r>
          </w:p>
        </w:tc>
        <w:tc>
          <w:tcPr>
            <w:tcW w:w="1268" w:type="dxa"/>
          </w:tcPr>
          <w:p>
            <w:pPr>
              <w:pStyle w:val="TableParagraph"/>
              <w:spacing w:before="1"/>
              <w:ind w:right="434"/>
              <w:jc w:val="right"/>
              <w:rPr>
                <w:sz w:val="14"/>
              </w:rPr>
            </w:pPr>
            <w:r>
              <w:rPr>
                <w:sz w:val="14"/>
              </w:rPr>
              <w:t>61,958.9</w:t>
            </w:r>
          </w:p>
        </w:tc>
        <w:tc>
          <w:tcPr>
            <w:tcW w:w="1248" w:type="dxa"/>
          </w:tcPr>
          <w:p>
            <w:pPr>
              <w:pStyle w:val="TableParagraph"/>
              <w:spacing w:before="1"/>
              <w:ind w:left="402"/>
              <w:rPr>
                <w:sz w:val="14"/>
              </w:rPr>
            </w:pPr>
            <w:r>
              <w:rPr>
                <w:sz w:val="14"/>
              </w:rPr>
              <w:t>3 . 0 %</w:t>
            </w:r>
          </w:p>
        </w:tc>
      </w:tr>
    </w:tbl>
    <w:p>
      <w:pPr>
        <w:spacing w:after="0"/>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87.760010pt;width:14.35pt;height:16pt;mso-position-horizontal-relative:page;mso-position-vertical-relative:page;z-index:1240" type="#_x0000_t202" filled="false" stroked="false">
            <v:textbox inset="0,0,0,0" style="layout-flow:vertical">
              <w:txbxContent>
                <w:p>
                  <w:pPr>
                    <w:spacing w:before="13"/>
                    <w:ind w:left="20" w:right="0" w:firstLine="0"/>
                    <w:jc w:val="left"/>
                    <w:rPr>
                      <w:rFonts w:ascii="Arial"/>
                      <w:sz w:val="22"/>
                    </w:rPr>
                  </w:pPr>
                  <w:r>
                    <w:rPr>
                      <w:rFonts w:ascii="Arial"/>
                      <w:sz w:val="22"/>
                    </w:rPr>
                    <w:t>viii</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
        <w:gridCol w:w="4934"/>
        <w:gridCol w:w="2495"/>
        <w:gridCol w:w="1531"/>
        <w:gridCol w:w="1533"/>
        <w:gridCol w:w="1381"/>
        <w:gridCol w:w="1199"/>
        <w:gridCol w:w="1248"/>
      </w:tblGrid>
      <w:tr>
        <w:trPr>
          <w:trHeight w:val="568" w:hRule="atLeast"/>
        </w:trPr>
        <w:tc>
          <w:tcPr>
            <w:tcW w:w="474" w:type="dxa"/>
            <w:tcBorders>
              <w:bottom w:val="single" w:sz="4" w:space="0" w:color="000000"/>
            </w:tcBorders>
          </w:tcPr>
          <w:p>
            <w:pPr>
              <w:pStyle w:val="TableParagraph"/>
              <w:rPr>
                <w:rFonts w:ascii="Times New Roman"/>
                <w:sz w:val="14"/>
              </w:rPr>
            </w:pPr>
          </w:p>
        </w:tc>
        <w:tc>
          <w:tcPr>
            <w:tcW w:w="4934" w:type="dxa"/>
            <w:tcBorders>
              <w:bottom w:val="single" w:sz="4" w:space="0" w:color="000000"/>
            </w:tcBorders>
          </w:tcPr>
          <w:p>
            <w:pPr>
              <w:pStyle w:val="TableParagraph"/>
              <w:rPr>
                <w:rFonts w:ascii="Times New Roman"/>
                <w:sz w:val="14"/>
              </w:rPr>
            </w:pPr>
          </w:p>
        </w:tc>
        <w:tc>
          <w:tcPr>
            <w:tcW w:w="2495" w:type="dxa"/>
            <w:tcBorders>
              <w:bottom w:val="single" w:sz="4" w:space="0" w:color="000000"/>
            </w:tcBorders>
          </w:tcPr>
          <w:p>
            <w:pPr>
              <w:pStyle w:val="TableParagraph"/>
              <w:spacing w:before="29"/>
              <w:ind w:left="1484" w:right="363"/>
              <w:jc w:val="center"/>
              <w:rPr>
                <w:b/>
                <w:sz w:val="14"/>
              </w:rPr>
            </w:pPr>
            <w:r>
              <w:rPr>
                <w:b/>
                <w:spacing w:val="2"/>
                <w:sz w:val="14"/>
              </w:rPr>
              <w:t>FY</w:t>
            </w:r>
            <w:r>
              <w:rPr>
                <w:b/>
                <w:spacing w:val="6"/>
                <w:sz w:val="14"/>
              </w:rPr>
              <w:t> </w:t>
            </w:r>
            <w:r>
              <w:rPr>
                <w:b/>
                <w:spacing w:val="4"/>
                <w:sz w:val="14"/>
              </w:rPr>
              <w:t>2020</w:t>
            </w:r>
          </w:p>
          <w:p>
            <w:pPr>
              <w:pStyle w:val="TableParagraph"/>
              <w:spacing w:before="17"/>
              <w:ind w:left="1510" w:right="265"/>
              <w:jc w:val="center"/>
              <w:rPr>
                <w:b/>
                <w:sz w:val="14"/>
              </w:rPr>
            </w:pPr>
            <w:r>
              <w:rPr>
                <w:b/>
                <w:sz w:val="14"/>
              </w:rPr>
              <w:t>Budget</w:t>
            </w:r>
          </w:p>
        </w:tc>
        <w:tc>
          <w:tcPr>
            <w:tcW w:w="1531" w:type="dxa"/>
            <w:tcBorders>
              <w:bottom w:val="single" w:sz="4" w:space="0" w:color="000000"/>
            </w:tcBorders>
          </w:tcPr>
          <w:p>
            <w:pPr>
              <w:pStyle w:val="TableParagraph"/>
              <w:spacing w:line="264" w:lineRule="auto" w:before="29"/>
              <w:ind w:left="386" w:right="186" w:firstLine="91"/>
              <w:rPr>
                <w:sz w:val="14"/>
              </w:rPr>
            </w:pPr>
            <w:r>
              <w:rPr>
                <w:sz w:val="14"/>
              </w:rPr>
              <w:t>% of Total Non Int/ Sal</w:t>
            </w:r>
          </w:p>
        </w:tc>
        <w:tc>
          <w:tcPr>
            <w:tcW w:w="1533" w:type="dxa"/>
            <w:tcBorders>
              <w:bottom w:val="single" w:sz="4" w:space="0" w:color="000000"/>
            </w:tcBorders>
          </w:tcPr>
          <w:p>
            <w:pPr>
              <w:pStyle w:val="TableParagraph"/>
              <w:spacing w:before="29"/>
              <w:ind w:left="579"/>
              <w:rPr>
                <w:sz w:val="14"/>
              </w:rPr>
            </w:pPr>
            <w:r>
              <w:rPr>
                <w:sz w:val="14"/>
              </w:rPr>
              <w:t>FY</w:t>
            </w:r>
            <w:r>
              <w:rPr>
                <w:spacing w:val="17"/>
                <w:sz w:val="14"/>
              </w:rPr>
              <w:t> </w:t>
            </w:r>
            <w:r>
              <w:rPr>
                <w:spacing w:val="4"/>
                <w:sz w:val="14"/>
              </w:rPr>
              <w:t>2021</w:t>
            </w:r>
          </w:p>
          <w:p>
            <w:pPr>
              <w:pStyle w:val="TableParagraph"/>
              <w:spacing w:before="17"/>
              <w:ind w:left="507"/>
              <w:rPr>
                <w:sz w:val="14"/>
              </w:rPr>
            </w:pPr>
            <w:r>
              <w:rPr>
                <w:spacing w:val="3"/>
                <w:sz w:val="14"/>
              </w:rPr>
              <w:t>Indicative</w:t>
            </w:r>
          </w:p>
        </w:tc>
        <w:tc>
          <w:tcPr>
            <w:tcW w:w="1381" w:type="dxa"/>
            <w:tcBorders>
              <w:bottom w:val="single" w:sz="4" w:space="0" w:color="000000"/>
            </w:tcBorders>
          </w:tcPr>
          <w:p>
            <w:pPr>
              <w:pStyle w:val="TableParagraph"/>
              <w:spacing w:line="249" w:lineRule="auto" w:before="29"/>
              <w:ind w:left="385" w:right="239" w:firstLine="86"/>
              <w:jc w:val="both"/>
              <w:rPr>
                <w:sz w:val="14"/>
              </w:rPr>
            </w:pPr>
            <w:r>
              <w:rPr>
                <w:sz w:val="14"/>
              </w:rPr>
              <w:t>% of Total Non Int/ Sal Recurr Exp</w:t>
            </w:r>
          </w:p>
        </w:tc>
        <w:tc>
          <w:tcPr>
            <w:tcW w:w="1199" w:type="dxa"/>
            <w:tcBorders>
              <w:bottom w:val="single" w:sz="4" w:space="0" w:color="000000"/>
            </w:tcBorders>
          </w:tcPr>
          <w:p>
            <w:pPr>
              <w:pStyle w:val="TableParagraph"/>
              <w:spacing w:before="29"/>
              <w:ind w:left="444"/>
              <w:rPr>
                <w:sz w:val="14"/>
              </w:rPr>
            </w:pPr>
            <w:r>
              <w:rPr>
                <w:sz w:val="14"/>
              </w:rPr>
              <w:t>FY</w:t>
            </w:r>
            <w:r>
              <w:rPr>
                <w:spacing w:val="17"/>
                <w:sz w:val="14"/>
              </w:rPr>
              <w:t> </w:t>
            </w:r>
            <w:r>
              <w:rPr>
                <w:spacing w:val="4"/>
                <w:sz w:val="14"/>
              </w:rPr>
              <w:t>2022</w:t>
            </w:r>
          </w:p>
          <w:p>
            <w:pPr>
              <w:pStyle w:val="TableParagraph"/>
              <w:spacing w:before="17"/>
              <w:ind w:left="372"/>
              <w:rPr>
                <w:sz w:val="14"/>
              </w:rPr>
            </w:pPr>
            <w:r>
              <w:rPr>
                <w:spacing w:val="3"/>
                <w:sz w:val="14"/>
              </w:rPr>
              <w:t>Indicative</w:t>
            </w:r>
          </w:p>
        </w:tc>
        <w:tc>
          <w:tcPr>
            <w:tcW w:w="1248" w:type="dxa"/>
            <w:tcBorders>
              <w:bottom w:val="single" w:sz="4" w:space="0" w:color="000000"/>
            </w:tcBorders>
          </w:tcPr>
          <w:p>
            <w:pPr>
              <w:pStyle w:val="TableParagraph"/>
              <w:spacing w:line="249" w:lineRule="auto" w:before="29"/>
              <w:ind w:left="185" w:right="305" w:firstLine="86"/>
              <w:jc w:val="both"/>
              <w:rPr>
                <w:sz w:val="14"/>
              </w:rPr>
            </w:pPr>
            <w:r>
              <w:rPr>
                <w:sz w:val="14"/>
              </w:rPr>
              <w:t>% of Total Non Int/ Sal Recurr Exp</w:t>
            </w:r>
          </w:p>
        </w:tc>
      </w:tr>
      <w:tr>
        <w:trPr>
          <w:trHeight w:val="270" w:hRule="atLeast"/>
        </w:trPr>
        <w:tc>
          <w:tcPr>
            <w:tcW w:w="474" w:type="dxa"/>
            <w:tcBorders>
              <w:top w:val="single" w:sz="4" w:space="0" w:color="000000"/>
            </w:tcBorders>
          </w:tcPr>
          <w:p>
            <w:pPr>
              <w:pStyle w:val="TableParagraph"/>
              <w:rPr>
                <w:rFonts w:ascii="Times New Roman"/>
                <w:sz w:val="14"/>
              </w:rPr>
            </w:pPr>
          </w:p>
        </w:tc>
        <w:tc>
          <w:tcPr>
            <w:tcW w:w="4934" w:type="dxa"/>
            <w:tcBorders>
              <w:top w:val="single" w:sz="4" w:space="0" w:color="000000"/>
            </w:tcBorders>
          </w:tcPr>
          <w:p>
            <w:pPr>
              <w:pStyle w:val="TableParagraph"/>
              <w:spacing w:line="147" w:lineRule="exact" w:before="103"/>
              <w:ind w:left="260"/>
              <w:rPr>
                <w:sz w:val="14"/>
              </w:rPr>
            </w:pPr>
            <w:r>
              <w:rPr>
                <w:sz w:val="14"/>
              </w:rPr>
              <w:t>Financial Intelligence Unit</w:t>
            </w:r>
          </w:p>
        </w:tc>
        <w:tc>
          <w:tcPr>
            <w:tcW w:w="2495" w:type="dxa"/>
            <w:tcBorders>
              <w:top w:val="single" w:sz="4" w:space="0" w:color="000000"/>
            </w:tcBorders>
          </w:tcPr>
          <w:p>
            <w:pPr>
              <w:pStyle w:val="TableParagraph"/>
              <w:spacing w:line="147" w:lineRule="exact" w:before="103"/>
              <w:ind w:right="513"/>
              <w:jc w:val="right"/>
              <w:rPr>
                <w:b/>
                <w:sz w:val="14"/>
              </w:rPr>
            </w:pPr>
            <w:r>
              <w:rPr>
                <w:b/>
                <w:sz w:val="14"/>
              </w:rPr>
              <w:t>821.8</w:t>
            </w:r>
          </w:p>
        </w:tc>
        <w:tc>
          <w:tcPr>
            <w:tcW w:w="1531" w:type="dxa"/>
            <w:tcBorders>
              <w:top w:val="single" w:sz="4" w:space="0" w:color="000000"/>
            </w:tcBorders>
          </w:tcPr>
          <w:p>
            <w:pPr>
              <w:pStyle w:val="TableParagraph"/>
              <w:spacing w:line="147" w:lineRule="exact" w:before="103"/>
              <w:ind w:left="492"/>
              <w:rPr>
                <w:sz w:val="14"/>
              </w:rPr>
            </w:pPr>
            <w:r>
              <w:rPr>
                <w:sz w:val="14"/>
              </w:rPr>
              <w:t>0 . 0 %</w:t>
            </w:r>
          </w:p>
        </w:tc>
        <w:tc>
          <w:tcPr>
            <w:tcW w:w="1533" w:type="dxa"/>
            <w:tcBorders>
              <w:top w:val="single" w:sz="4" w:space="0" w:color="000000"/>
            </w:tcBorders>
          </w:tcPr>
          <w:p>
            <w:pPr>
              <w:pStyle w:val="TableParagraph"/>
              <w:spacing w:line="147" w:lineRule="exact" w:before="103"/>
              <w:ind w:left="382"/>
              <w:rPr>
                <w:sz w:val="14"/>
              </w:rPr>
            </w:pPr>
            <w:r>
              <w:rPr>
                <w:sz w:val="14"/>
              </w:rPr>
              <w:t>1,493 .1</w:t>
            </w:r>
          </w:p>
        </w:tc>
        <w:tc>
          <w:tcPr>
            <w:tcW w:w="1381" w:type="dxa"/>
            <w:tcBorders>
              <w:top w:val="single" w:sz="4" w:space="0" w:color="000000"/>
            </w:tcBorders>
          </w:tcPr>
          <w:p>
            <w:pPr>
              <w:pStyle w:val="TableParagraph"/>
              <w:spacing w:line="147" w:lineRule="exact" w:before="103"/>
              <w:ind w:left="433"/>
              <w:rPr>
                <w:sz w:val="14"/>
              </w:rPr>
            </w:pPr>
            <w:r>
              <w:rPr>
                <w:sz w:val="14"/>
              </w:rPr>
              <w:t>0 . 1 %</w:t>
            </w:r>
          </w:p>
        </w:tc>
        <w:tc>
          <w:tcPr>
            <w:tcW w:w="1199" w:type="dxa"/>
            <w:tcBorders>
              <w:top w:val="single" w:sz="4" w:space="0" w:color="000000"/>
            </w:tcBorders>
          </w:tcPr>
          <w:p>
            <w:pPr>
              <w:pStyle w:val="TableParagraph"/>
              <w:spacing w:line="147" w:lineRule="exact" w:before="103"/>
              <w:ind w:left="247"/>
              <w:rPr>
                <w:sz w:val="14"/>
              </w:rPr>
            </w:pPr>
            <w:r>
              <w:rPr>
                <w:sz w:val="14"/>
              </w:rPr>
              <w:t>1,582 .5</w:t>
            </w:r>
          </w:p>
        </w:tc>
        <w:tc>
          <w:tcPr>
            <w:tcW w:w="1248" w:type="dxa"/>
            <w:tcBorders>
              <w:top w:val="single" w:sz="4" w:space="0" w:color="000000"/>
            </w:tcBorders>
          </w:tcPr>
          <w:p>
            <w:pPr>
              <w:pStyle w:val="TableParagraph"/>
              <w:spacing w:line="147" w:lineRule="exact" w:before="103"/>
              <w:ind w:left="460"/>
              <w:rPr>
                <w:sz w:val="14"/>
              </w:rPr>
            </w:pPr>
            <w:r>
              <w:rPr>
                <w:sz w:val="14"/>
              </w:rPr>
              <w:t>0 . 1 %</w:t>
            </w:r>
          </w:p>
        </w:tc>
      </w:tr>
      <w:tr>
        <w:trPr>
          <w:trHeight w:val="251" w:hRule="atLeast"/>
        </w:trPr>
        <w:tc>
          <w:tcPr>
            <w:tcW w:w="474" w:type="dxa"/>
          </w:tcPr>
          <w:p>
            <w:pPr>
              <w:pStyle w:val="TableParagraph"/>
              <w:rPr>
                <w:rFonts w:ascii="Times New Roman"/>
                <w:sz w:val="14"/>
              </w:rPr>
            </w:pPr>
          </w:p>
        </w:tc>
        <w:tc>
          <w:tcPr>
            <w:tcW w:w="4934" w:type="dxa"/>
          </w:tcPr>
          <w:p>
            <w:pPr>
              <w:pStyle w:val="TableParagraph"/>
              <w:spacing w:before="1"/>
              <w:ind w:left="261"/>
              <w:rPr>
                <w:sz w:val="14"/>
              </w:rPr>
            </w:pPr>
            <w:r>
              <w:rPr>
                <w:sz w:val="14"/>
              </w:rPr>
              <w:t>Independent Procurement Review Panel (IPRP)</w:t>
            </w:r>
          </w:p>
        </w:tc>
        <w:tc>
          <w:tcPr>
            <w:tcW w:w="2495" w:type="dxa"/>
          </w:tcPr>
          <w:p>
            <w:pPr>
              <w:pStyle w:val="TableParagraph"/>
              <w:spacing w:before="1"/>
              <w:ind w:right="513"/>
              <w:jc w:val="right"/>
              <w:rPr>
                <w:b/>
                <w:sz w:val="14"/>
              </w:rPr>
            </w:pPr>
            <w:r>
              <w:rPr>
                <w:b/>
                <w:sz w:val="14"/>
              </w:rPr>
              <w:t>600.1</w:t>
            </w:r>
          </w:p>
        </w:tc>
        <w:tc>
          <w:tcPr>
            <w:tcW w:w="1531" w:type="dxa"/>
          </w:tcPr>
          <w:p>
            <w:pPr>
              <w:pStyle w:val="TableParagraph"/>
              <w:spacing w:before="1"/>
              <w:ind w:left="492"/>
              <w:rPr>
                <w:sz w:val="14"/>
              </w:rPr>
            </w:pPr>
            <w:r>
              <w:rPr>
                <w:sz w:val="14"/>
              </w:rPr>
              <w:t>0 . 0 %</w:t>
            </w:r>
          </w:p>
        </w:tc>
        <w:tc>
          <w:tcPr>
            <w:tcW w:w="1533" w:type="dxa"/>
          </w:tcPr>
          <w:p>
            <w:pPr>
              <w:pStyle w:val="TableParagraph"/>
              <w:spacing w:before="1"/>
              <w:ind w:left="531" w:right="611"/>
              <w:jc w:val="center"/>
              <w:rPr>
                <w:sz w:val="14"/>
              </w:rPr>
            </w:pPr>
            <w:r>
              <w:rPr>
                <w:sz w:val="14"/>
              </w:rPr>
              <w:t>579.7</w:t>
            </w:r>
          </w:p>
        </w:tc>
        <w:tc>
          <w:tcPr>
            <w:tcW w:w="1381" w:type="dxa"/>
          </w:tcPr>
          <w:p>
            <w:pPr>
              <w:pStyle w:val="TableParagraph"/>
              <w:spacing w:before="1"/>
              <w:ind w:left="433"/>
              <w:rPr>
                <w:sz w:val="14"/>
              </w:rPr>
            </w:pPr>
            <w:r>
              <w:rPr>
                <w:sz w:val="14"/>
              </w:rPr>
              <w:t>0 . 0 %</w:t>
            </w:r>
          </w:p>
        </w:tc>
        <w:tc>
          <w:tcPr>
            <w:tcW w:w="1199" w:type="dxa"/>
          </w:tcPr>
          <w:p>
            <w:pPr>
              <w:pStyle w:val="TableParagraph"/>
              <w:spacing w:before="1"/>
              <w:ind w:left="396"/>
              <w:rPr>
                <w:sz w:val="14"/>
              </w:rPr>
            </w:pPr>
            <w:r>
              <w:rPr>
                <w:sz w:val="14"/>
              </w:rPr>
              <w:t>614.5</w:t>
            </w:r>
          </w:p>
        </w:tc>
        <w:tc>
          <w:tcPr>
            <w:tcW w:w="1248" w:type="dxa"/>
          </w:tcPr>
          <w:p>
            <w:pPr>
              <w:pStyle w:val="TableParagraph"/>
              <w:spacing w:before="1"/>
              <w:ind w:left="460"/>
              <w:rPr>
                <w:sz w:val="14"/>
              </w:rPr>
            </w:pPr>
            <w:r>
              <w:rPr>
                <w:sz w:val="14"/>
              </w:rPr>
              <w:t>0 . 0 %</w:t>
            </w:r>
          </w:p>
        </w:tc>
      </w:tr>
      <w:tr>
        <w:trPr>
          <w:trHeight w:val="336" w:hRule="atLeast"/>
        </w:trPr>
        <w:tc>
          <w:tcPr>
            <w:tcW w:w="474" w:type="dxa"/>
          </w:tcPr>
          <w:p>
            <w:pPr>
              <w:pStyle w:val="TableParagraph"/>
              <w:spacing w:before="85"/>
              <w:ind w:right="95"/>
              <w:jc w:val="right"/>
              <w:rPr>
                <w:sz w:val="14"/>
              </w:rPr>
            </w:pPr>
            <w:r>
              <w:rPr>
                <w:w w:val="95"/>
                <w:sz w:val="14"/>
              </w:rPr>
              <w:t>130</w:t>
            </w:r>
          </w:p>
        </w:tc>
        <w:tc>
          <w:tcPr>
            <w:tcW w:w="4934" w:type="dxa"/>
          </w:tcPr>
          <w:p>
            <w:pPr>
              <w:pStyle w:val="TableParagraph"/>
              <w:spacing w:before="85"/>
              <w:ind w:left="92"/>
              <w:rPr>
                <w:sz w:val="14"/>
              </w:rPr>
            </w:pPr>
            <w:r>
              <w:rPr>
                <w:sz w:val="14"/>
              </w:rPr>
              <w:t>National Revenue Authority (NRA)</w:t>
            </w:r>
          </w:p>
        </w:tc>
        <w:tc>
          <w:tcPr>
            <w:tcW w:w="2495" w:type="dxa"/>
          </w:tcPr>
          <w:p>
            <w:pPr>
              <w:pStyle w:val="TableParagraph"/>
              <w:spacing w:before="85"/>
              <w:ind w:right="597"/>
              <w:jc w:val="right"/>
              <w:rPr>
                <w:b/>
                <w:sz w:val="14"/>
              </w:rPr>
            </w:pPr>
            <w:r>
              <w:rPr>
                <w:b/>
                <w:sz w:val="14"/>
              </w:rPr>
              <w:t>193,860.8</w:t>
            </w:r>
          </w:p>
        </w:tc>
        <w:tc>
          <w:tcPr>
            <w:tcW w:w="1531" w:type="dxa"/>
          </w:tcPr>
          <w:p>
            <w:pPr>
              <w:pStyle w:val="TableParagraph"/>
              <w:spacing w:before="85"/>
              <w:ind w:left="492"/>
              <w:rPr>
                <w:sz w:val="14"/>
              </w:rPr>
            </w:pPr>
            <w:r>
              <w:rPr>
                <w:sz w:val="14"/>
              </w:rPr>
              <w:t>9 . 3 %</w:t>
            </w:r>
          </w:p>
        </w:tc>
        <w:tc>
          <w:tcPr>
            <w:tcW w:w="1533" w:type="dxa"/>
          </w:tcPr>
          <w:p>
            <w:pPr>
              <w:pStyle w:val="TableParagraph"/>
              <w:spacing w:before="85"/>
              <w:ind w:right="407"/>
              <w:jc w:val="right"/>
              <w:rPr>
                <w:sz w:val="14"/>
              </w:rPr>
            </w:pPr>
            <w:r>
              <w:rPr>
                <w:sz w:val="14"/>
              </w:rPr>
              <w:t>228,082.2</w:t>
            </w:r>
          </w:p>
        </w:tc>
        <w:tc>
          <w:tcPr>
            <w:tcW w:w="1381" w:type="dxa"/>
          </w:tcPr>
          <w:p>
            <w:pPr>
              <w:pStyle w:val="TableParagraph"/>
              <w:spacing w:before="85"/>
              <w:ind w:right="401"/>
              <w:jc w:val="right"/>
              <w:rPr>
                <w:sz w:val="14"/>
              </w:rPr>
            </w:pPr>
            <w:r>
              <w:rPr>
                <w:sz w:val="14"/>
              </w:rPr>
              <w:t>1 1 . 0 %</w:t>
            </w:r>
          </w:p>
        </w:tc>
        <w:tc>
          <w:tcPr>
            <w:tcW w:w="1199" w:type="dxa"/>
          </w:tcPr>
          <w:p>
            <w:pPr>
              <w:pStyle w:val="TableParagraph"/>
              <w:spacing w:before="85"/>
              <w:ind w:left="238"/>
              <w:rPr>
                <w:sz w:val="14"/>
              </w:rPr>
            </w:pPr>
            <w:r>
              <w:rPr>
                <w:sz w:val="14"/>
              </w:rPr>
              <w:t>270,169.8</w:t>
            </w:r>
          </w:p>
        </w:tc>
        <w:tc>
          <w:tcPr>
            <w:tcW w:w="1248" w:type="dxa"/>
          </w:tcPr>
          <w:p>
            <w:pPr>
              <w:pStyle w:val="TableParagraph"/>
              <w:spacing w:before="85"/>
              <w:ind w:left="373"/>
              <w:rPr>
                <w:sz w:val="14"/>
              </w:rPr>
            </w:pPr>
            <w:r>
              <w:rPr>
                <w:sz w:val="14"/>
              </w:rPr>
              <w:t>1 3 . 0 %</w:t>
            </w:r>
          </w:p>
        </w:tc>
      </w:tr>
      <w:tr>
        <w:trPr>
          <w:trHeight w:val="335" w:hRule="atLeast"/>
        </w:trPr>
        <w:tc>
          <w:tcPr>
            <w:tcW w:w="474" w:type="dxa"/>
          </w:tcPr>
          <w:p>
            <w:pPr>
              <w:pStyle w:val="TableParagraph"/>
              <w:spacing w:before="85"/>
              <w:ind w:right="95"/>
              <w:jc w:val="right"/>
              <w:rPr>
                <w:sz w:val="14"/>
              </w:rPr>
            </w:pPr>
            <w:r>
              <w:rPr>
                <w:w w:val="95"/>
                <w:sz w:val="14"/>
              </w:rPr>
              <w:t>131</w:t>
            </w:r>
          </w:p>
        </w:tc>
        <w:tc>
          <w:tcPr>
            <w:tcW w:w="4934" w:type="dxa"/>
          </w:tcPr>
          <w:p>
            <w:pPr>
              <w:pStyle w:val="TableParagraph"/>
              <w:spacing w:before="85"/>
              <w:ind w:left="92"/>
              <w:rPr>
                <w:sz w:val="14"/>
              </w:rPr>
            </w:pPr>
            <w:r>
              <w:rPr>
                <w:sz w:val="14"/>
              </w:rPr>
              <w:t>Revenue Appellate Board</w:t>
            </w:r>
          </w:p>
        </w:tc>
        <w:tc>
          <w:tcPr>
            <w:tcW w:w="2495" w:type="dxa"/>
          </w:tcPr>
          <w:p>
            <w:pPr>
              <w:pStyle w:val="TableParagraph"/>
              <w:spacing w:before="85"/>
              <w:ind w:right="571"/>
              <w:jc w:val="right"/>
              <w:rPr>
                <w:b/>
                <w:sz w:val="14"/>
              </w:rPr>
            </w:pPr>
            <w:r>
              <w:rPr>
                <w:b/>
                <w:sz w:val="14"/>
              </w:rPr>
              <w:t>802.5</w:t>
            </w:r>
          </w:p>
        </w:tc>
        <w:tc>
          <w:tcPr>
            <w:tcW w:w="1531" w:type="dxa"/>
          </w:tcPr>
          <w:p>
            <w:pPr>
              <w:pStyle w:val="TableParagraph"/>
              <w:spacing w:before="85"/>
              <w:ind w:left="492"/>
              <w:rPr>
                <w:sz w:val="14"/>
              </w:rPr>
            </w:pPr>
            <w:r>
              <w:rPr>
                <w:sz w:val="14"/>
              </w:rPr>
              <w:t>0 . 0 %</w:t>
            </w:r>
          </w:p>
        </w:tc>
        <w:tc>
          <w:tcPr>
            <w:tcW w:w="1533" w:type="dxa"/>
          </w:tcPr>
          <w:p>
            <w:pPr>
              <w:pStyle w:val="TableParagraph"/>
              <w:spacing w:before="85"/>
              <w:ind w:right="391"/>
              <w:jc w:val="right"/>
              <w:rPr>
                <w:sz w:val="14"/>
              </w:rPr>
            </w:pPr>
            <w:r>
              <w:rPr>
                <w:sz w:val="14"/>
              </w:rPr>
              <w:t>976.6</w:t>
            </w:r>
          </w:p>
        </w:tc>
        <w:tc>
          <w:tcPr>
            <w:tcW w:w="1381" w:type="dxa"/>
          </w:tcPr>
          <w:p>
            <w:pPr>
              <w:pStyle w:val="TableParagraph"/>
              <w:spacing w:before="85"/>
              <w:ind w:right="402"/>
              <w:jc w:val="right"/>
              <w:rPr>
                <w:sz w:val="14"/>
              </w:rPr>
            </w:pPr>
            <w:r>
              <w:rPr>
                <w:sz w:val="14"/>
              </w:rPr>
              <w:t>0 . 0 %</w:t>
            </w:r>
          </w:p>
        </w:tc>
        <w:tc>
          <w:tcPr>
            <w:tcW w:w="1199" w:type="dxa"/>
          </w:tcPr>
          <w:p>
            <w:pPr>
              <w:pStyle w:val="TableParagraph"/>
              <w:spacing w:before="85"/>
              <w:ind w:right="252"/>
              <w:jc w:val="right"/>
              <w:rPr>
                <w:sz w:val="14"/>
              </w:rPr>
            </w:pPr>
            <w:r>
              <w:rPr>
                <w:sz w:val="14"/>
              </w:rPr>
              <w:t>1,035 .1</w:t>
            </w:r>
          </w:p>
        </w:tc>
        <w:tc>
          <w:tcPr>
            <w:tcW w:w="1248" w:type="dxa"/>
          </w:tcPr>
          <w:p>
            <w:pPr>
              <w:pStyle w:val="TableParagraph"/>
              <w:spacing w:before="85"/>
              <w:ind w:left="460"/>
              <w:rPr>
                <w:sz w:val="14"/>
              </w:rPr>
            </w:pPr>
            <w:r>
              <w:rPr>
                <w:sz w:val="14"/>
              </w:rPr>
              <w:t>0 . 0 %</w:t>
            </w:r>
          </w:p>
        </w:tc>
      </w:tr>
      <w:tr>
        <w:trPr>
          <w:trHeight w:val="335" w:hRule="atLeast"/>
        </w:trPr>
        <w:tc>
          <w:tcPr>
            <w:tcW w:w="474" w:type="dxa"/>
          </w:tcPr>
          <w:p>
            <w:pPr>
              <w:pStyle w:val="TableParagraph"/>
              <w:spacing w:before="85"/>
              <w:ind w:right="95"/>
              <w:jc w:val="right"/>
              <w:rPr>
                <w:sz w:val="14"/>
              </w:rPr>
            </w:pPr>
            <w:r>
              <w:rPr>
                <w:w w:val="95"/>
                <w:sz w:val="14"/>
              </w:rPr>
              <w:t>132</w:t>
            </w:r>
          </w:p>
        </w:tc>
        <w:tc>
          <w:tcPr>
            <w:tcW w:w="4934" w:type="dxa"/>
          </w:tcPr>
          <w:p>
            <w:pPr>
              <w:pStyle w:val="TableParagraph"/>
              <w:spacing w:before="85"/>
              <w:ind w:left="92"/>
              <w:rPr>
                <w:sz w:val="14"/>
              </w:rPr>
            </w:pPr>
            <w:r>
              <w:rPr>
                <w:sz w:val="14"/>
              </w:rPr>
              <w:t>Accountant General’s Department</w:t>
            </w:r>
          </w:p>
        </w:tc>
        <w:tc>
          <w:tcPr>
            <w:tcW w:w="2495" w:type="dxa"/>
          </w:tcPr>
          <w:p>
            <w:pPr>
              <w:pStyle w:val="TableParagraph"/>
              <w:spacing w:before="85"/>
              <w:ind w:right="589"/>
              <w:jc w:val="right"/>
              <w:rPr>
                <w:b/>
                <w:sz w:val="14"/>
              </w:rPr>
            </w:pPr>
            <w:r>
              <w:rPr>
                <w:b/>
                <w:sz w:val="14"/>
              </w:rPr>
              <w:t>35,020.4</w:t>
            </w:r>
          </w:p>
        </w:tc>
        <w:tc>
          <w:tcPr>
            <w:tcW w:w="1531" w:type="dxa"/>
          </w:tcPr>
          <w:p>
            <w:pPr>
              <w:pStyle w:val="TableParagraph"/>
              <w:spacing w:before="85"/>
              <w:ind w:left="492"/>
              <w:rPr>
                <w:sz w:val="14"/>
              </w:rPr>
            </w:pPr>
            <w:r>
              <w:rPr>
                <w:sz w:val="14"/>
              </w:rPr>
              <w:t>1 . 7 %</w:t>
            </w:r>
          </w:p>
        </w:tc>
        <w:tc>
          <w:tcPr>
            <w:tcW w:w="1533" w:type="dxa"/>
          </w:tcPr>
          <w:p>
            <w:pPr>
              <w:pStyle w:val="TableParagraph"/>
              <w:spacing w:before="85"/>
              <w:ind w:right="403"/>
              <w:jc w:val="right"/>
              <w:rPr>
                <w:sz w:val="14"/>
              </w:rPr>
            </w:pPr>
            <w:r>
              <w:rPr>
                <w:sz w:val="14"/>
              </w:rPr>
              <w:t>36,621.3</w:t>
            </w:r>
          </w:p>
        </w:tc>
        <w:tc>
          <w:tcPr>
            <w:tcW w:w="1381" w:type="dxa"/>
          </w:tcPr>
          <w:p>
            <w:pPr>
              <w:pStyle w:val="TableParagraph"/>
              <w:spacing w:before="85"/>
              <w:ind w:right="402"/>
              <w:jc w:val="right"/>
              <w:rPr>
                <w:sz w:val="14"/>
              </w:rPr>
            </w:pPr>
            <w:r>
              <w:rPr>
                <w:sz w:val="14"/>
              </w:rPr>
              <w:t>1 . 8 %</w:t>
            </w:r>
          </w:p>
        </w:tc>
        <w:tc>
          <w:tcPr>
            <w:tcW w:w="1199" w:type="dxa"/>
          </w:tcPr>
          <w:p>
            <w:pPr>
              <w:pStyle w:val="TableParagraph"/>
              <w:spacing w:before="85"/>
              <w:ind w:right="261"/>
              <w:jc w:val="right"/>
              <w:rPr>
                <w:sz w:val="14"/>
              </w:rPr>
            </w:pPr>
            <w:r>
              <w:rPr>
                <w:sz w:val="14"/>
              </w:rPr>
              <w:t>38,814.9</w:t>
            </w:r>
          </w:p>
        </w:tc>
        <w:tc>
          <w:tcPr>
            <w:tcW w:w="1248" w:type="dxa"/>
          </w:tcPr>
          <w:p>
            <w:pPr>
              <w:pStyle w:val="TableParagraph"/>
              <w:spacing w:before="85"/>
              <w:ind w:left="460"/>
              <w:rPr>
                <w:sz w:val="14"/>
              </w:rPr>
            </w:pPr>
            <w:r>
              <w:rPr>
                <w:sz w:val="14"/>
              </w:rPr>
              <w:t>1 . 9 %</w:t>
            </w:r>
          </w:p>
        </w:tc>
      </w:tr>
      <w:tr>
        <w:trPr>
          <w:trHeight w:val="280" w:hRule="atLeast"/>
        </w:trPr>
        <w:tc>
          <w:tcPr>
            <w:tcW w:w="474" w:type="dxa"/>
          </w:tcPr>
          <w:p>
            <w:pPr>
              <w:pStyle w:val="TableParagraph"/>
              <w:spacing w:before="85"/>
              <w:ind w:right="95"/>
              <w:jc w:val="right"/>
              <w:rPr>
                <w:sz w:val="14"/>
              </w:rPr>
            </w:pPr>
            <w:r>
              <w:rPr>
                <w:w w:val="95"/>
                <w:sz w:val="14"/>
              </w:rPr>
              <w:t>133</w:t>
            </w:r>
          </w:p>
        </w:tc>
        <w:tc>
          <w:tcPr>
            <w:tcW w:w="4934" w:type="dxa"/>
          </w:tcPr>
          <w:p>
            <w:pPr>
              <w:pStyle w:val="TableParagraph"/>
              <w:spacing w:before="85"/>
              <w:ind w:left="93"/>
              <w:rPr>
                <w:sz w:val="14"/>
              </w:rPr>
            </w:pPr>
            <w:r>
              <w:rPr>
                <w:sz w:val="14"/>
              </w:rPr>
              <w:t>Ministry of Information and Communication</w:t>
            </w:r>
          </w:p>
        </w:tc>
        <w:tc>
          <w:tcPr>
            <w:tcW w:w="2495" w:type="dxa"/>
          </w:tcPr>
          <w:p>
            <w:pPr>
              <w:pStyle w:val="TableParagraph"/>
              <w:spacing w:before="85"/>
              <w:ind w:right="582"/>
              <w:jc w:val="right"/>
              <w:rPr>
                <w:b/>
                <w:sz w:val="14"/>
              </w:rPr>
            </w:pPr>
            <w:r>
              <w:rPr>
                <w:b/>
                <w:sz w:val="14"/>
              </w:rPr>
              <w:t>4,626.7</w:t>
            </w:r>
          </w:p>
        </w:tc>
        <w:tc>
          <w:tcPr>
            <w:tcW w:w="1531" w:type="dxa"/>
          </w:tcPr>
          <w:p>
            <w:pPr>
              <w:pStyle w:val="TableParagraph"/>
              <w:spacing w:before="85"/>
              <w:ind w:left="492"/>
              <w:rPr>
                <w:sz w:val="14"/>
              </w:rPr>
            </w:pPr>
            <w:r>
              <w:rPr>
                <w:sz w:val="14"/>
              </w:rPr>
              <w:t>0 . 2 %</w:t>
            </w:r>
          </w:p>
        </w:tc>
        <w:tc>
          <w:tcPr>
            <w:tcW w:w="1533" w:type="dxa"/>
          </w:tcPr>
          <w:p>
            <w:pPr>
              <w:pStyle w:val="TableParagraph"/>
              <w:spacing w:before="85"/>
              <w:ind w:right="394"/>
              <w:jc w:val="right"/>
              <w:rPr>
                <w:sz w:val="14"/>
              </w:rPr>
            </w:pPr>
            <w:r>
              <w:rPr>
                <w:sz w:val="14"/>
              </w:rPr>
              <w:t>5,699 .1</w:t>
            </w:r>
          </w:p>
        </w:tc>
        <w:tc>
          <w:tcPr>
            <w:tcW w:w="1381" w:type="dxa"/>
          </w:tcPr>
          <w:p>
            <w:pPr>
              <w:pStyle w:val="TableParagraph"/>
              <w:spacing w:before="85"/>
              <w:ind w:right="402"/>
              <w:jc w:val="right"/>
              <w:rPr>
                <w:sz w:val="14"/>
              </w:rPr>
            </w:pPr>
            <w:r>
              <w:rPr>
                <w:sz w:val="14"/>
              </w:rPr>
              <w:t>0 . 3 %</w:t>
            </w:r>
          </w:p>
        </w:tc>
        <w:tc>
          <w:tcPr>
            <w:tcW w:w="1199" w:type="dxa"/>
          </w:tcPr>
          <w:p>
            <w:pPr>
              <w:pStyle w:val="TableParagraph"/>
              <w:spacing w:before="85"/>
              <w:ind w:right="252"/>
              <w:jc w:val="right"/>
              <w:rPr>
                <w:sz w:val="14"/>
              </w:rPr>
            </w:pPr>
            <w:r>
              <w:rPr>
                <w:sz w:val="14"/>
              </w:rPr>
              <w:t>6,040 .5</w:t>
            </w:r>
          </w:p>
        </w:tc>
        <w:tc>
          <w:tcPr>
            <w:tcW w:w="1248" w:type="dxa"/>
          </w:tcPr>
          <w:p>
            <w:pPr>
              <w:pStyle w:val="TableParagraph"/>
              <w:spacing w:before="85"/>
              <w:ind w:left="460"/>
              <w:rPr>
                <w:sz w:val="14"/>
              </w:rPr>
            </w:pPr>
            <w:r>
              <w:rPr>
                <w:sz w:val="14"/>
              </w:rPr>
              <w:t>0 . 3 %</w:t>
            </w:r>
          </w:p>
        </w:tc>
      </w:tr>
      <w:tr>
        <w:trPr>
          <w:trHeight w:val="223" w:hRule="atLeast"/>
        </w:trPr>
        <w:tc>
          <w:tcPr>
            <w:tcW w:w="7903" w:type="dxa"/>
            <w:gridSpan w:val="3"/>
          </w:tcPr>
          <w:p>
            <w:pPr>
              <w:pStyle w:val="TableParagraph"/>
              <w:tabs>
                <w:tab w:pos="6980" w:val="left" w:leader="none"/>
              </w:tabs>
              <w:spacing w:line="133" w:lineRule="exact"/>
              <w:ind w:left="768"/>
              <w:rPr>
                <w:b/>
                <w:sz w:val="14"/>
              </w:rPr>
            </w:pPr>
            <w:r>
              <w:rPr>
                <w:spacing w:val="3"/>
                <w:sz w:val="14"/>
              </w:rPr>
              <w:t>o/ </w:t>
            </w:r>
            <w:r>
              <w:rPr>
                <w:sz w:val="14"/>
              </w:rPr>
              <w:t>w </w:t>
            </w:r>
            <w:r>
              <w:rPr>
                <w:spacing w:val="4"/>
                <w:sz w:val="14"/>
              </w:rPr>
              <w:t>Outreach</w:t>
            </w:r>
            <w:r>
              <w:rPr>
                <w:spacing w:val="-11"/>
                <w:sz w:val="14"/>
              </w:rPr>
              <w:t> </w:t>
            </w:r>
            <w:r>
              <w:rPr>
                <w:spacing w:val="4"/>
                <w:sz w:val="14"/>
              </w:rPr>
              <w:t>Coordination</w:t>
            </w:r>
            <w:r>
              <w:rPr>
                <w:spacing w:val="5"/>
                <w:sz w:val="14"/>
              </w:rPr>
              <w:t> </w:t>
            </w:r>
            <w:r>
              <w:rPr>
                <w:spacing w:val="6"/>
                <w:sz w:val="14"/>
              </w:rPr>
              <w:t>Unit</w:t>
              <w:tab/>
            </w:r>
            <w:r>
              <w:rPr>
                <w:b/>
                <w:sz w:val="14"/>
              </w:rPr>
              <w:t>354.0</w:t>
            </w:r>
          </w:p>
        </w:tc>
        <w:tc>
          <w:tcPr>
            <w:tcW w:w="1531" w:type="dxa"/>
          </w:tcPr>
          <w:p>
            <w:pPr>
              <w:pStyle w:val="TableParagraph"/>
              <w:spacing w:line="133" w:lineRule="exact"/>
              <w:ind w:left="492"/>
              <w:rPr>
                <w:sz w:val="14"/>
              </w:rPr>
            </w:pPr>
            <w:r>
              <w:rPr>
                <w:sz w:val="14"/>
              </w:rPr>
              <w:t>0 . 0 %</w:t>
            </w:r>
          </w:p>
        </w:tc>
        <w:tc>
          <w:tcPr>
            <w:tcW w:w="1533" w:type="dxa"/>
          </w:tcPr>
          <w:p>
            <w:pPr>
              <w:pStyle w:val="TableParagraph"/>
              <w:spacing w:line="133" w:lineRule="exact"/>
              <w:ind w:right="391"/>
              <w:jc w:val="right"/>
              <w:rPr>
                <w:sz w:val="14"/>
              </w:rPr>
            </w:pPr>
            <w:r>
              <w:rPr>
                <w:sz w:val="14"/>
              </w:rPr>
              <w:t>436.0</w:t>
            </w:r>
          </w:p>
        </w:tc>
        <w:tc>
          <w:tcPr>
            <w:tcW w:w="1381" w:type="dxa"/>
          </w:tcPr>
          <w:p>
            <w:pPr>
              <w:pStyle w:val="TableParagraph"/>
              <w:spacing w:line="133" w:lineRule="exact"/>
              <w:ind w:right="402"/>
              <w:jc w:val="right"/>
              <w:rPr>
                <w:sz w:val="14"/>
              </w:rPr>
            </w:pPr>
            <w:r>
              <w:rPr>
                <w:sz w:val="14"/>
              </w:rPr>
              <w:t>0 . 0 %</w:t>
            </w:r>
          </w:p>
        </w:tc>
        <w:tc>
          <w:tcPr>
            <w:tcW w:w="1199" w:type="dxa"/>
          </w:tcPr>
          <w:p>
            <w:pPr>
              <w:pStyle w:val="TableParagraph"/>
              <w:spacing w:line="133" w:lineRule="exact"/>
              <w:ind w:right="249"/>
              <w:jc w:val="right"/>
              <w:rPr>
                <w:sz w:val="14"/>
              </w:rPr>
            </w:pPr>
            <w:r>
              <w:rPr>
                <w:sz w:val="14"/>
              </w:rPr>
              <w:t>462.1</w:t>
            </w:r>
          </w:p>
        </w:tc>
        <w:tc>
          <w:tcPr>
            <w:tcW w:w="1248" w:type="dxa"/>
          </w:tcPr>
          <w:p>
            <w:pPr>
              <w:pStyle w:val="TableParagraph"/>
              <w:spacing w:line="133" w:lineRule="exact"/>
              <w:ind w:left="460"/>
              <w:rPr>
                <w:sz w:val="14"/>
              </w:rPr>
            </w:pPr>
            <w:r>
              <w:rPr>
                <w:sz w:val="14"/>
              </w:rPr>
              <w:t>0 . 0 %</w:t>
            </w:r>
          </w:p>
        </w:tc>
      </w:tr>
      <w:tr>
        <w:trPr>
          <w:trHeight w:val="335" w:hRule="atLeast"/>
        </w:trPr>
        <w:tc>
          <w:tcPr>
            <w:tcW w:w="474" w:type="dxa"/>
          </w:tcPr>
          <w:p>
            <w:pPr>
              <w:pStyle w:val="TableParagraph"/>
              <w:spacing w:before="85"/>
              <w:ind w:right="95"/>
              <w:jc w:val="right"/>
              <w:rPr>
                <w:sz w:val="14"/>
              </w:rPr>
            </w:pPr>
            <w:r>
              <w:rPr>
                <w:w w:val="95"/>
                <w:sz w:val="14"/>
              </w:rPr>
              <w:t>134</w:t>
            </w:r>
          </w:p>
        </w:tc>
        <w:tc>
          <w:tcPr>
            <w:tcW w:w="4934" w:type="dxa"/>
          </w:tcPr>
          <w:p>
            <w:pPr>
              <w:pStyle w:val="TableParagraph"/>
              <w:spacing w:before="85"/>
              <w:ind w:left="92"/>
              <w:rPr>
                <w:sz w:val="14"/>
              </w:rPr>
            </w:pPr>
            <w:r>
              <w:rPr>
                <w:sz w:val="14"/>
              </w:rPr>
              <w:t>National Electoral Commission (NEC)</w:t>
            </w:r>
          </w:p>
        </w:tc>
        <w:tc>
          <w:tcPr>
            <w:tcW w:w="2495" w:type="dxa"/>
          </w:tcPr>
          <w:p>
            <w:pPr>
              <w:pStyle w:val="TableParagraph"/>
              <w:spacing w:before="85"/>
              <w:ind w:right="589"/>
              <w:jc w:val="right"/>
              <w:rPr>
                <w:b/>
                <w:sz w:val="14"/>
              </w:rPr>
            </w:pPr>
            <w:r>
              <w:rPr>
                <w:b/>
                <w:sz w:val="14"/>
              </w:rPr>
              <w:t>18,900.0</w:t>
            </w:r>
          </w:p>
        </w:tc>
        <w:tc>
          <w:tcPr>
            <w:tcW w:w="1531" w:type="dxa"/>
          </w:tcPr>
          <w:p>
            <w:pPr>
              <w:pStyle w:val="TableParagraph"/>
              <w:spacing w:before="85"/>
              <w:ind w:left="492"/>
              <w:rPr>
                <w:sz w:val="14"/>
              </w:rPr>
            </w:pPr>
            <w:r>
              <w:rPr>
                <w:sz w:val="14"/>
              </w:rPr>
              <w:t>0 . 9 %</w:t>
            </w:r>
          </w:p>
        </w:tc>
        <w:tc>
          <w:tcPr>
            <w:tcW w:w="1533" w:type="dxa"/>
          </w:tcPr>
          <w:p>
            <w:pPr>
              <w:pStyle w:val="TableParagraph"/>
              <w:spacing w:before="85"/>
              <w:ind w:right="403"/>
              <w:jc w:val="right"/>
              <w:rPr>
                <w:sz w:val="14"/>
              </w:rPr>
            </w:pPr>
            <w:r>
              <w:rPr>
                <w:sz w:val="14"/>
              </w:rPr>
              <w:t>86,867.0</w:t>
            </w:r>
          </w:p>
        </w:tc>
        <w:tc>
          <w:tcPr>
            <w:tcW w:w="1381" w:type="dxa"/>
          </w:tcPr>
          <w:p>
            <w:pPr>
              <w:pStyle w:val="TableParagraph"/>
              <w:spacing w:before="85"/>
              <w:ind w:right="402"/>
              <w:jc w:val="right"/>
              <w:rPr>
                <w:sz w:val="14"/>
              </w:rPr>
            </w:pPr>
            <w:r>
              <w:rPr>
                <w:sz w:val="14"/>
              </w:rPr>
              <w:t>4 . 2 %</w:t>
            </w:r>
          </w:p>
        </w:tc>
        <w:tc>
          <w:tcPr>
            <w:tcW w:w="1199" w:type="dxa"/>
          </w:tcPr>
          <w:p>
            <w:pPr>
              <w:pStyle w:val="TableParagraph"/>
              <w:spacing w:before="85"/>
              <w:ind w:left="238"/>
              <w:rPr>
                <w:sz w:val="14"/>
              </w:rPr>
            </w:pPr>
            <w:r>
              <w:rPr>
                <w:sz w:val="14"/>
              </w:rPr>
              <w:t>203,369.0</w:t>
            </w:r>
          </w:p>
        </w:tc>
        <w:tc>
          <w:tcPr>
            <w:tcW w:w="1248" w:type="dxa"/>
          </w:tcPr>
          <w:p>
            <w:pPr>
              <w:pStyle w:val="TableParagraph"/>
              <w:spacing w:before="85"/>
              <w:ind w:left="460"/>
              <w:rPr>
                <w:sz w:val="14"/>
              </w:rPr>
            </w:pPr>
            <w:r>
              <w:rPr>
                <w:sz w:val="14"/>
              </w:rPr>
              <w:t>9 . 8 %</w:t>
            </w:r>
          </w:p>
        </w:tc>
      </w:tr>
      <w:tr>
        <w:trPr>
          <w:trHeight w:val="336" w:hRule="atLeast"/>
        </w:trPr>
        <w:tc>
          <w:tcPr>
            <w:tcW w:w="474" w:type="dxa"/>
          </w:tcPr>
          <w:p>
            <w:pPr>
              <w:pStyle w:val="TableParagraph"/>
              <w:spacing w:before="85"/>
              <w:ind w:right="95"/>
              <w:jc w:val="right"/>
              <w:rPr>
                <w:sz w:val="14"/>
              </w:rPr>
            </w:pPr>
            <w:r>
              <w:rPr>
                <w:w w:val="95"/>
                <w:sz w:val="14"/>
              </w:rPr>
              <w:t>137</w:t>
            </w:r>
          </w:p>
        </w:tc>
        <w:tc>
          <w:tcPr>
            <w:tcW w:w="4934" w:type="dxa"/>
          </w:tcPr>
          <w:p>
            <w:pPr>
              <w:pStyle w:val="TableParagraph"/>
              <w:spacing w:before="85"/>
              <w:ind w:left="92"/>
              <w:rPr>
                <w:sz w:val="14"/>
              </w:rPr>
            </w:pPr>
            <w:r>
              <w:rPr>
                <w:sz w:val="14"/>
              </w:rPr>
              <w:t>National Commission for Democracy</w:t>
            </w:r>
          </w:p>
        </w:tc>
        <w:tc>
          <w:tcPr>
            <w:tcW w:w="2495" w:type="dxa"/>
          </w:tcPr>
          <w:p>
            <w:pPr>
              <w:pStyle w:val="TableParagraph"/>
              <w:spacing w:before="85"/>
              <w:ind w:right="582"/>
              <w:jc w:val="right"/>
              <w:rPr>
                <w:b/>
                <w:sz w:val="14"/>
              </w:rPr>
            </w:pPr>
            <w:r>
              <w:rPr>
                <w:b/>
                <w:sz w:val="14"/>
              </w:rPr>
              <w:t>1,098.3</w:t>
            </w:r>
          </w:p>
        </w:tc>
        <w:tc>
          <w:tcPr>
            <w:tcW w:w="1531" w:type="dxa"/>
          </w:tcPr>
          <w:p>
            <w:pPr>
              <w:pStyle w:val="TableParagraph"/>
              <w:spacing w:before="85"/>
              <w:ind w:left="492"/>
              <w:rPr>
                <w:sz w:val="14"/>
              </w:rPr>
            </w:pPr>
            <w:r>
              <w:rPr>
                <w:sz w:val="14"/>
              </w:rPr>
              <w:t>0 . 1 %</w:t>
            </w:r>
          </w:p>
        </w:tc>
        <w:tc>
          <w:tcPr>
            <w:tcW w:w="1533" w:type="dxa"/>
          </w:tcPr>
          <w:p>
            <w:pPr>
              <w:pStyle w:val="TableParagraph"/>
              <w:spacing w:before="85"/>
              <w:ind w:right="391"/>
              <w:jc w:val="right"/>
              <w:rPr>
                <w:sz w:val="14"/>
              </w:rPr>
            </w:pPr>
            <w:r>
              <w:rPr>
                <w:sz w:val="14"/>
              </w:rPr>
              <w:t>983.4</w:t>
            </w:r>
          </w:p>
        </w:tc>
        <w:tc>
          <w:tcPr>
            <w:tcW w:w="1381" w:type="dxa"/>
          </w:tcPr>
          <w:p>
            <w:pPr>
              <w:pStyle w:val="TableParagraph"/>
              <w:spacing w:before="85"/>
              <w:ind w:right="402"/>
              <w:jc w:val="right"/>
              <w:rPr>
                <w:sz w:val="14"/>
              </w:rPr>
            </w:pPr>
            <w:r>
              <w:rPr>
                <w:sz w:val="14"/>
              </w:rPr>
              <w:t>0 . 0 %</w:t>
            </w:r>
          </w:p>
        </w:tc>
        <w:tc>
          <w:tcPr>
            <w:tcW w:w="1199" w:type="dxa"/>
          </w:tcPr>
          <w:p>
            <w:pPr>
              <w:pStyle w:val="TableParagraph"/>
              <w:spacing w:before="85"/>
              <w:ind w:right="252"/>
              <w:jc w:val="right"/>
              <w:rPr>
                <w:sz w:val="14"/>
              </w:rPr>
            </w:pPr>
            <w:r>
              <w:rPr>
                <w:sz w:val="14"/>
              </w:rPr>
              <w:t>1,042 .3</w:t>
            </w:r>
          </w:p>
        </w:tc>
        <w:tc>
          <w:tcPr>
            <w:tcW w:w="1248" w:type="dxa"/>
          </w:tcPr>
          <w:p>
            <w:pPr>
              <w:pStyle w:val="TableParagraph"/>
              <w:spacing w:before="85"/>
              <w:ind w:left="460"/>
              <w:rPr>
                <w:sz w:val="14"/>
              </w:rPr>
            </w:pPr>
            <w:r>
              <w:rPr>
                <w:sz w:val="14"/>
              </w:rPr>
              <w:t>0 . 1 %</w:t>
            </w:r>
          </w:p>
        </w:tc>
      </w:tr>
      <w:tr>
        <w:trPr>
          <w:trHeight w:val="335" w:hRule="atLeast"/>
        </w:trPr>
        <w:tc>
          <w:tcPr>
            <w:tcW w:w="474" w:type="dxa"/>
          </w:tcPr>
          <w:p>
            <w:pPr>
              <w:pStyle w:val="TableParagraph"/>
              <w:spacing w:before="85"/>
              <w:ind w:right="95"/>
              <w:jc w:val="right"/>
              <w:rPr>
                <w:sz w:val="14"/>
              </w:rPr>
            </w:pPr>
            <w:r>
              <w:rPr>
                <w:w w:val="95"/>
                <w:sz w:val="14"/>
              </w:rPr>
              <w:t>138</w:t>
            </w:r>
          </w:p>
        </w:tc>
        <w:tc>
          <w:tcPr>
            <w:tcW w:w="4934" w:type="dxa"/>
          </w:tcPr>
          <w:p>
            <w:pPr>
              <w:pStyle w:val="TableParagraph"/>
              <w:spacing w:before="85"/>
              <w:ind w:left="92"/>
              <w:rPr>
                <w:sz w:val="14"/>
              </w:rPr>
            </w:pPr>
            <w:r>
              <w:rPr>
                <w:sz w:val="14"/>
              </w:rPr>
              <w:t>Statistics - Sierra Leone</w:t>
            </w:r>
          </w:p>
        </w:tc>
        <w:tc>
          <w:tcPr>
            <w:tcW w:w="2495" w:type="dxa"/>
          </w:tcPr>
          <w:p>
            <w:pPr>
              <w:pStyle w:val="TableParagraph"/>
              <w:spacing w:before="85"/>
              <w:ind w:right="582"/>
              <w:jc w:val="right"/>
              <w:rPr>
                <w:b/>
                <w:sz w:val="14"/>
              </w:rPr>
            </w:pPr>
            <w:r>
              <w:rPr>
                <w:b/>
                <w:sz w:val="14"/>
              </w:rPr>
              <w:t>5,641.3</w:t>
            </w:r>
          </w:p>
        </w:tc>
        <w:tc>
          <w:tcPr>
            <w:tcW w:w="1531" w:type="dxa"/>
          </w:tcPr>
          <w:p>
            <w:pPr>
              <w:pStyle w:val="TableParagraph"/>
              <w:spacing w:before="85"/>
              <w:ind w:left="492"/>
              <w:rPr>
                <w:sz w:val="14"/>
              </w:rPr>
            </w:pPr>
            <w:r>
              <w:rPr>
                <w:sz w:val="14"/>
              </w:rPr>
              <w:t>0 . 3 %</w:t>
            </w:r>
          </w:p>
        </w:tc>
        <w:tc>
          <w:tcPr>
            <w:tcW w:w="1533" w:type="dxa"/>
          </w:tcPr>
          <w:p>
            <w:pPr>
              <w:pStyle w:val="TableParagraph"/>
              <w:spacing w:before="85"/>
              <w:ind w:right="394"/>
              <w:jc w:val="right"/>
              <w:rPr>
                <w:sz w:val="14"/>
              </w:rPr>
            </w:pPr>
            <w:r>
              <w:rPr>
                <w:sz w:val="14"/>
              </w:rPr>
              <w:t>5,717 .2</w:t>
            </w:r>
          </w:p>
        </w:tc>
        <w:tc>
          <w:tcPr>
            <w:tcW w:w="1381" w:type="dxa"/>
          </w:tcPr>
          <w:p>
            <w:pPr>
              <w:pStyle w:val="TableParagraph"/>
              <w:spacing w:before="85"/>
              <w:ind w:right="402"/>
              <w:jc w:val="right"/>
              <w:rPr>
                <w:sz w:val="14"/>
              </w:rPr>
            </w:pPr>
            <w:r>
              <w:rPr>
                <w:sz w:val="14"/>
              </w:rPr>
              <w:t>0 . 3 %</w:t>
            </w:r>
          </w:p>
        </w:tc>
        <w:tc>
          <w:tcPr>
            <w:tcW w:w="1199" w:type="dxa"/>
          </w:tcPr>
          <w:p>
            <w:pPr>
              <w:pStyle w:val="TableParagraph"/>
              <w:spacing w:before="85"/>
              <w:ind w:right="252"/>
              <w:jc w:val="right"/>
              <w:rPr>
                <w:sz w:val="14"/>
              </w:rPr>
            </w:pPr>
            <w:r>
              <w:rPr>
                <w:sz w:val="14"/>
              </w:rPr>
              <w:t>6,059 .6</w:t>
            </w:r>
          </w:p>
        </w:tc>
        <w:tc>
          <w:tcPr>
            <w:tcW w:w="1248" w:type="dxa"/>
          </w:tcPr>
          <w:p>
            <w:pPr>
              <w:pStyle w:val="TableParagraph"/>
              <w:spacing w:before="85"/>
              <w:ind w:left="460"/>
              <w:rPr>
                <w:sz w:val="14"/>
              </w:rPr>
            </w:pPr>
            <w:r>
              <w:rPr>
                <w:sz w:val="14"/>
              </w:rPr>
              <w:t>0 . 3 %</w:t>
            </w:r>
          </w:p>
        </w:tc>
      </w:tr>
      <w:tr>
        <w:trPr>
          <w:trHeight w:val="336" w:hRule="atLeast"/>
        </w:trPr>
        <w:tc>
          <w:tcPr>
            <w:tcW w:w="474" w:type="dxa"/>
          </w:tcPr>
          <w:p>
            <w:pPr>
              <w:pStyle w:val="TableParagraph"/>
              <w:spacing w:before="85"/>
              <w:ind w:right="95"/>
              <w:jc w:val="right"/>
              <w:rPr>
                <w:sz w:val="14"/>
              </w:rPr>
            </w:pPr>
            <w:r>
              <w:rPr>
                <w:w w:val="95"/>
                <w:sz w:val="14"/>
              </w:rPr>
              <w:t>139</w:t>
            </w:r>
          </w:p>
        </w:tc>
        <w:tc>
          <w:tcPr>
            <w:tcW w:w="4934" w:type="dxa"/>
          </w:tcPr>
          <w:p>
            <w:pPr>
              <w:pStyle w:val="TableParagraph"/>
              <w:spacing w:before="85"/>
              <w:ind w:left="92"/>
              <w:rPr>
                <w:sz w:val="14"/>
              </w:rPr>
            </w:pPr>
            <w:r>
              <w:rPr>
                <w:sz w:val="14"/>
              </w:rPr>
              <w:t>National Commission for Privatisation (NCP)</w:t>
            </w:r>
          </w:p>
        </w:tc>
        <w:tc>
          <w:tcPr>
            <w:tcW w:w="2495" w:type="dxa"/>
          </w:tcPr>
          <w:p>
            <w:pPr>
              <w:pStyle w:val="TableParagraph"/>
              <w:spacing w:before="85"/>
              <w:ind w:right="582"/>
              <w:jc w:val="right"/>
              <w:rPr>
                <w:b/>
                <w:sz w:val="14"/>
              </w:rPr>
            </w:pPr>
            <w:r>
              <w:rPr>
                <w:b/>
                <w:sz w:val="14"/>
              </w:rPr>
              <w:t>2,056.6</w:t>
            </w:r>
          </w:p>
        </w:tc>
        <w:tc>
          <w:tcPr>
            <w:tcW w:w="1531" w:type="dxa"/>
          </w:tcPr>
          <w:p>
            <w:pPr>
              <w:pStyle w:val="TableParagraph"/>
              <w:spacing w:before="85"/>
              <w:ind w:left="492"/>
              <w:rPr>
                <w:sz w:val="14"/>
              </w:rPr>
            </w:pPr>
            <w:r>
              <w:rPr>
                <w:sz w:val="14"/>
              </w:rPr>
              <w:t>0 . 1 %</w:t>
            </w:r>
          </w:p>
        </w:tc>
        <w:tc>
          <w:tcPr>
            <w:tcW w:w="1533" w:type="dxa"/>
          </w:tcPr>
          <w:p>
            <w:pPr>
              <w:pStyle w:val="TableParagraph"/>
              <w:spacing w:before="85"/>
              <w:ind w:right="394"/>
              <w:jc w:val="right"/>
              <w:rPr>
                <w:sz w:val="14"/>
              </w:rPr>
            </w:pPr>
            <w:r>
              <w:rPr>
                <w:sz w:val="14"/>
              </w:rPr>
              <w:t>2,263 .1</w:t>
            </w:r>
          </w:p>
        </w:tc>
        <w:tc>
          <w:tcPr>
            <w:tcW w:w="1381" w:type="dxa"/>
          </w:tcPr>
          <w:p>
            <w:pPr>
              <w:pStyle w:val="TableParagraph"/>
              <w:spacing w:before="85"/>
              <w:ind w:right="402"/>
              <w:jc w:val="right"/>
              <w:rPr>
                <w:sz w:val="14"/>
              </w:rPr>
            </w:pPr>
            <w:r>
              <w:rPr>
                <w:sz w:val="14"/>
              </w:rPr>
              <w:t>0 . 1 %</w:t>
            </w:r>
          </w:p>
        </w:tc>
        <w:tc>
          <w:tcPr>
            <w:tcW w:w="1199" w:type="dxa"/>
          </w:tcPr>
          <w:p>
            <w:pPr>
              <w:pStyle w:val="TableParagraph"/>
              <w:spacing w:before="85"/>
              <w:ind w:right="252"/>
              <w:jc w:val="right"/>
              <w:rPr>
                <w:sz w:val="14"/>
              </w:rPr>
            </w:pPr>
            <w:r>
              <w:rPr>
                <w:sz w:val="14"/>
              </w:rPr>
              <w:t>2,398 .7</w:t>
            </w:r>
          </w:p>
        </w:tc>
        <w:tc>
          <w:tcPr>
            <w:tcW w:w="1248" w:type="dxa"/>
          </w:tcPr>
          <w:p>
            <w:pPr>
              <w:pStyle w:val="TableParagraph"/>
              <w:spacing w:before="85"/>
              <w:ind w:left="460"/>
              <w:rPr>
                <w:sz w:val="14"/>
              </w:rPr>
            </w:pPr>
            <w:r>
              <w:rPr>
                <w:sz w:val="14"/>
              </w:rPr>
              <w:t>0 . 1 %</w:t>
            </w:r>
          </w:p>
        </w:tc>
      </w:tr>
      <w:tr>
        <w:trPr>
          <w:trHeight w:val="336" w:hRule="atLeast"/>
        </w:trPr>
        <w:tc>
          <w:tcPr>
            <w:tcW w:w="474" w:type="dxa"/>
          </w:tcPr>
          <w:p>
            <w:pPr>
              <w:pStyle w:val="TableParagraph"/>
              <w:spacing w:before="85"/>
              <w:ind w:right="95"/>
              <w:jc w:val="right"/>
              <w:rPr>
                <w:sz w:val="14"/>
              </w:rPr>
            </w:pPr>
            <w:r>
              <w:rPr>
                <w:w w:val="95"/>
                <w:sz w:val="14"/>
              </w:rPr>
              <w:t>140</w:t>
            </w:r>
          </w:p>
        </w:tc>
        <w:tc>
          <w:tcPr>
            <w:tcW w:w="4934" w:type="dxa"/>
          </w:tcPr>
          <w:p>
            <w:pPr>
              <w:pStyle w:val="TableParagraph"/>
              <w:spacing w:before="85"/>
              <w:ind w:left="93"/>
              <w:rPr>
                <w:sz w:val="14"/>
              </w:rPr>
            </w:pPr>
            <w:r>
              <w:rPr>
                <w:sz w:val="14"/>
              </w:rPr>
              <w:t>Mass Media Services</w:t>
            </w:r>
          </w:p>
        </w:tc>
        <w:tc>
          <w:tcPr>
            <w:tcW w:w="2495" w:type="dxa"/>
          </w:tcPr>
          <w:p>
            <w:pPr>
              <w:pStyle w:val="TableParagraph"/>
              <w:spacing w:before="85"/>
              <w:ind w:right="582"/>
              <w:jc w:val="right"/>
              <w:rPr>
                <w:b/>
                <w:sz w:val="14"/>
              </w:rPr>
            </w:pPr>
            <w:r>
              <w:rPr>
                <w:b/>
                <w:sz w:val="14"/>
              </w:rPr>
              <w:t>2,730.3</w:t>
            </w:r>
          </w:p>
        </w:tc>
        <w:tc>
          <w:tcPr>
            <w:tcW w:w="1531" w:type="dxa"/>
          </w:tcPr>
          <w:p>
            <w:pPr>
              <w:pStyle w:val="TableParagraph"/>
              <w:spacing w:before="85"/>
              <w:ind w:left="492"/>
              <w:rPr>
                <w:sz w:val="14"/>
              </w:rPr>
            </w:pPr>
            <w:r>
              <w:rPr>
                <w:sz w:val="14"/>
              </w:rPr>
              <w:t>0 . 1 %</w:t>
            </w:r>
          </w:p>
        </w:tc>
        <w:tc>
          <w:tcPr>
            <w:tcW w:w="1533" w:type="dxa"/>
          </w:tcPr>
          <w:p>
            <w:pPr>
              <w:pStyle w:val="TableParagraph"/>
              <w:spacing w:before="85"/>
              <w:ind w:right="394"/>
              <w:jc w:val="right"/>
              <w:rPr>
                <w:sz w:val="14"/>
              </w:rPr>
            </w:pPr>
            <w:r>
              <w:rPr>
                <w:sz w:val="14"/>
              </w:rPr>
              <w:t>3,093 .0</w:t>
            </w:r>
          </w:p>
        </w:tc>
        <w:tc>
          <w:tcPr>
            <w:tcW w:w="1381" w:type="dxa"/>
          </w:tcPr>
          <w:p>
            <w:pPr>
              <w:pStyle w:val="TableParagraph"/>
              <w:spacing w:before="85"/>
              <w:ind w:right="402"/>
              <w:jc w:val="right"/>
              <w:rPr>
                <w:sz w:val="14"/>
              </w:rPr>
            </w:pPr>
            <w:r>
              <w:rPr>
                <w:sz w:val="14"/>
              </w:rPr>
              <w:t>0 . 1 %</w:t>
            </w:r>
          </w:p>
        </w:tc>
        <w:tc>
          <w:tcPr>
            <w:tcW w:w="1199" w:type="dxa"/>
          </w:tcPr>
          <w:p>
            <w:pPr>
              <w:pStyle w:val="TableParagraph"/>
              <w:spacing w:before="85"/>
              <w:ind w:right="252"/>
              <w:jc w:val="right"/>
              <w:rPr>
                <w:sz w:val="14"/>
              </w:rPr>
            </w:pPr>
            <w:r>
              <w:rPr>
                <w:sz w:val="14"/>
              </w:rPr>
              <w:t>3,278 .2</w:t>
            </w:r>
          </w:p>
        </w:tc>
        <w:tc>
          <w:tcPr>
            <w:tcW w:w="1248" w:type="dxa"/>
          </w:tcPr>
          <w:p>
            <w:pPr>
              <w:pStyle w:val="TableParagraph"/>
              <w:spacing w:before="85"/>
              <w:ind w:left="460"/>
              <w:rPr>
                <w:sz w:val="14"/>
              </w:rPr>
            </w:pPr>
            <w:r>
              <w:rPr>
                <w:sz w:val="14"/>
              </w:rPr>
              <w:t>0 . 2 %</w:t>
            </w:r>
          </w:p>
        </w:tc>
      </w:tr>
      <w:tr>
        <w:trPr>
          <w:trHeight w:val="335" w:hRule="atLeast"/>
        </w:trPr>
        <w:tc>
          <w:tcPr>
            <w:tcW w:w="474" w:type="dxa"/>
          </w:tcPr>
          <w:p>
            <w:pPr>
              <w:pStyle w:val="TableParagraph"/>
              <w:spacing w:before="85"/>
              <w:ind w:right="95"/>
              <w:jc w:val="right"/>
              <w:rPr>
                <w:sz w:val="14"/>
              </w:rPr>
            </w:pPr>
            <w:r>
              <w:rPr>
                <w:w w:val="95"/>
                <w:sz w:val="14"/>
              </w:rPr>
              <w:t>141</w:t>
            </w:r>
          </w:p>
        </w:tc>
        <w:tc>
          <w:tcPr>
            <w:tcW w:w="4934" w:type="dxa"/>
          </w:tcPr>
          <w:p>
            <w:pPr>
              <w:pStyle w:val="TableParagraph"/>
              <w:spacing w:before="85"/>
              <w:ind w:left="92"/>
              <w:rPr>
                <w:sz w:val="14"/>
              </w:rPr>
            </w:pPr>
            <w:r>
              <w:rPr>
                <w:sz w:val="14"/>
              </w:rPr>
              <w:t>Government Printing Department</w:t>
            </w:r>
          </w:p>
        </w:tc>
        <w:tc>
          <w:tcPr>
            <w:tcW w:w="2495" w:type="dxa"/>
          </w:tcPr>
          <w:p>
            <w:pPr>
              <w:pStyle w:val="TableParagraph"/>
              <w:spacing w:before="85"/>
              <w:ind w:right="582"/>
              <w:jc w:val="right"/>
              <w:rPr>
                <w:b/>
                <w:sz w:val="14"/>
              </w:rPr>
            </w:pPr>
            <w:r>
              <w:rPr>
                <w:b/>
                <w:sz w:val="14"/>
              </w:rPr>
              <w:t>2,080.3</w:t>
            </w:r>
          </w:p>
        </w:tc>
        <w:tc>
          <w:tcPr>
            <w:tcW w:w="1531" w:type="dxa"/>
          </w:tcPr>
          <w:p>
            <w:pPr>
              <w:pStyle w:val="TableParagraph"/>
              <w:spacing w:before="85"/>
              <w:ind w:left="492"/>
              <w:rPr>
                <w:sz w:val="14"/>
              </w:rPr>
            </w:pPr>
            <w:r>
              <w:rPr>
                <w:sz w:val="14"/>
              </w:rPr>
              <w:t>0 . 1 %</w:t>
            </w:r>
          </w:p>
        </w:tc>
        <w:tc>
          <w:tcPr>
            <w:tcW w:w="1533" w:type="dxa"/>
          </w:tcPr>
          <w:p>
            <w:pPr>
              <w:pStyle w:val="TableParagraph"/>
              <w:spacing w:before="85"/>
              <w:ind w:right="394"/>
              <w:jc w:val="right"/>
              <w:rPr>
                <w:sz w:val="14"/>
              </w:rPr>
            </w:pPr>
            <w:r>
              <w:rPr>
                <w:sz w:val="14"/>
              </w:rPr>
              <w:t>2,316 .2</w:t>
            </w:r>
          </w:p>
        </w:tc>
        <w:tc>
          <w:tcPr>
            <w:tcW w:w="1381" w:type="dxa"/>
          </w:tcPr>
          <w:p>
            <w:pPr>
              <w:pStyle w:val="TableParagraph"/>
              <w:spacing w:before="85"/>
              <w:ind w:right="402"/>
              <w:jc w:val="right"/>
              <w:rPr>
                <w:sz w:val="14"/>
              </w:rPr>
            </w:pPr>
            <w:r>
              <w:rPr>
                <w:sz w:val="14"/>
              </w:rPr>
              <w:t>0 . 1 %</w:t>
            </w:r>
          </w:p>
        </w:tc>
        <w:tc>
          <w:tcPr>
            <w:tcW w:w="1199" w:type="dxa"/>
          </w:tcPr>
          <w:p>
            <w:pPr>
              <w:pStyle w:val="TableParagraph"/>
              <w:spacing w:before="85"/>
              <w:ind w:right="252"/>
              <w:jc w:val="right"/>
              <w:rPr>
                <w:sz w:val="14"/>
              </w:rPr>
            </w:pPr>
            <w:r>
              <w:rPr>
                <w:sz w:val="14"/>
              </w:rPr>
              <w:t>2,454 .9</w:t>
            </w:r>
          </w:p>
        </w:tc>
        <w:tc>
          <w:tcPr>
            <w:tcW w:w="1248" w:type="dxa"/>
          </w:tcPr>
          <w:p>
            <w:pPr>
              <w:pStyle w:val="TableParagraph"/>
              <w:spacing w:before="85"/>
              <w:ind w:left="460"/>
              <w:rPr>
                <w:sz w:val="14"/>
              </w:rPr>
            </w:pPr>
            <w:r>
              <w:rPr>
                <w:sz w:val="14"/>
              </w:rPr>
              <w:t>0 . 1 %</w:t>
            </w:r>
          </w:p>
        </w:tc>
      </w:tr>
      <w:tr>
        <w:trPr>
          <w:trHeight w:val="335" w:hRule="atLeast"/>
        </w:trPr>
        <w:tc>
          <w:tcPr>
            <w:tcW w:w="474" w:type="dxa"/>
          </w:tcPr>
          <w:p>
            <w:pPr>
              <w:pStyle w:val="TableParagraph"/>
              <w:spacing w:before="85"/>
              <w:ind w:right="95"/>
              <w:jc w:val="right"/>
              <w:rPr>
                <w:sz w:val="14"/>
              </w:rPr>
            </w:pPr>
            <w:r>
              <w:rPr>
                <w:w w:val="95"/>
                <w:sz w:val="14"/>
              </w:rPr>
              <w:t>142</w:t>
            </w:r>
          </w:p>
        </w:tc>
        <w:tc>
          <w:tcPr>
            <w:tcW w:w="4934" w:type="dxa"/>
          </w:tcPr>
          <w:p>
            <w:pPr>
              <w:pStyle w:val="TableParagraph"/>
              <w:spacing w:before="85"/>
              <w:ind w:left="92"/>
              <w:rPr>
                <w:sz w:val="14"/>
              </w:rPr>
            </w:pPr>
            <w:r>
              <w:rPr>
                <w:sz w:val="14"/>
              </w:rPr>
              <w:t>National Public Procurement Authority (NPPA)</w:t>
            </w:r>
          </w:p>
        </w:tc>
        <w:tc>
          <w:tcPr>
            <w:tcW w:w="2495" w:type="dxa"/>
          </w:tcPr>
          <w:p>
            <w:pPr>
              <w:pStyle w:val="TableParagraph"/>
              <w:spacing w:before="85"/>
              <w:ind w:right="582"/>
              <w:jc w:val="right"/>
              <w:rPr>
                <w:b/>
                <w:sz w:val="14"/>
              </w:rPr>
            </w:pPr>
            <w:r>
              <w:rPr>
                <w:b/>
                <w:sz w:val="14"/>
              </w:rPr>
              <w:t>2,247.7</w:t>
            </w:r>
          </w:p>
        </w:tc>
        <w:tc>
          <w:tcPr>
            <w:tcW w:w="1531" w:type="dxa"/>
          </w:tcPr>
          <w:p>
            <w:pPr>
              <w:pStyle w:val="TableParagraph"/>
              <w:spacing w:before="85"/>
              <w:ind w:left="492"/>
              <w:rPr>
                <w:sz w:val="14"/>
              </w:rPr>
            </w:pPr>
            <w:r>
              <w:rPr>
                <w:sz w:val="14"/>
              </w:rPr>
              <w:t>0 . 1 %</w:t>
            </w:r>
          </w:p>
        </w:tc>
        <w:tc>
          <w:tcPr>
            <w:tcW w:w="1533" w:type="dxa"/>
          </w:tcPr>
          <w:p>
            <w:pPr>
              <w:pStyle w:val="TableParagraph"/>
              <w:spacing w:before="85"/>
              <w:ind w:right="394"/>
              <w:jc w:val="right"/>
              <w:rPr>
                <w:sz w:val="14"/>
              </w:rPr>
            </w:pPr>
            <w:r>
              <w:rPr>
                <w:sz w:val="14"/>
              </w:rPr>
              <w:t>2,399 .2</w:t>
            </w:r>
          </w:p>
        </w:tc>
        <w:tc>
          <w:tcPr>
            <w:tcW w:w="1381" w:type="dxa"/>
          </w:tcPr>
          <w:p>
            <w:pPr>
              <w:pStyle w:val="TableParagraph"/>
              <w:spacing w:before="85"/>
              <w:ind w:right="402"/>
              <w:jc w:val="right"/>
              <w:rPr>
                <w:sz w:val="14"/>
              </w:rPr>
            </w:pPr>
            <w:r>
              <w:rPr>
                <w:sz w:val="14"/>
              </w:rPr>
              <w:t>0 . 1 %</w:t>
            </w:r>
          </w:p>
        </w:tc>
        <w:tc>
          <w:tcPr>
            <w:tcW w:w="1199" w:type="dxa"/>
          </w:tcPr>
          <w:p>
            <w:pPr>
              <w:pStyle w:val="TableParagraph"/>
              <w:spacing w:before="85"/>
              <w:ind w:right="252"/>
              <w:jc w:val="right"/>
              <w:rPr>
                <w:sz w:val="14"/>
              </w:rPr>
            </w:pPr>
            <w:r>
              <w:rPr>
                <w:sz w:val="14"/>
              </w:rPr>
              <w:t>2,542 .9</w:t>
            </w:r>
          </w:p>
        </w:tc>
        <w:tc>
          <w:tcPr>
            <w:tcW w:w="1248" w:type="dxa"/>
          </w:tcPr>
          <w:p>
            <w:pPr>
              <w:pStyle w:val="TableParagraph"/>
              <w:spacing w:before="85"/>
              <w:ind w:left="460"/>
              <w:rPr>
                <w:sz w:val="14"/>
              </w:rPr>
            </w:pPr>
            <w:r>
              <w:rPr>
                <w:sz w:val="14"/>
              </w:rPr>
              <w:t>0 . 1 %</w:t>
            </w:r>
          </w:p>
        </w:tc>
      </w:tr>
      <w:tr>
        <w:trPr>
          <w:trHeight w:val="336" w:hRule="atLeast"/>
        </w:trPr>
        <w:tc>
          <w:tcPr>
            <w:tcW w:w="474" w:type="dxa"/>
          </w:tcPr>
          <w:p>
            <w:pPr>
              <w:pStyle w:val="TableParagraph"/>
              <w:spacing w:before="85"/>
              <w:ind w:right="95"/>
              <w:jc w:val="right"/>
              <w:rPr>
                <w:sz w:val="14"/>
              </w:rPr>
            </w:pPr>
            <w:r>
              <w:rPr>
                <w:w w:val="95"/>
                <w:sz w:val="14"/>
              </w:rPr>
              <w:t>143</w:t>
            </w:r>
          </w:p>
        </w:tc>
        <w:tc>
          <w:tcPr>
            <w:tcW w:w="4934" w:type="dxa"/>
          </w:tcPr>
          <w:p>
            <w:pPr>
              <w:pStyle w:val="TableParagraph"/>
              <w:spacing w:before="85"/>
              <w:ind w:left="93"/>
              <w:rPr>
                <w:sz w:val="14"/>
              </w:rPr>
            </w:pPr>
            <w:r>
              <w:rPr>
                <w:sz w:val="14"/>
              </w:rPr>
              <w:t>Justice and Legal Service Commission</w:t>
            </w:r>
          </w:p>
        </w:tc>
        <w:tc>
          <w:tcPr>
            <w:tcW w:w="2495" w:type="dxa"/>
          </w:tcPr>
          <w:p>
            <w:pPr>
              <w:pStyle w:val="TableParagraph"/>
              <w:spacing w:before="85"/>
              <w:ind w:right="571"/>
              <w:jc w:val="right"/>
              <w:rPr>
                <w:b/>
                <w:sz w:val="14"/>
              </w:rPr>
            </w:pPr>
            <w:r>
              <w:rPr>
                <w:b/>
                <w:sz w:val="14"/>
              </w:rPr>
              <w:t>401.4</w:t>
            </w:r>
          </w:p>
        </w:tc>
        <w:tc>
          <w:tcPr>
            <w:tcW w:w="1531" w:type="dxa"/>
          </w:tcPr>
          <w:p>
            <w:pPr>
              <w:pStyle w:val="TableParagraph"/>
              <w:spacing w:before="85"/>
              <w:ind w:left="492"/>
              <w:rPr>
                <w:sz w:val="14"/>
              </w:rPr>
            </w:pPr>
            <w:r>
              <w:rPr>
                <w:sz w:val="14"/>
              </w:rPr>
              <w:t>0 . 0 %</w:t>
            </w:r>
          </w:p>
        </w:tc>
        <w:tc>
          <w:tcPr>
            <w:tcW w:w="1533" w:type="dxa"/>
          </w:tcPr>
          <w:p>
            <w:pPr>
              <w:pStyle w:val="TableParagraph"/>
              <w:spacing w:before="85"/>
              <w:ind w:right="391"/>
              <w:jc w:val="right"/>
              <w:rPr>
                <w:sz w:val="14"/>
              </w:rPr>
            </w:pPr>
            <w:r>
              <w:rPr>
                <w:sz w:val="14"/>
              </w:rPr>
              <w:t>413.4</w:t>
            </w:r>
          </w:p>
        </w:tc>
        <w:tc>
          <w:tcPr>
            <w:tcW w:w="1381" w:type="dxa"/>
          </w:tcPr>
          <w:p>
            <w:pPr>
              <w:pStyle w:val="TableParagraph"/>
              <w:spacing w:before="85"/>
              <w:ind w:right="402"/>
              <w:jc w:val="right"/>
              <w:rPr>
                <w:sz w:val="14"/>
              </w:rPr>
            </w:pPr>
            <w:r>
              <w:rPr>
                <w:sz w:val="14"/>
              </w:rPr>
              <w:t>0 . 0 %</w:t>
            </w:r>
          </w:p>
        </w:tc>
        <w:tc>
          <w:tcPr>
            <w:tcW w:w="1199" w:type="dxa"/>
          </w:tcPr>
          <w:p>
            <w:pPr>
              <w:pStyle w:val="TableParagraph"/>
              <w:spacing w:before="85"/>
              <w:ind w:right="249"/>
              <w:jc w:val="right"/>
              <w:rPr>
                <w:sz w:val="14"/>
              </w:rPr>
            </w:pPr>
            <w:r>
              <w:rPr>
                <w:sz w:val="14"/>
              </w:rPr>
              <w:t>438.2</w:t>
            </w:r>
          </w:p>
        </w:tc>
        <w:tc>
          <w:tcPr>
            <w:tcW w:w="1248" w:type="dxa"/>
          </w:tcPr>
          <w:p>
            <w:pPr>
              <w:pStyle w:val="TableParagraph"/>
              <w:spacing w:before="85"/>
              <w:ind w:left="460"/>
              <w:rPr>
                <w:sz w:val="14"/>
              </w:rPr>
            </w:pPr>
            <w:r>
              <w:rPr>
                <w:sz w:val="14"/>
              </w:rPr>
              <w:t>0 . 0 %</w:t>
            </w:r>
          </w:p>
        </w:tc>
      </w:tr>
      <w:tr>
        <w:trPr>
          <w:trHeight w:val="336" w:hRule="atLeast"/>
        </w:trPr>
        <w:tc>
          <w:tcPr>
            <w:tcW w:w="474" w:type="dxa"/>
          </w:tcPr>
          <w:p>
            <w:pPr>
              <w:pStyle w:val="TableParagraph"/>
              <w:spacing w:before="85"/>
              <w:ind w:right="95"/>
              <w:jc w:val="right"/>
              <w:rPr>
                <w:sz w:val="14"/>
              </w:rPr>
            </w:pPr>
            <w:r>
              <w:rPr>
                <w:w w:val="95"/>
                <w:sz w:val="14"/>
              </w:rPr>
              <w:t>144</w:t>
            </w:r>
          </w:p>
        </w:tc>
        <w:tc>
          <w:tcPr>
            <w:tcW w:w="4934" w:type="dxa"/>
          </w:tcPr>
          <w:p>
            <w:pPr>
              <w:pStyle w:val="TableParagraph"/>
              <w:spacing w:before="85"/>
              <w:ind w:left="93"/>
              <w:rPr>
                <w:sz w:val="14"/>
              </w:rPr>
            </w:pPr>
            <w:r>
              <w:rPr>
                <w:sz w:val="14"/>
              </w:rPr>
              <w:t>Human Rights Commission Sierra Leone</w:t>
            </w:r>
          </w:p>
        </w:tc>
        <w:tc>
          <w:tcPr>
            <w:tcW w:w="2495" w:type="dxa"/>
          </w:tcPr>
          <w:p>
            <w:pPr>
              <w:pStyle w:val="TableParagraph"/>
              <w:spacing w:before="85"/>
              <w:ind w:right="582"/>
              <w:jc w:val="right"/>
              <w:rPr>
                <w:b/>
                <w:sz w:val="14"/>
              </w:rPr>
            </w:pPr>
            <w:r>
              <w:rPr>
                <w:b/>
                <w:sz w:val="14"/>
              </w:rPr>
              <w:t>1,578.7</w:t>
            </w:r>
          </w:p>
        </w:tc>
        <w:tc>
          <w:tcPr>
            <w:tcW w:w="1531" w:type="dxa"/>
          </w:tcPr>
          <w:p>
            <w:pPr>
              <w:pStyle w:val="TableParagraph"/>
              <w:spacing w:before="85"/>
              <w:ind w:left="492"/>
              <w:rPr>
                <w:sz w:val="14"/>
              </w:rPr>
            </w:pPr>
            <w:r>
              <w:rPr>
                <w:sz w:val="14"/>
              </w:rPr>
              <w:t>0 . 1 %</w:t>
            </w:r>
          </w:p>
        </w:tc>
        <w:tc>
          <w:tcPr>
            <w:tcW w:w="1533" w:type="dxa"/>
          </w:tcPr>
          <w:p>
            <w:pPr>
              <w:pStyle w:val="TableParagraph"/>
              <w:spacing w:before="85"/>
              <w:ind w:right="394"/>
              <w:jc w:val="right"/>
              <w:rPr>
                <w:sz w:val="14"/>
              </w:rPr>
            </w:pPr>
            <w:r>
              <w:rPr>
                <w:sz w:val="14"/>
              </w:rPr>
              <w:t>1,439 .9</w:t>
            </w:r>
          </w:p>
        </w:tc>
        <w:tc>
          <w:tcPr>
            <w:tcW w:w="1381" w:type="dxa"/>
          </w:tcPr>
          <w:p>
            <w:pPr>
              <w:pStyle w:val="TableParagraph"/>
              <w:spacing w:before="85"/>
              <w:ind w:right="402"/>
              <w:jc w:val="right"/>
              <w:rPr>
                <w:sz w:val="14"/>
              </w:rPr>
            </w:pPr>
            <w:r>
              <w:rPr>
                <w:sz w:val="14"/>
              </w:rPr>
              <w:t>0 . 1 %</w:t>
            </w:r>
          </w:p>
        </w:tc>
        <w:tc>
          <w:tcPr>
            <w:tcW w:w="1199" w:type="dxa"/>
          </w:tcPr>
          <w:p>
            <w:pPr>
              <w:pStyle w:val="TableParagraph"/>
              <w:spacing w:before="85"/>
              <w:ind w:right="252"/>
              <w:jc w:val="right"/>
              <w:rPr>
                <w:sz w:val="14"/>
              </w:rPr>
            </w:pPr>
            <w:r>
              <w:rPr>
                <w:sz w:val="14"/>
              </w:rPr>
              <w:t>1,526 .2</w:t>
            </w:r>
          </w:p>
        </w:tc>
        <w:tc>
          <w:tcPr>
            <w:tcW w:w="1248" w:type="dxa"/>
          </w:tcPr>
          <w:p>
            <w:pPr>
              <w:pStyle w:val="TableParagraph"/>
              <w:spacing w:before="85"/>
              <w:ind w:left="460"/>
              <w:rPr>
                <w:sz w:val="14"/>
              </w:rPr>
            </w:pPr>
            <w:r>
              <w:rPr>
                <w:sz w:val="14"/>
              </w:rPr>
              <w:t>0 . 1 %</w:t>
            </w:r>
          </w:p>
        </w:tc>
      </w:tr>
      <w:tr>
        <w:trPr>
          <w:trHeight w:val="336" w:hRule="atLeast"/>
        </w:trPr>
        <w:tc>
          <w:tcPr>
            <w:tcW w:w="474" w:type="dxa"/>
          </w:tcPr>
          <w:p>
            <w:pPr>
              <w:pStyle w:val="TableParagraph"/>
              <w:spacing w:before="85"/>
              <w:ind w:right="95"/>
              <w:jc w:val="right"/>
              <w:rPr>
                <w:sz w:val="14"/>
              </w:rPr>
            </w:pPr>
            <w:r>
              <w:rPr>
                <w:w w:val="95"/>
                <w:sz w:val="14"/>
              </w:rPr>
              <w:t>145</w:t>
            </w:r>
          </w:p>
        </w:tc>
        <w:tc>
          <w:tcPr>
            <w:tcW w:w="4934" w:type="dxa"/>
          </w:tcPr>
          <w:p>
            <w:pPr>
              <w:pStyle w:val="TableParagraph"/>
              <w:spacing w:before="85"/>
              <w:ind w:left="92"/>
              <w:rPr>
                <w:sz w:val="14"/>
              </w:rPr>
            </w:pPr>
            <w:r>
              <w:rPr>
                <w:sz w:val="14"/>
              </w:rPr>
              <w:t>Rights to Access Information Commission</w:t>
            </w:r>
          </w:p>
        </w:tc>
        <w:tc>
          <w:tcPr>
            <w:tcW w:w="2495" w:type="dxa"/>
          </w:tcPr>
          <w:p>
            <w:pPr>
              <w:pStyle w:val="TableParagraph"/>
              <w:spacing w:before="85"/>
              <w:ind w:right="571"/>
              <w:jc w:val="right"/>
              <w:rPr>
                <w:b/>
                <w:sz w:val="14"/>
              </w:rPr>
            </w:pPr>
            <w:r>
              <w:rPr>
                <w:b/>
                <w:sz w:val="14"/>
              </w:rPr>
              <w:t>977.2</w:t>
            </w:r>
          </w:p>
        </w:tc>
        <w:tc>
          <w:tcPr>
            <w:tcW w:w="1531" w:type="dxa"/>
          </w:tcPr>
          <w:p>
            <w:pPr>
              <w:pStyle w:val="TableParagraph"/>
              <w:spacing w:before="85"/>
              <w:ind w:left="492"/>
              <w:rPr>
                <w:sz w:val="14"/>
              </w:rPr>
            </w:pPr>
            <w:r>
              <w:rPr>
                <w:sz w:val="14"/>
              </w:rPr>
              <w:t>0 . 0 %</w:t>
            </w:r>
          </w:p>
        </w:tc>
        <w:tc>
          <w:tcPr>
            <w:tcW w:w="1533" w:type="dxa"/>
          </w:tcPr>
          <w:p>
            <w:pPr>
              <w:pStyle w:val="TableParagraph"/>
              <w:spacing w:before="85"/>
              <w:ind w:right="394"/>
              <w:jc w:val="right"/>
              <w:rPr>
                <w:sz w:val="14"/>
              </w:rPr>
            </w:pPr>
            <w:r>
              <w:rPr>
                <w:sz w:val="14"/>
              </w:rPr>
              <w:t>1,149 .6</w:t>
            </w:r>
          </w:p>
        </w:tc>
        <w:tc>
          <w:tcPr>
            <w:tcW w:w="1381" w:type="dxa"/>
          </w:tcPr>
          <w:p>
            <w:pPr>
              <w:pStyle w:val="TableParagraph"/>
              <w:spacing w:before="85"/>
              <w:ind w:right="402"/>
              <w:jc w:val="right"/>
              <w:rPr>
                <w:sz w:val="14"/>
              </w:rPr>
            </w:pPr>
            <w:r>
              <w:rPr>
                <w:sz w:val="14"/>
              </w:rPr>
              <w:t>0 . 1 %</w:t>
            </w:r>
          </w:p>
        </w:tc>
        <w:tc>
          <w:tcPr>
            <w:tcW w:w="1199" w:type="dxa"/>
          </w:tcPr>
          <w:p>
            <w:pPr>
              <w:pStyle w:val="TableParagraph"/>
              <w:spacing w:before="85"/>
              <w:ind w:right="252"/>
              <w:jc w:val="right"/>
              <w:rPr>
                <w:sz w:val="14"/>
              </w:rPr>
            </w:pPr>
            <w:r>
              <w:rPr>
                <w:sz w:val="14"/>
              </w:rPr>
              <w:t>1,218 .5</w:t>
            </w:r>
          </w:p>
        </w:tc>
        <w:tc>
          <w:tcPr>
            <w:tcW w:w="1248" w:type="dxa"/>
          </w:tcPr>
          <w:p>
            <w:pPr>
              <w:pStyle w:val="TableParagraph"/>
              <w:spacing w:before="85"/>
              <w:ind w:left="460"/>
              <w:rPr>
                <w:sz w:val="14"/>
              </w:rPr>
            </w:pPr>
            <w:r>
              <w:rPr>
                <w:sz w:val="14"/>
              </w:rPr>
              <w:t>0 . 1 %</w:t>
            </w:r>
          </w:p>
        </w:tc>
      </w:tr>
      <w:tr>
        <w:trPr>
          <w:trHeight w:val="335" w:hRule="atLeast"/>
        </w:trPr>
        <w:tc>
          <w:tcPr>
            <w:tcW w:w="474" w:type="dxa"/>
          </w:tcPr>
          <w:p>
            <w:pPr>
              <w:pStyle w:val="TableParagraph"/>
              <w:spacing w:before="85"/>
              <w:ind w:right="95"/>
              <w:jc w:val="right"/>
              <w:rPr>
                <w:sz w:val="14"/>
              </w:rPr>
            </w:pPr>
            <w:r>
              <w:rPr>
                <w:w w:val="95"/>
                <w:sz w:val="14"/>
              </w:rPr>
              <w:t>146</w:t>
            </w:r>
          </w:p>
        </w:tc>
        <w:tc>
          <w:tcPr>
            <w:tcW w:w="4934" w:type="dxa"/>
          </w:tcPr>
          <w:p>
            <w:pPr>
              <w:pStyle w:val="TableParagraph"/>
              <w:spacing w:before="85"/>
              <w:ind w:left="92"/>
              <w:rPr>
                <w:sz w:val="14"/>
              </w:rPr>
            </w:pPr>
            <w:r>
              <w:rPr>
                <w:sz w:val="14"/>
              </w:rPr>
              <w:t>Wages and Compensation Commission</w:t>
            </w:r>
          </w:p>
        </w:tc>
        <w:tc>
          <w:tcPr>
            <w:tcW w:w="2495" w:type="dxa"/>
          </w:tcPr>
          <w:p>
            <w:pPr>
              <w:pStyle w:val="TableParagraph"/>
              <w:spacing w:before="85"/>
              <w:ind w:right="571"/>
              <w:jc w:val="right"/>
              <w:rPr>
                <w:b/>
                <w:sz w:val="14"/>
              </w:rPr>
            </w:pPr>
            <w:r>
              <w:rPr>
                <w:b/>
                <w:sz w:val="14"/>
              </w:rPr>
              <w:t>400.0</w:t>
            </w:r>
          </w:p>
        </w:tc>
        <w:tc>
          <w:tcPr>
            <w:tcW w:w="1531" w:type="dxa"/>
          </w:tcPr>
          <w:p>
            <w:pPr>
              <w:pStyle w:val="TableParagraph"/>
              <w:spacing w:before="85"/>
              <w:ind w:left="492"/>
              <w:rPr>
                <w:sz w:val="14"/>
              </w:rPr>
            </w:pPr>
            <w:r>
              <w:rPr>
                <w:sz w:val="14"/>
              </w:rPr>
              <w:t>0 . 0 %</w:t>
            </w:r>
          </w:p>
        </w:tc>
        <w:tc>
          <w:tcPr>
            <w:tcW w:w="1533" w:type="dxa"/>
          </w:tcPr>
          <w:p>
            <w:pPr>
              <w:pStyle w:val="TableParagraph"/>
              <w:spacing w:before="85"/>
              <w:ind w:right="391"/>
              <w:jc w:val="right"/>
              <w:rPr>
                <w:sz w:val="14"/>
              </w:rPr>
            </w:pPr>
            <w:r>
              <w:rPr>
                <w:sz w:val="14"/>
              </w:rPr>
              <w:t>563.5</w:t>
            </w:r>
          </w:p>
        </w:tc>
        <w:tc>
          <w:tcPr>
            <w:tcW w:w="1381" w:type="dxa"/>
          </w:tcPr>
          <w:p>
            <w:pPr>
              <w:pStyle w:val="TableParagraph"/>
              <w:spacing w:before="85"/>
              <w:ind w:right="402"/>
              <w:jc w:val="right"/>
              <w:rPr>
                <w:sz w:val="14"/>
              </w:rPr>
            </w:pPr>
            <w:r>
              <w:rPr>
                <w:sz w:val="14"/>
              </w:rPr>
              <w:t>0 . 0 %</w:t>
            </w:r>
          </w:p>
        </w:tc>
        <w:tc>
          <w:tcPr>
            <w:tcW w:w="1199" w:type="dxa"/>
          </w:tcPr>
          <w:p>
            <w:pPr>
              <w:pStyle w:val="TableParagraph"/>
              <w:spacing w:before="85"/>
              <w:ind w:right="249"/>
              <w:jc w:val="right"/>
              <w:rPr>
                <w:sz w:val="14"/>
              </w:rPr>
            </w:pPr>
            <w:r>
              <w:rPr>
                <w:sz w:val="14"/>
              </w:rPr>
              <w:t>597.2</w:t>
            </w:r>
          </w:p>
        </w:tc>
        <w:tc>
          <w:tcPr>
            <w:tcW w:w="1248" w:type="dxa"/>
          </w:tcPr>
          <w:p>
            <w:pPr>
              <w:pStyle w:val="TableParagraph"/>
              <w:spacing w:before="85"/>
              <w:ind w:left="460"/>
              <w:rPr>
                <w:sz w:val="14"/>
              </w:rPr>
            </w:pPr>
            <w:r>
              <w:rPr>
                <w:sz w:val="14"/>
              </w:rPr>
              <w:t>0 . 0 %</w:t>
            </w:r>
          </w:p>
        </w:tc>
      </w:tr>
      <w:tr>
        <w:trPr>
          <w:trHeight w:val="335" w:hRule="atLeast"/>
        </w:trPr>
        <w:tc>
          <w:tcPr>
            <w:tcW w:w="474" w:type="dxa"/>
          </w:tcPr>
          <w:p>
            <w:pPr>
              <w:pStyle w:val="TableParagraph"/>
              <w:spacing w:before="85"/>
              <w:ind w:right="91"/>
              <w:jc w:val="right"/>
              <w:rPr>
                <w:b/>
                <w:sz w:val="14"/>
              </w:rPr>
            </w:pPr>
            <w:r>
              <w:rPr>
                <w:b/>
                <w:w w:val="99"/>
                <w:sz w:val="14"/>
              </w:rPr>
              <w:t>2</w:t>
            </w:r>
          </w:p>
        </w:tc>
        <w:tc>
          <w:tcPr>
            <w:tcW w:w="4934" w:type="dxa"/>
          </w:tcPr>
          <w:p>
            <w:pPr>
              <w:pStyle w:val="TableParagraph"/>
              <w:spacing w:before="85"/>
              <w:ind w:left="92"/>
              <w:rPr>
                <w:b/>
                <w:sz w:val="14"/>
              </w:rPr>
            </w:pPr>
            <w:r>
              <w:rPr>
                <w:b/>
                <w:sz w:val="14"/>
              </w:rPr>
              <w:t>SECURITY SERVICES</w:t>
            </w:r>
          </w:p>
        </w:tc>
        <w:tc>
          <w:tcPr>
            <w:tcW w:w="2495" w:type="dxa"/>
          </w:tcPr>
          <w:p>
            <w:pPr>
              <w:pStyle w:val="TableParagraph"/>
              <w:spacing w:before="85"/>
              <w:ind w:right="597"/>
              <w:jc w:val="right"/>
              <w:rPr>
                <w:b/>
                <w:sz w:val="14"/>
              </w:rPr>
            </w:pPr>
            <w:r>
              <w:rPr>
                <w:b/>
                <w:sz w:val="14"/>
              </w:rPr>
              <w:t>195,959.1</w:t>
            </w:r>
          </w:p>
        </w:tc>
        <w:tc>
          <w:tcPr>
            <w:tcW w:w="1531" w:type="dxa"/>
          </w:tcPr>
          <w:p>
            <w:pPr>
              <w:pStyle w:val="TableParagraph"/>
              <w:spacing w:before="85"/>
              <w:ind w:left="550"/>
              <w:rPr>
                <w:b/>
                <w:sz w:val="14"/>
              </w:rPr>
            </w:pPr>
            <w:r>
              <w:rPr>
                <w:b/>
                <w:sz w:val="14"/>
              </w:rPr>
              <w:t>9.4%</w:t>
            </w:r>
          </w:p>
        </w:tc>
        <w:tc>
          <w:tcPr>
            <w:tcW w:w="1533" w:type="dxa"/>
          </w:tcPr>
          <w:p>
            <w:pPr>
              <w:pStyle w:val="TableParagraph"/>
              <w:spacing w:before="85"/>
              <w:ind w:right="407"/>
              <w:jc w:val="right"/>
              <w:rPr>
                <w:sz w:val="14"/>
              </w:rPr>
            </w:pPr>
            <w:r>
              <w:rPr>
                <w:sz w:val="14"/>
              </w:rPr>
              <w:t>285,234.1</w:t>
            </w:r>
          </w:p>
        </w:tc>
        <w:tc>
          <w:tcPr>
            <w:tcW w:w="1381" w:type="dxa"/>
          </w:tcPr>
          <w:p>
            <w:pPr>
              <w:pStyle w:val="TableParagraph"/>
              <w:spacing w:before="85"/>
              <w:ind w:right="415"/>
              <w:jc w:val="right"/>
              <w:rPr>
                <w:b/>
                <w:sz w:val="14"/>
              </w:rPr>
            </w:pPr>
            <w:r>
              <w:rPr>
                <w:b/>
                <w:sz w:val="14"/>
              </w:rPr>
              <w:t>13.7%</w:t>
            </w:r>
          </w:p>
        </w:tc>
        <w:tc>
          <w:tcPr>
            <w:tcW w:w="1199" w:type="dxa"/>
          </w:tcPr>
          <w:p>
            <w:pPr>
              <w:pStyle w:val="TableParagraph"/>
              <w:spacing w:before="85"/>
              <w:ind w:left="238"/>
              <w:rPr>
                <w:sz w:val="14"/>
              </w:rPr>
            </w:pPr>
            <w:r>
              <w:rPr>
                <w:sz w:val="14"/>
              </w:rPr>
              <w:t>302,319.6</w:t>
            </w:r>
          </w:p>
        </w:tc>
        <w:tc>
          <w:tcPr>
            <w:tcW w:w="1248" w:type="dxa"/>
          </w:tcPr>
          <w:p>
            <w:pPr>
              <w:pStyle w:val="TableParagraph"/>
              <w:spacing w:before="85"/>
              <w:ind w:left="431"/>
              <w:rPr>
                <w:b/>
                <w:sz w:val="14"/>
              </w:rPr>
            </w:pPr>
            <w:r>
              <w:rPr>
                <w:b/>
                <w:sz w:val="14"/>
              </w:rPr>
              <w:t>14.5%</w:t>
            </w:r>
          </w:p>
        </w:tc>
      </w:tr>
      <w:tr>
        <w:trPr>
          <w:trHeight w:val="251" w:hRule="atLeast"/>
        </w:trPr>
        <w:tc>
          <w:tcPr>
            <w:tcW w:w="474" w:type="dxa"/>
          </w:tcPr>
          <w:p>
            <w:pPr>
              <w:pStyle w:val="TableParagraph"/>
              <w:spacing w:line="147" w:lineRule="exact" w:before="85"/>
              <w:ind w:right="95"/>
              <w:jc w:val="right"/>
              <w:rPr>
                <w:sz w:val="14"/>
              </w:rPr>
            </w:pPr>
            <w:r>
              <w:rPr>
                <w:w w:val="95"/>
                <w:sz w:val="14"/>
              </w:rPr>
              <w:t>201</w:t>
            </w:r>
          </w:p>
        </w:tc>
        <w:tc>
          <w:tcPr>
            <w:tcW w:w="4934" w:type="dxa"/>
          </w:tcPr>
          <w:p>
            <w:pPr>
              <w:pStyle w:val="TableParagraph"/>
              <w:spacing w:line="147" w:lineRule="exact" w:before="85"/>
              <w:ind w:left="93"/>
              <w:rPr>
                <w:sz w:val="14"/>
              </w:rPr>
            </w:pPr>
            <w:r>
              <w:rPr>
                <w:sz w:val="14"/>
              </w:rPr>
              <w:t>Ministry of Defence</w:t>
            </w:r>
          </w:p>
        </w:tc>
        <w:tc>
          <w:tcPr>
            <w:tcW w:w="2495" w:type="dxa"/>
          </w:tcPr>
          <w:p>
            <w:pPr>
              <w:pStyle w:val="TableParagraph"/>
              <w:spacing w:line="147" w:lineRule="exact" w:before="85"/>
              <w:ind w:right="589"/>
              <w:jc w:val="right"/>
              <w:rPr>
                <w:b/>
                <w:sz w:val="14"/>
              </w:rPr>
            </w:pPr>
            <w:r>
              <w:rPr>
                <w:b/>
                <w:sz w:val="14"/>
              </w:rPr>
              <w:t>70,756.1</w:t>
            </w:r>
          </w:p>
        </w:tc>
        <w:tc>
          <w:tcPr>
            <w:tcW w:w="1531" w:type="dxa"/>
          </w:tcPr>
          <w:p>
            <w:pPr>
              <w:pStyle w:val="TableParagraph"/>
              <w:spacing w:line="147" w:lineRule="exact" w:before="85"/>
              <w:ind w:left="492"/>
              <w:rPr>
                <w:sz w:val="14"/>
              </w:rPr>
            </w:pPr>
            <w:r>
              <w:rPr>
                <w:sz w:val="14"/>
              </w:rPr>
              <w:t>3 . 4 %</w:t>
            </w:r>
          </w:p>
        </w:tc>
        <w:tc>
          <w:tcPr>
            <w:tcW w:w="1533" w:type="dxa"/>
          </w:tcPr>
          <w:p>
            <w:pPr>
              <w:pStyle w:val="TableParagraph"/>
              <w:spacing w:line="147" w:lineRule="exact" w:before="85"/>
              <w:ind w:right="407"/>
              <w:jc w:val="right"/>
              <w:rPr>
                <w:sz w:val="14"/>
              </w:rPr>
            </w:pPr>
            <w:r>
              <w:rPr>
                <w:sz w:val="14"/>
              </w:rPr>
              <w:t>119,688.5</w:t>
            </w:r>
          </w:p>
        </w:tc>
        <w:tc>
          <w:tcPr>
            <w:tcW w:w="1381" w:type="dxa"/>
          </w:tcPr>
          <w:p>
            <w:pPr>
              <w:pStyle w:val="TableParagraph"/>
              <w:spacing w:line="147" w:lineRule="exact" w:before="85"/>
              <w:ind w:right="402"/>
              <w:jc w:val="right"/>
              <w:rPr>
                <w:sz w:val="14"/>
              </w:rPr>
            </w:pPr>
            <w:r>
              <w:rPr>
                <w:sz w:val="14"/>
              </w:rPr>
              <w:t>5 . 8 %</w:t>
            </w:r>
          </w:p>
        </w:tc>
        <w:tc>
          <w:tcPr>
            <w:tcW w:w="1199" w:type="dxa"/>
          </w:tcPr>
          <w:p>
            <w:pPr>
              <w:pStyle w:val="TableParagraph"/>
              <w:spacing w:line="147" w:lineRule="exact" w:before="85"/>
              <w:ind w:left="238"/>
              <w:rPr>
                <w:sz w:val="14"/>
              </w:rPr>
            </w:pPr>
            <w:r>
              <w:rPr>
                <w:sz w:val="14"/>
              </w:rPr>
              <w:t>126,857.9</w:t>
            </w:r>
          </w:p>
        </w:tc>
        <w:tc>
          <w:tcPr>
            <w:tcW w:w="1248" w:type="dxa"/>
          </w:tcPr>
          <w:p>
            <w:pPr>
              <w:pStyle w:val="TableParagraph"/>
              <w:spacing w:line="147" w:lineRule="exact" w:before="85"/>
              <w:ind w:left="460"/>
              <w:rPr>
                <w:sz w:val="14"/>
              </w:rPr>
            </w:pPr>
            <w:r>
              <w:rPr>
                <w:sz w:val="14"/>
              </w:rPr>
              <w:t>6 . 1 %</w:t>
            </w:r>
          </w:p>
        </w:tc>
      </w:tr>
      <w:tr>
        <w:trPr>
          <w:trHeight w:val="168" w:hRule="atLeast"/>
        </w:trPr>
        <w:tc>
          <w:tcPr>
            <w:tcW w:w="474" w:type="dxa"/>
          </w:tcPr>
          <w:p>
            <w:pPr>
              <w:pStyle w:val="TableParagraph"/>
              <w:rPr>
                <w:rFonts w:ascii="Times New Roman"/>
                <w:sz w:val="10"/>
              </w:rPr>
            </w:pPr>
          </w:p>
        </w:tc>
        <w:tc>
          <w:tcPr>
            <w:tcW w:w="4934" w:type="dxa"/>
          </w:tcPr>
          <w:p>
            <w:pPr>
              <w:pStyle w:val="TableParagraph"/>
              <w:spacing w:line="147" w:lineRule="exact" w:before="1"/>
              <w:ind w:left="260"/>
              <w:rPr>
                <w:sz w:val="14"/>
              </w:rPr>
            </w:pPr>
            <w:r>
              <w:rPr>
                <w:sz w:val="14"/>
              </w:rPr>
              <w:t>Rice for Officers and Other Ranks</w:t>
            </w:r>
          </w:p>
        </w:tc>
        <w:tc>
          <w:tcPr>
            <w:tcW w:w="2495" w:type="dxa"/>
          </w:tcPr>
          <w:p>
            <w:pPr>
              <w:pStyle w:val="TableParagraph"/>
              <w:spacing w:line="147" w:lineRule="exact" w:before="1"/>
              <w:ind w:right="589"/>
              <w:jc w:val="right"/>
              <w:rPr>
                <w:b/>
                <w:sz w:val="14"/>
              </w:rPr>
            </w:pPr>
            <w:r>
              <w:rPr>
                <w:b/>
                <w:sz w:val="14"/>
              </w:rPr>
              <w:t>12,035.5</w:t>
            </w:r>
          </w:p>
        </w:tc>
        <w:tc>
          <w:tcPr>
            <w:tcW w:w="1531" w:type="dxa"/>
          </w:tcPr>
          <w:p>
            <w:pPr>
              <w:pStyle w:val="TableParagraph"/>
              <w:spacing w:line="147" w:lineRule="exact" w:before="1"/>
              <w:ind w:left="492"/>
              <w:rPr>
                <w:sz w:val="14"/>
              </w:rPr>
            </w:pPr>
            <w:r>
              <w:rPr>
                <w:sz w:val="14"/>
              </w:rPr>
              <w:t>0 . 6 %</w:t>
            </w:r>
          </w:p>
        </w:tc>
        <w:tc>
          <w:tcPr>
            <w:tcW w:w="1533" w:type="dxa"/>
          </w:tcPr>
          <w:p>
            <w:pPr>
              <w:pStyle w:val="TableParagraph"/>
              <w:spacing w:line="147" w:lineRule="exact" w:before="1"/>
              <w:ind w:right="403"/>
              <w:jc w:val="right"/>
              <w:rPr>
                <w:sz w:val="14"/>
              </w:rPr>
            </w:pPr>
            <w:r>
              <w:rPr>
                <w:sz w:val="14"/>
              </w:rPr>
              <w:t>13,342.7</w:t>
            </w:r>
          </w:p>
        </w:tc>
        <w:tc>
          <w:tcPr>
            <w:tcW w:w="1381" w:type="dxa"/>
          </w:tcPr>
          <w:p>
            <w:pPr>
              <w:pStyle w:val="TableParagraph"/>
              <w:spacing w:line="147" w:lineRule="exact" w:before="1"/>
              <w:ind w:right="402"/>
              <w:jc w:val="right"/>
              <w:rPr>
                <w:sz w:val="14"/>
              </w:rPr>
            </w:pPr>
            <w:r>
              <w:rPr>
                <w:sz w:val="14"/>
              </w:rPr>
              <w:t>0 . 6 %</w:t>
            </w:r>
          </w:p>
        </w:tc>
        <w:tc>
          <w:tcPr>
            <w:tcW w:w="1199" w:type="dxa"/>
          </w:tcPr>
          <w:p>
            <w:pPr>
              <w:pStyle w:val="TableParagraph"/>
              <w:spacing w:line="147" w:lineRule="exact" w:before="1"/>
              <w:ind w:right="261"/>
              <w:jc w:val="right"/>
              <w:rPr>
                <w:sz w:val="14"/>
              </w:rPr>
            </w:pPr>
            <w:r>
              <w:rPr>
                <w:sz w:val="14"/>
              </w:rPr>
              <w:t>14,141.9</w:t>
            </w:r>
          </w:p>
        </w:tc>
        <w:tc>
          <w:tcPr>
            <w:tcW w:w="1248" w:type="dxa"/>
          </w:tcPr>
          <w:p>
            <w:pPr>
              <w:pStyle w:val="TableParagraph"/>
              <w:spacing w:line="147" w:lineRule="exact" w:before="1"/>
              <w:ind w:left="460"/>
              <w:rPr>
                <w:sz w:val="14"/>
              </w:rPr>
            </w:pPr>
            <w:r>
              <w:rPr>
                <w:sz w:val="14"/>
              </w:rPr>
              <w:t>0 . 7 %</w:t>
            </w:r>
          </w:p>
        </w:tc>
      </w:tr>
      <w:tr>
        <w:trPr>
          <w:trHeight w:val="168" w:hRule="atLeast"/>
        </w:trPr>
        <w:tc>
          <w:tcPr>
            <w:tcW w:w="474" w:type="dxa"/>
          </w:tcPr>
          <w:p>
            <w:pPr>
              <w:pStyle w:val="TableParagraph"/>
              <w:rPr>
                <w:rFonts w:ascii="Times New Roman"/>
                <w:sz w:val="10"/>
              </w:rPr>
            </w:pPr>
          </w:p>
        </w:tc>
        <w:tc>
          <w:tcPr>
            <w:tcW w:w="4934" w:type="dxa"/>
          </w:tcPr>
          <w:p>
            <w:pPr>
              <w:pStyle w:val="TableParagraph"/>
              <w:spacing w:line="147" w:lineRule="exact" w:before="1"/>
              <w:ind w:left="260"/>
              <w:rPr>
                <w:sz w:val="14"/>
              </w:rPr>
            </w:pPr>
            <w:r>
              <w:rPr>
                <w:sz w:val="14"/>
              </w:rPr>
              <w:t>Logistics and Other Operating Costs</w:t>
            </w:r>
          </w:p>
        </w:tc>
        <w:tc>
          <w:tcPr>
            <w:tcW w:w="2495" w:type="dxa"/>
          </w:tcPr>
          <w:p>
            <w:pPr>
              <w:pStyle w:val="TableParagraph"/>
              <w:spacing w:line="147" w:lineRule="exact" w:before="1"/>
              <w:ind w:right="589"/>
              <w:jc w:val="right"/>
              <w:rPr>
                <w:b/>
                <w:sz w:val="14"/>
              </w:rPr>
            </w:pPr>
            <w:r>
              <w:rPr>
                <w:b/>
                <w:sz w:val="14"/>
              </w:rPr>
              <w:t>58,720.6</w:t>
            </w:r>
          </w:p>
        </w:tc>
        <w:tc>
          <w:tcPr>
            <w:tcW w:w="1531" w:type="dxa"/>
          </w:tcPr>
          <w:p>
            <w:pPr>
              <w:pStyle w:val="TableParagraph"/>
              <w:spacing w:line="147" w:lineRule="exact" w:before="1"/>
              <w:ind w:left="492"/>
              <w:rPr>
                <w:sz w:val="14"/>
              </w:rPr>
            </w:pPr>
            <w:r>
              <w:rPr>
                <w:sz w:val="14"/>
              </w:rPr>
              <w:t>2 . 8 %</w:t>
            </w:r>
          </w:p>
        </w:tc>
        <w:tc>
          <w:tcPr>
            <w:tcW w:w="1533" w:type="dxa"/>
          </w:tcPr>
          <w:p>
            <w:pPr>
              <w:pStyle w:val="TableParagraph"/>
              <w:spacing w:line="147" w:lineRule="exact" w:before="1"/>
              <w:ind w:right="407"/>
              <w:jc w:val="right"/>
              <w:rPr>
                <w:sz w:val="14"/>
              </w:rPr>
            </w:pPr>
            <w:r>
              <w:rPr>
                <w:sz w:val="14"/>
              </w:rPr>
              <w:t>106,345.8</w:t>
            </w:r>
          </w:p>
        </w:tc>
        <w:tc>
          <w:tcPr>
            <w:tcW w:w="1381" w:type="dxa"/>
          </w:tcPr>
          <w:p>
            <w:pPr>
              <w:pStyle w:val="TableParagraph"/>
              <w:spacing w:line="147" w:lineRule="exact" w:before="1"/>
              <w:ind w:right="402"/>
              <w:jc w:val="right"/>
              <w:rPr>
                <w:sz w:val="14"/>
              </w:rPr>
            </w:pPr>
            <w:r>
              <w:rPr>
                <w:sz w:val="14"/>
              </w:rPr>
              <w:t>5 . 1 %</w:t>
            </w:r>
          </w:p>
        </w:tc>
        <w:tc>
          <w:tcPr>
            <w:tcW w:w="1199" w:type="dxa"/>
          </w:tcPr>
          <w:p>
            <w:pPr>
              <w:pStyle w:val="TableParagraph"/>
              <w:spacing w:line="147" w:lineRule="exact" w:before="1"/>
              <w:ind w:left="238"/>
              <w:rPr>
                <w:sz w:val="14"/>
              </w:rPr>
            </w:pPr>
            <w:r>
              <w:rPr>
                <w:sz w:val="14"/>
              </w:rPr>
              <w:t>112,715.9</w:t>
            </w:r>
          </w:p>
        </w:tc>
        <w:tc>
          <w:tcPr>
            <w:tcW w:w="1248" w:type="dxa"/>
          </w:tcPr>
          <w:p>
            <w:pPr>
              <w:pStyle w:val="TableParagraph"/>
              <w:spacing w:line="147" w:lineRule="exact" w:before="1"/>
              <w:ind w:left="460"/>
              <w:rPr>
                <w:sz w:val="14"/>
              </w:rPr>
            </w:pPr>
            <w:r>
              <w:rPr>
                <w:sz w:val="14"/>
              </w:rPr>
              <w:t>5 . 4 %</w:t>
            </w:r>
          </w:p>
        </w:tc>
      </w:tr>
      <w:tr>
        <w:trPr>
          <w:trHeight w:val="167" w:hRule="atLeast"/>
        </w:trPr>
        <w:tc>
          <w:tcPr>
            <w:tcW w:w="474" w:type="dxa"/>
          </w:tcPr>
          <w:p>
            <w:pPr>
              <w:pStyle w:val="TableParagraph"/>
              <w:rPr>
                <w:rFonts w:ascii="Times New Roman"/>
                <w:sz w:val="10"/>
              </w:rPr>
            </w:pPr>
          </w:p>
        </w:tc>
        <w:tc>
          <w:tcPr>
            <w:tcW w:w="4934" w:type="dxa"/>
          </w:tcPr>
          <w:p>
            <w:pPr>
              <w:pStyle w:val="TableParagraph"/>
              <w:spacing w:line="147" w:lineRule="exact" w:before="1"/>
              <w:ind w:left="428"/>
              <w:rPr>
                <w:sz w:val="14"/>
              </w:rPr>
            </w:pPr>
            <w:r>
              <w:rPr>
                <w:sz w:val="14"/>
              </w:rPr>
              <w:t>o/ w: Outstanding Payment for on-going Contracts</w:t>
            </w:r>
          </w:p>
        </w:tc>
        <w:tc>
          <w:tcPr>
            <w:tcW w:w="2495" w:type="dxa"/>
          </w:tcPr>
          <w:p>
            <w:pPr>
              <w:pStyle w:val="TableParagraph"/>
              <w:spacing w:line="147" w:lineRule="exact" w:before="1"/>
              <w:ind w:right="589"/>
              <w:jc w:val="right"/>
              <w:rPr>
                <w:b/>
                <w:sz w:val="14"/>
              </w:rPr>
            </w:pPr>
            <w:r>
              <w:rPr>
                <w:b/>
                <w:sz w:val="14"/>
              </w:rPr>
              <w:t>13,991.4</w:t>
            </w:r>
          </w:p>
        </w:tc>
        <w:tc>
          <w:tcPr>
            <w:tcW w:w="1531" w:type="dxa"/>
          </w:tcPr>
          <w:p>
            <w:pPr>
              <w:pStyle w:val="TableParagraph"/>
              <w:spacing w:line="147" w:lineRule="exact" w:before="1"/>
              <w:ind w:left="492"/>
              <w:rPr>
                <w:sz w:val="14"/>
              </w:rPr>
            </w:pPr>
            <w:r>
              <w:rPr>
                <w:sz w:val="14"/>
              </w:rPr>
              <w:t>0 . 7 %</w:t>
            </w:r>
          </w:p>
        </w:tc>
        <w:tc>
          <w:tcPr>
            <w:tcW w:w="1533" w:type="dxa"/>
          </w:tcPr>
          <w:p>
            <w:pPr>
              <w:pStyle w:val="TableParagraph"/>
              <w:spacing w:line="147" w:lineRule="exact" w:before="1"/>
              <w:ind w:right="403"/>
              <w:jc w:val="right"/>
              <w:rPr>
                <w:sz w:val="14"/>
              </w:rPr>
            </w:pPr>
            <w:r>
              <w:rPr>
                <w:sz w:val="14"/>
              </w:rPr>
              <w:t>15,511.0</w:t>
            </w:r>
          </w:p>
        </w:tc>
        <w:tc>
          <w:tcPr>
            <w:tcW w:w="1381" w:type="dxa"/>
          </w:tcPr>
          <w:p>
            <w:pPr>
              <w:pStyle w:val="TableParagraph"/>
              <w:spacing w:line="147" w:lineRule="exact" w:before="1"/>
              <w:ind w:right="402"/>
              <w:jc w:val="right"/>
              <w:rPr>
                <w:sz w:val="14"/>
              </w:rPr>
            </w:pPr>
            <w:r>
              <w:rPr>
                <w:sz w:val="14"/>
              </w:rPr>
              <w:t>0 . 7 %</w:t>
            </w:r>
          </w:p>
        </w:tc>
        <w:tc>
          <w:tcPr>
            <w:tcW w:w="1199" w:type="dxa"/>
          </w:tcPr>
          <w:p>
            <w:pPr>
              <w:pStyle w:val="TableParagraph"/>
              <w:spacing w:line="147" w:lineRule="exact" w:before="1"/>
              <w:ind w:right="261"/>
              <w:jc w:val="right"/>
              <w:rPr>
                <w:sz w:val="14"/>
              </w:rPr>
            </w:pPr>
            <w:r>
              <w:rPr>
                <w:sz w:val="14"/>
              </w:rPr>
              <w:t>16,440.1</w:t>
            </w:r>
          </w:p>
        </w:tc>
        <w:tc>
          <w:tcPr>
            <w:tcW w:w="1248" w:type="dxa"/>
          </w:tcPr>
          <w:p>
            <w:pPr>
              <w:pStyle w:val="TableParagraph"/>
              <w:spacing w:line="147" w:lineRule="exact" w:before="1"/>
              <w:ind w:left="460"/>
              <w:rPr>
                <w:sz w:val="14"/>
              </w:rPr>
            </w:pPr>
            <w:r>
              <w:rPr>
                <w:sz w:val="14"/>
              </w:rPr>
              <w:t>0 . 8 %</w:t>
            </w:r>
          </w:p>
        </w:tc>
      </w:tr>
      <w:tr>
        <w:trPr>
          <w:trHeight w:val="196" w:hRule="atLeast"/>
        </w:trPr>
        <w:tc>
          <w:tcPr>
            <w:tcW w:w="474" w:type="dxa"/>
          </w:tcPr>
          <w:p>
            <w:pPr>
              <w:pStyle w:val="TableParagraph"/>
              <w:rPr>
                <w:rFonts w:ascii="Times New Roman"/>
                <w:sz w:val="12"/>
              </w:rPr>
            </w:pPr>
          </w:p>
        </w:tc>
        <w:tc>
          <w:tcPr>
            <w:tcW w:w="4934" w:type="dxa"/>
          </w:tcPr>
          <w:p>
            <w:pPr>
              <w:pStyle w:val="TableParagraph"/>
              <w:spacing w:before="1"/>
              <w:ind w:left="813"/>
              <w:rPr>
                <w:sz w:val="14"/>
              </w:rPr>
            </w:pPr>
            <w:r>
              <w:rPr>
                <w:sz w:val="14"/>
              </w:rPr>
              <w:t>Drugs and Medical Supplies</w:t>
            </w:r>
          </w:p>
        </w:tc>
        <w:tc>
          <w:tcPr>
            <w:tcW w:w="2495" w:type="dxa"/>
          </w:tcPr>
          <w:p>
            <w:pPr>
              <w:pStyle w:val="TableParagraph"/>
              <w:spacing w:before="1"/>
              <w:ind w:right="582"/>
              <w:jc w:val="right"/>
              <w:rPr>
                <w:b/>
                <w:sz w:val="14"/>
              </w:rPr>
            </w:pPr>
            <w:r>
              <w:rPr>
                <w:b/>
                <w:sz w:val="14"/>
              </w:rPr>
              <w:t>4,207.3</w:t>
            </w:r>
          </w:p>
        </w:tc>
        <w:tc>
          <w:tcPr>
            <w:tcW w:w="1531" w:type="dxa"/>
          </w:tcPr>
          <w:p>
            <w:pPr>
              <w:pStyle w:val="TableParagraph"/>
              <w:spacing w:before="1"/>
              <w:ind w:left="492"/>
              <w:rPr>
                <w:sz w:val="14"/>
              </w:rPr>
            </w:pPr>
            <w:r>
              <w:rPr>
                <w:sz w:val="14"/>
              </w:rPr>
              <w:t>0 . 2 %</w:t>
            </w:r>
          </w:p>
        </w:tc>
        <w:tc>
          <w:tcPr>
            <w:tcW w:w="1533" w:type="dxa"/>
          </w:tcPr>
          <w:p>
            <w:pPr>
              <w:pStyle w:val="TableParagraph"/>
              <w:spacing w:before="1"/>
              <w:ind w:right="394"/>
              <w:jc w:val="right"/>
              <w:rPr>
                <w:sz w:val="14"/>
              </w:rPr>
            </w:pPr>
            <w:r>
              <w:rPr>
                <w:sz w:val="14"/>
              </w:rPr>
              <w:t>4,664 .3</w:t>
            </w:r>
          </w:p>
        </w:tc>
        <w:tc>
          <w:tcPr>
            <w:tcW w:w="1381" w:type="dxa"/>
          </w:tcPr>
          <w:p>
            <w:pPr>
              <w:pStyle w:val="TableParagraph"/>
              <w:spacing w:before="1"/>
              <w:ind w:right="402"/>
              <w:jc w:val="right"/>
              <w:rPr>
                <w:sz w:val="14"/>
              </w:rPr>
            </w:pPr>
            <w:r>
              <w:rPr>
                <w:sz w:val="14"/>
              </w:rPr>
              <w:t>0 . 2 %</w:t>
            </w:r>
          </w:p>
        </w:tc>
        <w:tc>
          <w:tcPr>
            <w:tcW w:w="1199" w:type="dxa"/>
          </w:tcPr>
          <w:p>
            <w:pPr>
              <w:pStyle w:val="TableParagraph"/>
              <w:spacing w:before="1"/>
              <w:ind w:right="252"/>
              <w:jc w:val="right"/>
              <w:rPr>
                <w:sz w:val="14"/>
              </w:rPr>
            </w:pPr>
            <w:r>
              <w:rPr>
                <w:sz w:val="14"/>
              </w:rPr>
              <w:t>4,943 .6</w:t>
            </w:r>
          </w:p>
        </w:tc>
        <w:tc>
          <w:tcPr>
            <w:tcW w:w="1248" w:type="dxa"/>
          </w:tcPr>
          <w:p>
            <w:pPr>
              <w:pStyle w:val="TableParagraph"/>
              <w:spacing w:before="1"/>
              <w:ind w:left="460"/>
              <w:rPr>
                <w:sz w:val="14"/>
              </w:rPr>
            </w:pPr>
            <w:r>
              <w:rPr>
                <w:sz w:val="14"/>
              </w:rPr>
              <w:t>0 . 2 %</w:t>
            </w:r>
          </w:p>
        </w:tc>
      </w:tr>
    </w:tbl>
    <w:p>
      <w:pPr>
        <w:spacing w:after="0"/>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90.918915pt;width:14.35pt;height:10.45pt;mso-position-horizontal-relative:page;mso-position-vertical-relative:page;z-index:1264" type="#_x0000_t202" filled="false" stroked="false">
            <v:textbox inset="0,0,0,0" style="layout-flow:vertical">
              <w:txbxContent>
                <w:p>
                  <w:pPr>
                    <w:spacing w:before="13"/>
                    <w:ind w:left="20" w:right="0" w:firstLine="0"/>
                    <w:jc w:val="left"/>
                    <w:rPr>
                      <w:rFonts w:ascii="Arial"/>
                      <w:sz w:val="22"/>
                    </w:rPr>
                  </w:pPr>
                  <w:r>
                    <w:rPr>
                      <w:rFonts w:ascii="Arial"/>
                      <w:sz w:val="22"/>
                    </w:rPr>
                    <w:t>ix</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
        <w:gridCol w:w="5644"/>
        <w:gridCol w:w="1785"/>
        <w:gridCol w:w="1555"/>
        <w:gridCol w:w="1509"/>
        <w:gridCol w:w="1439"/>
        <w:gridCol w:w="1165"/>
        <w:gridCol w:w="1224"/>
      </w:tblGrid>
      <w:tr>
        <w:trPr>
          <w:trHeight w:val="568" w:hRule="atLeast"/>
        </w:trPr>
        <w:tc>
          <w:tcPr>
            <w:tcW w:w="6118" w:type="dxa"/>
            <w:gridSpan w:val="2"/>
            <w:tcBorders>
              <w:bottom w:val="single" w:sz="4" w:space="0" w:color="000000"/>
            </w:tcBorders>
          </w:tcPr>
          <w:p>
            <w:pPr>
              <w:pStyle w:val="TableParagraph"/>
              <w:rPr>
                <w:rFonts w:ascii="Times New Roman"/>
                <w:sz w:val="14"/>
              </w:rPr>
            </w:pPr>
          </w:p>
        </w:tc>
        <w:tc>
          <w:tcPr>
            <w:tcW w:w="1785" w:type="dxa"/>
            <w:tcBorders>
              <w:bottom w:val="single" w:sz="4" w:space="0" w:color="000000"/>
            </w:tcBorders>
          </w:tcPr>
          <w:p>
            <w:pPr>
              <w:pStyle w:val="TableParagraph"/>
              <w:spacing w:before="29"/>
              <w:ind w:left="774" w:right="363"/>
              <w:jc w:val="center"/>
              <w:rPr>
                <w:b/>
                <w:sz w:val="14"/>
              </w:rPr>
            </w:pPr>
            <w:r>
              <w:rPr>
                <w:b/>
                <w:spacing w:val="2"/>
                <w:sz w:val="14"/>
              </w:rPr>
              <w:t>FY</w:t>
            </w:r>
            <w:r>
              <w:rPr>
                <w:b/>
                <w:spacing w:val="6"/>
                <w:sz w:val="14"/>
              </w:rPr>
              <w:t> </w:t>
            </w:r>
            <w:r>
              <w:rPr>
                <w:b/>
                <w:spacing w:val="4"/>
                <w:sz w:val="14"/>
              </w:rPr>
              <w:t>2020</w:t>
            </w:r>
          </w:p>
          <w:p>
            <w:pPr>
              <w:pStyle w:val="TableParagraph"/>
              <w:spacing w:before="17"/>
              <w:ind w:left="800" w:right="265"/>
              <w:jc w:val="center"/>
              <w:rPr>
                <w:b/>
                <w:sz w:val="14"/>
              </w:rPr>
            </w:pPr>
            <w:r>
              <w:rPr>
                <w:b/>
                <w:sz w:val="14"/>
              </w:rPr>
              <w:t>Budget</w:t>
            </w:r>
          </w:p>
        </w:tc>
        <w:tc>
          <w:tcPr>
            <w:tcW w:w="1555" w:type="dxa"/>
            <w:tcBorders>
              <w:bottom w:val="single" w:sz="4" w:space="0" w:color="000000"/>
            </w:tcBorders>
          </w:tcPr>
          <w:p>
            <w:pPr>
              <w:pStyle w:val="TableParagraph"/>
              <w:spacing w:line="264" w:lineRule="auto" w:before="29"/>
              <w:ind w:left="386" w:right="210" w:firstLine="91"/>
              <w:rPr>
                <w:sz w:val="14"/>
              </w:rPr>
            </w:pPr>
            <w:r>
              <w:rPr>
                <w:sz w:val="14"/>
              </w:rPr>
              <w:t>% of Total Non Int/ Sal</w:t>
            </w:r>
          </w:p>
        </w:tc>
        <w:tc>
          <w:tcPr>
            <w:tcW w:w="1509" w:type="dxa"/>
            <w:tcBorders>
              <w:bottom w:val="single" w:sz="4" w:space="0" w:color="000000"/>
            </w:tcBorders>
          </w:tcPr>
          <w:p>
            <w:pPr>
              <w:pStyle w:val="TableParagraph"/>
              <w:spacing w:before="29"/>
              <w:ind w:left="555"/>
              <w:rPr>
                <w:sz w:val="14"/>
              </w:rPr>
            </w:pPr>
            <w:r>
              <w:rPr>
                <w:sz w:val="14"/>
              </w:rPr>
              <w:t>FY</w:t>
            </w:r>
            <w:r>
              <w:rPr>
                <w:spacing w:val="17"/>
                <w:sz w:val="14"/>
              </w:rPr>
              <w:t> </w:t>
            </w:r>
            <w:r>
              <w:rPr>
                <w:spacing w:val="4"/>
                <w:sz w:val="14"/>
              </w:rPr>
              <w:t>2021</w:t>
            </w:r>
          </w:p>
          <w:p>
            <w:pPr>
              <w:pStyle w:val="TableParagraph"/>
              <w:spacing w:before="17"/>
              <w:ind w:left="483"/>
              <w:rPr>
                <w:sz w:val="14"/>
              </w:rPr>
            </w:pPr>
            <w:r>
              <w:rPr>
                <w:spacing w:val="3"/>
                <w:sz w:val="14"/>
              </w:rPr>
              <w:t>Indicative</w:t>
            </w:r>
          </w:p>
        </w:tc>
        <w:tc>
          <w:tcPr>
            <w:tcW w:w="1439" w:type="dxa"/>
            <w:tcBorders>
              <w:bottom w:val="single" w:sz="4" w:space="0" w:color="000000"/>
            </w:tcBorders>
          </w:tcPr>
          <w:p>
            <w:pPr>
              <w:pStyle w:val="TableParagraph"/>
              <w:spacing w:line="249" w:lineRule="auto" w:before="29"/>
              <w:ind w:left="385" w:right="297" w:firstLine="86"/>
              <w:jc w:val="both"/>
              <w:rPr>
                <w:sz w:val="14"/>
              </w:rPr>
            </w:pPr>
            <w:r>
              <w:rPr>
                <w:sz w:val="14"/>
              </w:rPr>
              <w:t>% of Total Non Int/ Sal Recurr Exp</w:t>
            </w:r>
          </w:p>
        </w:tc>
        <w:tc>
          <w:tcPr>
            <w:tcW w:w="1165" w:type="dxa"/>
            <w:tcBorders>
              <w:bottom w:val="single" w:sz="4" w:space="0" w:color="000000"/>
            </w:tcBorders>
          </w:tcPr>
          <w:p>
            <w:pPr>
              <w:pStyle w:val="TableParagraph"/>
              <w:spacing w:before="29"/>
              <w:ind w:left="386"/>
              <w:rPr>
                <w:sz w:val="14"/>
              </w:rPr>
            </w:pPr>
            <w:r>
              <w:rPr>
                <w:sz w:val="14"/>
              </w:rPr>
              <w:t>FY</w:t>
            </w:r>
            <w:r>
              <w:rPr>
                <w:spacing w:val="17"/>
                <w:sz w:val="14"/>
              </w:rPr>
              <w:t> </w:t>
            </w:r>
            <w:r>
              <w:rPr>
                <w:spacing w:val="4"/>
                <w:sz w:val="14"/>
              </w:rPr>
              <w:t>2022</w:t>
            </w:r>
          </w:p>
          <w:p>
            <w:pPr>
              <w:pStyle w:val="TableParagraph"/>
              <w:spacing w:before="17"/>
              <w:ind w:left="314"/>
              <w:rPr>
                <w:sz w:val="14"/>
              </w:rPr>
            </w:pPr>
            <w:r>
              <w:rPr>
                <w:spacing w:val="3"/>
                <w:sz w:val="14"/>
              </w:rPr>
              <w:t>Indicative</w:t>
            </w:r>
          </w:p>
        </w:tc>
        <w:tc>
          <w:tcPr>
            <w:tcW w:w="1224" w:type="dxa"/>
            <w:tcBorders>
              <w:bottom w:val="single" w:sz="4" w:space="0" w:color="000000"/>
            </w:tcBorders>
          </w:tcPr>
          <w:p>
            <w:pPr>
              <w:pStyle w:val="TableParagraph"/>
              <w:spacing w:line="249" w:lineRule="auto" w:before="29"/>
              <w:ind w:left="161" w:right="305" w:firstLine="86"/>
              <w:jc w:val="both"/>
              <w:rPr>
                <w:sz w:val="14"/>
              </w:rPr>
            </w:pPr>
            <w:r>
              <w:rPr>
                <w:sz w:val="14"/>
              </w:rPr>
              <w:t>% of Total Non Int/ Sal Recurr Exp</w:t>
            </w:r>
          </w:p>
        </w:tc>
      </w:tr>
      <w:tr>
        <w:trPr>
          <w:trHeight w:val="354" w:hRule="atLeast"/>
        </w:trPr>
        <w:tc>
          <w:tcPr>
            <w:tcW w:w="474" w:type="dxa"/>
            <w:tcBorders>
              <w:top w:val="single" w:sz="4" w:space="0" w:color="000000"/>
            </w:tcBorders>
          </w:tcPr>
          <w:p>
            <w:pPr>
              <w:pStyle w:val="TableParagraph"/>
              <w:spacing w:before="103"/>
              <w:ind w:right="95"/>
              <w:jc w:val="right"/>
              <w:rPr>
                <w:sz w:val="14"/>
              </w:rPr>
            </w:pPr>
            <w:r>
              <w:rPr>
                <w:w w:val="95"/>
                <w:sz w:val="14"/>
              </w:rPr>
              <w:t>203</w:t>
            </w:r>
          </w:p>
        </w:tc>
        <w:tc>
          <w:tcPr>
            <w:tcW w:w="5644" w:type="dxa"/>
            <w:tcBorders>
              <w:top w:val="single" w:sz="4" w:space="0" w:color="000000"/>
            </w:tcBorders>
          </w:tcPr>
          <w:p>
            <w:pPr>
              <w:pStyle w:val="TableParagraph"/>
              <w:spacing w:before="103"/>
              <w:ind w:left="92"/>
              <w:rPr>
                <w:sz w:val="14"/>
              </w:rPr>
            </w:pPr>
            <w:r>
              <w:rPr>
                <w:sz w:val="14"/>
              </w:rPr>
              <w:t>National Civil Registration Authority</w:t>
            </w:r>
          </w:p>
        </w:tc>
        <w:tc>
          <w:tcPr>
            <w:tcW w:w="1785" w:type="dxa"/>
            <w:tcBorders>
              <w:top w:val="single" w:sz="4" w:space="0" w:color="000000"/>
            </w:tcBorders>
          </w:tcPr>
          <w:p>
            <w:pPr>
              <w:pStyle w:val="TableParagraph"/>
              <w:spacing w:before="103"/>
              <w:ind w:left="727"/>
              <w:rPr>
                <w:b/>
                <w:sz w:val="14"/>
              </w:rPr>
            </w:pPr>
            <w:r>
              <w:rPr>
                <w:b/>
                <w:sz w:val="14"/>
              </w:rPr>
              <w:t>1,505.6</w:t>
            </w:r>
          </w:p>
        </w:tc>
        <w:tc>
          <w:tcPr>
            <w:tcW w:w="1555" w:type="dxa"/>
            <w:tcBorders>
              <w:top w:val="single" w:sz="4" w:space="0" w:color="000000"/>
            </w:tcBorders>
          </w:tcPr>
          <w:p>
            <w:pPr>
              <w:pStyle w:val="TableParagraph"/>
              <w:spacing w:before="103"/>
              <w:ind w:left="492"/>
              <w:rPr>
                <w:sz w:val="14"/>
              </w:rPr>
            </w:pPr>
            <w:r>
              <w:rPr>
                <w:sz w:val="14"/>
              </w:rPr>
              <w:t>0 . 1 %</w:t>
            </w:r>
          </w:p>
        </w:tc>
        <w:tc>
          <w:tcPr>
            <w:tcW w:w="1509" w:type="dxa"/>
            <w:tcBorders>
              <w:top w:val="single" w:sz="4" w:space="0" w:color="000000"/>
            </w:tcBorders>
          </w:tcPr>
          <w:p>
            <w:pPr>
              <w:pStyle w:val="TableParagraph"/>
              <w:spacing w:before="103"/>
              <w:ind w:right="394"/>
              <w:jc w:val="right"/>
              <w:rPr>
                <w:sz w:val="14"/>
              </w:rPr>
            </w:pPr>
            <w:r>
              <w:rPr>
                <w:sz w:val="14"/>
              </w:rPr>
              <w:t>1,854 .6</w:t>
            </w:r>
          </w:p>
        </w:tc>
        <w:tc>
          <w:tcPr>
            <w:tcW w:w="1439" w:type="dxa"/>
            <w:tcBorders>
              <w:top w:val="single" w:sz="4" w:space="0" w:color="000000"/>
            </w:tcBorders>
          </w:tcPr>
          <w:p>
            <w:pPr>
              <w:pStyle w:val="TableParagraph"/>
              <w:spacing w:before="103"/>
              <w:ind w:left="601"/>
              <w:rPr>
                <w:sz w:val="14"/>
              </w:rPr>
            </w:pPr>
            <w:r>
              <w:rPr>
                <w:sz w:val="14"/>
              </w:rPr>
              <w:t>0 . 1 %</w:t>
            </w:r>
          </w:p>
        </w:tc>
        <w:tc>
          <w:tcPr>
            <w:tcW w:w="1165" w:type="dxa"/>
            <w:tcBorders>
              <w:top w:val="single" w:sz="4" w:space="0" w:color="000000"/>
            </w:tcBorders>
          </w:tcPr>
          <w:p>
            <w:pPr>
              <w:pStyle w:val="TableParagraph"/>
              <w:spacing w:before="103"/>
              <w:ind w:left="362"/>
              <w:rPr>
                <w:sz w:val="14"/>
              </w:rPr>
            </w:pPr>
            <w:r>
              <w:rPr>
                <w:sz w:val="14"/>
              </w:rPr>
              <w:t>1,965 .7</w:t>
            </w:r>
          </w:p>
        </w:tc>
        <w:tc>
          <w:tcPr>
            <w:tcW w:w="1224" w:type="dxa"/>
            <w:tcBorders>
              <w:top w:val="single" w:sz="4" w:space="0" w:color="000000"/>
            </w:tcBorders>
          </w:tcPr>
          <w:p>
            <w:pPr>
              <w:pStyle w:val="TableParagraph"/>
              <w:spacing w:before="103"/>
              <w:ind w:left="436"/>
              <w:rPr>
                <w:sz w:val="14"/>
              </w:rPr>
            </w:pPr>
            <w:r>
              <w:rPr>
                <w:sz w:val="14"/>
              </w:rPr>
              <w:t>0 . 1 %</w:t>
            </w:r>
          </w:p>
        </w:tc>
      </w:tr>
      <w:tr>
        <w:trPr>
          <w:trHeight w:val="252" w:hRule="atLeast"/>
        </w:trPr>
        <w:tc>
          <w:tcPr>
            <w:tcW w:w="474" w:type="dxa"/>
          </w:tcPr>
          <w:p>
            <w:pPr>
              <w:pStyle w:val="TableParagraph"/>
              <w:spacing w:line="147" w:lineRule="exact" w:before="85"/>
              <w:ind w:right="95"/>
              <w:jc w:val="right"/>
              <w:rPr>
                <w:sz w:val="14"/>
              </w:rPr>
            </w:pPr>
            <w:r>
              <w:rPr>
                <w:w w:val="95"/>
                <w:sz w:val="14"/>
              </w:rPr>
              <w:t>205</w:t>
            </w:r>
          </w:p>
        </w:tc>
        <w:tc>
          <w:tcPr>
            <w:tcW w:w="5644" w:type="dxa"/>
          </w:tcPr>
          <w:p>
            <w:pPr>
              <w:pStyle w:val="TableParagraph"/>
              <w:spacing w:line="147" w:lineRule="exact" w:before="85"/>
              <w:ind w:left="93"/>
              <w:rPr>
                <w:sz w:val="14"/>
              </w:rPr>
            </w:pPr>
            <w:r>
              <w:rPr>
                <w:sz w:val="14"/>
              </w:rPr>
              <w:t>Ministry of Internal Affairs</w:t>
            </w:r>
          </w:p>
        </w:tc>
        <w:tc>
          <w:tcPr>
            <w:tcW w:w="1785" w:type="dxa"/>
          </w:tcPr>
          <w:p>
            <w:pPr>
              <w:pStyle w:val="TableParagraph"/>
              <w:spacing w:line="147" w:lineRule="exact" w:before="85"/>
              <w:ind w:right="571"/>
              <w:jc w:val="right"/>
              <w:rPr>
                <w:b/>
                <w:sz w:val="14"/>
              </w:rPr>
            </w:pPr>
            <w:r>
              <w:rPr>
                <w:b/>
                <w:sz w:val="14"/>
              </w:rPr>
              <w:t>880.5</w:t>
            </w:r>
          </w:p>
        </w:tc>
        <w:tc>
          <w:tcPr>
            <w:tcW w:w="1555" w:type="dxa"/>
          </w:tcPr>
          <w:p>
            <w:pPr>
              <w:pStyle w:val="TableParagraph"/>
              <w:spacing w:line="147" w:lineRule="exact" w:before="85"/>
              <w:ind w:left="492"/>
              <w:rPr>
                <w:sz w:val="14"/>
              </w:rPr>
            </w:pPr>
            <w:r>
              <w:rPr>
                <w:sz w:val="14"/>
              </w:rPr>
              <w:t>0 . 0 %</w:t>
            </w:r>
          </w:p>
        </w:tc>
        <w:tc>
          <w:tcPr>
            <w:tcW w:w="1509" w:type="dxa"/>
          </w:tcPr>
          <w:p>
            <w:pPr>
              <w:pStyle w:val="TableParagraph"/>
              <w:spacing w:line="147" w:lineRule="exact" w:before="85"/>
              <w:ind w:right="394"/>
              <w:jc w:val="right"/>
              <w:rPr>
                <w:sz w:val="14"/>
              </w:rPr>
            </w:pPr>
            <w:r>
              <w:rPr>
                <w:sz w:val="14"/>
              </w:rPr>
              <w:t>1,084 .6</w:t>
            </w:r>
          </w:p>
        </w:tc>
        <w:tc>
          <w:tcPr>
            <w:tcW w:w="1439" w:type="dxa"/>
          </w:tcPr>
          <w:p>
            <w:pPr>
              <w:pStyle w:val="TableParagraph"/>
              <w:spacing w:line="147" w:lineRule="exact" w:before="85"/>
              <w:ind w:left="601"/>
              <w:rPr>
                <w:sz w:val="14"/>
              </w:rPr>
            </w:pPr>
            <w:r>
              <w:rPr>
                <w:sz w:val="14"/>
              </w:rPr>
              <w:t>0 . 1 %</w:t>
            </w:r>
          </w:p>
        </w:tc>
        <w:tc>
          <w:tcPr>
            <w:tcW w:w="1165" w:type="dxa"/>
          </w:tcPr>
          <w:p>
            <w:pPr>
              <w:pStyle w:val="TableParagraph"/>
              <w:spacing w:line="147" w:lineRule="exact" w:before="85"/>
              <w:ind w:left="362"/>
              <w:rPr>
                <w:sz w:val="14"/>
              </w:rPr>
            </w:pPr>
            <w:r>
              <w:rPr>
                <w:sz w:val="14"/>
              </w:rPr>
              <w:t>1,149 .6</w:t>
            </w:r>
          </w:p>
        </w:tc>
        <w:tc>
          <w:tcPr>
            <w:tcW w:w="1224" w:type="dxa"/>
          </w:tcPr>
          <w:p>
            <w:pPr>
              <w:pStyle w:val="TableParagraph"/>
              <w:spacing w:line="147" w:lineRule="exact" w:before="85"/>
              <w:ind w:left="436"/>
              <w:rPr>
                <w:sz w:val="14"/>
              </w:rPr>
            </w:pPr>
            <w:r>
              <w:rPr>
                <w:sz w:val="14"/>
              </w:rPr>
              <w:t>0 . 1 %</w:t>
            </w:r>
          </w:p>
        </w:tc>
      </w:tr>
      <w:tr>
        <w:trPr>
          <w:trHeight w:val="252" w:hRule="atLeast"/>
        </w:trPr>
        <w:tc>
          <w:tcPr>
            <w:tcW w:w="474" w:type="dxa"/>
          </w:tcPr>
          <w:p>
            <w:pPr>
              <w:pStyle w:val="TableParagraph"/>
              <w:rPr>
                <w:rFonts w:ascii="Times New Roman"/>
                <w:sz w:val="14"/>
              </w:rPr>
            </w:pPr>
          </w:p>
        </w:tc>
        <w:tc>
          <w:tcPr>
            <w:tcW w:w="5644" w:type="dxa"/>
          </w:tcPr>
          <w:p>
            <w:pPr>
              <w:pStyle w:val="TableParagraph"/>
              <w:spacing w:before="1"/>
              <w:ind w:left="260"/>
              <w:rPr>
                <w:sz w:val="14"/>
              </w:rPr>
            </w:pPr>
            <w:r>
              <w:rPr>
                <w:sz w:val="14"/>
              </w:rPr>
              <w:t>Administrative and Operating Costs</w:t>
            </w:r>
          </w:p>
        </w:tc>
        <w:tc>
          <w:tcPr>
            <w:tcW w:w="1785" w:type="dxa"/>
          </w:tcPr>
          <w:p>
            <w:pPr>
              <w:pStyle w:val="TableParagraph"/>
              <w:spacing w:before="1"/>
              <w:ind w:right="571"/>
              <w:jc w:val="right"/>
              <w:rPr>
                <w:b/>
                <w:sz w:val="14"/>
              </w:rPr>
            </w:pPr>
            <w:r>
              <w:rPr>
                <w:b/>
                <w:sz w:val="14"/>
              </w:rPr>
              <w:t>880.5</w:t>
            </w:r>
          </w:p>
        </w:tc>
        <w:tc>
          <w:tcPr>
            <w:tcW w:w="1555" w:type="dxa"/>
          </w:tcPr>
          <w:p>
            <w:pPr>
              <w:pStyle w:val="TableParagraph"/>
              <w:spacing w:before="1"/>
              <w:ind w:left="492"/>
              <w:rPr>
                <w:sz w:val="14"/>
              </w:rPr>
            </w:pPr>
            <w:r>
              <w:rPr>
                <w:sz w:val="14"/>
              </w:rPr>
              <w:t>0 . 0 %</w:t>
            </w:r>
          </w:p>
        </w:tc>
        <w:tc>
          <w:tcPr>
            <w:tcW w:w="1509" w:type="dxa"/>
          </w:tcPr>
          <w:p>
            <w:pPr>
              <w:pStyle w:val="TableParagraph"/>
              <w:spacing w:before="1"/>
              <w:ind w:right="394"/>
              <w:jc w:val="right"/>
              <w:rPr>
                <w:sz w:val="14"/>
              </w:rPr>
            </w:pPr>
            <w:r>
              <w:rPr>
                <w:sz w:val="14"/>
              </w:rPr>
              <w:t>1,084 .6</w:t>
            </w:r>
          </w:p>
        </w:tc>
        <w:tc>
          <w:tcPr>
            <w:tcW w:w="1439" w:type="dxa"/>
          </w:tcPr>
          <w:p>
            <w:pPr>
              <w:pStyle w:val="TableParagraph"/>
              <w:spacing w:before="1"/>
              <w:ind w:left="601"/>
              <w:rPr>
                <w:sz w:val="14"/>
              </w:rPr>
            </w:pPr>
            <w:r>
              <w:rPr>
                <w:sz w:val="14"/>
              </w:rPr>
              <w:t>0 . 1 %</w:t>
            </w:r>
          </w:p>
        </w:tc>
        <w:tc>
          <w:tcPr>
            <w:tcW w:w="1165" w:type="dxa"/>
          </w:tcPr>
          <w:p>
            <w:pPr>
              <w:pStyle w:val="TableParagraph"/>
              <w:spacing w:before="1"/>
              <w:ind w:left="362"/>
              <w:rPr>
                <w:sz w:val="14"/>
              </w:rPr>
            </w:pPr>
            <w:r>
              <w:rPr>
                <w:sz w:val="14"/>
              </w:rPr>
              <w:t>1,149 .6</w:t>
            </w:r>
          </w:p>
        </w:tc>
        <w:tc>
          <w:tcPr>
            <w:tcW w:w="1224" w:type="dxa"/>
          </w:tcPr>
          <w:p>
            <w:pPr>
              <w:pStyle w:val="TableParagraph"/>
              <w:spacing w:before="1"/>
              <w:ind w:left="436"/>
              <w:rPr>
                <w:sz w:val="14"/>
              </w:rPr>
            </w:pPr>
            <w:r>
              <w:rPr>
                <w:sz w:val="14"/>
              </w:rPr>
              <w:t>0 . 1 %</w:t>
            </w:r>
          </w:p>
        </w:tc>
      </w:tr>
      <w:tr>
        <w:trPr>
          <w:trHeight w:val="251" w:hRule="atLeast"/>
        </w:trPr>
        <w:tc>
          <w:tcPr>
            <w:tcW w:w="474" w:type="dxa"/>
          </w:tcPr>
          <w:p>
            <w:pPr>
              <w:pStyle w:val="TableParagraph"/>
              <w:spacing w:line="147" w:lineRule="exact" w:before="85"/>
              <w:ind w:right="95"/>
              <w:jc w:val="right"/>
              <w:rPr>
                <w:sz w:val="14"/>
              </w:rPr>
            </w:pPr>
            <w:r>
              <w:rPr>
                <w:w w:val="95"/>
                <w:sz w:val="14"/>
              </w:rPr>
              <w:t>206</w:t>
            </w:r>
          </w:p>
        </w:tc>
        <w:tc>
          <w:tcPr>
            <w:tcW w:w="5644" w:type="dxa"/>
          </w:tcPr>
          <w:p>
            <w:pPr>
              <w:pStyle w:val="TableParagraph"/>
              <w:spacing w:line="147" w:lineRule="exact" w:before="85"/>
              <w:ind w:left="92"/>
              <w:rPr>
                <w:sz w:val="14"/>
              </w:rPr>
            </w:pPr>
            <w:r>
              <w:rPr>
                <w:sz w:val="14"/>
              </w:rPr>
              <w:t>Sierra Leone Police</w:t>
            </w:r>
          </w:p>
        </w:tc>
        <w:tc>
          <w:tcPr>
            <w:tcW w:w="1785" w:type="dxa"/>
          </w:tcPr>
          <w:p>
            <w:pPr>
              <w:pStyle w:val="TableParagraph"/>
              <w:spacing w:line="147" w:lineRule="exact" w:before="85"/>
              <w:ind w:right="479"/>
              <w:jc w:val="right"/>
              <w:rPr>
                <w:b/>
                <w:sz w:val="14"/>
              </w:rPr>
            </w:pPr>
            <w:r>
              <w:rPr>
                <w:b/>
                <w:sz w:val="14"/>
              </w:rPr>
              <w:t>60,075.1</w:t>
            </w:r>
          </w:p>
        </w:tc>
        <w:tc>
          <w:tcPr>
            <w:tcW w:w="1555" w:type="dxa"/>
          </w:tcPr>
          <w:p>
            <w:pPr>
              <w:pStyle w:val="TableParagraph"/>
              <w:spacing w:line="147" w:lineRule="exact" w:before="85"/>
              <w:ind w:left="550"/>
              <w:rPr>
                <w:sz w:val="14"/>
              </w:rPr>
            </w:pPr>
            <w:r>
              <w:rPr>
                <w:sz w:val="14"/>
              </w:rPr>
              <w:t>2 . 9 %</w:t>
            </w:r>
          </w:p>
        </w:tc>
        <w:tc>
          <w:tcPr>
            <w:tcW w:w="1509" w:type="dxa"/>
          </w:tcPr>
          <w:p>
            <w:pPr>
              <w:pStyle w:val="TableParagraph"/>
              <w:spacing w:line="147" w:lineRule="exact" w:before="85"/>
              <w:ind w:right="403"/>
              <w:jc w:val="right"/>
              <w:rPr>
                <w:sz w:val="14"/>
              </w:rPr>
            </w:pPr>
            <w:r>
              <w:rPr>
                <w:sz w:val="14"/>
              </w:rPr>
              <w:t>81,408.0</w:t>
            </w:r>
          </w:p>
        </w:tc>
        <w:tc>
          <w:tcPr>
            <w:tcW w:w="1439" w:type="dxa"/>
          </w:tcPr>
          <w:p>
            <w:pPr>
              <w:pStyle w:val="TableParagraph"/>
              <w:spacing w:line="147" w:lineRule="exact" w:before="85"/>
              <w:ind w:right="344"/>
              <w:jc w:val="right"/>
              <w:rPr>
                <w:sz w:val="14"/>
              </w:rPr>
            </w:pPr>
            <w:r>
              <w:rPr>
                <w:sz w:val="14"/>
              </w:rPr>
              <w:t>3 . 9 %</w:t>
            </w:r>
          </w:p>
        </w:tc>
        <w:tc>
          <w:tcPr>
            <w:tcW w:w="1165" w:type="dxa"/>
          </w:tcPr>
          <w:p>
            <w:pPr>
              <w:pStyle w:val="TableParagraph"/>
              <w:spacing w:line="147" w:lineRule="exact" w:before="85"/>
              <w:ind w:right="175"/>
              <w:jc w:val="right"/>
              <w:rPr>
                <w:sz w:val="14"/>
              </w:rPr>
            </w:pPr>
            <w:r>
              <w:rPr>
                <w:sz w:val="14"/>
              </w:rPr>
              <w:t>86,284.3</w:t>
            </w:r>
          </w:p>
        </w:tc>
        <w:tc>
          <w:tcPr>
            <w:tcW w:w="1224" w:type="dxa"/>
          </w:tcPr>
          <w:p>
            <w:pPr>
              <w:pStyle w:val="TableParagraph"/>
              <w:spacing w:line="147" w:lineRule="exact" w:before="85"/>
              <w:ind w:left="436"/>
              <w:rPr>
                <w:sz w:val="14"/>
              </w:rPr>
            </w:pPr>
            <w:r>
              <w:rPr>
                <w:sz w:val="14"/>
              </w:rPr>
              <w:t>4 . 1 %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Administrative and Operating Costs</w:t>
            </w:r>
          </w:p>
        </w:tc>
        <w:tc>
          <w:tcPr>
            <w:tcW w:w="1785" w:type="dxa"/>
          </w:tcPr>
          <w:p>
            <w:pPr>
              <w:pStyle w:val="TableParagraph"/>
              <w:spacing w:line="147" w:lineRule="exact" w:before="1"/>
              <w:ind w:right="479"/>
              <w:jc w:val="right"/>
              <w:rPr>
                <w:b/>
                <w:sz w:val="14"/>
              </w:rPr>
            </w:pPr>
            <w:r>
              <w:rPr>
                <w:b/>
                <w:sz w:val="14"/>
              </w:rPr>
              <w:t>18,047.3</w:t>
            </w:r>
          </w:p>
        </w:tc>
        <w:tc>
          <w:tcPr>
            <w:tcW w:w="1555" w:type="dxa"/>
          </w:tcPr>
          <w:p>
            <w:pPr>
              <w:pStyle w:val="TableParagraph"/>
              <w:spacing w:line="147" w:lineRule="exact" w:before="1"/>
              <w:ind w:left="550"/>
              <w:rPr>
                <w:sz w:val="14"/>
              </w:rPr>
            </w:pPr>
            <w:r>
              <w:rPr>
                <w:sz w:val="14"/>
              </w:rPr>
              <w:t>0 . 9 %</w:t>
            </w:r>
          </w:p>
        </w:tc>
        <w:tc>
          <w:tcPr>
            <w:tcW w:w="1509" w:type="dxa"/>
          </w:tcPr>
          <w:p>
            <w:pPr>
              <w:pStyle w:val="TableParagraph"/>
              <w:spacing w:line="147" w:lineRule="exact" w:before="1"/>
              <w:ind w:right="403"/>
              <w:jc w:val="right"/>
              <w:rPr>
                <w:sz w:val="14"/>
              </w:rPr>
            </w:pPr>
            <w:r>
              <w:rPr>
                <w:sz w:val="14"/>
              </w:rPr>
              <w:t>34,815.4</w:t>
            </w:r>
          </w:p>
        </w:tc>
        <w:tc>
          <w:tcPr>
            <w:tcW w:w="1439" w:type="dxa"/>
          </w:tcPr>
          <w:p>
            <w:pPr>
              <w:pStyle w:val="TableParagraph"/>
              <w:spacing w:line="147" w:lineRule="exact" w:before="1"/>
              <w:ind w:right="344"/>
              <w:jc w:val="right"/>
              <w:rPr>
                <w:sz w:val="14"/>
              </w:rPr>
            </w:pPr>
            <w:r>
              <w:rPr>
                <w:sz w:val="14"/>
              </w:rPr>
              <w:t>1 . 7 %</w:t>
            </w:r>
          </w:p>
        </w:tc>
        <w:tc>
          <w:tcPr>
            <w:tcW w:w="1165" w:type="dxa"/>
          </w:tcPr>
          <w:p>
            <w:pPr>
              <w:pStyle w:val="TableParagraph"/>
              <w:spacing w:line="147" w:lineRule="exact" w:before="1"/>
              <w:ind w:right="175"/>
              <w:jc w:val="right"/>
              <w:rPr>
                <w:sz w:val="14"/>
              </w:rPr>
            </w:pPr>
            <w:r>
              <w:rPr>
                <w:sz w:val="14"/>
              </w:rPr>
              <w:t>36,900.8</w:t>
            </w:r>
          </w:p>
        </w:tc>
        <w:tc>
          <w:tcPr>
            <w:tcW w:w="1224" w:type="dxa"/>
          </w:tcPr>
          <w:p>
            <w:pPr>
              <w:pStyle w:val="TableParagraph"/>
              <w:spacing w:line="147" w:lineRule="exact" w:before="1"/>
              <w:ind w:left="436"/>
              <w:rPr>
                <w:sz w:val="14"/>
              </w:rPr>
            </w:pPr>
            <w:r>
              <w:rPr>
                <w:sz w:val="14"/>
              </w:rPr>
              <w:t>1 . 8 %</w:t>
            </w:r>
          </w:p>
        </w:tc>
      </w:tr>
      <w:tr>
        <w:trPr>
          <w:trHeight w:val="168" w:hRule="atLeast"/>
        </w:trPr>
        <w:tc>
          <w:tcPr>
            <w:tcW w:w="474" w:type="dxa"/>
          </w:tcPr>
          <w:p>
            <w:pPr>
              <w:pStyle w:val="TableParagraph"/>
              <w:rPr>
                <w:rFonts w:ascii="Times New Roman"/>
                <w:sz w:val="10"/>
              </w:rPr>
            </w:pPr>
          </w:p>
        </w:tc>
        <w:tc>
          <w:tcPr>
            <w:tcW w:w="5644" w:type="dxa"/>
          </w:tcPr>
          <w:p>
            <w:pPr>
              <w:pStyle w:val="TableParagraph"/>
              <w:spacing w:line="147" w:lineRule="exact" w:before="1"/>
              <w:ind w:left="601"/>
              <w:rPr>
                <w:sz w:val="14"/>
              </w:rPr>
            </w:pPr>
            <w:r>
              <w:rPr>
                <w:sz w:val="14"/>
              </w:rPr>
              <w:t>o/ w Fuel and Spares</w:t>
            </w:r>
          </w:p>
        </w:tc>
        <w:tc>
          <w:tcPr>
            <w:tcW w:w="1785" w:type="dxa"/>
          </w:tcPr>
          <w:p>
            <w:pPr>
              <w:pStyle w:val="TableParagraph"/>
              <w:spacing w:line="147" w:lineRule="exact" w:before="1"/>
              <w:ind w:right="472"/>
              <w:jc w:val="right"/>
              <w:rPr>
                <w:b/>
                <w:sz w:val="14"/>
              </w:rPr>
            </w:pPr>
            <w:r>
              <w:rPr>
                <w:b/>
                <w:sz w:val="14"/>
              </w:rPr>
              <w:t>4,102.4</w:t>
            </w:r>
          </w:p>
        </w:tc>
        <w:tc>
          <w:tcPr>
            <w:tcW w:w="1555" w:type="dxa"/>
          </w:tcPr>
          <w:p>
            <w:pPr>
              <w:pStyle w:val="TableParagraph"/>
              <w:spacing w:line="147" w:lineRule="exact" w:before="1"/>
              <w:ind w:left="550"/>
              <w:rPr>
                <w:sz w:val="14"/>
              </w:rPr>
            </w:pPr>
            <w:r>
              <w:rPr>
                <w:sz w:val="14"/>
              </w:rPr>
              <w:t>0 . 2 %</w:t>
            </w:r>
          </w:p>
        </w:tc>
        <w:tc>
          <w:tcPr>
            <w:tcW w:w="1509" w:type="dxa"/>
          </w:tcPr>
          <w:p>
            <w:pPr>
              <w:pStyle w:val="TableParagraph"/>
              <w:spacing w:line="147" w:lineRule="exact" w:before="1"/>
              <w:ind w:right="394"/>
              <w:jc w:val="right"/>
              <w:rPr>
                <w:sz w:val="14"/>
              </w:rPr>
            </w:pPr>
            <w:r>
              <w:rPr>
                <w:sz w:val="14"/>
              </w:rPr>
              <w:t>4,548 .0</w:t>
            </w:r>
          </w:p>
        </w:tc>
        <w:tc>
          <w:tcPr>
            <w:tcW w:w="1439" w:type="dxa"/>
          </w:tcPr>
          <w:p>
            <w:pPr>
              <w:pStyle w:val="TableParagraph"/>
              <w:spacing w:line="147" w:lineRule="exact" w:before="1"/>
              <w:ind w:right="344"/>
              <w:jc w:val="right"/>
              <w:rPr>
                <w:sz w:val="14"/>
              </w:rPr>
            </w:pPr>
            <w:r>
              <w:rPr>
                <w:sz w:val="14"/>
              </w:rPr>
              <w:t>0 . 2 %</w:t>
            </w:r>
          </w:p>
        </w:tc>
        <w:tc>
          <w:tcPr>
            <w:tcW w:w="1165" w:type="dxa"/>
          </w:tcPr>
          <w:p>
            <w:pPr>
              <w:pStyle w:val="TableParagraph"/>
              <w:spacing w:line="147" w:lineRule="exact" w:before="1"/>
              <w:ind w:right="166"/>
              <w:jc w:val="right"/>
              <w:rPr>
                <w:sz w:val="14"/>
              </w:rPr>
            </w:pPr>
            <w:r>
              <w:rPr>
                <w:sz w:val="14"/>
              </w:rPr>
              <w:t>4,820 .4</w:t>
            </w:r>
          </w:p>
        </w:tc>
        <w:tc>
          <w:tcPr>
            <w:tcW w:w="1224" w:type="dxa"/>
          </w:tcPr>
          <w:p>
            <w:pPr>
              <w:pStyle w:val="TableParagraph"/>
              <w:spacing w:line="147" w:lineRule="exact" w:before="1"/>
              <w:ind w:left="436"/>
              <w:rPr>
                <w:sz w:val="14"/>
              </w:rPr>
            </w:pPr>
            <w:r>
              <w:rPr>
                <w:sz w:val="14"/>
              </w:rPr>
              <w:t>0 . 2 %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601"/>
              <w:rPr>
                <w:sz w:val="14"/>
              </w:rPr>
            </w:pPr>
            <w:r>
              <w:rPr>
                <w:sz w:val="14"/>
              </w:rPr>
              <w:t>o/ w Spares</w:t>
            </w:r>
          </w:p>
        </w:tc>
        <w:tc>
          <w:tcPr>
            <w:tcW w:w="1785" w:type="dxa"/>
          </w:tcPr>
          <w:p>
            <w:pPr>
              <w:pStyle w:val="TableParagraph"/>
              <w:spacing w:line="147" w:lineRule="exact" w:before="1"/>
              <w:ind w:right="472"/>
              <w:jc w:val="right"/>
              <w:rPr>
                <w:b/>
                <w:sz w:val="14"/>
              </w:rPr>
            </w:pPr>
            <w:r>
              <w:rPr>
                <w:b/>
                <w:sz w:val="14"/>
              </w:rPr>
              <w:t>1,849.0</w:t>
            </w:r>
          </w:p>
        </w:tc>
        <w:tc>
          <w:tcPr>
            <w:tcW w:w="1555" w:type="dxa"/>
          </w:tcPr>
          <w:p>
            <w:pPr>
              <w:pStyle w:val="TableParagraph"/>
              <w:spacing w:line="147" w:lineRule="exact" w:before="1"/>
              <w:ind w:left="550"/>
              <w:rPr>
                <w:sz w:val="14"/>
              </w:rPr>
            </w:pPr>
            <w:r>
              <w:rPr>
                <w:sz w:val="14"/>
              </w:rPr>
              <w:t>0 . 1 %</w:t>
            </w:r>
          </w:p>
        </w:tc>
        <w:tc>
          <w:tcPr>
            <w:tcW w:w="1509" w:type="dxa"/>
          </w:tcPr>
          <w:p>
            <w:pPr>
              <w:pStyle w:val="TableParagraph"/>
              <w:spacing w:line="147" w:lineRule="exact" w:before="1"/>
              <w:ind w:right="394"/>
              <w:jc w:val="right"/>
              <w:rPr>
                <w:sz w:val="14"/>
              </w:rPr>
            </w:pPr>
            <w:r>
              <w:rPr>
                <w:sz w:val="14"/>
              </w:rPr>
              <w:t>2,049 .9</w:t>
            </w:r>
          </w:p>
        </w:tc>
        <w:tc>
          <w:tcPr>
            <w:tcW w:w="1439" w:type="dxa"/>
          </w:tcPr>
          <w:p>
            <w:pPr>
              <w:pStyle w:val="TableParagraph"/>
              <w:spacing w:line="147" w:lineRule="exact" w:before="1"/>
              <w:ind w:right="344"/>
              <w:jc w:val="right"/>
              <w:rPr>
                <w:sz w:val="14"/>
              </w:rPr>
            </w:pPr>
            <w:r>
              <w:rPr>
                <w:sz w:val="14"/>
              </w:rPr>
              <w:t>0 . 1 %</w:t>
            </w:r>
          </w:p>
        </w:tc>
        <w:tc>
          <w:tcPr>
            <w:tcW w:w="1165" w:type="dxa"/>
          </w:tcPr>
          <w:p>
            <w:pPr>
              <w:pStyle w:val="TableParagraph"/>
              <w:spacing w:line="147" w:lineRule="exact" w:before="1"/>
              <w:ind w:right="166"/>
              <w:jc w:val="right"/>
              <w:rPr>
                <w:sz w:val="14"/>
              </w:rPr>
            </w:pPr>
            <w:r>
              <w:rPr>
                <w:sz w:val="14"/>
              </w:rPr>
              <w:t>2,172 .7</w:t>
            </w:r>
          </w:p>
        </w:tc>
        <w:tc>
          <w:tcPr>
            <w:tcW w:w="1224" w:type="dxa"/>
          </w:tcPr>
          <w:p>
            <w:pPr>
              <w:pStyle w:val="TableParagraph"/>
              <w:spacing w:line="147" w:lineRule="exact" w:before="1"/>
              <w:ind w:left="436"/>
              <w:rPr>
                <w:sz w:val="14"/>
              </w:rPr>
            </w:pPr>
            <w:r>
              <w:rPr>
                <w:sz w:val="14"/>
              </w:rPr>
              <w:t>0 . 1 %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Rice for Officers and Other Ranks</w:t>
            </w:r>
          </w:p>
        </w:tc>
        <w:tc>
          <w:tcPr>
            <w:tcW w:w="1785" w:type="dxa"/>
          </w:tcPr>
          <w:p>
            <w:pPr>
              <w:pStyle w:val="TableParagraph"/>
              <w:spacing w:line="147" w:lineRule="exact" w:before="1"/>
              <w:ind w:right="479"/>
              <w:jc w:val="right"/>
              <w:rPr>
                <w:b/>
                <w:sz w:val="14"/>
              </w:rPr>
            </w:pPr>
            <w:r>
              <w:rPr>
                <w:b/>
                <w:sz w:val="14"/>
              </w:rPr>
              <w:t>27,486.1</w:t>
            </w:r>
          </w:p>
        </w:tc>
        <w:tc>
          <w:tcPr>
            <w:tcW w:w="1555" w:type="dxa"/>
          </w:tcPr>
          <w:p>
            <w:pPr>
              <w:pStyle w:val="TableParagraph"/>
              <w:spacing w:line="147" w:lineRule="exact" w:before="1"/>
              <w:ind w:left="550"/>
              <w:rPr>
                <w:sz w:val="14"/>
              </w:rPr>
            </w:pPr>
            <w:r>
              <w:rPr>
                <w:sz w:val="14"/>
              </w:rPr>
              <w:t>1 . 3 %</w:t>
            </w:r>
          </w:p>
        </w:tc>
        <w:tc>
          <w:tcPr>
            <w:tcW w:w="1509" w:type="dxa"/>
          </w:tcPr>
          <w:p>
            <w:pPr>
              <w:pStyle w:val="TableParagraph"/>
              <w:spacing w:line="147" w:lineRule="exact" w:before="1"/>
              <w:ind w:right="403"/>
              <w:jc w:val="right"/>
              <w:rPr>
                <w:sz w:val="14"/>
              </w:rPr>
            </w:pPr>
            <w:r>
              <w:rPr>
                <w:sz w:val="14"/>
              </w:rPr>
              <w:t>30,471.4</w:t>
            </w:r>
          </w:p>
        </w:tc>
        <w:tc>
          <w:tcPr>
            <w:tcW w:w="1439" w:type="dxa"/>
          </w:tcPr>
          <w:p>
            <w:pPr>
              <w:pStyle w:val="TableParagraph"/>
              <w:spacing w:line="147" w:lineRule="exact" w:before="1"/>
              <w:ind w:right="344"/>
              <w:jc w:val="right"/>
              <w:rPr>
                <w:sz w:val="14"/>
              </w:rPr>
            </w:pPr>
            <w:r>
              <w:rPr>
                <w:sz w:val="14"/>
              </w:rPr>
              <w:t>1 . 5 %</w:t>
            </w:r>
          </w:p>
        </w:tc>
        <w:tc>
          <w:tcPr>
            <w:tcW w:w="1165" w:type="dxa"/>
          </w:tcPr>
          <w:p>
            <w:pPr>
              <w:pStyle w:val="TableParagraph"/>
              <w:spacing w:line="147" w:lineRule="exact" w:before="1"/>
              <w:ind w:right="175"/>
              <w:jc w:val="right"/>
              <w:rPr>
                <w:sz w:val="14"/>
              </w:rPr>
            </w:pPr>
            <w:r>
              <w:rPr>
                <w:sz w:val="14"/>
              </w:rPr>
              <w:t>32,296.6</w:t>
            </w:r>
          </w:p>
        </w:tc>
        <w:tc>
          <w:tcPr>
            <w:tcW w:w="1224" w:type="dxa"/>
          </w:tcPr>
          <w:p>
            <w:pPr>
              <w:pStyle w:val="TableParagraph"/>
              <w:spacing w:line="147" w:lineRule="exact" w:before="1"/>
              <w:ind w:left="436"/>
              <w:rPr>
                <w:sz w:val="14"/>
              </w:rPr>
            </w:pPr>
            <w:r>
              <w:rPr>
                <w:sz w:val="14"/>
              </w:rPr>
              <w:t>1 . 6 %</w:t>
            </w:r>
          </w:p>
        </w:tc>
      </w:tr>
      <w:tr>
        <w:trPr>
          <w:trHeight w:val="168"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Security Hardware and Other Logistics</w:t>
            </w:r>
          </w:p>
        </w:tc>
        <w:tc>
          <w:tcPr>
            <w:tcW w:w="1785" w:type="dxa"/>
          </w:tcPr>
          <w:p>
            <w:pPr>
              <w:pStyle w:val="TableParagraph"/>
              <w:spacing w:line="147" w:lineRule="exact" w:before="1"/>
              <w:ind w:right="479"/>
              <w:jc w:val="right"/>
              <w:rPr>
                <w:b/>
                <w:sz w:val="14"/>
              </w:rPr>
            </w:pPr>
            <w:r>
              <w:rPr>
                <w:b/>
                <w:sz w:val="14"/>
              </w:rPr>
              <w:t>14,541.8</w:t>
            </w:r>
          </w:p>
        </w:tc>
        <w:tc>
          <w:tcPr>
            <w:tcW w:w="1555" w:type="dxa"/>
          </w:tcPr>
          <w:p>
            <w:pPr>
              <w:pStyle w:val="TableParagraph"/>
              <w:spacing w:line="147" w:lineRule="exact" w:before="1"/>
              <w:ind w:left="550"/>
              <w:rPr>
                <w:sz w:val="14"/>
              </w:rPr>
            </w:pPr>
            <w:r>
              <w:rPr>
                <w:sz w:val="14"/>
              </w:rPr>
              <w:t>0 . 7 %</w:t>
            </w:r>
          </w:p>
        </w:tc>
        <w:tc>
          <w:tcPr>
            <w:tcW w:w="1509" w:type="dxa"/>
          </w:tcPr>
          <w:p>
            <w:pPr>
              <w:pStyle w:val="TableParagraph"/>
              <w:spacing w:line="147" w:lineRule="exact" w:before="1"/>
              <w:ind w:right="403"/>
              <w:jc w:val="right"/>
              <w:rPr>
                <w:sz w:val="14"/>
              </w:rPr>
            </w:pPr>
            <w:r>
              <w:rPr>
                <w:sz w:val="14"/>
              </w:rPr>
              <w:t>16,121.2</w:t>
            </w:r>
          </w:p>
        </w:tc>
        <w:tc>
          <w:tcPr>
            <w:tcW w:w="1439" w:type="dxa"/>
          </w:tcPr>
          <w:p>
            <w:pPr>
              <w:pStyle w:val="TableParagraph"/>
              <w:spacing w:line="147" w:lineRule="exact" w:before="1"/>
              <w:ind w:right="344"/>
              <w:jc w:val="right"/>
              <w:rPr>
                <w:sz w:val="14"/>
              </w:rPr>
            </w:pPr>
            <w:r>
              <w:rPr>
                <w:sz w:val="14"/>
              </w:rPr>
              <w:t>0 . 8 %</w:t>
            </w:r>
          </w:p>
        </w:tc>
        <w:tc>
          <w:tcPr>
            <w:tcW w:w="1165" w:type="dxa"/>
          </w:tcPr>
          <w:p>
            <w:pPr>
              <w:pStyle w:val="TableParagraph"/>
              <w:spacing w:line="147" w:lineRule="exact" w:before="1"/>
              <w:ind w:right="175"/>
              <w:jc w:val="right"/>
              <w:rPr>
                <w:sz w:val="14"/>
              </w:rPr>
            </w:pPr>
            <w:r>
              <w:rPr>
                <w:sz w:val="14"/>
              </w:rPr>
              <w:t>17,086.9</w:t>
            </w:r>
          </w:p>
        </w:tc>
        <w:tc>
          <w:tcPr>
            <w:tcW w:w="1224" w:type="dxa"/>
          </w:tcPr>
          <w:p>
            <w:pPr>
              <w:pStyle w:val="TableParagraph"/>
              <w:spacing w:line="147" w:lineRule="exact" w:before="1"/>
              <w:ind w:left="436"/>
              <w:rPr>
                <w:sz w:val="14"/>
              </w:rPr>
            </w:pPr>
            <w:r>
              <w:rPr>
                <w:sz w:val="14"/>
              </w:rPr>
              <w:t>0 . 8 %</w:t>
            </w:r>
          </w:p>
        </w:tc>
      </w:tr>
      <w:tr>
        <w:trPr>
          <w:trHeight w:val="251" w:hRule="atLeast"/>
        </w:trPr>
        <w:tc>
          <w:tcPr>
            <w:tcW w:w="474" w:type="dxa"/>
          </w:tcPr>
          <w:p>
            <w:pPr>
              <w:pStyle w:val="TableParagraph"/>
              <w:rPr>
                <w:rFonts w:ascii="Times New Roman"/>
                <w:sz w:val="14"/>
              </w:rPr>
            </w:pPr>
          </w:p>
        </w:tc>
        <w:tc>
          <w:tcPr>
            <w:tcW w:w="5644" w:type="dxa"/>
          </w:tcPr>
          <w:p>
            <w:pPr>
              <w:pStyle w:val="TableParagraph"/>
              <w:spacing w:before="1"/>
              <w:ind w:left="601"/>
              <w:rPr>
                <w:sz w:val="14"/>
              </w:rPr>
            </w:pPr>
            <w:r>
              <w:rPr>
                <w:sz w:val="14"/>
              </w:rPr>
              <w:t>o/ w: Outstanding payment for Vehicles</w:t>
            </w:r>
          </w:p>
        </w:tc>
        <w:tc>
          <w:tcPr>
            <w:tcW w:w="1785" w:type="dxa"/>
          </w:tcPr>
          <w:p>
            <w:pPr>
              <w:pStyle w:val="TableParagraph"/>
              <w:spacing w:before="1"/>
              <w:ind w:right="472"/>
              <w:jc w:val="right"/>
              <w:rPr>
                <w:b/>
                <w:sz w:val="14"/>
              </w:rPr>
            </w:pPr>
            <w:r>
              <w:rPr>
                <w:b/>
                <w:sz w:val="14"/>
              </w:rPr>
              <w:t>3,052.2</w:t>
            </w:r>
          </w:p>
        </w:tc>
        <w:tc>
          <w:tcPr>
            <w:tcW w:w="1555" w:type="dxa"/>
          </w:tcPr>
          <w:p>
            <w:pPr>
              <w:pStyle w:val="TableParagraph"/>
              <w:spacing w:before="1"/>
              <w:ind w:left="550"/>
              <w:rPr>
                <w:sz w:val="14"/>
              </w:rPr>
            </w:pPr>
            <w:r>
              <w:rPr>
                <w:sz w:val="14"/>
              </w:rPr>
              <w:t>0 . 1 %</w:t>
            </w:r>
          </w:p>
        </w:tc>
        <w:tc>
          <w:tcPr>
            <w:tcW w:w="1509" w:type="dxa"/>
          </w:tcPr>
          <w:p>
            <w:pPr>
              <w:pStyle w:val="TableParagraph"/>
              <w:spacing w:before="1"/>
              <w:ind w:right="394"/>
              <w:jc w:val="right"/>
              <w:rPr>
                <w:sz w:val="14"/>
              </w:rPr>
            </w:pPr>
            <w:r>
              <w:rPr>
                <w:sz w:val="14"/>
              </w:rPr>
              <w:t>3,383 .7</w:t>
            </w:r>
          </w:p>
        </w:tc>
        <w:tc>
          <w:tcPr>
            <w:tcW w:w="1439" w:type="dxa"/>
          </w:tcPr>
          <w:p>
            <w:pPr>
              <w:pStyle w:val="TableParagraph"/>
              <w:spacing w:before="1"/>
              <w:ind w:right="344"/>
              <w:jc w:val="right"/>
              <w:rPr>
                <w:sz w:val="14"/>
              </w:rPr>
            </w:pPr>
            <w:r>
              <w:rPr>
                <w:sz w:val="14"/>
              </w:rPr>
              <w:t>0 . 2 %</w:t>
            </w:r>
          </w:p>
        </w:tc>
        <w:tc>
          <w:tcPr>
            <w:tcW w:w="1165" w:type="dxa"/>
          </w:tcPr>
          <w:p>
            <w:pPr>
              <w:pStyle w:val="TableParagraph"/>
              <w:spacing w:before="1"/>
              <w:ind w:right="166"/>
              <w:jc w:val="right"/>
              <w:rPr>
                <w:sz w:val="14"/>
              </w:rPr>
            </w:pPr>
            <w:r>
              <w:rPr>
                <w:sz w:val="14"/>
              </w:rPr>
              <w:t>3,586 .4</w:t>
            </w:r>
          </w:p>
        </w:tc>
        <w:tc>
          <w:tcPr>
            <w:tcW w:w="1224" w:type="dxa"/>
          </w:tcPr>
          <w:p>
            <w:pPr>
              <w:pStyle w:val="TableParagraph"/>
              <w:spacing w:before="1"/>
              <w:ind w:left="436"/>
              <w:rPr>
                <w:sz w:val="14"/>
              </w:rPr>
            </w:pPr>
            <w:r>
              <w:rPr>
                <w:sz w:val="14"/>
              </w:rPr>
              <w:t>0 . 2 %</w:t>
            </w:r>
          </w:p>
        </w:tc>
      </w:tr>
      <w:tr>
        <w:trPr>
          <w:trHeight w:val="252" w:hRule="atLeast"/>
        </w:trPr>
        <w:tc>
          <w:tcPr>
            <w:tcW w:w="474" w:type="dxa"/>
          </w:tcPr>
          <w:p>
            <w:pPr>
              <w:pStyle w:val="TableParagraph"/>
              <w:spacing w:line="147" w:lineRule="exact" w:before="85"/>
              <w:ind w:right="95"/>
              <w:jc w:val="right"/>
              <w:rPr>
                <w:sz w:val="14"/>
              </w:rPr>
            </w:pPr>
            <w:r>
              <w:rPr>
                <w:w w:val="95"/>
                <w:sz w:val="14"/>
              </w:rPr>
              <w:t>207</w:t>
            </w:r>
          </w:p>
        </w:tc>
        <w:tc>
          <w:tcPr>
            <w:tcW w:w="5644" w:type="dxa"/>
          </w:tcPr>
          <w:p>
            <w:pPr>
              <w:pStyle w:val="TableParagraph"/>
              <w:spacing w:line="147" w:lineRule="exact" w:before="85"/>
              <w:ind w:left="92"/>
              <w:rPr>
                <w:sz w:val="14"/>
              </w:rPr>
            </w:pPr>
            <w:r>
              <w:rPr>
                <w:sz w:val="14"/>
              </w:rPr>
              <w:t>Sierra Leone Correctional Services</w:t>
            </w:r>
          </w:p>
        </w:tc>
        <w:tc>
          <w:tcPr>
            <w:tcW w:w="1785" w:type="dxa"/>
          </w:tcPr>
          <w:p>
            <w:pPr>
              <w:pStyle w:val="TableParagraph"/>
              <w:spacing w:line="147" w:lineRule="exact" w:before="85"/>
              <w:ind w:right="479"/>
              <w:jc w:val="right"/>
              <w:rPr>
                <w:b/>
                <w:sz w:val="14"/>
              </w:rPr>
            </w:pPr>
            <w:r>
              <w:rPr>
                <w:b/>
                <w:sz w:val="14"/>
              </w:rPr>
              <w:t>43,817.4</w:t>
            </w:r>
          </w:p>
        </w:tc>
        <w:tc>
          <w:tcPr>
            <w:tcW w:w="1555" w:type="dxa"/>
          </w:tcPr>
          <w:p>
            <w:pPr>
              <w:pStyle w:val="TableParagraph"/>
              <w:spacing w:line="147" w:lineRule="exact" w:before="85"/>
              <w:ind w:left="550"/>
              <w:rPr>
                <w:sz w:val="14"/>
              </w:rPr>
            </w:pPr>
            <w:r>
              <w:rPr>
                <w:sz w:val="14"/>
              </w:rPr>
              <w:t>2 . 1 %</w:t>
            </w:r>
          </w:p>
        </w:tc>
        <w:tc>
          <w:tcPr>
            <w:tcW w:w="1509" w:type="dxa"/>
          </w:tcPr>
          <w:p>
            <w:pPr>
              <w:pStyle w:val="TableParagraph"/>
              <w:spacing w:line="147" w:lineRule="exact" w:before="85"/>
              <w:ind w:right="403"/>
              <w:jc w:val="right"/>
              <w:rPr>
                <w:sz w:val="14"/>
              </w:rPr>
            </w:pPr>
            <w:r>
              <w:rPr>
                <w:sz w:val="14"/>
              </w:rPr>
              <w:t>61,298.9</w:t>
            </w:r>
          </w:p>
        </w:tc>
        <w:tc>
          <w:tcPr>
            <w:tcW w:w="1439" w:type="dxa"/>
          </w:tcPr>
          <w:p>
            <w:pPr>
              <w:pStyle w:val="TableParagraph"/>
              <w:spacing w:line="147" w:lineRule="exact" w:before="85"/>
              <w:ind w:right="344"/>
              <w:jc w:val="right"/>
              <w:rPr>
                <w:sz w:val="14"/>
              </w:rPr>
            </w:pPr>
            <w:r>
              <w:rPr>
                <w:sz w:val="14"/>
              </w:rPr>
              <w:t>2 . 9 %</w:t>
            </w:r>
          </w:p>
        </w:tc>
        <w:tc>
          <w:tcPr>
            <w:tcW w:w="1165" w:type="dxa"/>
          </w:tcPr>
          <w:p>
            <w:pPr>
              <w:pStyle w:val="TableParagraph"/>
              <w:spacing w:line="147" w:lineRule="exact" w:before="85"/>
              <w:ind w:right="175"/>
              <w:jc w:val="right"/>
              <w:rPr>
                <w:sz w:val="14"/>
              </w:rPr>
            </w:pPr>
            <w:r>
              <w:rPr>
                <w:sz w:val="14"/>
              </w:rPr>
              <w:t>64,970.7</w:t>
            </w:r>
          </w:p>
        </w:tc>
        <w:tc>
          <w:tcPr>
            <w:tcW w:w="1224" w:type="dxa"/>
          </w:tcPr>
          <w:p>
            <w:pPr>
              <w:pStyle w:val="TableParagraph"/>
              <w:spacing w:line="147" w:lineRule="exact" w:before="85"/>
              <w:ind w:left="436"/>
              <w:rPr>
                <w:sz w:val="14"/>
              </w:rPr>
            </w:pPr>
            <w:r>
              <w:rPr>
                <w:sz w:val="14"/>
              </w:rPr>
              <w:t>3 . 1 %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99"/>
              <w:rPr>
                <w:sz w:val="14"/>
              </w:rPr>
            </w:pPr>
            <w:r>
              <w:rPr>
                <w:sz w:val="14"/>
              </w:rPr>
              <w:t>o/ w: Inmates Welfare (Diets, Toiletories, Drugs etc)</w:t>
            </w:r>
          </w:p>
        </w:tc>
        <w:tc>
          <w:tcPr>
            <w:tcW w:w="1785" w:type="dxa"/>
          </w:tcPr>
          <w:p>
            <w:pPr>
              <w:pStyle w:val="TableParagraph"/>
              <w:spacing w:line="147" w:lineRule="exact" w:before="1"/>
              <w:ind w:right="479"/>
              <w:jc w:val="right"/>
              <w:rPr>
                <w:b/>
                <w:sz w:val="14"/>
              </w:rPr>
            </w:pPr>
            <w:r>
              <w:rPr>
                <w:b/>
                <w:sz w:val="14"/>
              </w:rPr>
              <w:t>38,345.8</w:t>
            </w:r>
          </w:p>
        </w:tc>
        <w:tc>
          <w:tcPr>
            <w:tcW w:w="1555" w:type="dxa"/>
          </w:tcPr>
          <w:p>
            <w:pPr>
              <w:pStyle w:val="TableParagraph"/>
              <w:spacing w:line="147" w:lineRule="exact" w:before="1"/>
              <w:ind w:left="550"/>
              <w:rPr>
                <w:sz w:val="14"/>
              </w:rPr>
            </w:pPr>
            <w:r>
              <w:rPr>
                <w:sz w:val="14"/>
              </w:rPr>
              <w:t>1 . 8 %</w:t>
            </w:r>
          </w:p>
        </w:tc>
        <w:tc>
          <w:tcPr>
            <w:tcW w:w="1509" w:type="dxa"/>
          </w:tcPr>
          <w:p>
            <w:pPr>
              <w:pStyle w:val="TableParagraph"/>
              <w:spacing w:line="147" w:lineRule="exact" w:before="1"/>
              <w:ind w:right="403"/>
              <w:jc w:val="right"/>
              <w:rPr>
                <w:sz w:val="14"/>
              </w:rPr>
            </w:pPr>
            <w:r>
              <w:rPr>
                <w:sz w:val="14"/>
              </w:rPr>
              <w:t>55,233.1</w:t>
            </w:r>
          </w:p>
        </w:tc>
        <w:tc>
          <w:tcPr>
            <w:tcW w:w="1439" w:type="dxa"/>
          </w:tcPr>
          <w:p>
            <w:pPr>
              <w:pStyle w:val="TableParagraph"/>
              <w:spacing w:line="147" w:lineRule="exact" w:before="1"/>
              <w:ind w:right="344"/>
              <w:jc w:val="right"/>
              <w:rPr>
                <w:sz w:val="14"/>
              </w:rPr>
            </w:pPr>
            <w:r>
              <w:rPr>
                <w:sz w:val="14"/>
              </w:rPr>
              <w:t>2 . 7 %</w:t>
            </w:r>
          </w:p>
        </w:tc>
        <w:tc>
          <w:tcPr>
            <w:tcW w:w="1165" w:type="dxa"/>
          </w:tcPr>
          <w:p>
            <w:pPr>
              <w:pStyle w:val="TableParagraph"/>
              <w:spacing w:line="147" w:lineRule="exact" w:before="1"/>
              <w:ind w:right="175"/>
              <w:jc w:val="right"/>
              <w:rPr>
                <w:sz w:val="14"/>
              </w:rPr>
            </w:pPr>
            <w:r>
              <w:rPr>
                <w:sz w:val="14"/>
              </w:rPr>
              <w:t>58,541.5</w:t>
            </w:r>
          </w:p>
        </w:tc>
        <w:tc>
          <w:tcPr>
            <w:tcW w:w="1224" w:type="dxa"/>
          </w:tcPr>
          <w:p>
            <w:pPr>
              <w:pStyle w:val="TableParagraph"/>
              <w:spacing w:line="147" w:lineRule="exact" w:before="1"/>
              <w:ind w:left="436"/>
              <w:rPr>
                <w:sz w:val="14"/>
              </w:rPr>
            </w:pPr>
            <w:r>
              <w:rPr>
                <w:sz w:val="14"/>
              </w:rPr>
              <w:t>2 . 8 %</w:t>
            </w:r>
          </w:p>
        </w:tc>
      </w:tr>
      <w:tr>
        <w:trPr>
          <w:trHeight w:val="168" w:hRule="atLeast"/>
        </w:trPr>
        <w:tc>
          <w:tcPr>
            <w:tcW w:w="474" w:type="dxa"/>
          </w:tcPr>
          <w:p>
            <w:pPr>
              <w:pStyle w:val="TableParagraph"/>
              <w:rPr>
                <w:rFonts w:ascii="Times New Roman"/>
                <w:sz w:val="10"/>
              </w:rPr>
            </w:pPr>
          </w:p>
        </w:tc>
        <w:tc>
          <w:tcPr>
            <w:tcW w:w="5644" w:type="dxa"/>
          </w:tcPr>
          <w:p>
            <w:pPr>
              <w:pStyle w:val="TableParagraph"/>
              <w:spacing w:line="147" w:lineRule="exact" w:before="1"/>
              <w:ind w:left="640"/>
              <w:rPr>
                <w:sz w:val="14"/>
              </w:rPr>
            </w:pPr>
            <w:r>
              <w:rPr>
                <w:sz w:val="14"/>
              </w:rPr>
              <w:t>Uniforms and Regalia for Correctional Officers</w:t>
            </w:r>
          </w:p>
        </w:tc>
        <w:tc>
          <w:tcPr>
            <w:tcW w:w="1785" w:type="dxa"/>
          </w:tcPr>
          <w:p>
            <w:pPr>
              <w:pStyle w:val="TableParagraph"/>
              <w:spacing w:line="147" w:lineRule="exact" w:before="1"/>
              <w:ind w:right="472"/>
              <w:jc w:val="right"/>
              <w:rPr>
                <w:b/>
                <w:sz w:val="14"/>
              </w:rPr>
            </w:pPr>
            <w:r>
              <w:rPr>
                <w:b/>
                <w:sz w:val="14"/>
              </w:rPr>
              <w:t>1,878.0</w:t>
            </w:r>
          </w:p>
        </w:tc>
        <w:tc>
          <w:tcPr>
            <w:tcW w:w="1555" w:type="dxa"/>
          </w:tcPr>
          <w:p>
            <w:pPr>
              <w:pStyle w:val="TableParagraph"/>
              <w:spacing w:line="147" w:lineRule="exact" w:before="1"/>
              <w:ind w:left="550"/>
              <w:rPr>
                <w:sz w:val="14"/>
              </w:rPr>
            </w:pPr>
            <w:r>
              <w:rPr>
                <w:sz w:val="14"/>
              </w:rPr>
              <w:t>0 . 1 %</w:t>
            </w:r>
          </w:p>
        </w:tc>
        <w:tc>
          <w:tcPr>
            <w:tcW w:w="1509" w:type="dxa"/>
          </w:tcPr>
          <w:p>
            <w:pPr>
              <w:pStyle w:val="TableParagraph"/>
              <w:spacing w:line="147" w:lineRule="exact" w:before="1"/>
              <w:ind w:right="394"/>
              <w:jc w:val="right"/>
              <w:rPr>
                <w:sz w:val="14"/>
              </w:rPr>
            </w:pPr>
            <w:r>
              <w:rPr>
                <w:sz w:val="14"/>
              </w:rPr>
              <w:t>2,082 .0</w:t>
            </w:r>
          </w:p>
        </w:tc>
        <w:tc>
          <w:tcPr>
            <w:tcW w:w="1439" w:type="dxa"/>
          </w:tcPr>
          <w:p>
            <w:pPr>
              <w:pStyle w:val="TableParagraph"/>
              <w:spacing w:line="147" w:lineRule="exact" w:before="1"/>
              <w:ind w:right="344"/>
              <w:jc w:val="right"/>
              <w:rPr>
                <w:sz w:val="14"/>
              </w:rPr>
            </w:pPr>
            <w:r>
              <w:rPr>
                <w:sz w:val="14"/>
              </w:rPr>
              <w:t>0 . 1 %</w:t>
            </w:r>
          </w:p>
        </w:tc>
        <w:tc>
          <w:tcPr>
            <w:tcW w:w="1165" w:type="dxa"/>
          </w:tcPr>
          <w:p>
            <w:pPr>
              <w:pStyle w:val="TableParagraph"/>
              <w:spacing w:line="147" w:lineRule="exact" w:before="1"/>
              <w:ind w:right="166"/>
              <w:jc w:val="right"/>
              <w:rPr>
                <w:sz w:val="14"/>
              </w:rPr>
            </w:pPr>
            <w:r>
              <w:rPr>
                <w:sz w:val="14"/>
              </w:rPr>
              <w:t>2,206 .7</w:t>
            </w:r>
          </w:p>
        </w:tc>
        <w:tc>
          <w:tcPr>
            <w:tcW w:w="1224" w:type="dxa"/>
          </w:tcPr>
          <w:p>
            <w:pPr>
              <w:pStyle w:val="TableParagraph"/>
              <w:spacing w:line="147" w:lineRule="exact" w:before="1"/>
              <w:ind w:left="436"/>
              <w:rPr>
                <w:sz w:val="14"/>
              </w:rPr>
            </w:pPr>
            <w:r>
              <w:rPr>
                <w:sz w:val="14"/>
              </w:rPr>
              <w:t>0 . 1 %</w:t>
            </w:r>
          </w:p>
        </w:tc>
      </w:tr>
      <w:tr>
        <w:trPr>
          <w:trHeight w:val="251" w:hRule="atLeast"/>
        </w:trPr>
        <w:tc>
          <w:tcPr>
            <w:tcW w:w="474" w:type="dxa"/>
          </w:tcPr>
          <w:p>
            <w:pPr>
              <w:pStyle w:val="TableParagraph"/>
              <w:rPr>
                <w:rFonts w:ascii="Times New Roman"/>
                <w:sz w:val="14"/>
              </w:rPr>
            </w:pPr>
          </w:p>
        </w:tc>
        <w:tc>
          <w:tcPr>
            <w:tcW w:w="5644" w:type="dxa"/>
          </w:tcPr>
          <w:p>
            <w:pPr>
              <w:pStyle w:val="TableParagraph"/>
              <w:spacing w:before="1"/>
              <w:ind w:left="644"/>
              <w:rPr>
                <w:sz w:val="14"/>
              </w:rPr>
            </w:pPr>
            <w:r>
              <w:rPr>
                <w:sz w:val="14"/>
              </w:rPr>
              <w:t>Rice for Officers and Other Ranks</w:t>
            </w:r>
          </w:p>
        </w:tc>
        <w:tc>
          <w:tcPr>
            <w:tcW w:w="1785" w:type="dxa"/>
          </w:tcPr>
          <w:p>
            <w:pPr>
              <w:pStyle w:val="TableParagraph"/>
              <w:spacing w:before="1"/>
              <w:ind w:right="472"/>
              <w:jc w:val="right"/>
              <w:rPr>
                <w:b/>
                <w:sz w:val="14"/>
              </w:rPr>
            </w:pPr>
            <w:r>
              <w:rPr>
                <w:b/>
                <w:sz w:val="14"/>
              </w:rPr>
              <w:t>3,593.5</w:t>
            </w:r>
          </w:p>
        </w:tc>
        <w:tc>
          <w:tcPr>
            <w:tcW w:w="1555" w:type="dxa"/>
          </w:tcPr>
          <w:p>
            <w:pPr>
              <w:pStyle w:val="TableParagraph"/>
              <w:spacing w:before="1"/>
              <w:ind w:left="550"/>
              <w:rPr>
                <w:sz w:val="14"/>
              </w:rPr>
            </w:pPr>
            <w:r>
              <w:rPr>
                <w:sz w:val="14"/>
              </w:rPr>
              <w:t>0 . 2 %</w:t>
            </w:r>
          </w:p>
        </w:tc>
        <w:tc>
          <w:tcPr>
            <w:tcW w:w="1509" w:type="dxa"/>
          </w:tcPr>
          <w:p>
            <w:pPr>
              <w:pStyle w:val="TableParagraph"/>
              <w:spacing w:before="1"/>
              <w:ind w:right="394"/>
              <w:jc w:val="right"/>
              <w:rPr>
                <w:sz w:val="14"/>
              </w:rPr>
            </w:pPr>
            <w:r>
              <w:rPr>
                <w:sz w:val="14"/>
              </w:rPr>
              <w:t>3,983 .9</w:t>
            </w:r>
          </w:p>
        </w:tc>
        <w:tc>
          <w:tcPr>
            <w:tcW w:w="1439" w:type="dxa"/>
          </w:tcPr>
          <w:p>
            <w:pPr>
              <w:pStyle w:val="TableParagraph"/>
              <w:spacing w:before="1"/>
              <w:ind w:right="344"/>
              <w:jc w:val="right"/>
              <w:rPr>
                <w:sz w:val="14"/>
              </w:rPr>
            </w:pPr>
            <w:r>
              <w:rPr>
                <w:sz w:val="14"/>
              </w:rPr>
              <w:t>0 . 2 %</w:t>
            </w:r>
          </w:p>
        </w:tc>
        <w:tc>
          <w:tcPr>
            <w:tcW w:w="1165" w:type="dxa"/>
          </w:tcPr>
          <w:p>
            <w:pPr>
              <w:pStyle w:val="TableParagraph"/>
              <w:spacing w:before="1"/>
              <w:ind w:right="166"/>
              <w:jc w:val="right"/>
              <w:rPr>
                <w:sz w:val="14"/>
              </w:rPr>
            </w:pPr>
            <w:r>
              <w:rPr>
                <w:sz w:val="14"/>
              </w:rPr>
              <w:t>4,222 .5</w:t>
            </w:r>
          </w:p>
        </w:tc>
        <w:tc>
          <w:tcPr>
            <w:tcW w:w="1224" w:type="dxa"/>
          </w:tcPr>
          <w:p>
            <w:pPr>
              <w:pStyle w:val="TableParagraph"/>
              <w:spacing w:before="1"/>
              <w:ind w:left="436"/>
              <w:rPr>
                <w:sz w:val="14"/>
              </w:rPr>
            </w:pPr>
            <w:r>
              <w:rPr>
                <w:sz w:val="14"/>
              </w:rPr>
              <w:t>0 . 2 %</w:t>
            </w:r>
          </w:p>
        </w:tc>
      </w:tr>
      <w:tr>
        <w:trPr>
          <w:trHeight w:val="252" w:hRule="atLeast"/>
        </w:trPr>
        <w:tc>
          <w:tcPr>
            <w:tcW w:w="474" w:type="dxa"/>
          </w:tcPr>
          <w:p>
            <w:pPr>
              <w:pStyle w:val="TableParagraph"/>
              <w:spacing w:line="147" w:lineRule="exact" w:before="85"/>
              <w:ind w:right="95"/>
              <w:jc w:val="right"/>
              <w:rPr>
                <w:sz w:val="14"/>
              </w:rPr>
            </w:pPr>
            <w:r>
              <w:rPr>
                <w:w w:val="95"/>
                <w:sz w:val="14"/>
              </w:rPr>
              <w:t>208</w:t>
            </w:r>
          </w:p>
        </w:tc>
        <w:tc>
          <w:tcPr>
            <w:tcW w:w="5644" w:type="dxa"/>
          </w:tcPr>
          <w:p>
            <w:pPr>
              <w:pStyle w:val="TableParagraph"/>
              <w:spacing w:line="147" w:lineRule="exact" w:before="85"/>
              <w:ind w:left="92"/>
              <w:rPr>
                <w:sz w:val="14"/>
              </w:rPr>
            </w:pPr>
            <w:r>
              <w:rPr>
                <w:sz w:val="14"/>
              </w:rPr>
              <w:t>National Fire Authority</w:t>
            </w:r>
          </w:p>
        </w:tc>
        <w:tc>
          <w:tcPr>
            <w:tcW w:w="1785" w:type="dxa"/>
          </w:tcPr>
          <w:p>
            <w:pPr>
              <w:pStyle w:val="TableParagraph"/>
              <w:spacing w:line="147" w:lineRule="exact" w:before="85"/>
              <w:ind w:right="472"/>
              <w:jc w:val="right"/>
              <w:rPr>
                <w:b/>
                <w:sz w:val="14"/>
              </w:rPr>
            </w:pPr>
            <w:r>
              <w:rPr>
                <w:b/>
                <w:sz w:val="14"/>
              </w:rPr>
              <w:t>3,428.9</w:t>
            </w:r>
          </w:p>
        </w:tc>
        <w:tc>
          <w:tcPr>
            <w:tcW w:w="1555" w:type="dxa"/>
          </w:tcPr>
          <w:p>
            <w:pPr>
              <w:pStyle w:val="TableParagraph"/>
              <w:spacing w:line="147" w:lineRule="exact" w:before="85"/>
              <w:ind w:left="550"/>
              <w:rPr>
                <w:sz w:val="14"/>
              </w:rPr>
            </w:pPr>
            <w:r>
              <w:rPr>
                <w:sz w:val="14"/>
              </w:rPr>
              <w:t>0 . 2 %</w:t>
            </w:r>
          </w:p>
        </w:tc>
        <w:tc>
          <w:tcPr>
            <w:tcW w:w="1509" w:type="dxa"/>
          </w:tcPr>
          <w:p>
            <w:pPr>
              <w:pStyle w:val="TableParagraph"/>
              <w:spacing w:line="147" w:lineRule="exact" w:before="85"/>
              <w:ind w:right="394"/>
              <w:jc w:val="right"/>
              <w:rPr>
                <w:sz w:val="14"/>
              </w:rPr>
            </w:pPr>
            <w:r>
              <w:rPr>
                <w:sz w:val="14"/>
              </w:rPr>
              <w:t>3,361 .5</w:t>
            </w:r>
          </w:p>
        </w:tc>
        <w:tc>
          <w:tcPr>
            <w:tcW w:w="1439" w:type="dxa"/>
          </w:tcPr>
          <w:p>
            <w:pPr>
              <w:pStyle w:val="TableParagraph"/>
              <w:spacing w:line="147" w:lineRule="exact" w:before="85"/>
              <w:ind w:right="344"/>
              <w:jc w:val="right"/>
              <w:rPr>
                <w:sz w:val="14"/>
              </w:rPr>
            </w:pPr>
            <w:r>
              <w:rPr>
                <w:sz w:val="14"/>
              </w:rPr>
              <w:t>0 . 2 %</w:t>
            </w:r>
          </w:p>
        </w:tc>
        <w:tc>
          <w:tcPr>
            <w:tcW w:w="1165" w:type="dxa"/>
          </w:tcPr>
          <w:p>
            <w:pPr>
              <w:pStyle w:val="TableParagraph"/>
              <w:spacing w:line="147" w:lineRule="exact" w:before="85"/>
              <w:ind w:right="166"/>
              <w:jc w:val="right"/>
              <w:rPr>
                <w:sz w:val="14"/>
              </w:rPr>
            </w:pPr>
            <w:r>
              <w:rPr>
                <w:sz w:val="14"/>
              </w:rPr>
              <w:t>3,562 .8</w:t>
            </w:r>
          </w:p>
        </w:tc>
        <w:tc>
          <w:tcPr>
            <w:tcW w:w="1224" w:type="dxa"/>
          </w:tcPr>
          <w:p>
            <w:pPr>
              <w:pStyle w:val="TableParagraph"/>
              <w:spacing w:line="147" w:lineRule="exact" w:before="85"/>
              <w:ind w:left="436"/>
              <w:rPr>
                <w:sz w:val="14"/>
              </w:rPr>
            </w:pPr>
            <w:r>
              <w:rPr>
                <w:sz w:val="14"/>
              </w:rPr>
              <w:t>0 . 2 %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Administrative and Operating Costs</w:t>
            </w:r>
          </w:p>
        </w:tc>
        <w:tc>
          <w:tcPr>
            <w:tcW w:w="1785" w:type="dxa"/>
          </w:tcPr>
          <w:p>
            <w:pPr>
              <w:pStyle w:val="TableParagraph"/>
              <w:spacing w:line="147" w:lineRule="exact" w:before="1"/>
              <w:ind w:right="472"/>
              <w:jc w:val="right"/>
              <w:rPr>
                <w:b/>
                <w:sz w:val="14"/>
              </w:rPr>
            </w:pPr>
            <w:r>
              <w:rPr>
                <w:b/>
                <w:sz w:val="14"/>
              </w:rPr>
              <w:t>1,923.0</w:t>
            </w:r>
          </w:p>
        </w:tc>
        <w:tc>
          <w:tcPr>
            <w:tcW w:w="1555" w:type="dxa"/>
          </w:tcPr>
          <w:p>
            <w:pPr>
              <w:pStyle w:val="TableParagraph"/>
              <w:spacing w:line="147" w:lineRule="exact" w:before="1"/>
              <w:ind w:left="550"/>
              <w:rPr>
                <w:sz w:val="14"/>
              </w:rPr>
            </w:pPr>
            <w:r>
              <w:rPr>
                <w:sz w:val="14"/>
              </w:rPr>
              <w:t>0 . 1 %</w:t>
            </w:r>
          </w:p>
        </w:tc>
        <w:tc>
          <w:tcPr>
            <w:tcW w:w="1509" w:type="dxa"/>
          </w:tcPr>
          <w:p>
            <w:pPr>
              <w:pStyle w:val="TableParagraph"/>
              <w:spacing w:line="147" w:lineRule="exact" w:before="1"/>
              <w:ind w:right="394"/>
              <w:jc w:val="right"/>
              <w:rPr>
                <w:sz w:val="14"/>
              </w:rPr>
            </w:pPr>
            <w:r>
              <w:rPr>
                <w:sz w:val="14"/>
              </w:rPr>
              <w:t>1,506 .5</w:t>
            </w:r>
          </w:p>
        </w:tc>
        <w:tc>
          <w:tcPr>
            <w:tcW w:w="1439" w:type="dxa"/>
          </w:tcPr>
          <w:p>
            <w:pPr>
              <w:pStyle w:val="TableParagraph"/>
              <w:spacing w:line="147" w:lineRule="exact" w:before="1"/>
              <w:ind w:right="344"/>
              <w:jc w:val="right"/>
              <w:rPr>
                <w:sz w:val="14"/>
              </w:rPr>
            </w:pPr>
            <w:r>
              <w:rPr>
                <w:sz w:val="14"/>
              </w:rPr>
              <w:t>0 . 1 %</w:t>
            </w:r>
          </w:p>
        </w:tc>
        <w:tc>
          <w:tcPr>
            <w:tcW w:w="1165" w:type="dxa"/>
          </w:tcPr>
          <w:p>
            <w:pPr>
              <w:pStyle w:val="TableParagraph"/>
              <w:spacing w:line="147" w:lineRule="exact" w:before="1"/>
              <w:ind w:right="166"/>
              <w:jc w:val="right"/>
              <w:rPr>
                <w:sz w:val="14"/>
              </w:rPr>
            </w:pPr>
            <w:r>
              <w:rPr>
                <w:sz w:val="14"/>
              </w:rPr>
              <w:t>1,596 .7</w:t>
            </w:r>
          </w:p>
        </w:tc>
        <w:tc>
          <w:tcPr>
            <w:tcW w:w="1224" w:type="dxa"/>
          </w:tcPr>
          <w:p>
            <w:pPr>
              <w:pStyle w:val="TableParagraph"/>
              <w:spacing w:line="147" w:lineRule="exact" w:before="1"/>
              <w:ind w:left="436"/>
              <w:rPr>
                <w:sz w:val="14"/>
              </w:rPr>
            </w:pPr>
            <w:r>
              <w:rPr>
                <w:sz w:val="14"/>
              </w:rPr>
              <w:t>0 . 1 %</w:t>
            </w:r>
          </w:p>
        </w:tc>
      </w:tr>
      <w:tr>
        <w:trPr>
          <w:trHeight w:val="196" w:hRule="atLeast"/>
        </w:trPr>
        <w:tc>
          <w:tcPr>
            <w:tcW w:w="474" w:type="dxa"/>
          </w:tcPr>
          <w:p>
            <w:pPr>
              <w:pStyle w:val="TableParagraph"/>
              <w:rPr>
                <w:rFonts w:ascii="Times New Roman"/>
                <w:sz w:val="12"/>
              </w:rPr>
            </w:pPr>
          </w:p>
        </w:tc>
        <w:tc>
          <w:tcPr>
            <w:tcW w:w="5644" w:type="dxa"/>
          </w:tcPr>
          <w:p>
            <w:pPr>
              <w:pStyle w:val="TableParagraph"/>
              <w:spacing w:before="1"/>
              <w:ind w:left="261"/>
              <w:rPr>
                <w:sz w:val="14"/>
              </w:rPr>
            </w:pPr>
            <w:r>
              <w:rPr>
                <w:sz w:val="14"/>
              </w:rPr>
              <w:t>Improve Delivery of Fire Services</w:t>
            </w:r>
          </w:p>
        </w:tc>
        <w:tc>
          <w:tcPr>
            <w:tcW w:w="1785" w:type="dxa"/>
          </w:tcPr>
          <w:p>
            <w:pPr>
              <w:pStyle w:val="TableParagraph"/>
              <w:spacing w:before="1"/>
              <w:ind w:right="472"/>
              <w:jc w:val="right"/>
              <w:rPr>
                <w:b/>
                <w:sz w:val="14"/>
              </w:rPr>
            </w:pPr>
            <w:r>
              <w:rPr>
                <w:b/>
                <w:sz w:val="14"/>
              </w:rPr>
              <w:t>1,505.9</w:t>
            </w:r>
          </w:p>
        </w:tc>
        <w:tc>
          <w:tcPr>
            <w:tcW w:w="1555" w:type="dxa"/>
          </w:tcPr>
          <w:p>
            <w:pPr>
              <w:pStyle w:val="TableParagraph"/>
              <w:spacing w:before="1"/>
              <w:ind w:left="550"/>
              <w:rPr>
                <w:sz w:val="14"/>
              </w:rPr>
            </w:pPr>
            <w:r>
              <w:rPr>
                <w:sz w:val="14"/>
              </w:rPr>
              <w:t>0 . 1 %</w:t>
            </w:r>
          </w:p>
        </w:tc>
        <w:tc>
          <w:tcPr>
            <w:tcW w:w="1509" w:type="dxa"/>
          </w:tcPr>
          <w:p>
            <w:pPr>
              <w:pStyle w:val="TableParagraph"/>
              <w:spacing w:before="1"/>
              <w:ind w:right="394"/>
              <w:jc w:val="right"/>
              <w:rPr>
                <w:sz w:val="14"/>
              </w:rPr>
            </w:pPr>
            <w:r>
              <w:rPr>
                <w:sz w:val="14"/>
              </w:rPr>
              <w:t>1,855 .0</w:t>
            </w:r>
          </w:p>
        </w:tc>
        <w:tc>
          <w:tcPr>
            <w:tcW w:w="1439" w:type="dxa"/>
          </w:tcPr>
          <w:p>
            <w:pPr>
              <w:pStyle w:val="TableParagraph"/>
              <w:spacing w:before="1"/>
              <w:ind w:right="344"/>
              <w:jc w:val="right"/>
              <w:rPr>
                <w:sz w:val="14"/>
              </w:rPr>
            </w:pPr>
            <w:r>
              <w:rPr>
                <w:sz w:val="14"/>
              </w:rPr>
              <w:t>0 . 1 %</w:t>
            </w:r>
          </w:p>
        </w:tc>
        <w:tc>
          <w:tcPr>
            <w:tcW w:w="1165" w:type="dxa"/>
          </w:tcPr>
          <w:p>
            <w:pPr>
              <w:pStyle w:val="TableParagraph"/>
              <w:spacing w:before="1"/>
              <w:ind w:right="166"/>
              <w:jc w:val="right"/>
              <w:rPr>
                <w:sz w:val="14"/>
              </w:rPr>
            </w:pPr>
            <w:r>
              <w:rPr>
                <w:sz w:val="14"/>
              </w:rPr>
              <w:t>1,966 .1</w:t>
            </w:r>
          </w:p>
        </w:tc>
        <w:tc>
          <w:tcPr>
            <w:tcW w:w="1224" w:type="dxa"/>
          </w:tcPr>
          <w:p>
            <w:pPr>
              <w:pStyle w:val="TableParagraph"/>
              <w:spacing w:before="1"/>
              <w:ind w:left="436"/>
              <w:rPr>
                <w:sz w:val="14"/>
              </w:rPr>
            </w:pPr>
            <w:r>
              <w:rPr>
                <w:sz w:val="14"/>
              </w:rPr>
              <w:t>0 . 1 %</w:t>
            </w:r>
          </w:p>
        </w:tc>
      </w:tr>
      <w:tr>
        <w:trPr>
          <w:trHeight w:val="189" w:hRule="atLeast"/>
        </w:trPr>
        <w:tc>
          <w:tcPr>
            <w:tcW w:w="7903" w:type="dxa"/>
            <w:gridSpan w:val="3"/>
          </w:tcPr>
          <w:p>
            <w:pPr>
              <w:pStyle w:val="TableParagraph"/>
              <w:tabs>
                <w:tab w:pos="7439" w:val="right" w:leader="none"/>
              </w:tabs>
              <w:spacing w:line="133" w:lineRule="exact"/>
              <w:ind w:left="1075"/>
              <w:rPr>
                <w:b/>
                <w:sz w:val="14"/>
              </w:rPr>
            </w:pPr>
            <w:r>
              <w:rPr>
                <w:sz w:val="14"/>
              </w:rPr>
              <w:t>o/ </w:t>
            </w:r>
            <w:r>
              <w:rPr>
                <w:spacing w:val="2"/>
                <w:sz w:val="14"/>
              </w:rPr>
              <w:t>w:</w:t>
            </w:r>
            <w:r>
              <w:rPr>
                <w:spacing w:val="-17"/>
                <w:sz w:val="14"/>
              </w:rPr>
              <w:t> </w:t>
            </w:r>
            <w:r>
              <w:rPr>
                <w:spacing w:val="4"/>
                <w:sz w:val="14"/>
              </w:rPr>
              <w:t>Fire</w:t>
            </w:r>
            <w:r>
              <w:rPr>
                <w:sz w:val="14"/>
              </w:rPr>
              <w:t> </w:t>
            </w:r>
            <w:r>
              <w:rPr>
                <w:spacing w:val="4"/>
                <w:sz w:val="14"/>
              </w:rPr>
              <w:t>Engines</w:t>
              <w:tab/>
            </w:r>
            <w:r>
              <w:rPr>
                <w:b/>
                <w:sz w:val="14"/>
              </w:rPr>
              <w:t>880.5</w:t>
            </w:r>
          </w:p>
        </w:tc>
        <w:tc>
          <w:tcPr>
            <w:tcW w:w="1555" w:type="dxa"/>
          </w:tcPr>
          <w:p>
            <w:pPr>
              <w:pStyle w:val="TableParagraph"/>
              <w:spacing w:line="133" w:lineRule="exact"/>
              <w:ind w:left="550"/>
              <w:rPr>
                <w:sz w:val="14"/>
              </w:rPr>
            </w:pPr>
            <w:r>
              <w:rPr>
                <w:sz w:val="14"/>
              </w:rPr>
              <w:t>0 . 0 %</w:t>
            </w:r>
          </w:p>
        </w:tc>
        <w:tc>
          <w:tcPr>
            <w:tcW w:w="1509" w:type="dxa"/>
          </w:tcPr>
          <w:p>
            <w:pPr>
              <w:pStyle w:val="TableParagraph"/>
              <w:spacing w:line="133" w:lineRule="exact"/>
              <w:ind w:right="394"/>
              <w:jc w:val="right"/>
              <w:rPr>
                <w:sz w:val="14"/>
              </w:rPr>
            </w:pPr>
            <w:r>
              <w:rPr>
                <w:sz w:val="14"/>
              </w:rPr>
              <w:t>1,084 .6</w:t>
            </w:r>
          </w:p>
        </w:tc>
        <w:tc>
          <w:tcPr>
            <w:tcW w:w="1439" w:type="dxa"/>
          </w:tcPr>
          <w:p>
            <w:pPr>
              <w:pStyle w:val="TableParagraph"/>
              <w:spacing w:line="133" w:lineRule="exact"/>
              <w:ind w:right="344"/>
              <w:jc w:val="right"/>
              <w:rPr>
                <w:sz w:val="14"/>
              </w:rPr>
            </w:pPr>
            <w:r>
              <w:rPr>
                <w:sz w:val="14"/>
              </w:rPr>
              <w:t>0 . 1 %</w:t>
            </w:r>
          </w:p>
        </w:tc>
        <w:tc>
          <w:tcPr>
            <w:tcW w:w="1165" w:type="dxa"/>
          </w:tcPr>
          <w:p>
            <w:pPr>
              <w:pStyle w:val="TableParagraph"/>
              <w:spacing w:line="133" w:lineRule="exact"/>
              <w:ind w:right="166"/>
              <w:jc w:val="right"/>
              <w:rPr>
                <w:sz w:val="14"/>
              </w:rPr>
            </w:pPr>
            <w:r>
              <w:rPr>
                <w:sz w:val="14"/>
              </w:rPr>
              <w:t>1,149 .6</w:t>
            </w:r>
          </w:p>
        </w:tc>
        <w:tc>
          <w:tcPr>
            <w:tcW w:w="1224" w:type="dxa"/>
          </w:tcPr>
          <w:p>
            <w:pPr>
              <w:pStyle w:val="TableParagraph"/>
              <w:spacing w:line="133" w:lineRule="exact"/>
              <w:ind w:left="436"/>
              <w:rPr>
                <w:sz w:val="14"/>
              </w:rPr>
            </w:pPr>
            <w:r>
              <w:rPr>
                <w:sz w:val="14"/>
              </w:rPr>
              <w:t>0 . 1 %</w:t>
            </w:r>
          </w:p>
        </w:tc>
      </w:tr>
      <w:tr>
        <w:trPr>
          <w:trHeight w:val="302" w:hRule="atLeast"/>
        </w:trPr>
        <w:tc>
          <w:tcPr>
            <w:tcW w:w="474" w:type="dxa"/>
          </w:tcPr>
          <w:p>
            <w:pPr>
              <w:pStyle w:val="TableParagraph"/>
              <w:spacing w:before="51"/>
              <w:ind w:right="95"/>
              <w:jc w:val="right"/>
              <w:rPr>
                <w:sz w:val="14"/>
              </w:rPr>
            </w:pPr>
            <w:r>
              <w:rPr>
                <w:w w:val="95"/>
                <w:sz w:val="14"/>
              </w:rPr>
              <w:t>209</w:t>
            </w:r>
          </w:p>
        </w:tc>
        <w:tc>
          <w:tcPr>
            <w:tcW w:w="5644" w:type="dxa"/>
          </w:tcPr>
          <w:p>
            <w:pPr>
              <w:pStyle w:val="TableParagraph"/>
              <w:spacing w:before="51"/>
              <w:ind w:left="92"/>
              <w:rPr>
                <w:sz w:val="14"/>
              </w:rPr>
            </w:pPr>
            <w:r>
              <w:rPr>
                <w:sz w:val="14"/>
              </w:rPr>
              <w:t>Central Intelligence &amp; Security Unit</w:t>
            </w:r>
          </w:p>
        </w:tc>
        <w:tc>
          <w:tcPr>
            <w:tcW w:w="1785" w:type="dxa"/>
          </w:tcPr>
          <w:p>
            <w:pPr>
              <w:pStyle w:val="TableParagraph"/>
              <w:spacing w:before="51"/>
              <w:ind w:right="472"/>
              <w:jc w:val="right"/>
              <w:rPr>
                <w:b/>
                <w:sz w:val="14"/>
              </w:rPr>
            </w:pPr>
            <w:r>
              <w:rPr>
                <w:b/>
                <w:sz w:val="14"/>
              </w:rPr>
              <w:t>4,479.2</w:t>
            </w:r>
          </w:p>
        </w:tc>
        <w:tc>
          <w:tcPr>
            <w:tcW w:w="1555" w:type="dxa"/>
          </w:tcPr>
          <w:p>
            <w:pPr>
              <w:pStyle w:val="TableParagraph"/>
              <w:spacing w:before="51"/>
              <w:ind w:left="550"/>
              <w:rPr>
                <w:sz w:val="14"/>
              </w:rPr>
            </w:pPr>
            <w:r>
              <w:rPr>
                <w:sz w:val="14"/>
              </w:rPr>
              <w:t>0 . 2 %</w:t>
            </w:r>
          </w:p>
        </w:tc>
        <w:tc>
          <w:tcPr>
            <w:tcW w:w="1509" w:type="dxa"/>
          </w:tcPr>
          <w:p>
            <w:pPr>
              <w:pStyle w:val="TableParagraph"/>
              <w:spacing w:before="51"/>
              <w:ind w:right="394"/>
              <w:jc w:val="right"/>
              <w:rPr>
                <w:sz w:val="14"/>
              </w:rPr>
            </w:pPr>
            <w:r>
              <w:rPr>
                <w:sz w:val="14"/>
              </w:rPr>
              <w:t>4,593 .6</w:t>
            </w:r>
          </w:p>
        </w:tc>
        <w:tc>
          <w:tcPr>
            <w:tcW w:w="1439" w:type="dxa"/>
          </w:tcPr>
          <w:p>
            <w:pPr>
              <w:pStyle w:val="TableParagraph"/>
              <w:spacing w:before="51"/>
              <w:ind w:right="344"/>
              <w:jc w:val="right"/>
              <w:rPr>
                <w:sz w:val="14"/>
              </w:rPr>
            </w:pPr>
            <w:r>
              <w:rPr>
                <w:sz w:val="14"/>
              </w:rPr>
              <w:t>0 . 2 %</w:t>
            </w:r>
          </w:p>
        </w:tc>
        <w:tc>
          <w:tcPr>
            <w:tcW w:w="1165" w:type="dxa"/>
          </w:tcPr>
          <w:p>
            <w:pPr>
              <w:pStyle w:val="TableParagraph"/>
              <w:spacing w:before="51"/>
              <w:ind w:right="166"/>
              <w:jc w:val="right"/>
              <w:rPr>
                <w:sz w:val="14"/>
              </w:rPr>
            </w:pPr>
            <w:r>
              <w:rPr>
                <w:sz w:val="14"/>
              </w:rPr>
              <w:t>4,868 .7</w:t>
            </w:r>
          </w:p>
        </w:tc>
        <w:tc>
          <w:tcPr>
            <w:tcW w:w="1224" w:type="dxa"/>
          </w:tcPr>
          <w:p>
            <w:pPr>
              <w:pStyle w:val="TableParagraph"/>
              <w:spacing w:before="51"/>
              <w:ind w:left="436"/>
              <w:rPr>
                <w:sz w:val="14"/>
              </w:rPr>
            </w:pPr>
            <w:r>
              <w:rPr>
                <w:sz w:val="14"/>
              </w:rPr>
              <w:t>0 . 2 %</w:t>
            </w:r>
          </w:p>
        </w:tc>
      </w:tr>
      <w:tr>
        <w:trPr>
          <w:trHeight w:val="252" w:hRule="atLeast"/>
        </w:trPr>
        <w:tc>
          <w:tcPr>
            <w:tcW w:w="474" w:type="dxa"/>
          </w:tcPr>
          <w:p>
            <w:pPr>
              <w:pStyle w:val="TableParagraph"/>
              <w:spacing w:line="147" w:lineRule="exact" w:before="85"/>
              <w:ind w:right="95"/>
              <w:jc w:val="right"/>
              <w:rPr>
                <w:sz w:val="14"/>
              </w:rPr>
            </w:pPr>
            <w:r>
              <w:rPr>
                <w:w w:val="95"/>
                <w:sz w:val="14"/>
              </w:rPr>
              <w:t>210</w:t>
            </w:r>
          </w:p>
        </w:tc>
        <w:tc>
          <w:tcPr>
            <w:tcW w:w="5644" w:type="dxa"/>
          </w:tcPr>
          <w:p>
            <w:pPr>
              <w:pStyle w:val="TableParagraph"/>
              <w:spacing w:line="147" w:lineRule="exact" w:before="85"/>
              <w:ind w:left="92"/>
              <w:rPr>
                <w:sz w:val="14"/>
              </w:rPr>
            </w:pPr>
            <w:r>
              <w:rPr>
                <w:sz w:val="14"/>
              </w:rPr>
              <w:t>Office of National Security</w:t>
            </w:r>
          </w:p>
        </w:tc>
        <w:tc>
          <w:tcPr>
            <w:tcW w:w="1785" w:type="dxa"/>
          </w:tcPr>
          <w:p>
            <w:pPr>
              <w:pStyle w:val="TableParagraph"/>
              <w:spacing w:line="147" w:lineRule="exact" w:before="85"/>
              <w:ind w:right="472"/>
              <w:jc w:val="right"/>
              <w:rPr>
                <w:b/>
                <w:sz w:val="14"/>
              </w:rPr>
            </w:pPr>
            <w:r>
              <w:rPr>
                <w:b/>
                <w:sz w:val="14"/>
              </w:rPr>
              <w:t>6,598.2</w:t>
            </w:r>
          </w:p>
        </w:tc>
        <w:tc>
          <w:tcPr>
            <w:tcW w:w="1555" w:type="dxa"/>
          </w:tcPr>
          <w:p>
            <w:pPr>
              <w:pStyle w:val="TableParagraph"/>
              <w:spacing w:line="147" w:lineRule="exact" w:before="85"/>
              <w:ind w:left="550"/>
              <w:rPr>
                <w:sz w:val="14"/>
              </w:rPr>
            </w:pPr>
            <w:r>
              <w:rPr>
                <w:sz w:val="14"/>
              </w:rPr>
              <w:t>0 . 3 %</w:t>
            </w:r>
          </w:p>
        </w:tc>
        <w:tc>
          <w:tcPr>
            <w:tcW w:w="1509" w:type="dxa"/>
          </w:tcPr>
          <w:p>
            <w:pPr>
              <w:pStyle w:val="TableParagraph"/>
              <w:spacing w:line="147" w:lineRule="exact" w:before="85"/>
              <w:ind w:right="394"/>
              <w:jc w:val="right"/>
              <w:rPr>
                <w:sz w:val="14"/>
              </w:rPr>
            </w:pPr>
            <w:r>
              <w:rPr>
                <w:sz w:val="14"/>
              </w:rPr>
              <w:t>7,118 .3</w:t>
            </w:r>
          </w:p>
        </w:tc>
        <w:tc>
          <w:tcPr>
            <w:tcW w:w="1439" w:type="dxa"/>
          </w:tcPr>
          <w:p>
            <w:pPr>
              <w:pStyle w:val="TableParagraph"/>
              <w:spacing w:line="147" w:lineRule="exact" w:before="85"/>
              <w:ind w:right="344"/>
              <w:jc w:val="right"/>
              <w:rPr>
                <w:sz w:val="14"/>
              </w:rPr>
            </w:pPr>
            <w:r>
              <w:rPr>
                <w:sz w:val="14"/>
              </w:rPr>
              <w:t>0 . 3 %</w:t>
            </w:r>
          </w:p>
        </w:tc>
        <w:tc>
          <w:tcPr>
            <w:tcW w:w="1165" w:type="dxa"/>
          </w:tcPr>
          <w:p>
            <w:pPr>
              <w:pStyle w:val="TableParagraph"/>
              <w:spacing w:line="147" w:lineRule="exact" w:before="85"/>
              <w:ind w:right="166"/>
              <w:jc w:val="right"/>
              <w:rPr>
                <w:sz w:val="14"/>
              </w:rPr>
            </w:pPr>
            <w:r>
              <w:rPr>
                <w:sz w:val="14"/>
              </w:rPr>
              <w:t>7,544 .7</w:t>
            </w:r>
          </w:p>
        </w:tc>
        <w:tc>
          <w:tcPr>
            <w:tcW w:w="1224" w:type="dxa"/>
          </w:tcPr>
          <w:p>
            <w:pPr>
              <w:pStyle w:val="TableParagraph"/>
              <w:spacing w:line="147" w:lineRule="exact" w:before="85"/>
              <w:ind w:left="436"/>
              <w:rPr>
                <w:sz w:val="14"/>
              </w:rPr>
            </w:pPr>
            <w:r>
              <w:rPr>
                <w:sz w:val="14"/>
              </w:rPr>
              <w:t>0 . 4 %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Administrative and Operating Costs</w:t>
            </w:r>
          </w:p>
        </w:tc>
        <w:tc>
          <w:tcPr>
            <w:tcW w:w="1785" w:type="dxa"/>
          </w:tcPr>
          <w:p>
            <w:pPr>
              <w:pStyle w:val="TableParagraph"/>
              <w:spacing w:line="147" w:lineRule="exact" w:before="1"/>
              <w:ind w:right="472"/>
              <w:jc w:val="right"/>
              <w:rPr>
                <w:b/>
                <w:sz w:val="14"/>
              </w:rPr>
            </w:pPr>
            <w:r>
              <w:rPr>
                <w:b/>
                <w:sz w:val="14"/>
              </w:rPr>
              <w:t>2,941.8</w:t>
            </w:r>
          </w:p>
        </w:tc>
        <w:tc>
          <w:tcPr>
            <w:tcW w:w="1555" w:type="dxa"/>
          </w:tcPr>
          <w:p>
            <w:pPr>
              <w:pStyle w:val="TableParagraph"/>
              <w:spacing w:line="147" w:lineRule="exact" w:before="1"/>
              <w:ind w:left="550"/>
              <w:rPr>
                <w:sz w:val="14"/>
              </w:rPr>
            </w:pPr>
            <w:r>
              <w:rPr>
                <w:sz w:val="14"/>
              </w:rPr>
              <w:t>0 . 1 %</w:t>
            </w:r>
          </w:p>
        </w:tc>
        <w:tc>
          <w:tcPr>
            <w:tcW w:w="1509" w:type="dxa"/>
          </w:tcPr>
          <w:p>
            <w:pPr>
              <w:pStyle w:val="TableParagraph"/>
              <w:spacing w:line="147" w:lineRule="exact" w:before="1"/>
              <w:ind w:right="394"/>
              <w:jc w:val="right"/>
              <w:rPr>
                <w:sz w:val="14"/>
              </w:rPr>
            </w:pPr>
            <w:r>
              <w:rPr>
                <w:sz w:val="14"/>
              </w:rPr>
              <w:t>2,884 .6</w:t>
            </w:r>
          </w:p>
        </w:tc>
        <w:tc>
          <w:tcPr>
            <w:tcW w:w="1439" w:type="dxa"/>
          </w:tcPr>
          <w:p>
            <w:pPr>
              <w:pStyle w:val="TableParagraph"/>
              <w:spacing w:line="147" w:lineRule="exact" w:before="1"/>
              <w:ind w:right="344"/>
              <w:jc w:val="right"/>
              <w:rPr>
                <w:sz w:val="14"/>
              </w:rPr>
            </w:pPr>
            <w:r>
              <w:rPr>
                <w:sz w:val="14"/>
              </w:rPr>
              <w:t>0 . 1 %</w:t>
            </w:r>
          </w:p>
        </w:tc>
        <w:tc>
          <w:tcPr>
            <w:tcW w:w="1165" w:type="dxa"/>
          </w:tcPr>
          <w:p>
            <w:pPr>
              <w:pStyle w:val="TableParagraph"/>
              <w:spacing w:line="147" w:lineRule="exact" w:before="1"/>
              <w:ind w:right="166"/>
              <w:jc w:val="right"/>
              <w:rPr>
                <w:sz w:val="14"/>
              </w:rPr>
            </w:pPr>
            <w:r>
              <w:rPr>
                <w:sz w:val="14"/>
              </w:rPr>
              <w:t>3,057 .4</w:t>
            </w:r>
          </w:p>
        </w:tc>
        <w:tc>
          <w:tcPr>
            <w:tcW w:w="1224" w:type="dxa"/>
          </w:tcPr>
          <w:p>
            <w:pPr>
              <w:pStyle w:val="TableParagraph"/>
              <w:spacing w:line="147" w:lineRule="exact" w:before="1"/>
              <w:ind w:left="436"/>
              <w:rPr>
                <w:sz w:val="14"/>
              </w:rPr>
            </w:pPr>
            <w:r>
              <w:rPr>
                <w:sz w:val="14"/>
              </w:rPr>
              <w:t>0 . 1 %</w:t>
            </w:r>
          </w:p>
        </w:tc>
      </w:tr>
      <w:tr>
        <w:trPr>
          <w:trHeight w:val="168"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Coordination of the Security Sector</w:t>
            </w:r>
          </w:p>
        </w:tc>
        <w:tc>
          <w:tcPr>
            <w:tcW w:w="1785" w:type="dxa"/>
          </w:tcPr>
          <w:p>
            <w:pPr>
              <w:pStyle w:val="TableParagraph"/>
              <w:spacing w:line="147" w:lineRule="exact" w:before="1"/>
              <w:ind w:right="472"/>
              <w:jc w:val="right"/>
              <w:rPr>
                <w:b/>
                <w:sz w:val="14"/>
              </w:rPr>
            </w:pPr>
            <w:r>
              <w:rPr>
                <w:b/>
                <w:sz w:val="14"/>
              </w:rPr>
              <w:t>2,656.3</w:t>
            </w:r>
          </w:p>
        </w:tc>
        <w:tc>
          <w:tcPr>
            <w:tcW w:w="1555" w:type="dxa"/>
          </w:tcPr>
          <w:p>
            <w:pPr>
              <w:pStyle w:val="TableParagraph"/>
              <w:spacing w:line="147" w:lineRule="exact" w:before="1"/>
              <w:ind w:left="550"/>
              <w:rPr>
                <w:sz w:val="14"/>
              </w:rPr>
            </w:pPr>
            <w:r>
              <w:rPr>
                <w:sz w:val="14"/>
              </w:rPr>
              <w:t>0 . 1 %</w:t>
            </w:r>
          </w:p>
        </w:tc>
        <w:tc>
          <w:tcPr>
            <w:tcW w:w="1509" w:type="dxa"/>
          </w:tcPr>
          <w:p>
            <w:pPr>
              <w:pStyle w:val="TableParagraph"/>
              <w:spacing w:line="147" w:lineRule="exact" w:before="1"/>
              <w:ind w:right="394"/>
              <w:jc w:val="right"/>
              <w:rPr>
                <w:sz w:val="14"/>
              </w:rPr>
            </w:pPr>
            <w:r>
              <w:rPr>
                <w:sz w:val="14"/>
              </w:rPr>
              <w:t>3,272 .0</w:t>
            </w:r>
          </w:p>
        </w:tc>
        <w:tc>
          <w:tcPr>
            <w:tcW w:w="1439" w:type="dxa"/>
          </w:tcPr>
          <w:p>
            <w:pPr>
              <w:pStyle w:val="TableParagraph"/>
              <w:spacing w:line="147" w:lineRule="exact" w:before="1"/>
              <w:ind w:right="344"/>
              <w:jc w:val="right"/>
              <w:rPr>
                <w:sz w:val="14"/>
              </w:rPr>
            </w:pPr>
            <w:r>
              <w:rPr>
                <w:sz w:val="14"/>
              </w:rPr>
              <w:t>0 . 2 %</w:t>
            </w:r>
          </w:p>
        </w:tc>
        <w:tc>
          <w:tcPr>
            <w:tcW w:w="1165" w:type="dxa"/>
          </w:tcPr>
          <w:p>
            <w:pPr>
              <w:pStyle w:val="TableParagraph"/>
              <w:spacing w:line="147" w:lineRule="exact" w:before="1"/>
              <w:ind w:right="166"/>
              <w:jc w:val="right"/>
              <w:rPr>
                <w:sz w:val="14"/>
              </w:rPr>
            </w:pPr>
            <w:r>
              <w:rPr>
                <w:sz w:val="14"/>
              </w:rPr>
              <w:t>3,468 .0</w:t>
            </w:r>
          </w:p>
        </w:tc>
        <w:tc>
          <w:tcPr>
            <w:tcW w:w="1224" w:type="dxa"/>
          </w:tcPr>
          <w:p>
            <w:pPr>
              <w:pStyle w:val="TableParagraph"/>
              <w:spacing w:line="147" w:lineRule="exact" w:before="1"/>
              <w:ind w:left="436"/>
              <w:rPr>
                <w:sz w:val="14"/>
              </w:rPr>
            </w:pPr>
            <w:r>
              <w:rPr>
                <w:sz w:val="14"/>
              </w:rPr>
              <w:t>0 . 2 %</w:t>
            </w:r>
          </w:p>
        </w:tc>
      </w:tr>
      <w:tr>
        <w:trPr>
          <w:trHeight w:val="251" w:hRule="atLeast"/>
        </w:trPr>
        <w:tc>
          <w:tcPr>
            <w:tcW w:w="474" w:type="dxa"/>
          </w:tcPr>
          <w:p>
            <w:pPr>
              <w:pStyle w:val="TableParagraph"/>
              <w:rPr>
                <w:rFonts w:ascii="Times New Roman"/>
                <w:sz w:val="14"/>
              </w:rPr>
            </w:pPr>
          </w:p>
        </w:tc>
        <w:tc>
          <w:tcPr>
            <w:tcW w:w="5644" w:type="dxa"/>
          </w:tcPr>
          <w:p>
            <w:pPr>
              <w:pStyle w:val="TableParagraph"/>
              <w:spacing w:before="1"/>
              <w:ind w:left="260"/>
              <w:rPr>
                <w:sz w:val="14"/>
              </w:rPr>
            </w:pPr>
            <w:r>
              <w:rPr>
                <w:sz w:val="14"/>
              </w:rPr>
              <w:t>Establishment of Disaster Management Agency</w:t>
            </w:r>
          </w:p>
        </w:tc>
        <w:tc>
          <w:tcPr>
            <w:tcW w:w="1785" w:type="dxa"/>
          </w:tcPr>
          <w:p>
            <w:pPr>
              <w:pStyle w:val="TableParagraph"/>
              <w:spacing w:before="1"/>
              <w:ind w:right="472"/>
              <w:jc w:val="right"/>
              <w:rPr>
                <w:b/>
                <w:sz w:val="14"/>
              </w:rPr>
            </w:pPr>
            <w:r>
              <w:rPr>
                <w:b/>
                <w:sz w:val="14"/>
              </w:rPr>
              <w:t>1,000.0</w:t>
            </w:r>
          </w:p>
        </w:tc>
        <w:tc>
          <w:tcPr>
            <w:tcW w:w="1555" w:type="dxa"/>
          </w:tcPr>
          <w:p>
            <w:pPr>
              <w:pStyle w:val="TableParagraph"/>
              <w:spacing w:before="1"/>
              <w:ind w:left="550"/>
              <w:rPr>
                <w:sz w:val="14"/>
              </w:rPr>
            </w:pPr>
            <w:r>
              <w:rPr>
                <w:sz w:val="14"/>
              </w:rPr>
              <w:t>0 . 0 %</w:t>
            </w:r>
          </w:p>
        </w:tc>
        <w:tc>
          <w:tcPr>
            <w:tcW w:w="1509" w:type="dxa"/>
          </w:tcPr>
          <w:p>
            <w:pPr>
              <w:pStyle w:val="TableParagraph"/>
              <w:spacing w:before="1"/>
              <w:ind w:right="391"/>
              <w:jc w:val="right"/>
              <w:rPr>
                <w:sz w:val="14"/>
              </w:rPr>
            </w:pPr>
            <w:r>
              <w:rPr>
                <w:sz w:val="14"/>
              </w:rPr>
              <w:t>961.6</w:t>
            </w:r>
          </w:p>
        </w:tc>
        <w:tc>
          <w:tcPr>
            <w:tcW w:w="1439" w:type="dxa"/>
          </w:tcPr>
          <w:p>
            <w:pPr>
              <w:pStyle w:val="TableParagraph"/>
              <w:spacing w:before="1"/>
              <w:ind w:right="344"/>
              <w:jc w:val="right"/>
              <w:rPr>
                <w:sz w:val="14"/>
              </w:rPr>
            </w:pPr>
            <w:r>
              <w:rPr>
                <w:sz w:val="14"/>
              </w:rPr>
              <w:t>0 . 0 %</w:t>
            </w:r>
          </w:p>
        </w:tc>
        <w:tc>
          <w:tcPr>
            <w:tcW w:w="1165" w:type="dxa"/>
          </w:tcPr>
          <w:p>
            <w:pPr>
              <w:pStyle w:val="TableParagraph"/>
              <w:spacing w:before="1"/>
              <w:ind w:right="166"/>
              <w:jc w:val="right"/>
              <w:rPr>
                <w:sz w:val="14"/>
              </w:rPr>
            </w:pPr>
            <w:r>
              <w:rPr>
                <w:sz w:val="14"/>
              </w:rPr>
              <w:t>1,019 .2</w:t>
            </w:r>
          </w:p>
        </w:tc>
        <w:tc>
          <w:tcPr>
            <w:tcW w:w="1224" w:type="dxa"/>
          </w:tcPr>
          <w:p>
            <w:pPr>
              <w:pStyle w:val="TableParagraph"/>
              <w:spacing w:before="1"/>
              <w:ind w:left="436"/>
              <w:rPr>
                <w:sz w:val="14"/>
              </w:rPr>
            </w:pPr>
            <w:r>
              <w:rPr>
                <w:sz w:val="14"/>
              </w:rPr>
              <w:t>0 . 0 %</w:t>
            </w:r>
          </w:p>
        </w:tc>
      </w:tr>
      <w:tr>
        <w:trPr>
          <w:trHeight w:val="252" w:hRule="atLeast"/>
        </w:trPr>
        <w:tc>
          <w:tcPr>
            <w:tcW w:w="474" w:type="dxa"/>
          </w:tcPr>
          <w:p>
            <w:pPr>
              <w:pStyle w:val="TableParagraph"/>
              <w:spacing w:line="147" w:lineRule="exact" w:before="85"/>
              <w:ind w:right="95"/>
              <w:jc w:val="right"/>
              <w:rPr>
                <w:sz w:val="14"/>
              </w:rPr>
            </w:pPr>
            <w:r>
              <w:rPr>
                <w:w w:val="95"/>
                <w:sz w:val="14"/>
              </w:rPr>
              <w:t>211</w:t>
            </w:r>
          </w:p>
        </w:tc>
        <w:tc>
          <w:tcPr>
            <w:tcW w:w="5644" w:type="dxa"/>
          </w:tcPr>
          <w:p>
            <w:pPr>
              <w:pStyle w:val="TableParagraph"/>
              <w:spacing w:line="147" w:lineRule="exact" w:before="85"/>
              <w:ind w:left="93"/>
              <w:rPr>
                <w:sz w:val="14"/>
              </w:rPr>
            </w:pPr>
            <w:r>
              <w:rPr>
                <w:sz w:val="14"/>
              </w:rPr>
              <w:t>Immigration Department</w:t>
            </w:r>
          </w:p>
        </w:tc>
        <w:tc>
          <w:tcPr>
            <w:tcW w:w="1785" w:type="dxa"/>
          </w:tcPr>
          <w:p>
            <w:pPr>
              <w:pStyle w:val="TableParagraph"/>
              <w:spacing w:line="147" w:lineRule="exact" w:before="85"/>
              <w:ind w:right="472"/>
              <w:jc w:val="right"/>
              <w:rPr>
                <w:b/>
                <w:sz w:val="14"/>
              </w:rPr>
            </w:pPr>
            <w:r>
              <w:rPr>
                <w:b/>
                <w:sz w:val="14"/>
              </w:rPr>
              <w:t>3,732.6</w:t>
            </w:r>
          </w:p>
        </w:tc>
        <w:tc>
          <w:tcPr>
            <w:tcW w:w="1555" w:type="dxa"/>
          </w:tcPr>
          <w:p>
            <w:pPr>
              <w:pStyle w:val="TableParagraph"/>
              <w:spacing w:line="147" w:lineRule="exact" w:before="85"/>
              <w:ind w:left="550"/>
              <w:rPr>
                <w:sz w:val="14"/>
              </w:rPr>
            </w:pPr>
            <w:r>
              <w:rPr>
                <w:sz w:val="14"/>
              </w:rPr>
              <w:t>0 . 2 %</w:t>
            </w:r>
          </w:p>
        </w:tc>
        <w:tc>
          <w:tcPr>
            <w:tcW w:w="1509" w:type="dxa"/>
          </w:tcPr>
          <w:p>
            <w:pPr>
              <w:pStyle w:val="TableParagraph"/>
              <w:spacing w:line="147" w:lineRule="exact" w:before="85"/>
              <w:ind w:right="394"/>
              <w:jc w:val="right"/>
              <w:rPr>
                <w:sz w:val="14"/>
              </w:rPr>
            </w:pPr>
            <w:r>
              <w:rPr>
                <w:sz w:val="14"/>
              </w:rPr>
              <w:t>3,981 .9</w:t>
            </w:r>
          </w:p>
        </w:tc>
        <w:tc>
          <w:tcPr>
            <w:tcW w:w="1439" w:type="dxa"/>
          </w:tcPr>
          <w:p>
            <w:pPr>
              <w:pStyle w:val="TableParagraph"/>
              <w:spacing w:line="147" w:lineRule="exact" w:before="85"/>
              <w:ind w:right="344"/>
              <w:jc w:val="right"/>
              <w:rPr>
                <w:sz w:val="14"/>
              </w:rPr>
            </w:pPr>
            <w:r>
              <w:rPr>
                <w:sz w:val="14"/>
              </w:rPr>
              <w:t>0 . 2 %</w:t>
            </w:r>
          </w:p>
        </w:tc>
        <w:tc>
          <w:tcPr>
            <w:tcW w:w="1165" w:type="dxa"/>
          </w:tcPr>
          <w:p>
            <w:pPr>
              <w:pStyle w:val="TableParagraph"/>
              <w:spacing w:line="147" w:lineRule="exact" w:before="85"/>
              <w:ind w:right="166"/>
              <w:jc w:val="right"/>
              <w:rPr>
                <w:sz w:val="14"/>
              </w:rPr>
            </w:pPr>
            <w:r>
              <w:rPr>
                <w:sz w:val="14"/>
              </w:rPr>
              <w:t>4,220 .5</w:t>
            </w:r>
          </w:p>
        </w:tc>
        <w:tc>
          <w:tcPr>
            <w:tcW w:w="1224" w:type="dxa"/>
          </w:tcPr>
          <w:p>
            <w:pPr>
              <w:pStyle w:val="TableParagraph"/>
              <w:spacing w:line="147" w:lineRule="exact" w:before="85"/>
              <w:ind w:left="436"/>
              <w:rPr>
                <w:sz w:val="14"/>
              </w:rPr>
            </w:pPr>
            <w:r>
              <w:rPr>
                <w:sz w:val="14"/>
              </w:rPr>
              <w:t>0 . 2 %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Administrative and Operating Costs</w:t>
            </w:r>
          </w:p>
        </w:tc>
        <w:tc>
          <w:tcPr>
            <w:tcW w:w="1785" w:type="dxa"/>
          </w:tcPr>
          <w:p>
            <w:pPr>
              <w:pStyle w:val="TableParagraph"/>
              <w:spacing w:line="147" w:lineRule="exact" w:before="1"/>
              <w:ind w:right="472"/>
              <w:jc w:val="right"/>
              <w:rPr>
                <w:b/>
                <w:sz w:val="14"/>
              </w:rPr>
            </w:pPr>
            <w:r>
              <w:rPr>
                <w:b/>
                <w:sz w:val="14"/>
              </w:rPr>
              <w:t>2,090.0</w:t>
            </w:r>
          </w:p>
        </w:tc>
        <w:tc>
          <w:tcPr>
            <w:tcW w:w="1555" w:type="dxa"/>
          </w:tcPr>
          <w:p>
            <w:pPr>
              <w:pStyle w:val="TableParagraph"/>
              <w:spacing w:line="147" w:lineRule="exact" w:before="1"/>
              <w:ind w:left="550"/>
              <w:rPr>
                <w:sz w:val="14"/>
              </w:rPr>
            </w:pPr>
            <w:r>
              <w:rPr>
                <w:sz w:val="14"/>
              </w:rPr>
              <w:t>0 . 1 %</w:t>
            </w:r>
          </w:p>
        </w:tc>
        <w:tc>
          <w:tcPr>
            <w:tcW w:w="1509" w:type="dxa"/>
          </w:tcPr>
          <w:p>
            <w:pPr>
              <w:pStyle w:val="TableParagraph"/>
              <w:spacing w:line="147" w:lineRule="exact" w:before="1"/>
              <w:ind w:right="394"/>
              <w:jc w:val="right"/>
              <w:rPr>
                <w:sz w:val="14"/>
              </w:rPr>
            </w:pPr>
            <w:r>
              <w:rPr>
                <w:sz w:val="14"/>
              </w:rPr>
              <w:t>1,958 .5</w:t>
            </w:r>
          </w:p>
        </w:tc>
        <w:tc>
          <w:tcPr>
            <w:tcW w:w="1439" w:type="dxa"/>
          </w:tcPr>
          <w:p>
            <w:pPr>
              <w:pStyle w:val="TableParagraph"/>
              <w:spacing w:line="147" w:lineRule="exact" w:before="1"/>
              <w:ind w:right="344"/>
              <w:jc w:val="right"/>
              <w:rPr>
                <w:sz w:val="14"/>
              </w:rPr>
            </w:pPr>
            <w:r>
              <w:rPr>
                <w:sz w:val="14"/>
              </w:rPr>
              <w:t>0 . 1 %</w:t>
            </w:r>
          </w:p>
        </w:tc>
        <w:tc>
          <w:tcPr>
            <w:tcW w:w="1165" w:type="dxa"/>
          </w:tcPr>
          <w:p>
            <w:pPr>
              <w:pStyle w:val="TableParagraph"/>
              <w:spacing w:line="147" w:lineRule="exact" w:before="1"/>
              <w:ind w:right="166"/>
              <w:jc w:val="right"/>
              <w:rPr>
                <w:sz w:val="14"/>
              </w:rPr>
            </w:pPr>
            <w:r>
              <w:rPr>
                <w:sz w:val="14"/>
              </w:rPr>
              <w:t>2,075 .9</w:t>
            </w:r>
          </w:p>
        </w:tc>
        <w:tc>
          <w:tcPr>
            <w:tcW w:w="1224" w:type="dxa"/>
          </w:tcPr>
          <w:p>
            <w:pPr>
              <w:pStyle w:val="TableParagraph"/>
              <w:spacing w:line="147" w:lineRule="exact" w:before="1"/>
              <w:ind w:left="436"/>
              <w:rPr>
                <w:sz w:val="14"/>
              </w:rPr>
            </w:pPr>
            <w:r>
              <w:rPr>
                <w:sz w:val="14"/>
              </w:rPr>
              <w:t>0 . 1 %</w:t>
            </w:r>
          </w:p>
        </w:tc>
      </w:tr>
      <w:tr>
        <w:trPr>
          <w:trHeight w:val="252" w:hRule="atLeast"/>
        </w:trPr>
        <w:tc>
          <w:tcPr>
            <w:tcW w:w="474" w:type="dxa"/>
          </w:tcPr>
          <w:p>
            <w:pPr>
              <w:pStyle w:val="TableParagraph"/>
              <w:rPr>
                <w:rFonts w:ascii="Times New Roman"/>
                <w:sz w:val="14"/>
              </w:rPr>
            </w:pPr>
          </w:p>
        </w:tc>
        <w:tc>
          <w:tcPr>
            <w:tcW w:w="5644" w:type="dxa"/>
          </w:tcPr>
          <w:p>
            <w:pPr>
              <w:pStyle w:val="TableParagraph"/>
              <w:spacing w:before="1"/>
              <w:ind w:left="261"/>
              <w:rPr>
                <w:sz w:val="14"/>
              </w:rPr>
            </w:pPr>
            <w:r>
              <w:rPr>
                <w:sz w:val="14"/>
              </w:rPr>
              <w:t>Manning of Various Border Immigration Posts</w:t>
            </w:r>
          </w:p>
        </w:tc>
        <w:tc>
          <w:tcPr>
            <w:tcW w:w="1785" w:type="dxa"/>
          </w:tcPr>
          <w:p>
            <w:pPr>
              <w:pStyle w:val="TableParagraph"/>
              <w:spacing w:before="1"/>
              <w:ind w:right="472"/>
              <w:jc w:val="right"/>
              <w:rPr>
                <w:b/>
                <w:sz w:val="14"/>
              </w:rPr>
            </w:pPr>
            <w:r>
              <w:rPr>
                <w:b/>
                <w:sz w:val="14"/>
              </w:rPr>
              <w:t>1,642.6</w:t>
            </w:r>
          </w:p>
        </w:tc>
        <w:tc>
          <w:tcPr>
            <w:tcW w:w="1555" w:type="dxa"/>
          </w:tcPr>
          <w:p>
            <w:pPr>
              <w:pStyle w:val="TableParagraph"/>
              <w:spacing w:before="1"/>
              <w:ind w:left="550"/>
              <w:rPr>
                <w:sz w:val="14"/>
              </w:rPr>
            </w:pPr>
            <w:r>
              <w:rPr>
                <w:sz w:val="14"/>
              </w:rPr>
              <w:t>0 . 1 %</w:t>
            </w:r>
          </w:p>
        </w:tc>
        <w:tc>
          <w:tcPr>
            <w:tcW w:w="1509" w:type="dxa"/>
          </w:tcPr>
          <w:p>
            <w:pPr>
              <w:pStyle w:val="TableParagraph"/>
              <w:spacing w:before="1"/>
              <w:ind w:right="394"/>
              <w:jc w:val="right"/>
              <w:rPr>
                <w:sz w:val="14"/>
              </w:rPr>
            </w:pPr>
            <w:r>
              <w:rPr>
                <w:sz w:val="14"/>
              </w:rPr>
              <w:t>2,023 .4</w:t>
            </w:r>
          </w:p>
        </w:tc>
        <w:tc>
          <w:tcPr>
            <w:tcW w:w="1439" w:type="dxa"/>
          </w:tcPr>
          <w:p>
            <w:pPr>
              <w:pStyle w:val="TableParagraph"/>
              <w:spacing w:before="1"/>
              <w:ind w:right="344"/>
              <w:jc w:val="right"/>
              <w:rPr>
                <w:sz w:val="14"/>
              </w:rPr>
            </w:pPr>
            <w:r>
              <w:rPr>
                <w:sz w:val="14"/>
              </w:rPr>
              <w:t>0 . 1 %</w:t>
            </w:r>
          </w:p>
        </w:tc>
        <w:tc>
          <w:tcPr>
            <w:tcW w:w="1165" w:type="dxa"/>
          </w:tcPr>
          <w:p>
            <w:pPr>
              <w:pStyle w:val="TableParagraph"/>
              <w:spacing w:before="1"/>
              <w:ind w:right="166"/>
              <w:jc w:val="right"/>
              <w:rPr>
                <w:sz w:val="14"/>
              </w:rPr>
            </w:pPr>
            <w:r>
              <w:rPr>
                <w:sz w:val="14"/>
              </w:rPr>
              <w:t>2,144 .6</w:t>
            </w:r>
          </w:p>
        </w:tc>
        <w:tc>
          <w:tcPr>
            <w:tcW w:w="1224" w:type="dxa"/>
          </w:tcPr>
          <w:p>
            <w:pPr>
              <w:pStyle w:val="TableParagraph"/>
              <w:spacing w:before="1"/>
              <w:ind w:left="436"/>
              <w:rPr>
                <w:sz w:val="14"/>
              </w:rPr>
            </w:pPr>
            <w:r>
              <w:rPr>
                <w:sz w:val="14"/>
              </w:rPr>
              <w:t>0 . 1 %</w:t>
            </w:r>
          </w:p>
        </w:tc>
      </w:tr>
      <w:tr>
        <w:trPr>
          <w:trHeight w:val="302" w:hRule="atLeast"/>
        </w:trPr>
        <w:tc>
          <w:tcPr>
            <w:tcW w:w="474" w:type="dxa"/>
          </w:tcPr>
          <w:p>
            <w:pPr>
              <w:pStyle w:val="TableParagraph"/>
              <w:spacing w:before="85"/>
              <w:ind w:right="95"/>
              <w:jc w:val="right"/>
              <w:rPr>
                <w:sz w:val="14"/>
              </w:rPr>
            </w:pPr>
            <w:r>
              <w:rPr>
                <w:w w:val="95"/>
                <w:sz w:val="14"/>
              </w:rPr>
              <w:t>212</w:t>
            </w:r>
          </w:p>
        </w:tc>
        <w:tc>
          <w:tcPr>
            <w:tcW w:w="5644" w:type="dxa"/>
          </w:tcPr>
          <w:p>
            <w:pPr>
              <w:pStyle w:val="TableParagraph"/>
              <w:spacing w:before="85"/>
              <w:ind w:left="92"/>
              <w:rPr>
                <w:sz w:val="14"/>
              </w:rPr>
            </w:pPr>
            <w:r>
              <w:rPr>
                <w:sz w:val="14"/>
              </w:rPr>
              <w:t>National Drugs Law Enforcement Agency</w:t>
            </w:r>
          </w:p>
        </w:tc>
        <w:tc>
          <w:tcPr>
            <w:tcW w:w="1785" w:type="dxa"/>
          </w:tcPr>
          <w:p>
            <w:pPr>
              <w:pStyle w:val="TableParagraph"/>
              <w:spacing w:before="85"/>
              <w:ind w:right="461"/>
              <w:jc w:val="right"/>
              <w:rPr>
                <w:b/>
                <w:sz w:val="14"/>
              </w:rPr>
            </w:pPr>
            <w:r>
              <w:rPr>
                <w:b/>
                <w:sz w:val="14"/>
              </w:rPr>
              <w:t>685.4</w:t>
            </w:r>
          </w:p>
        </w:tc>
        <w:tc>
          <w:tcPr>
            <w:tcW w:w="1555" w:type="dxa"/>
          </w:tcPr>
          <w:p>
            <w:pPr>
              <w:pStyle w:val="TableParagraph"/>
              <w:spacing w:before="85"/>
              <w:ind w:left="550"/>
              <w:rPr>
                <w:sz w:val="14"/>
              </w:rPr>
            </w:pPr>
            <w:r>
              <w:rPr>
                <w:sz w:val="14"/>
              </w:rPr>
              <w:t>0 . 0 %</w:t>
            </w:r>
          </w:p>
        </w:tc>
        <w:tc>
          <w:tcPr>
            <w:tcW w:w="1509" w:type="dxa"/>
          </w:tcPr>
          <w:p>
            <w:pPr>
              <w:pStyle w:val="TableParagraph"/>
              <w:spacing w:before="85"/>
              <w:ind w:right="391"/>
              <w:jc w:val="right"/>
              <w:rPr>
                <w:sz w:val="14"/>
              </w:rPr>
            </w:pPr>
            <w:r>
              <w:rPr>
                <w:sz w:val="14"/>
              </w:rPr>
              <w:t>844.3</w:t>
            </w:r>
          </w:p>
        </w:tc>
        <w:tc>
          <w:tcPr>
            <w:tcW w:w="1439" w:type="dxa"/>
          </w:tcPr>
          <w:p>
            <w:pPr>
              <w:pStyle w:val="TableParagraph"/>
              <w:spacing w:before="85"/>
              <w:ind w:right="344"/>
              <w:jc w:val="right"/>
              <w:rPr>
                <w:sz w:val="14"/>
              </w:rPr>
            </w:pPr>
            <w:r>
              <w:rPr>
                <w:sz w:val="14"/>
              </w:rPr>
              <w:t>0 . 0 %</w:t>
            </w:r>
          </w:p>
        </w:tc>
        <w:tc>
          <w:tcPr>
            <w:tcW w:w="1165" w:type="dxa"/>
          </w:tcPr>
          <w:p>
            <w:pPr>
              <w:pStyle w:val="TableParagraph"/>
              <w:spacing w:before="85"/>
              <w:ind w:right="163"/>
              <w:jc w:val="right"/>
              <w:rPr>
                <w:sz w:val="14"/>
              </w:rPr>
            </w:pPr>
            <w:r>
              <w:rPr>
                <w:sz w:val="14"/>
              </w:rPr>
              <w:t>894.8</w:t>
            </w:r>
          </w:p>
        </w:tc>
        <w:tc>
          <w:tcPr>
            <w:tcW w:w="1224" w:type="dxa"/>
          </w:tcPr>
          <w:p>
            <w:pPr>
              <w:pStyle w:val="TableParagraph"/>
              <w:spacing w:before="85"/>
              <w:ind w:left="436"/>
              <w:rPr>
                <w:sz w:val="14"/>
              </w:rPr>
            </w:pPr>
            <w:r>
              <w:rPr>
                <w:sz w:val="14"/>
              </w:rPr>
              <w:t>0 . 0 %</w:t>
            </w:r>
          </w:p>
        </w:tc>
      </w:tr>
      <w:tr>
        <w:trPr>
          <w:trHeight w:val="266" w:hRule="atLeast"/>
        </w:trPr>
        <w:tc>
          <w:tcPr>
            <w:tcW w:w="474" w:type="dxa"/>
          </w:tcPr>
          <w:p>
            <w:pPr>
              <w:pStyle w:val="TableParagraph"/>
              <w:spacing w:before="51"/>
              <w:ind w:right="91"/>
              <w:jc w:val="right"/>
              <w:rPr>
                <w:b/>
                <w:sz w:val="14"/>
              </w:rPr>
            </w:pPr>
            <w:r>
              <w:rPr>
                <w:b/>
                <w:w w:val="99"/>
                <w:sz w:val="14"/>
              </w:rPr>
              <w:t>3</w:t>
            </w:r>
          </w:p>
        </w:tc>
        <w:tc>
          <w:tcPr>
            <w:tcW w:w="5644" w:type="dxa"/>
          </w:tcPr>
          <w:p>
            <w:pPr>
              <w:pStyle w:val="TableParagraph"/>
              <w:spacing w:before="51"/>
              <w:ind w:left="92"/>
              <w:rPr>
                <w:b/>
                <w:sz w:val="14"/>
              </w:rPr>
            </w:pPr>
            <w:r>
              <w:rPr>
                <w:b/>
                <w:sz w:val="14"/>
              </w:rPr>
              <w:t>SOCIAL SERVICES</w:t>
            </w:r>
          </w:p>
        </w:tc>
        <w:tc>
          <w:tcPr>
            <w:tcW w:w="1785" w:type="dxa"/>
          </w:tcPr>
          <w:p>
            <w:pPr>
              <w:pStyle w:val="TableParagraph"/>
              <w:spacing w:before="51"/>
              <w:ind w:right="481"/>
              <w:jc w:val="right"/>
              <w:rPr>
                <w:b/>
                <w:sz w:val="14"/>
              </w:rPr>
            </w:pPr>
            <w:r>
              <w:rPr>
                <w:b/>
                <w:sz w:val="14"/>
              </w:rPr>
              <w:t>319,143.1</w:t>
            </w:r>
          </w:p>
        </w:tc>
        <w:tc>
          <w:tcPr>
            <w:tcW w:w="1555" w:type="dxa"/>
          </w:tcPr>
          <w:p>
            <w:pPr>
              <w:pStyle w:val="TableParagraph"/>
              <w:spacing w:before="51"/>
              <w:ind w:left="583" w:right="612"/>
              <w:jc w:val="center"/>
              <w:rPr>
                <w:b/>
                <w:sz w:val="14"/>
              </w:rPr>
            </w:pPr>
            <w:r>
              <w:rPr>
                <w:b/>
                <w:sz w:val="14"/>
              </w:rPr>
              <w:t>9.1%</w:t>
            </w:r>
          </w:p>
        </w:tc>
        <w:tc>
          <w:tcPr>
            <w:tcW w:w="1509" w:type="dxa"/>
          </w:tcPr>
          <w:p>
            <w:pPr>
              <w:pStyle w:val="TableParagraph"/>
              <w:spacing w:before="51"/>
              <w:ind w:right="430"/>
              <w:jc w:val="right"/>
              <w:rPr>
                <w:b/>
                <w:sz w:val="14"/>
              </w:rPr>
            </w:pPr>
            <w:r>
              <w:rPr>
                <w:b/>
                <w:sz w:val="14"/>
              </w:rPr>
              <w:t>399,199.5</w:t>
            </w:r>
          </w:p>
        </w:tc>
        <w:tc>
          <w:tcPr>
            <w:tcW w:w="1439" w:type="dxa"/>
          </w:tcPr>
          <w:p>
            <w:pPr>
              <w:pStyle w:val="TableParagraph"/>
              <w:spacing w:before="51"/>
              <w:ind w:right="358"/>
              <w:jc w:val="right"/>
              <w:rPr>
                <w:b/>
                <w:sz w:val="14"/>
              </w:rPr>
            </w:pPr>
            <w:r>
              <w:rPr>
                <w:b/>
                <w:sz w:val="14"/>
              </w:rPr>
              <w:t>10.3%</w:t>
            </w:r>
          </w:p>
        </w:tc>
        <w:tc>
          <w:tcPr>
            <w:tcW w:w="1165" w:type="dxa"/>
          </w:tcPr>
          <w:p>
            <w:pPr>
              <w:pStyle w:val="TableParagraph"/>
              <w:spacing w:before="51"/>
              <w:ind w:right="197"/>
              <w:jc w:val="right"/>
              <w:rPr>
                <w:b/>
                <w:sz w:val="14"/>
              </w:rPr>
            </w:pPr>
            <w:r>
              <w:rPr>
                <w:b/>
                <w:sz w:val="14"/>
              </w:rPr>
              <w:t>576,205.9</w:t>
            </w:r>
          </w:p>
        </w:tc>
        <w:tc>
          <w:tcPr>
            <w:tcW w:w="1224" w:type="dxa"/>
          </w:tcPr>
          <w:p>
            <w:pPr>
              <w:pStyle w:val="TableParagraph"/>
              <w:spacing w:before="51"/>
              <w:ind w:left="407"/>
              <w:rPr>
                <w:b/>
                <w:sz w:val="14"/>
              </w:rPr>
            </w:pPr>
            <w:r>
              <w:rPr>
                <w:b/>
                <w:sz w:val="14"/>
              </w:rPr>
              <w:t>14.8%</w:t>
            </w:r>
          </w:p>
        </w:tc>
      </w:tr>
      <w:tr>
        <w:trPr>
          <w:trHeight w:val="215" w:hRule="atLeast"/>
        </w:trPr>
        <w:tc>
          <w:tcPr>
            <w:tcW w:w="474" w:type="dxa"/>
          </w:tcPr>
          <w:p>
            <w:pPr>
              <w:pStyle w:val="TableParagraph"/>
              <w:spacing w:line="147" w:lineRule="exact" w:before="49"/>
              <w:ind w:right="95"/>
              <w:jc w:val="right"/>
              <w:rPr>
                <w:sz w:val="14"/>
              </w:rPr>
            </w:pPr>
            <w:r>
              <w:rPr>
                <w:w w:val="95"/>
                <w:sz w:val="14"/>
              </w:rPr>
              <w:t>300</w:t>
            </w:r>
          </w:p>
        </w:tc>
        <w:tc>
          <w:tcPr>
            <w:tcW w:w="5644" w:type="dxa"/>
          </w:tcPr>
          <w:p>
            <w:pPr>
              <w:pStyle w:val="TableParagraph"/>
              <w:spacing w:line="147" w:lineRule="exact" w:before="49"/>
              <w:ind w:left="93"/>
              <w:rPr>
                <w:sz w:val="14"/>
              </w:rPr>
            </w:pPr>
            <w:r>
              <w:rPr>
                <w:sz w:val="14"/>
              </w:rPr>
              <w:t>Ministry of Technical and Higher Education</w:t>
            </w:r>
          </w:p>
        </w:tc>
        <w:tc>
          <w:tcPr>
            <w:tcW w:w="1785" w:type="dxa"/>
          </w:tcPr>
          <w:p>
            <w:pPr>
              <w:pStyle w:val="TableParagraph"/>
              <w:spacing w:line="147" w:lineRule="exact" w:before="49"/>
              <w:ind w:right="481"/>
              <w:jc w:val="right"/>
              <w:rPr>
                <w:b/>
                <w:sz w:val="14"/>
              </w:rPr>
            </w:pPr>
            <w:r>
              <w:rPr>
                <w:b/>
                <w:sz w:val="14"/>
              </w:rPr>
              <w:t>121,981.9</w:t>
            </w:r>
          </w:p>
        </w:tc>
        <w:tc>
          <w:tcPr>
            <w:tcW w:w="1555" w:type="dxa"/>
          </w:tcPr>
          <w:p>
            <w:pPr>
              <w:pStyle w:val="TableParagraph"/>
              <w:spacing w:line="147" w:lineRule="exact" w:before="49"/>
              <w:ind w:left="550"/>
              <w:rPr>
                <w:sz w:val="14"/>
              </w:rPr>
            </w:pPr>
            <w:r>
              <w:rPr>
                <w:sz w:val="14"/>
              </w:rPr>
              <w:t>5 . 9 %</w:t>
            </w:r>
          </w:p>
        </w:tc>
        <w:tc>
          <w:tcPr>
            <w:tcW w:w="1509" w:type="dxa"/>
          </w:tcPr>
          <w:p>
            <w:pPr>
              <w:pStyle w:val="TableParagraph"/>
              <w:spacing w:line="147" w:lineRule="exact" w:before="49"/>
              <w:ind w:right="407"/>
              <w:jc w:val="right"/>
              <w:rPr>
                <w:sz w:val="14"/>
              </w:rPr>
            </w:pPr>
            <w:r>
              <w:rPr>
                <w:sz w:val="14"/>
              </w:rPr>
              <w:t>165,140.4</w:t>
            </w:r>
          </w:p>
        </w:tc>
        <w:tc>
          <w:tcPr>
            <w:tcW w:w="1439" w:type="dxa"/>
          </w:tcPr>
          <w:p>
            <w:pPr>
              <w:pStyle w:val="TableParagraph"/>
              <w:spacing w:line="147" w:lineRule="exact" w:before="49"/>
              <w:ind w:right="344"/>
              <w:jc w:val="right"/>
              <w:rPr>
                <w:sz w:val="14"/>
              </w:rPr>
            </w:pPr>
            <w:r>
              <w:rPr>
                <w:sz w:val="14"/>
              </w:rPr>
              <w:t>7 . 9 %</w:t>
            </w:r>
          </w:p>
        </w:tc>
        <w:tc>
          <w:tcPr>
            <w:tcW w:w="1165" w:type="dxa"/>
          </w:tcPr>
          <w:p>
            <w:pPr>
              <w:pStyle w:val="TableParagraph"/>
              <w:spacing w:line="147" w:lineRule="exact" w:before="49"/>
              <w:ind w:right="175"/>
              <w:jc w:val="right"/>
              <w:rPr>
                <w:sz w:val="14"/>
              </w:rPr>
            </w:pPr>
            <w:r>
              <w:rPr>
                <w:sz w:val="14"/>
              </w:rPr>
              <w:t>247,126.7</w:t>
            </w:r>
          </w:p>
        </w:tc>
        <w:tc>
          <w:tcPr>
            <w:tcW w:w="1224" w:type="dxa"/>
          </w:tcPr>
          <w:p>
            <w:pPr>
              <w:pStyle w:val="TableParagraph"/>
              <w:spacing w:line="147" w:lineRule="exact" w:before="49"/>
              <w:ind w:left="349"/>
              <w:rPr>
                <w:sz w:val="14"/>
              </w:rPr>
            </w:pPr>
            <w:r>
              <w:rPr>
                <w:sz w:val="14"/>
              </w:rPr>
              <w:t>1 1 . 9 %</w:t>
            </w:r>
          </w:p>
        </w:tc>
      </w:tr>
      <w:tr>
        <w:trPr>
          <w:trHeight w:val="167"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Administrative and Operating Costs</w:t>
            </w:r>
          </w:p>
        </w:tc>
        <w:tc>
          <w:tcPr>
            <w:tcW w:w="1785" w:type="dxa"/>
          </w:tcPr>
          <w:p>
            <w:pPr>
              <w:pStyle w:val="TableParagraph"/>
              <w:spacing w:line="147" w:lineRule="exact" w:before="1"/>
              <w:ind w:right="479"/>
              <w:jc w:val="right"/>
              <w:rPr>
                <w:b/>
                <w:sz w:val="14"/>
              </w:rPr>
            </w:pPr>
            <w:r>
              <w:rPr>
                <w:b/>
                <w:sz w:val="14"/>
              </w:rPr>
              <w:t>11,254.7</w:t>
            </w:r>
          </w:p>
        </w:tc>
        <w:tc>
          <w:tcPr>
            <w:tcW w:w="1555" w:type="dxa"/>
          </w:tcPr>
          <w:p>
            <w:pPr>
              <w:pStyle w:val="TableParagraph"/>
              <w:spacing w:line="147" w:lineRule="exact" w:before="1"/>
              <w:ind w:left="550"/>
              <w:rPr>
                <w:sz w:val="14"/>
              </w:rPr>
            </w:pPr>
            <w:r>
              <w:rPr>
                <w:sz w:val="14"/>
              </w:rPr>
              <w:t>0 . 5 %</w:t>
            </w:r>
          </w:p>
        </w:tc>
        <w:tc>
          <w:tcPr>
            <w:tcW w:w="1509" w:type="dxa"/>
          </w:tcPr>
          <w:p>
            <w:pPr>
              <w:pStyle w:val="TableParagraph"/>
              <w:spacing w:line="147" w:lineRule="exact" w:before="1"/>
              <w:ind w:right="403"/>
              <w:jc w:val="right"/>
              <w:rPr>
                <w:sz w:val="14"/>
              </w:rPr>
            </w:pPr>
            <w:r>
              <w:rPr>
                <w:sz w:val="14"/>
              </w:rPr>
              <w:t>33,863.4</w:t>
            </w:r>
          </w:p>
        </w:tc>
        <w:tc>
          <w:tcPr>
            <w:tcW w:w="1439" w:type="dxa"/>
          </w:tcPr>
          <w:p>
            <w:pPr>
              <w:pStyle w:val="TableParagraph"/>
              <w:spacing w:line="147" w:lineRule="exact" w:before="1"/>
              <w:ind w:right="344"/>
              <w:jc w:val="right"/>
              <w:rPr>
                <w:sz w:val="14"/>
              </w:rPr>
            </w:pPr>
            <w:r>
              <w:rPr>
                <w:sz w:val="14"/>
              </w:rPr>
              <w:t>1 . 6 %</w:t>
            </w:r>
          </w:p>
        </w:tc>
        <w:tc>
          <w:tcPr>
            <w:tcW w:w="1165" w:type="dxa"/>
          </w:tcPr>
          <w:p>
            <w:pPr>
              <w:pStyle w:val="TableParagraph"/>
              <w:spacing w:line="147" w:lineRule="exact" w:before="1"/>
              <w:ind w:right="175"/>
              <w:jc w:val="right"/>
              <w:rPr>
                <w:sz w:val="14"/>
              </w:rPr>
            </w:pPr>
            <w:r>
              <w:rPr>
                <w:sz w:val="14"/>
              </w:rPr>
              <w:t>35,891.8</w:t>
            </w:r>
          </w:p>
        </w:tc>
        <w:tc>
          <w:tcPr>
            <w:tcW w:w="1224" w:type="dxa"/>
          </w:tcPr>
          <w:p>
            <w:pPr>
              <w:pStyle w:val="TableParagraph"/>
              <w:spacing w:line="147" w:lineRule="exact" w:before="1"/>
              <w:ind w:left="436"/>
              <w:rPr>
                <w:sz w:val="14"/>
              </w:rPr>
            </w:pPr>
            <w:r>
              <w:rPr>
                <w:sz w:val="14"/>
              </w:rPr>
              <w:t>1 . 7 %</w:t>
            </w:r>
          </w:p>
        </w:tc>
      </w:tr>
      <w:tr>
        <w:trPr>
          <w:trHeight w:val="168" w:hRule="atLeast"/>
        </w:trPr>
        <w:tc>
          <w:tcPr>
            <w:tcW w:w="474" w:type="dxa"/>
          </w:tcPr>
          <w:p>
            <w:pPr>
              <w:pStyle w:val="TableParagraph"/>
              <w:rPr>
                <w:rFonts w:ascii="Times New Roman"/>
                <w:sz w:val="10"/>
              </w:rPr>
            </w:pPr>
          </w:p>
        </w:tc>
        <w:tc>
          <w:tcPr>
            <w:tcW w:w="5644" w:type="dxa"/>
          </w:tcPr>
          <w:p>
            <w:pPr>
              <w:pStyle w:val="TableParagraph"/>
              <w:spacing w:line="147" w:lineRule="exact" w:before="1"/>
              <w:ind w:left="260"/>
              <w:rPr>
                <w:sz w:val="14"/>
              </w:rPr>
            </w:pPr>
            <w:r>
              <w:rPr>
                <w:sz w:val="14"/>
              </w:rPr>
              <w:t>Tertiary Education and Technical and Vocational Education and Training</w:t>
            </w:r>
          </w:p>
        </w:tc>
        <w:tc>
          <w:tcPr>
            <w:tcW w:w="1785" w:type="dxa"/>
          </w:tcPr>
          <w:p>
            <w:pPr>
              <w:pStyle w:val="TableParagraph"/>
              <w:spacing w:line="147" w:lineRule="exact" w:before="1"/>
              <w:ind w:right="481"/>
              <w:jc w:val="right"/>
              <w:rPr>
                <w:b/>
                <w:sz w:val="14"/>
              </w:rPr>
            </w:pPr>
            <w:r>
              <w:rPr>
                <w:b/>
                <w:sz w:val="14"/>
              </w:rPr>
              <w:t>109,714.4</w:t>
            </w:r>
          </w:p>
        </w:tc>
        <w:tc>
          <w:tcPr>
            <w:tcW w:w="1555" w:type="dxa"/>
          </w:tcPr>
          <w:p>
            <w:pPr>
              <w:pStyle w:val="TableParagraph"/>
              <w:spacing w:line="147" w:lineRule="exact" w:before="1"/>
              <w:ind w:left="550"/>
              <w:rPr>
                <w:sz w:val="14"/>
              </w:rPr>
            </w:pPr>
            <w:r>
              <w:rPr>
                <w:sz w:val="14"/>
              </w:rPr>
              <w:t>5 . 3 %</w:t>
            </w:r>
          </w:p>
        </w:tc>
        <w:tc>
          <w:tcPr>
            <w:tcW w:w="1509" w:type="dxa"/>
          </w:tcPr>
          <w:p>
            <w:pPr>
              <w:pStyle w:val="TableParagraph"/>
              <w:spacing w:line="147" w:lineRule="exact" w:before="1"/>
              <w:ind w:right="407"/>
              <w:jc w:val="right"/>
              <w:rPr>
                <w:sz w:val="14"/>
              </w:rPr>
            </w:pPr>
            <w:r>
              <w:rPr>
                <w:sz w:val="14"/>
              </w:rPr>
              <w:t>130,029.4</w:t>
            </w:r>
          </w:p>
        </w:tc>
        <w:tc>
          <w:tcPr>
            <w:tcW w:w="1439" w:type="dxa"/>
          </w:tcPr>
          <w:p>
            <w:pPr>
              <w:pStyle w:val="TableParagraph"/>
              <w:spacing w:line="147" w:lineRule="exact" w:before="1"/>
              <w:ind w:right="344"/>
              <w:jc w:val="right"/>
              <w:rPr>
                <w:sz w:val="14"/>
              </w:rPr>
            </w:pPr>
            <w:r>
              <w:rPr>
                <w:sz w:val="14"/>
              </w:rPr>
              <w:t>6 . 3 %</w:t>
            </w:r>
          </w:p>
        </w:tc>
        <w:tc>
          <w:tcPr>
            <w:tcW w:w="1165" w:type="dxa"/>
          </w:tcPr>
          <w:p>
            <w:pPr>
              <w:pStyle w:val="TableParagraph"/>
              <w:spacing w:line="147" w:lineRule="exact" w:before="1"/>
              <w:ind w:right="175"/>
              <w:jc w:val="right"/>
              <w:rPr>
                <w:sz w:val="14"/>
              </w:rPr>
            </w:pPr>
            <w:r>
              <w:rPr>
                <w:sz w:val="14"/>
              </w:rPr>
              <w:t>209,912.5</w:t>
            </w:r>
          </w:p>
        </w:tc>
        <w:tc>
          <w:tcPr>
            <w:tcW w:w="1224" w:type="dxa"/>
          </w:tcPr>
          <w:p>
            <w:pPr>
              <w:pStyle w:val="TableParagraph"/>
              <w:spacing w:line="147" w:lineRule="exact" w:before="1"/>
              <w:ind w:left="349"/>
              <w:rPr>
                <w:sz w:val="14"/>
              </w:rPr>
            </w:pPr>
            <w:r>
              <w:rPr>
                <w:sz w:val="14"/>
              </w:rPr>
              <w:t>1 0 . 1 %</w:t>
            </w:r>
          </w:p>
        </w:tc>
      </w:tr>
      <w:tr>
        <w:trPr>
          <w:trHeight w:val="168" w:hRule="atLeast"/>
        </w:trPr>
        <w:tc>
          <w:tcPr>
            <w:tcW w:w="474" w:type="dxa"/>
          </w:tcPr>
          <w:p>
            <w:pPr>
              <w:pStyle w:val="TableParagraph"/>
              <w:rPr>
                <w:rFonts w:ascii="Times New Roman"/>
                <w:sz w:val="10"/>
              </w:rPr>
            </w:pPr>
          </w:p>
        </w:tc>
        <w:tc>
          <w:tcPr>
            <w:tcW w:w="5644" w:type="dxa"/>
          </w:tcPr>
          <w:p>
            <w:pPr>
              <w:pStyle w:val="TableParagraph"/>
              <w:spacing w:line="147" w:lineRule="exact" w:before="1"/>
              <w:ind w:left="428"/>
              <w:rPr>
                <w:sz w:val="14"/>
              </w:rPr>
            </w:pPr>
            <w:r>
              <w:rPr>
                <w:sz w:val="14"/>
              </w:rPr>
              <w:t>Grants-in-Aid</w:t>
            </w:r>
          </w:p>
        </w:tc>
        <w:tc>
          <w:tcPr>
            <w:tcW w:w="1785" w:type="dxa"/>
          </w:tcPr>
          <w:p>
            <w:pPr>
              <w:pStyle w:val="TableParagraph"/>
              <w:spacing w:line="147" w:lineRule="exact" w:before="1"/>
              <w:ind w:right="479"/>
              <w:jc w:val="right"/>
              <w:rPr>
                <w:b/>
                <w:sz w:val="14"/>
              </w:rPr>
            </w:pPr>
            <w:r>
              <w:rPr>
                <w:b/>
                <w:sz w:val="14"/>
              </w:rPr>
              <w:t>14,966.6</w:t>
            </w:r>
          </w:p>
        </w:tc>
        <w:tc>
          <w:tcPr>
            <w:tcW w:w="1555" w:type="dxa"/>
          </w:tcPr>
          <w:p>
            <w:pPr>
              <w:pStyle w:val="TableParagraph"/>
              <w:spacing w:line="147" w:lineRule="exact" w:before="1"/>
              <w:ind w:left="550"/>
              <w:rPr>
                <w:sz w:val="14"/>
              </w:rPr>
            </w:pPr>
            <w:r>
              <w:rPr>
                <w:sz w:val="14"/>
              </w:rPr>
              <w:t>0 . 7 %</w:t>
            </w:r>
          </w:p>
        </w:tc>
        <w:tc>
          <w:tcPr>
            <w:tcW w:w="1509" w:type="dxa"/>
          </w:tcPr>
          <w:p>
            <w:pPr>
              <w:pStyle w:val="TableParagraph"/>
              <w:spacing w:line="147" w:lineRule="exact" w:before="1"/>
              <w:ind w:right="403"/>
              <w:jc w:val="right"/>
              <w:rPr>
                <w:sz w:val="14"/>
              </w:rPr>
            </w:pPr>
            <w:r>
              <w:rPr>
                <w:sz w:val="14"/>
              </w:rPr>
              <w:t>28,435.7</w:t>
            </w:r>
          </w:p>
        </w:tc>
        <w:tc>
          <w:tcPr>
            <w:tcW w:w="1439" w:type="dxa"/>
          </w:tcPr>
          <w:p>
            <w:pPr>
              <w:pStyle w:val="TableParagraph"/>
              <w:spacing w:line="147" w:lineRule="exact" w:before="1"/>
              <w:ind w:right="344"/>
              <w:jc w:val="right"/>
              <w:rPr>
                <w:sz w:val="14"/>
              </w:rPr>
            </w:pPr>
            <w:r>
              <w:rPr>
                <w:sz w:val="14"/>
              </w:rPr>
              <w:t>1 . 4 %</w:t>
            </w:r>
          </w:p>
        </w:tc>
        <w:tc>
          <w:tcPr>
            <w:tcW w:w="1165" w:type="dxa"/>
          </w:tcPr>
          <w:p>
            <w:pPr>
              <w:pStyle w:val="TableParagraph"/>
              <w:spacing w:line="147" w:lineRule="exact" w:before="1"/>
              <w:ind w:right="175"/>
              <w:jc w:val="right"/>
              <w:rPr>
                <w:sz w:val="14"/>
              </w:rPr>
            </w:pPr>
            <w:r>
              <w:rPr>
                <w:sz w:val="14"/>
              </w:rPr>
              <w:t>30,139.0</w:t>
            </w:r>
          </w:p>
        </w:tc>
        <w:tc>
          <w:tcPr>
            <w:tcW w:w="1224" w:type="dxa"/>
          </w:tcPr>
          <w:p>
            <w:pPr>
              <w:pStyle w:val="TableParagraph"/>
              <w:spacing w:line="147" w:lineRule="exact" w:before="1"/>
              <w:ind w:left="436"/>
              <w:rPr>
                <w:sz w:val="14"/>
              </w:rPr>
            </w:pPr>
            <w:r>
              <w:rPr>
                <w:sz w:val="14"/>
              </w:rPr>
              <w:t>1 . 4 %</w:t>
            </w:r>
          </w:p>
        </w:tc>
      </w:tr>
      <w:tr>
        <w:trPr>
          <w:trHeight w:val="196" w:hRule="atLeast"/>
        </w:trPr>
        <w:tc>
          <w:tcPr>
            <w:tcW w:w="474" w:type="dxa"/>
          </w:tcPr>
          <w:p>
            <w:pPr>
              <w:pStyle w:val="TableParagraph"/>
              <w:rPr>
                <w:rFonts w:ascii="Times New Roman"/>
                <w:sz w:val="12"/>
              </w:rPr>
            </w:pPr>
          </w:p>
        </w:tc>
        <w:tc>
          <w:tcPr>
            <w:tcW w:w="5644" w:type="dxa"/>
          </w:tcPr>
          <w:p>
            <w:pPr>
              <w:pStyle w:val="TableParagraph"/>
              <w:spacing w:before="1"/>
              <w:ind w:left="428"/>
              <w:rPr>
                <w:sz w:val="14"/>
              </w:rPr>
            </w:pPr>
            <w:r>
              <w:rPr>
                <w:sz w:val="14"/>
              </w:rPr>
              <w:t>Tertiary Education Commission</w:t>
            </w:r>
          </w:p>
        </w:tc>
        <w:tc>
          <w:tcPr>
            <w:tcW w:w="1785" w:type="dxa"/>
          </w:tcPr>
          <w:p>
            <w:pPr>
              <w:pStyle w:val="TableParagraph"/>
              <w:spacing w:before="1"/>
              <w:ind w:right="472"/>
              <w:jc w:val="right"/>
              <w:rPr>
                <w:b/>
                <w:sz w:val="14"/>
              </w:rPr>
            </w:pPr>
            <w:r>
              <w:rPr>
                <w:b/>
                <w:sz w:val="14"/>
              </w:rPr>
              <w:t>1,700.4</w:t>
            </w:r>
          </w:p>
        </w:tc>
        <w:tc>
          <w:tcPr>
            <w:tcW w:w="1555" w:type="dxa"/>
          </w:tcPr>
          <w:p>
            <w:pPr>
              <w:pStyle w:val="TableParagraph"/>
              <w:spacing w:before="1"/>
              <w:ind w:left="550"/>
              <w:rPr>
                <w:sz w:val="14"/>
              </w:rPr>
            </w:pPr>
            <w:r>
              <w:rPr>
                <w:sz w:val="14"/>
              </w:rPr>
              <w:t>0 . 1 %</w:t>
            </w:r>
          </w:p>
        </w:tc>
        <w:tc>
          <w:tcPr>
            <w:tcW w:w="1509" w:type="dxa"/>
          </w:tcPr>
          <w:p>
            <w:pPr>
              <w:pStyle w:val="TableParagraph"/>
              <w:spacing w:before="1"/>
              <w:ind w:right="394"/>
              <w:jc w:val="right"/>
              <w:rPr>
                <w:sz w:val="14"/>
              </w:rPr>
            </w:pPr>
            <w:r>
              <w:rPr>
                <w:sz w:val="14"/>
              </w:rPr>
              <w:t>2,094 .6</w:t>
            </w:r>
          </w:p>
        </w:tc>
        <w:tc>
          <w:tcPr>
            <w:tcW w:w="1439" w:type="dxa"/>
          </w:tcPr>
          <w:p>
            <w:pPr>
              <w:pStyle w:val="TableParagraph"/>
              <w:spacing w:before="1"/>
              <w:ind w:right="344"/>
              <w:jc w:val="right"/>
              <w:rPr>
                <w:sz w:val="14"/>
              </w:rPr>
            </w:pPr>
            <w:r>
              <w:rPr>
                <w:sz w:val="14"/>
              </w:rPr>
              <w:t>0 . 1 %</w:t>
            </w:r>
          </w:p>
        </w:tc>
        <w:tc>
          <w:tcPr>
            <w:tcW w:w="1165" w:type="dxa"/>
          </w:tcPr>
          <w:p>
            <w:pPr>
              <w:pStyle w:val="TableParagraph"/>
              <w:spacing w:before="1"/>
              <w:ind w:right="166"/>
              <w:jc w:val="right"/>
              <w:rPr>
                <w:sz w:val="14"/>
              </w:rPr>
            </w:pPr>
            <w:r>
              <w:rPr>
                <w:sz w:val="14"/>
              </w:rPr>
              <w:t>2,220 .0</w:t>
            </w:r>
          </w:p>
        </w:tc>
        <w:tc>
          <w:tcPr>
            <w:tcW w:w="1224" w:type="dxa"/>
          </w:tcPr>
          <w:p>
            <w:pPr>
              <w:pStyle w:val="TableParagraph"/>
              <w:spacing w:before="1"/>
              <w:ind w:left="436"/>
              <w:rPr>
                <w:sz w:val="14"/>
              </w:rPr>
            </w:pPr>
            <w:r>
              <w:rPr>
                <w:sz w:val="14"/>
              </w:rPr>
              <w:t>0 . 1 %</w:t>
            </w:r>
          </w:p>
        </w:tc>
      </w:tr>
    </w:tbl>
    <w:p>
      <w:pPr>
        <w:spacing w:after="0"/>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92.589996pt;width:14.35pt;height:7.55pt;mso-position-horizontal-relative:page;mso-position-vertical-relative:page;z-index:1288" type="#_x0000_t202" filled="false" stroked="false">
            <v:textbox inset="0,0,0,0" style="layout-flow:vertical">
              <w:txbxContent>
                <w:p>
                  <w:pPr>
                    <w:spacing w:before="13"/>
                    <w:ind w:left="20" w:right="0" w:firstLine="0"/>
                    <w:jc w:val="left"/>
                    <w:rPr>
                      <w:rFonts w:ascii="Arial"/>
                      <w:sz w:val="22"/>
                    </w:rPr>
                  </w:pPr>
                  <w:r>
                    <w:rPr>
                      <w:rFonts w:ascii="Arial"/>
                      <w:w w:val="100"/>
                      <w:sz w:val="22"/>
                    </w:rPr>
                    <w:t>x</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
        <w:gridCol w:w="5479"/>
        <w:gridCol w:w="1953"/>
        <w:gridCol w:w="1595"/>
        <w:gridCol w:w="1472"/>
        <w:gridCol w:w="1428"/>
        <w:gridCol w:w="1178"/>
        <w:gridCol w:w="1225"/>
      </w:tblGrid>
      <w:tr>
        <w:trPr>
          <w:trHeight w:val="568" w:hRule="atLeast"/>
        </w:trPr>
        <w:tc>
          <w:tcPr>
            <w:tcW w:w="472" w:type="dxa"/>
            <w:tcBorders>
              <w:bottom w:val="single" w:sz="4" w:space="0" w:color="000000"/>
            </w:tcBorders>
          </w:tcPr>
          <w:p>
            <w:pPr>
              <w:pStyle w:val="TableParagraph"/>
              <w:rPr>
                <w:rFonts w:ascii="Times New Roman"/>
                <w:sz w:val="14"/>
              </w:rPr>
            </w:pPr>
          </w:p>
        </w:tc>
        <w:tc>
          <w:tcPr>
            <w:tcW w:w="5479" w:type="dxa"/>
            <w:tcBorders>
              <w:bottom w:val="single" w:sz="4" w:space="0" w:color="000000"/>
            </w:tcBorders>
          </w:tcPr>
          <w:p>
            <w:pPr>
              <w:pStyle w:val="TableParagraph"/>
              <w:rPr>
                <w:rFonts w:ascii="Times New Roman"/>
                <w:sz w:val="14"/>
              </w:rPr>
            </w:pPr>
          </w:p>
        </w:tc>
        <w:tc>
          <w:tcPr>
            <w:tcW w:w="1953" w:type="dxa"/>
            <w:tcBorders>
              <w:bottom w:val="single" w:sz="4" w:space="0" w:color="000000"/>
            </w:tcBorders>
          </w:tcPr>
          <w:p>
            <w:pPr>
              <w:pStyle w:val="TableParagraph"/>
              <w:spacing w:before="29"/>
              <w:ind w:left="941" w:right="364"/>
              <w:jc w:val="center"/>
              <w:rPr>
                <w:b/>
                <w:sz w:val="14"/>
              </w:rPr>
            </w:pPr>
            <w:r>
              <w:rPr>
                <w:b/>
                <w:spacing w:val="2"/>
                <w:sz w:val="14"/>
              </w:rPr>
              <w:t>FY</w:t>
            </w:r>
            <w:r>
              <w:rPr>
                <w:b/>
                <w:spacing w:val="6"/>
                <w:sz w:val="14"/>
              </w:rPr>
              <w:t> </w:t>
            </w:r>
            <w:r>
              <w:rPr>
                <w:b/>
                <w:spacing w:val="4"/>
                <w:sz w:val="14"/>
              </w:rPr>
              <w:t>2020</w:t>
            </w:r>
          </w:p>
          <w:p>
            <w:pPr>
              <w:pStyle w:val="TableParagraph"/>
              <w:spacing w:before="17"/>
              <w:ind w:left="967" w:right="266"/>
              <w:jc w:val="center"/>
              <w:rPr>
                <w:b/>
                <w:sz w:val="14"/>
              </w:rPr>
            </w:pPr>
            <w:r>
              <w:rPr>
                <w:b/>
                <w:sz w:val="14"/>
              </w:rPr>
              <w:t>Budget</w:t>
            </w:r>
          </w:p>
        </w:tc>
        <w:tc>
          <w:tcPr>
            <w:tcW w:w="1595" w:type="dxa"/>
            <w:tcBorders>
              <w:bottom w:val="single" w:sz="4" w:space="0" w:color="000000"/>
            </w:tcBorders>
          </w:tcPr>
          <w:p>
            <w:pPr>
              <w:pStyle w:val="TableParagraph"/>
              <w:spacing w:line="264" w:lineRule="auto" w:before="29"/>
              <w:ind w:left="385" w:right="251" w:firstLine="91"/>
              <w:rPr>
                <w:sz w:val="14"/>
              </w:rPr>
            </w:pPr>
            <w:r>
              <w:rPr>
                <w:sz w:val="14"/>
              </w:rPr>
              <w:t>% of Total Non Int/ Sal</w:t>
            </w:r>
          </w:p>
        </w:tc>
        <w:tc>
          <w:tcPr>
            <w:tcW w:w="1472" w:type="dxa"/>
            <w:tcBorders>
              <w:bottom w:val="single" w:sz="4" w:space="0" w:color="000000"/>
            </w:tcBorders>
          </w:tcPr>
          <w:p>
            <w:pPr>
              <w:pStyle w:val="TableParagraph"/>
              <w:spacing w:before="29"/>
              <w:ind w:left="514"/>
              <w:rPr>
                <w:sz w:val="14"/>
              </w:rPr>
            </w:pPr>
            <w:r>
              <w:rPr>
                <w:sz w:val="14"/>
              </w:rPr>
              <w:t>FY</w:t>
            </w:r>
            <w:r>
              <w:rPr>
                <w:spacing w:val="17"/>
                <w:sz w:val="14"/>
              </w:rPr>
              <w:t> </w:t>
            </w:r>
            <w:r>
              <w:rPr>
                <w:spacing w:val="4"/>
                <w:sz w:val="14"/>
              </w:rPr>
              <w:t>2021</w:t>
            </w:r>
          </w:p>
          <w:p>
            <w:pPr>
              <w:pStyle w:val="TableParagraph"/>
              <w:spacing w:before="17"/>
              <w:ind w:left="442"/>
              <w:rPr>
                <w:sz w:val="14"/>
              </w:rPr>
            </w:pPr>
            <w:r>
              <w:rPr>
                <w:spacing w:val="3"/>
                <w:sz w:val="14"/>
              </w:rPr>
              <w:t>Indicative</w:t>
            </w:r>
          </w:p>
        </w:tc>
        <w:tc>
          <w:tcPr>
            <w:tcW w:w="1428" w:type="dxa"/>
            <w:tcBorders>
              <w:bottom w:val="single" w:sz="4" w:space="0" w:color="000000"/>
            </w:tcBorders>
          </w:tcPr>
          <w:p>
            <w:pPr>
              <w:pStyle w:val="TableParagraph"/>
              <w:spacing w:line="249" w:lineRule="auto" w:before="29"/>
              <w:ind w:left="380" w:right="290" w:firstLine="86"/>
              <w:jc w:val="both"/>
              <w:rPr>
                <w:sz w:val="14"/>
              </w:rPr>
            </w:pPr>
            <w:r>
              <w:rPr>
                <w:sz w:val="14"/>
              </w:rPr>
              <w:t>% of Total Non Int/ Sal Recurr Exp</w:t>
            </w:r>
          </w:p>
        </w:tc>
        <w:tc>
          <w:tcPr>
            <w:tcW w:w="1178" w:type="dxa"/>
            <w:tcBorders>
              <w:bottom w:val="single" w:sz="4" w:space="0" w:color="000000"/>
            </w:tcBorders>
          </w:tcPr>
          <w:p>
            <w:pPr>
              <w:pStyle w:val="TableParagraph"/>
              <w:spacing w:before="29"/>
              <w:ind w:left="393"/>
              <w:rPr>
                <w:sz w:val="14"/>
              </w:rPr>
            </w:pPr>
            <w:r>
              <w:rPr>
                <w:sz w:val="14"/>
              </w:rPr>
              <w:t>FY</w:t>
            </w:r>
            <w:r>
              <w:rPr>
                <w:spacing w:val="17"/>
                <w:sz w:val="14"/>
              </w:rPr>
              <w:t> </w:t>
            </w:r>
            <w:r>
              <w:rPr>
                <w:spacing w:val="4"/>
                <w:sz w:val="14"/>
              </w:rPr>
              <w:t>2022</w:t>
            </w:r>
          </w:p>
          <w:p>
            <w:pPr>
              <w:pStyle w:val="TableParagraph"/>
              <w:spacing w:before="17"/>
              <w:ind w:left="321"/>
              <w:rPr>
                <w:sz w:val="14"/>
              </w:rPr>
            </w:pPr>
            <w:r>
              <w:rPr>
                <w:spacing w:val="3"/>
                <w:sz w:val="14"/>
              </w:rPr>
              <w:t>Indicative</w:t>
            </w:r>
          </w:p>
        </w:tc>
        <w:tc>
          <w:tcPr>
            <w:tcW w:w="1225" w:type="dxa"/>
            <w:tcBorders>
              <w:bottom w:val="single" w:sz="4" w:space="0" w:color="000000"/>
            </w:tcBorders>
          </w:tcPr>
          <w:p>
            <w:pPr>
              <w:pStyle w:val="TableParagraph"/>
              <w:spacing w:line="249" w:lineRule="auto" w:before="29"/>
              <w:ind w:left="155" w:right="312" w:firstLine="86"/>
              <w:jc w:val="both"/>
              <w:rPr>
                <w:sz w:val="14"/>
              </w:rPr>
            </w:pPr>
            <w:r>
              <w:rPr>
                <w:sz w:val="14"/>
              </w:rPr>
              <w:t>% of Total Non Int/ Sal Recurr Exp</w:t>
            </w:r>
          </w:p>
        </w:tc>
      </w:tr>
      <w:tr>
        <w:trPr>
          <w:trHeight w:val="270" w:hRule="atLeast"/>
        </w:trPr>
        <w:tc>
          <w:tcPr>
            <w:tcW w:w="472" w:type="dxa"/>
            <w:tcBorders>
              <w:top w:val="single" w:sz="4" w:space="0" w:color="000000"/>
            </w:tcBorders>
          </w:tcPr>
          <w:p>
            <w:pPr>
              <w:pStyle w:val="TableParagraph"/>
              <w:rPr>
                <w:rFonts w:ascii="Times New Roman"/>
                <w:sz w:val="14"/>
              </w:rPr>
            </w:pPr>
          </w:p>
        </w:tc>
        <w:tc>
          <w:tcPr>
            <w:tcW w:w="5479" w:type="dxa"/>
            <w:tcBorders>
              <w:top w:val="single" w:sz="4" w:space="0" w:color="000000"/>
            </w:tcBorders>
          </w:tcPr>
          <w:p>
            <w:pPr>
              <w:pStyle w:val="TableParagraph"/>
              <w:spacing w:line="147" w:lineRule="exact" w:before="103"/>
              <w:ind w:left="430"/>
              <w:rPr>
                <w:sz w:val="14"/>
              </w:rPr>
            </w:pPr>
            <w:r>
              <w:rPr>
                <w:sz w:val="14"/>
              </w:rPr>
              <w:t>Tuition Fees Subsidies</w:t>
            </w:r>
          </w:p>
        </w:tc>
        <w:tc>
          <w:tcPr>
            <w:tcW w:w="1953" w:type="dxa"/>
            <w:tcBorders>
              <w:top w:val="single" w:sz="4" w:space="0" w:color="000000"/>
            </w:tcBorders>
          </w:tcPr>
          <w:p>
            <w:pPr>
              <w:pStyle w:val="TableParagraph"/>
              <w:spacing w:line="147" w:lineRule="exact" w:before="103"/>
              <w:ind w:right="473"/>
              <w:jc w:val="right"/>
              <w:rPr>
                <w:b/>
                <w:sz w:val="14"/>
              </w:rPr>
            </w:pPr>
            <w:r>
              <w:rPr>
                <w:b/>
                <w:sz w:val="14"/>
              </w:rPr>
              <w:t>2,215.8</w:t>
            </w:r>
          </w:p>
        </w:tc>
        <w:tc>
          <w:tcPr>
            <w:tcW w:w="1595" w:type="dxa"/>
            <w:tcBorders>
              <w:top w:val="single" w:sz="4" w:space="0" w:color="000000"/>
            </w:tcBorders>
          </w:tcPr>
          <w:p>
            <w:pPr>
              <w:pStyle w:val="TableParagraph"/>
              <w:spacing w:line="147" w:lineRule="exact" w:before="103"/>
              <w:ind w:right="668"/>
              <w:jc w:val="right"/>
              <w:rPr>
                <w:sz w:val="14"/>
              </w:rPr>
            </w:pPr>
            <w:r>
              <w:rPr>
                <w:sz w:val="14"/>
              </w:rPr>
              <w:t>0 . 1 %</w:t>
            </w:r>
          </w:p>
        </w:tc>
        <w:tc>
          <w:tcPr>
            <w:tcW w:w="1472" w:type="dxa"/>
            <w:tcBorders>
              <w:top w:val="single" w:sz="4" w:space="0" w:color="000000"/>
            </w:tcBorders>
          </w:tcPr>
          <w:p>
            <w:pPr>
              <w:pStyle w:val="TableParagraph"/>
              <w:spacing w:line="147" w:lineRule="exact" w:before="103"/>
              <w:ind w:right="398"/>
              <w:jc w:val="right"/>
              <w:rPr>
                <w:sz w:val="14"/>
              </w:rPr>
            </w:pPr>
            <w:r>
              <w:rPr>
                <w:sz w:val="14"/>
              </w:rPr>
              <w:t>2,130 .7</w:t>
            </w:r>
          </w:p>
        </w:tc>
        <w:tc>
          <w:tcPr>
            <w:tcW w:w="1428" w:type="dxa"/>
            <w:tcBorders>
              <w:top w:val="single" w:sz="4" w:space="0" w:color="000000"/>
            </w:tcBorders>
          </w:tcPr>
          <w:p>
            <w:pPr>
              <w:pStyle w:val="TableParagraph"/>
              <w:spacing w:line="147" w:lineRule="exact" w:before="103"/>
              <w:ind w:right="337"/>
              <w:jc w:val="right"/>
              <w:rPr>
                <w:sz w:val="14"/>
              </w:rPr>
            </w:pPr>
            <w:r>
              <w:rPr>
                <w:sz w:val="14"/>
              </w:rPr>
              <w:t>0 . 1 %</w:t>
            </w:r>
          </w:p>
        </w:tc>
        <w:tc>
          <w:tcPr>
            <w:tcW w:w="1178" w:type="dxa"/>
            <w:tcBorders>
              <w:top w:val="single" w:sz="4" w:space="0" w:color="000000"/>
            </w:tcBorders>
          </w:tcPr>
          <w:p>
            <w:pPr>
              <w:pStyle w:val="TableParagraph"/>
              <w:spacing w:line="147" w:lineRule="exact" w:before="103"/>
              <w:ind w:right="172"/>
              <w:jc w:val="right"/>
              <w:rPr>
                <w:sz w:val="14"/>
              </w:rPr>
            </w:pPr>
            <w:r>
              <w:rPr>
                <w:sz w:val="14"/>
              </w:rPr>
              <w:t>2,258 .3</w:t>
            </w:r>
          </w:p>
        </w:tc>
        <w:tc>
          <w:tcPr>
            <w:tcW w:w="1225" w:type="dxa"/>
            <w:tcBorders>
              <w:top w:val="single" w:sz="4" w:space="0" w:color="000000"/>
            </w:tcBorders>
          </w:tcPr>
          <w:p>
            <w:pPr>
              <w:pStyle w:val="TableParagraph"/>
              <w:spacing w:line="147" w:lineRule="exact" w:before="103"/>
              <w:ind w:left="379" w:right="369"/>
              <w:jc w:val="center"/>
              <w:rPr>
                <w:sz w:val="14"/>
              </w:rPr>
            </w:pPr>
            <w:r>
              <w:rPr>
                <w:sz w:val="14"/>
              </w:rPr>
              <w:t>0 . 1 %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0"/>
              <w:rPr>
                <w:sz w:val="14"/>
              </w:rPr>
            </w:pPr>
            <w:r>
              <w:rPr>
                <w:sz w:val="14"/>
              </w:rPr>
              <w:t>Grants to Tertiary Education</w:t>
            </w:r>
          </w:p>
        </w:tc>
        <w:tc>
          <w:tcPr>
            <w:tcW w:w="1953" w:type="dxa"/>
          </w:tcPr>
          <w:p>
            <w:pPr>
              <w:pStyle w:val="TableParagraph"/>
              <w:spacing w:line="147" w:lineRule="exact" w:before="1"/>
              <w:ind w:right="480"/>
              <w:jc w:val="right"/>
              <w:rPr>
                <w:b/>
                <w:sz w:val="14"/>
              </w:rPr>
            </w:pPr>
            <w:r>
              <w:rPr>
                <w:b/>
                <w:sz w:val="14"/>
              </w:rPr>
              <w:t>80,000.0</w:t>
            </w:r>
          </w:p>
        </w:tc>
        <w:tc>
          <w:tcPr>
            <w:tcW w:w="1595" w:type="dxa"/>
          </w:tcPr>
          <w:p>
            <w:pPr>
              <w:pStyle w:val="TableParagraph"/>
              <w:spacing w:line="147" w:lineRule="exact" w:before="1"/>
              <w:ind w:right="668"/>
              <w:jc w:val="right"/>
              <w:rPr>
                <w:sz w:val="14"/>
              </w:rPr>
            </w:pPr>
            <w:r>
              <w:rPr>
                <w:sz w:val="14"/>
              </w:rPr>
              <w:t>3 . 8 %</w:t>
            </w:r>
          </w:p>
        </w:tc>
        <w:tc>
          <w:tcPr>
            <w:tcW w:w="1472" w:type="dxa"/>
          </w:tcPr>
          <w:p>
            <w:pPr>
              <w:pStyle w:val="TableParagraph"/>
              <w:spacing w:line="147" w:lineRule="exact" w:before="1"/>
              <w:ind w:right="407"/>
              <w:jc w:val="right"/>
              <w:rPr>
                <w:sz w:val="14"/>
              </w:rPr>
            </w:pPr>
            <w:r>
              <w:rPr>
                <w:sz w:val="14"/>
              </w:rPr>
              <w:t>84,026.2</w:t>
            </w:r>
          </w:p>
        </w:tc>
        <w:tc>
          <w:tcPr>
            <w:tcW w:w="1428" w:type="dxa"/>
          </w:tcPr>
          <w:p>
            <w:pPr>
              <w:pStyle w:val="TableParagraph"/>
              <w:spacing w:line="147" w:lineRule="exact" w:before="1"/>
              <w:ind w:right="337"/>
              <w:jc w:val="right"/>
              <w:rPr>
                <w:sz w:val="14"/>
              </w:rPr>
            </w:pPr>
            <w:r>
              <w:rPr>
                <w:sz w:val="14"/>
              </w:rPr>
              <w:t>4 . 0 %</w:t>
            </w:r>
          </w:p>
        </w:tc>
        <w:tc>
          <w:tcPr>
            <w:tcW w:w="1178" w:type="dxa"/>
          </w:tcPr>
          <w:p>
            <w:pPr>
              <w:pStyle w:val="TableParagraph"/>
              <w:spacing w:line="147" w:lineRule="exact" w:before="1"/>
              <w:ind w:right="181"/>
              <w:jc w:val="right"/>
              <w:rPr>
                <w:sz w:val="14"/>
              </w:rPr>
            </w:pPr>
            <w:r>
              <w:rPr>
                <w:sz w:val="14"/>
              </w:rPr>
              <w:t>101,153.7</w:t>
            </w:r>
          </w:p>
        </w:tc>
        <w:tc>
          <w:tcPr>
            <w:tcW w:w="1225" w:type="dxa"/>
          </w:tcPr>
          <w:p>
            <w:pPr>
              <w:pStyle w:val="TableParagraph"/>
              <w:spacing w:line="147" w:lineRule="exact" w:before="1"/>
              <w:ind w:left="379" w:right="369"/>
              <w:jc w:val="center"/>
              <w:rPr>
                <w:sz w:val="14"/>
              </w:rPr>
            </w:pPr>
            <w:r>
              <w:rPr>
                <w:sz w:val="14"/>
              </w:rPr>
              <w:t>4 . 9 %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0"/>
              <w:rPr>
                <w:sz w:val="14"/>
              </w:rPr>
            </w:pPr>
            <w:r>
              <w:rPr>
                <w:sz w:val="14"/>
              </w:rPr>
              <w:t>Grants for Tertiary Entrance Application Forms</w:t>
            </w:r>
          </w:p>
        </w:tc>
        <w:tc>
          <w:tcPr>
            <w:tcW w:w="1953" w:type="dxa"/>
          </w:tcPr>
          <w:p>
            <w:pPr>
              <w:pStyle w:val="TableParagraph"/>
              <w:spacing w:line="147" w:lineRule="exact" w:before="1"/>
              <w:ind w:right="473"/>
              <w:jc w:val="right"/>
              <w:rPr>
                <w:b/>
                <w:sz w:val="14"/>
              </w:rPr>
            </w:pPr>
            <w:r>
              <w:rPr>
                <w:b/>
                <w:sz w:val="14"/>
              </w:rPr>
              <w:t>3,797.1</w:t>
            </w:r>
          </w:p>
        </w:tc>
        <w:tc>
          <w:tcPr>
            <w:tcW w:w="1595" w:type="dxa"/>
          </w:tcPr>
          <w:p>
            <w:pPr>
              <w:pStyle w:val="TableParagraph"/>
              <w:spacing w:line="147" w:lineRule="exact" w:before="1"/>
              <w:ind w:right="668"/>
              <w:jc w:val="right"/>
              <w:rPr>
                <w:sz w:val="14"/>
              </w:rPr>
            </w:pPr>
            <w:r>
              <w:rPr>
                <w:sz w:val="14"/>
              </w:rPr>
              <w:t>0 . 2 %</w:t>
            </w:r>
          </w:p>
        </w:tc>
        <w:tc>
          <w:tcPr>
            <w:tcW w:w="1472" w:type="dxa"/>
          </w:tcPr>
          <w:p>
            <w:pPr>
              <w:pStyle w:val="TableParagraph"/>
              <w:spacing w:line="147" w:lineRule="exact" w:before="1"/>
              <w:ind w:right="398"/>
              <w:jc w:val="right"/>
              <w:rPr>
                <w:sz w:val="14"/>
              </w:rPr>
            </w:pPr>
            <w:r>
              <w:rPr>
                <w:sz w:val="14"/>
              </w:rPr>
              <w:t>4,677 .2</w:t>
            </w:r>
          </w:p>
        </w:tc>
        <w:tc>
          <w:tcPr>
            <w:tcW w:w="1428" w:type="dxa"/>
          </w:tcPr>
          <w:p>
            <w:pPr>
              <w:pStyle w:val="TableParagraph"/>
              <w:spacing w:line="147" w:lineRule="exact" w:before="1"/>
              <w:ind w:right="337"/>
              <w:jc w:val="right"/>
              <w:rPr>
                <w:sz w:val="14"/>
              </w:rPr>
            </w:pPr>
            <w:r>
              <w:rPr>
                <w:sz w:val="14"/>
              </w:rPr>
              <w:t>0 . 2 %</w:t>
            </w:r>
          </w:p>
        </w:tc>
        <w:tc>
          <w:tcPr>
            <w:tcW w:w="1178" w:type="dxa"/>
          </w:tcPr>
          <w:p>
            <w:pPr>
              <w:pStyle w:val="TableParagraph"/>
              <w:spacing w:line="147" w:lineRule="exact" w:before="1"/>
              <w:ind w:right="172"/>
              <w:jc w:val="right"/>
              <w:rPr>
                <w:sz w:val="14"/>
              </w:rPr>
            </w:pPr>
            <w:r>
              <w:rPr>
                <w:sz w:val="14"/>
              </w:rPr>
              <w:t>4,957 .3</w:t>
            </w:r>
          </w:p>
        </w:tc>
        <w:tc>
          <w:tcPr>
            <w:tcW w:w="1225" w:type="dxa"/>
          </w:tcPr>
          <w:p>
            <w:pPr>
              <w:pStyle w:val="TableParagraph"/>
              <w:spacing w:line="147" w:lineRule="exact" w:before="1"/>
              <w:ind w:left="379" w:right="369"/>
              <w:jc w:val="center"/>
              <w:rPr>
                <w:sz w:val="14"/>
              </w:rPr>
            </w:pPr>
            <w:r>
              <w:rPr>
                <w:sz w:val="14"/>
              </w:rPr>
              <w:t>0 . 2 %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0"/>
              <w:rPr>
                <w:sz w:val="14"/>
              </w:rPr>
            </w:pPr>
            <w:r>
              <w:rPr>
                <w:sz w:val="14"/>
              </w:rPr>
              <w:t>Student’s Loan Scheme</w:t>
            </w:r>
          </w:p>
        </w:tc>
        <w:tc>
          <w:tcPr>
            <w:tcW w:w="1953" w:type="dxa"/>
          </w:tcPr>
          <w:p>
            <w:pPr>
              <w:pStyle w:val="TableParagraph"/>
              <w:spacing w:line="147" w:lineRule="exact" w:before="1"/>
              <w:ind w:right="473"/>
              <w:jc w:val="right"/>
              <w:rPr>
                <w:b/>
                <w:sz w:val="14"/>
              </w:rPr>
            </w:pPr>
            <w:r>
              <w:rPr>
                <w:b/>
                <w:sz w:val="14"/>
              </w:rPr>
              <w:t>2,406.5</w:t>
            </w:r>
          </w:p>
        </w:tc>
        <w:tc>
          <w:tcPr>
            <w:tcW w:w="1595" w:type="dxa"/>
          </w:tcPr>
          <w:p>
            <w:pPr>
              <w:pStyle w:val="TableParagraph"/>
              <w:spacing w:line="147" w:lineRule="exact" w:before="1"/>
              <w:ind w:right="668"/>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2,964 .2</w:t>
            </w:r>
          </w:p>
        </w:tc>
        <w:tc>
          <w:tcPr>
            <w:tcW w:w="1428" w:type="dxa"/>
          </w:tcPr>
          <w:p>
            <w:pPr>
              <w:pStyle w:val="TableParagraph"/>
              <w:spacing w:line="147" w:lineRule="exact" w:before="1"/>
              <w:ind w:right="337"/>
              <w:jc w:val="right"/>
              <w:rPr>
                <w:sz w:val="14"/>
              </w:rPr>
            </w:pPr>
            <w:r>
              <w:rPr>
                <w:sz w:val="14"/>
              </w:rPr>
              <w:t>0 . 1 %</w:t>
            </w:r>
          </w:p>
        </w:tc>
        <w:tc>
          <w:tcPr>
            <w:tcW w:w="1178" w:type="dxa"/>
          </w:tcPr>
          <w:p>
            <w:pPr>
              <w:pStyle w:val="TableParagraph"/>
              <w:spacing w:line="147" w:lineRule="exact" w:before="1"/>
              <w:ind w:right="181"/>
              <w:jc w:val="right"/>
              <w:rPr>
                <w:sz w:val="14"/>
              </w:rPr>
            </w:pPr>
            <w:r>
              <w:rPr>
                <w:sz w:val="14"/>
              </w:rPr>
              <w:t>63,141.8</w:t>
            </w:r>
          </w:p>
        </w:tc>
        <w:tc>
          <w:tcPr>
            <w:tcW w:w="1225" w:type="dxa"/>
          </w:tcPr>
          <w:p>
            <w:pPr>
              <w:pStyle w:val="TableParagraph"/>
              <w:spacing w:line="147" w:lineRule="exact" w:before="1"/>
              <w:ind w:left="379" w:right="369"/>
              <w:jc w:val="center"/>
              <w:rPr>
                <w:sz w:val="14"/>
              </w:rPr>
            </w:pPr>
            <w:r>
              <w:rPr>
                <w:sz w:val="14"/>
              </w:rPr>
              <w:t>3 . 0 %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0"/>
              <w:rPr>
                <w:sz w:val="14"/>
              </w:rPr>
            </w:pPr>
            <w:r>
              <w:rPr>
                <w:sz w:val="14"/>
              </w:rPr>
              <w:t>Technical/ Vocational Education</w:t>
            </w:r>
          </w:p>
        </w:tc>
        <w:tc>
          <w:tcPr>
            <w:tcW w:w="1953" w:type="dxa"/>
          </w:tcPr>
          <w:p>
            <w:pPr>
              <w:pStyle w:val="TableParagraph"/>
              <w:spacing w:line="147" w:lineRule="exact" w:before="1"/>
              <w:ind w:right="473"/>
              <w:jc w:val="right"/>
              <w:rPr>
                <w:b/>
                <w:sz w:val="14"/>
              </w:rPr>
            </w:pPr>
            <w:r>
              <w:rPr>
                <w:b/>
                <w:sz w:val="14"/>
              </w:rPr>
              <w:t>4,628.1</w:t>
            </w:r>
          </w:p>
        </w:tc>
        <w:tc>
          <w:tcPr>
            <w:tcW w:w="1595" w:type="dxa"/>
          </w:tcPr>
          <w:p>
            <w:pPr>
              <w:pStyle w:val="TableParagraph"/>
              <w:spacing w:line="147" w:lineRule="exact" w:before="1"/>
              <w:ind w:right="668"/>
              <w:jc w:val="right"/>
              <w:rPr>
                <w:sz w:val="14"/>
              </w:rPr>
            </w:pPr>
            <w:r>
              <w:rPr>
                <w:sz w:val="14"/>
              </w:rPr>
              <w:t>0 . 2 %</w:t>
            </w:r>
          </w:p>
        </w:tc>
        <w:tc>
          <w:tcPr>
            <w:tcW w:w="1472" w:type="dxa"/>
          </w:tcPr>
          <w:p>
            <w:pPr>
              <w:pStyle w:val="TableParagraph"/>
              <w:spacing w:line="147" w:lineRule="exact" w:before="1"/>
              <w:ind w:right="398"/>
              <w:jc w:val="right"/>
              <w:rPr>
                <w:sz w:val="14"/>
              </w:rPr>
            </w:pPr>
            <w:r>
              <w:rPr>
                <w:sz w:val="14"/>
              </w:rPr>
              <w:t>5,700 .8</w:t>
            </w:r>
          </w:p>
        </w:tc>
        <w:tc>
          <w:tcPr>
            <w:tcW w:w="1428" w:type="dxa"/>
          </w:tcPr>
          <w:p>
            <w:pPr>
              <w:pStyle w:val="TableParagraph"/>
              <w:spacing w:line="147" w:lineRule="exact" w:before="1"/>
              <w:ind w:right="337"/>
              <w:jc w:val="right"/>
              <w:rPr>
                <w:sz w:val="14"/>
              </w:rPr>
            </w:pPr>
            <w:r>
              <w:rPr>
                <w:sz w:val="14"/>
              </w:rPr>
              <w:t>0 . 3 %</w:t>
            </w:r>
          </w:p>
        </w:tc>
        <w:tc>
          <w:tcPr>
            <w:tcW w:w="1178" w:type="dxa"/>
          </w:tcPr>
          <w:p>
            <w:pPr>
              <w:pStyle w:val="TableParagraph"/>
              <w:spacing w:line="147" w:lineRule="exact" w:before="1"/>
              <w:ind w:right="172"/>
              <w:jc w:val="right"/>
              <w:rPr>
                <w:sz w:val="14"/>
              </w:rPr>
            </w:pPr>
            <w:r>
              <w:rPr>
                <w:sz w:val="14"/>
              </w:rPr>
              <w:t>6,042 .3</w:t>
            </w:r>
          </w:p>
        </w:tc>
        <w:tc>
          <w:tcPr>
            <w:tcW w:w="1225" w:type="dxa"/>
          </w:tcPr>
          <w:p>
            <w:pPr>
              <w:pStyle w:val="TableParagraph"/>
              <w:spacing w:line="147" w:lineRule="exact" w:before="1"/>
              <w:ind w:left="379" w:right="369"/>
              <w:jc w:val="center"/>
              <w:rPr>
                <w:sz w:val="14"/>
              </w:rPr>
            </w:pPr>
            <w:r>
              <w:rPr>
                <w:sz w:val="14"/>
              </w:rPr>
              <w:t>0 . 3 %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2"/>
              <w:rPr>
                <w:sz w:val="14"/>
              </w:rPr>
            </w:pPr>
            <w:r>
              <w:rPr>
                <w:sz w:val="14"/>
              </w:rPr>
              <w:t>Science and Technology Committee</w:t>
            </w:r>
          </w:p>
        </w:tc>
        <w:tc>
          <w:tcPr>
            <w:tcW w:w="1953" w:type="dxa"/>
          </w:tcPr>
          <w:p>
            <w:pPr>
              <w:pStyle w:val="TableParagraph"/>
              <w:spacing w:line="147" w:lineRule="exact" w:before="1"/>
              <w:ind w:right="462"/>
              <w:jc w:val="right"/>
              <w:rPr>
                <w:b/>
                <w:sz w:val="14"/>
              </w:rPr>
            </w:pPr>
            <w:r>
              <w:rPr>
                <w:b/>
                <w:sz w:val="14"/>
              </w:rPr>
              <w:t>277.1</w:t>
            </w:r>
          </w:p>
        </w:tc>
        <w:tc>
          <w:tcPr>
            <w:tcW w:w="1595" w:type="dxa"/>
          </w:tcPr>
          <w:p>
            <w:pPr>
              <w:pStyle w:val="TableParagraph"/>
              <w:spacing w:line="147" w:lineRule="exact" w:before="1"/>
              <w:ind w:right="668"/>
              <w:jc w:val="right"/>
              <w:rPr>
                <w:sz w:val="14"/>
              </w:rPr>
            </w:pPr>
            <w:r>
              <w:rPr>
                <w:sz w:val="14"/>
              </w:rPr>
              <w:t>0 . 0 %</w:t>
            </w:r>
          </w:p>
        </w:tc>
        <w:tc>
          <w:tcPr>
            <w:tcW w:w="1472" w:type="dxa"/>
          </w:tcPr>
          <w:p>
            <w:pPr>
              <w:pStyle w:val="TableParagraph"/>
              <w:spacing w:line="147" w:lineRule="exact" w:before="1"/>
              <w:ind w:right="395"/>
              <w:jc w:val="right"/>
              <w:rPr>
                <w:sz w:val="14"/>
              </w:rPr>
            </w:pPr>
            <w:r>
              <w:rPr>
                <w:sz w:val="14"/>
              </w:rPr>
              <w:t>341.4</w:t>
            </w:r>
          </w:p>
        </w:tc>
        <w:tc>
          <w:tcPr>
            <w:tcW w:w="1428" w:type="dxa"/>
          </w:tcPr>
          <w:p>
            <w:pPr>
              <w:pStyle w:val="TableParagraph"/>
              <w:spacing w:line="147" w:lineRule="exact" w:before="1"/>
              <w:ind w:right="337"/>
              <w:jc w:val="right"/>
              <w:rPr>
                <w:sz w:val="14"/>
              </w:rPr>
            </w:pPr>
            <w:r>
              <w:rPr>
                <w:sz w:val="14"/>
              </w:rPr>
              <w:t>0 . 0 %</w:t>
            </w:r>
          </w:p>
        </w:tc>
        <w:tc>
          <w:tcPr>
            <w:tcW w:w="1178" w:type="dxa"/>
          </w:tcPr>
          <w:p>
            <w:pPr>
              <w:pStyle w:val="TableParagraph"/>
              <w:spacing w:line="147" w:lineRule="exact" w:before="1"/>
              <w:ind w:right="169"/>
              <w:jc w:val="right"/>
              <w:rPr>
                <w:sz w:val="14"/>
              </w:rPr>
            </w:pPr>
            <w:r>
              <w:rPr>
                <w:sz w:val="14"/>
              </w:rPr>
              <w:t>361.8</w:t>
            </w:r>
          </w:p>
        </w:tc>
        <w:tc>
          <w:tcPr>
            <w:tcW w:w="1225" w:type="dxa"/>
          </w:tcPr>
          <w:p>
            <w:pPr>
              <w:pStyle w:val="TableParagraph"/>
              <w:spacing w:line="147" w:lineRule="exact" w:before="1"/>
              <w:ind w:left="379" w:right="369"/>
              <w:jc w:val="center"/>
              <w:rPr>
                <w:sz w:val="14"/>
              </w:rPr>
            </w:pPr>
            <w:r>
              <w:rPr>
                <w:sz w:val="14"/>
              </w:rPr>
              <w:t>0 . 0 %</w:t>
            </w:r>
          </w:p>
        </w:tc>
      </w:tr>
      <w:tr>
        <w:trPr>
          <w:trHeight w:val="251" w:hRule="atLeast"/>
        </w:trPr>
        <w:tc>
          <w:tcPr>
            <w:tcW w:w="472" w:type="dxa"/>
          </w:tcPr>
          <w:p>
            <w:pPr>
              <w:pStyle w:val="TableParagraph"/>
              <w:rPr>
                <w:rFonts w:ascii="Times New Roman"/>
                <w:sz w:val="14"/>
              </w:rPr>
            </w:pPr>
          </w:p>
        </w:tc>
        <w:tc>
          <w:tcPr>
            <w:tcW w:w="5479" w:type="dxa"/>
          </w:tcPr>
          <w:p>
            <w:pPr>
              <w:pStyle w:val="TableParagraph"/>
              <w:spacing w:before="1"/>
              <w:ind w:left="263"/>
              <w:rPr>
                <w:sz w:val="14"/>
              </w:rPr>
            </w:pPr>
            <w:r>
              <w:rPr>
                <w:sz w:val="14"/>
              </w:rPr>
              <w:t>Barefoot Solar Technicians Training Centre</w:t>
            </w:r>
          </w:p>
        </w:tc>
        <w:tc>
          <w:tcPr>
            <w:tcW w:w="1953" w:type="dxa"/>
          </w:tcPr>
          <w:p>
            <w:pPr>
              <w:pStyle w:val="TableParagraph"/>
              <w:spacing w:before="1"/>
              <w:ind w:right="462"/>
              <w:jc w:val="right"/>
              <w:rPr>
                <w:b/>
                <w:sz w:val="14"/>
              </w:rPr>
            </w:pPr>
            <w:r>
              <w:rPr>
                <w:b/>
                <w:sz w:val="14"/>
              </w:rPr>
              <w:t>735.7</w:t>
            </w:r>
          </w:p>
        </w:tc>
        <w:tc>
          <w:tcPr>
            <w:tcW w:w="1595" w:type="dxa"/>
          </w:tcPr>
          <w:p>
            <w:pPr>
              <w:pStyle w:val="TableParagraph"/>
              <w:spacing w:before="1"/>
              <w:ind w:right="668"/>
              <w:jc w:val="right"/>
              <w:rPr>
                <w:sz w:val="14"/>
              </w:rPr>
            </w:pPr>
            <w:r>
              <w:rPr>
                <w:sz w:val="14"/>
              </w:rPr>
              <w:t>0 . 0 %</w:t>
            </w:r>
          </w:p>
        </w:tc>
        <w:tc>
          <w:tcPr>
            <w:tcW w:w="1472" w:type="dxa"/>
          </w:tcPr>
          <w:p>
            <w:pPr>
              <w:pStyle w:val="TableParagraph"/>
              <w:spacing w:before="1"/>
              <w:ind w:right="395"/>
              <w:jc w:val="right"/>
              <w:rPr>
                <w:sz w:val="14"/>
              </w:rPr>
            </w:pPr>
            <w:r>
              <w:rPr>
                <w:sz w:val="14"/>
              </w:rPr>
              <w:t>906.2</w:t>
            </w:r>
          </w:p>
        </w:tc>
        <w:tc>
          <w:tcPr>
            <w:tcW w:w="1428" w:type="dxa"/>
          </w:tcPr>
          <w:p>
            <w:pPr>
              <w:pStyle w:val="TableParagraph"/>
              <w:spacing w:before="1"/>
              <w:ind w:right="337"/>
              <w:jc w:val="right"/>
              <w:rPr>
                <w:sz w:val="14"/>
              </w:rPr>
            </w:pPr>
            <w:r>
              <w:rPr>
                <w:sz w:val="14"/>
              </w:rPr>
              <w:t>0 . 0 %</w:t>
            </w:r>
          </w:p>
        </w:tc>
        <w:tc>
          <w:tcPr>
            <w:tcW w:w="1178" w:type="dxa"/>
          </w:tcPr>
          <w:p>
            <w:pPr>
              <w:pStyle w:val="TableParagraph"/>
              <w:spacing w:before="1"/>
              <w:ind w:right="169"/>
              <w:jc w:val="right"/>
              <w:rPr>
                <w:sz w:val="14"/>
              </w:rPr>
            </w:pPr>
            <w:r>
              <w:rPr>
                <w:sz w:val="14"/>
              </w:rPr>
              <w:t>960.5</w:t>
            </w:r>
          </w:p>
        </w:tc>
        <w:tc>
          <w:tcPr>
            <w:tcW w:w="1225" w:type="dxa"/>
          </w:tcPr>
          <w:p>
            <w:pPr>
              <w:pStyle w:val="TableParagraph"/>
              <w:spacing w:before="1"/>
              <w:ind w:left="379" w:right="369"/>
              <w:jc w:val="center"/>
              <w:rPr>
                <w:sz w:val="14"/>
              </w:rPr>
            </w:pPr>
            <w:r>
              <w:rPr>
                <w:sz w:val="14"/>
              </w:rPr>
              <w:t>0 . 0 %</w:t>
            </w:r>
          </w:p>
        </w:tc>
      </w:tr>
      <w:tr>
        <w:trPr>
          <w:trHeight w:val="252" w:hRule="atLeast"/>
        </w:trPr>
        <w:tc>
          <w:tcPr>
            <w:tcW w:w="472" w:type="dxa"/>
          </w:tcPr>
          <w:p>
            <w:pPr>
              <w:pStyle w:val="TableParagraph"/>
              <w:spacing w:line="147" w:lineRule="exact" w:before="85"/>
              <w:ind w:left="125"/>
              <w:rPr>
                <w:sz w:val="14"/>
              </w:rPr>
            </w:pPr>
            <w:r>
              <w:rPr>
                <w:sz w:val="14"/>
              </w:rPr>
              <w:t>301</w:t>
            </w:r>
          </w:p>
        </w:tc>
        <w:tc>
          <w:tcPr>
            <w:tcW w:w="5479" w:type="dxa"/>
          </w:tcPr>
          <w:p>
            <w:pPr>
              <w:pStyle w:val="TableParagraph"/>
              <w:spacing w:line="147" w:lineRule="exact" w:before="85"/>
              <w:ind w:left="95"/>
              <w:rPr>
                <w:sz w:val="14"/>
              </w:rPr>
            </w:pPr>
            <w:r>
              <w:rPr>
                <w:sz w:val="14"/>
              </w:rPr>
              <w:t>Ministry of Basic and Secondary Education</w:t>
            </w:r>
          </w:p>
        </w:tc>
        <w:tc>
          <w:tcPr>
            <w:tcW w:w="1953" w:type="dxa"/>
          </w:tcPr>
          <w:p>
            <w:pPr>
              <w:pStyle w:val="TableParagraph"/>
              <w:spacing w:line="147" w:lineRule="exact" w:before="85"/>
              <w:ind w:right="533"/>
              <w:jc w:val="right"/>
              <w:rPr>
                <w:b/>
                <w:sz w:val="14"/>
              </w:rPr>
            </w:pPr>
            <w:r>
              <w:rPr>
                <w:b/>
                <w:sz w:val="14"/>
              </w:rPr>
              <w:t>26,077.7</w:t>
            </w:r>
          </w:p>
        </w:tc>
        <w:tc>
          <w:tcPr>
            <w:tcW w:w="1595" w:type="dxa"/>
          </w:tcPr>
          <w:p>
            <w:pPr>
              <w:pStyle w:val="TableParagraph"/>
              <w:spacing w:line="147" w:lineRule="exact" w:before="85"/>
              <w:ind w:right="610"/>
              <w:jc w:val="right"/>
              <w:rPr>
                <w:sz w:val="14"/>
              </w:rPr>
            </w:pPr>
            <w:r>
              <w:rPr>
                <w:sz w:val="14"/>
              </w:rPr>
              <w:t>1 . 3 %</w:t>
            </w:r>
          </w:p>
        </w:tc>
        <w:tc>
          <w:tcPr>
            <w:tcW w:w="1472" w:type="dxa"/>
          </w:tcPr>
          <w:p>
            <w:pPr>
              <w:pStyle w:val="TableParagraph"/>
              <w:spacing w:line="147" w:lineRule="exact" w:before="85"/>
              <w:ind w:right="407"/>
              <w:jc w:val="right"/>
              <w:rPr>
                <w:sz w:val="14"/>
              </w:rPr>
            </w:pPr>
            <w:r>
              <w:rPr>
                <w:sz w:val="14"/>
              </w:rPr>
              <w:t>47,813.4</w:t>
            </w:r>
          </w:p>
        </w:tc>
        <w:tc>
          <w:tcPr>
            <w:tcW w:w="1428" w:type="dxa"/>
          </w:tcPr>
          <w:p>
            <w:pPr>
              <w:pStyle w:val="TableParagraph"/>
              <w:spacing w:line="147" w:lineRule="exact" w:before="85"/>
              <w:ind w:left="487"/>
              <w:rPr>
                <w:sz w:val="14"/>
              </w:rPr>
            </w:pPr>
            <w:r>
              <w:rPr>
                <w:sz w:val="14"/>
              </w:rPr>
              <w:t>2 . 3 %</w:t>
            </w:r>
          </w:p>
        </w:tc>
        <w:tc>
          <w:tcPr>
            <w:tcW w:w="1178" w:type="dxa"/>
          </w:tcPr>
          <w:p>
            <w:pPr>
              <w:pStyle w:val="TableParagraph"/>
              <w:spacing w:line="147" w:lineRule="exact" w:before="85"/>
              <w:ind w:left="278"/>
              <w:rPr>
                <w:sz w:val="14"/>
              </w:rPr>
            </w:pPr>
            <w:r>
              <w:rPr>
                <w:sz w:val="14"/>
              </w:rPr>
              <w:t>50,677.5</w:t>
            </w:r>
          </w:p>
        </w:tc>
        <w:tc>
          <w:tcPr>
            <w:tcW w:w="1225" w:type="dxa"/>
          </w:tcPr>
          <w:p>
            <w:pPr>
              <w:pStyle w:val="TableParagraph"/>
              <w:spacing w:line="147" w:lineRule="exact" w:before="85"/>
              <w:ind w:left="379" w:right="369"/>
              <w:jc w:val="center"/>
              <w:rPr>
                <w:sz w:val="14"/>
              </w:rPr>
            </w:pPr>
            <w:r>
              <w:rPr>
                <w:sz w:val="14"/>
              </w:rPr>
              <w:t>2 . 4 %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2"/>
              <w:rPr>
                <w:sz w:val="14"/>
              </w:rPr>
            </w:pPr>
            <w:r>
              <w:rPr>
                <w:sz w:val="14"/>
              </w:rPr>
              <w:t>Administrative and Operating Costs</w:t>
            </w:r>
          </w:p>
        </w:tc>
        <w:tc>
          <w:tcPr>
            <w:tcW w:w="1953" w:type="dxa"/>
          </w:tcPr>
          <w:p>
            <w:pPr>
              <w:pStyle w:val="TableParagraph"/>
              <w:spacing w:line="147" w:lineRule="exact" w:before="1"/>
              <w:ind w:right="531"/>
              <w:jc w:val="right"/>
              <w:rPr>
                <w:b/>
                <w:sz w:val="14"/>
              </w:rPr>
            </w:pPr>
            <w:r>
              <w:rPr>
                <w:b/>
                <w:sz w:val="14"/>
              </w:rPr>
              <w:t>4,092.4</w:t>
            </w:r>
          </w:p>
        </w:tc>
        <w:tc>
          <w:tcPr>
            <w:tcW w:w="1595" w:type="dxa"/>
          </w:tcPr>
          <w:p>
            <w:pPr>
              <w:pStyle w:val="TableParagraph"/>
              <w:spacing w:line="147" w:lineRule="exact" w:before="1"/>
              <w:ind w:right="610"/>
              <w:jc w:val="right"/>
              <w:rPr>
                <w:sz w:val="14"/>
              </w:rPr>
            </w:pPr>
            <w:r>
              <w:rPr>
                <w:sz w:val="14"/>
              </w:rPr>
              <w:t>0 . 2 %</w:t>
            </w:r>
          </w:p>
        </w:tc>
        <w:tc>
          <w:tcPr>
            <w:tcW w:w="1472" w:type="dxa"/>
          </w:tcPr>
          <w:p>
            <w:pPr>
              <w:pStyle w:val="TableParagraph"/>
              <w:spacing w:line="147" w:lineRule="exact" w:before="1"/>
              <w:ind w:right="407"/>
              <w:jc w:val="right"/>
              <w:rPr>
                <w:sz w:val="14"/>
              </w:rPr>
            </w:pPr>
            <w:r>
              <w:rPr>
                <w:sz w:val="14"/>
              </w:rPr>
              <w:t>11,041.0</w:t>
            </w:r>
          </w:p>
        </w:tc>
        <w:tc>
          <w:tcPr>
            <w:tcW w:w="1428" w:type="dxa"/>
          </w:tcPr>
          <w:p>
            <w:pPr>
              <w:pStyle w:val="TableParagraph"/>
              <w:spacing w:line="147" w:lineRule="exact" w:before="1"/>
              <w:ind w:left="487"/>
              <w:rPr>
                <w:sz w:val="14"/>
              </w:rPr>
            </w:pPr>
            <w:r>
              <w:rPr>
                <w:sz w:val="14"/>
              </w:rPr>
              <w:t>0 . 5 %</w:t>
            </w:r>
          </w:p>
        </w:tc>
        <w:tc>
          <w:tcPr>
            <w:tcW w:w="1178" w:type="dxa"/>
          </w:tcPr>
          <w:p>
            <w:pPr>
              <w:pStyle w:val="TableParagraph"/>
              <w:spacing w:line="147" w:lineRule="exact" w:before="1"/>
              <w:ind w:left="278"/>
              <w:rPr>
                <w:sz w:val="14"/>
              </w:rPr>
            </w:pPr>
            <w:r>
              <w:rPr>
                <w:sz w:val="14"/>
              </w:rPr>
              <w:t>11,702.4</w:t>
            </w:r>
          </w:p>
        </w:tc>
        <w:tc>
          <w:tcPr>
            <w:tcW w:w="1225" w:type="dxa"/>
          </w:tcPr>
          <w:p>
            <w:pPr>
              <w:pStyle w:val="TableParagraph"/>
              <w:spacing w:line="147" w:lineRule="exact" w:before="1"/>
              <w:ind w:left="379" w:right="369"/>
              <w:jc w:val="center"/>
              <w:rPr>
                <w:sz w:val="14"/>
              </w:rPr>
            </w:pPr>
            <w:r>
              <w:rPr>
                <w:sz w:val="14"/>
              </w:rPr>
              <w:t>0 . 6 %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3"/>
              <w:rPr>
                <w:sz w:val="14"/>
              </w:rPr>
            </w:pPr>
            <w:r>
              <w:rPr>
                <w:sz w:val="14"/>
              </w:rPr>
              <w:t>Improving Access to and Quality Education</w:t>
            </w:r>
          </w:p>
        </w:tc>
        <w:tc>
          <w:tcPr>
            <w:tcW w:w="1953" w:type="dxa"/>
          </w:tcPr>
          <w:p>
            <w:pPr>
              <w:pStyle w:val="TableParagraph"/>
              <w:spacing w:line="147" w:lineRule="exact" w:before="1"/>
              <w:ind w:right="531"/>
              <w:jc w:val="right"/>
              <w:rPr>
                <w:b/>
                <w:sz w:val="14"/>
              </w:rPr>
            </w:pPr>
            <w:r>
              <w:rPr>
                <w:b/>
                <w:sz w:val="14"/>
              </w:rPr>
              <w:t>21,985.3</w:t>
            </w:r>
          </w:p>
        </w:tc>
        <w:tc>
          <w:tcPr>
            <w:tcW w:w="1595" w:type="dxa"/>
          </w:tcPr>
          <w:p>
            <w:pPr>
              <w:pStyle w:val="TableParagraph"/>
              <w:spacing w:line="147" w:lineRule="exact" w:before="1"/>
              <w:ind w:right="610"/>
              <w:jc w:val="right"/>
              <w:rPr>
                <w:sz w:val="14"/>
              </w:rPr>
            </w:pPr>
            <w:r>
              <w:rPr>
                <w:sz w:val="14"/>
              </w:rPr>
              <w:t>1 . 1 %</w:t>
            </w:r>
          </w:p>
        </w:tc>
        <w:tc>
          <w:tcPr>
            <w:tcW w:w="1472" w:type="dxa"/>
          </w:tcPr>
          <w:p>
            <w:pPr>
              <w:pStyle w:val="TableParagraph"/>
              <w:spacing w:line="147" w:lineRule="exact" w:before="1"/>
              <w:ind w:right="399"/>
              <w:jc w:val="right"/>
              <w:rPr>
                <w:sz w:val="14"/>
              </w:rPr>
            </w:pPr>
            <w:r>
              <w:rPr>
                <w:sz w:val="14"/>
              </w:rPr>
              <w:t>36,772.4</w:t>
            </w:r>
          </w:p>
        </w:tc>
        <w:tc>
          <w:tcPr>
            <w:tcW w:w="1428" w:type="dxa"/>
          </w:tcPr>
          <w:p>
            <w:pPr>
              <w:pStyle w:val="TableParagraph"/>
              <w:spacing w:line="147" w:lineRule="exact" w:before="1"/>
              <w:ind w:left="487"/>
              <w:rPr>
                <w:sz w:val="14"/>
              </w:rPr>
            </w:pPr>
            <w:r>
              <w:rPr>
                <w:sz w:val="14"/>
              </w:rPr>
              <w:t>1 . 8 %</w:t>
            </w:r>
          </w:p>
        </w:tc>
        <w:tc>
          <w:tcPr>
            <w:tcW w:w="1178" w:type="dxa"/>
          </w:tcPr>
          <w:p>
            <w:pPr>
              <w:pStyle w:val="TableParagraph"/>
              <w:spacing w:line="147" w:lineRule="exact" w:before="1"/>
              <w:ind w:left="278"/>
              <w:rPr>
                <w:sz w:val="14"/>
              </w:rPr>
            </w:pPr>
            <w:r>
              <w:rPr>
                <w:sz w:val="14"/>
              </w:rPr>
              <w:t>38,975.1</w:t>
            </w:r>
          </w:p>
        </w:tc>
        <w:tc>
          <w:tcPr>
            <w:tcW w:w="1225" w:type="dxa"/>
          </w:tcPr>
          <w:p>
            <w:pPr>
              <w:pStyle w:val="TableParagraph"/>
              <w:spacing w:line="147" w:lineRule="exact" w:before="1"/>
              <w:ind w:left="379" w:right="369"/>
              <w:jc w:val="center"/>
              <w:rPr>
                <w:sz w:val="14"/>
              </w:rPr>
            </w:pPr>
            <w:r>
              <w:rPr>
                <w:sz w:val="14"/>
              </w:rPr>
              <w:t>1 . 9 %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771"/>
              <w:rPr>
                <w:sz w:val="14"/>
              </w:rPr>
            </w:pPr>
            <w:r>
              <w:rPr>
                <w:i/>
                <w:sz w:val="14"/>
              </w:rPr>
              <w:t>of which: </w:t>
            </w:r>
            <w:r>
              <w:rPr>
                <w:sz w:val="14"/>
              </w:rPr>
              <w:t>Sierra Leone Library Board</w:t>
            </w:r>
          </w:p>
        </w:tc>
        <w:tc>
          <w:tcPr>
            <w:tcW w:w="1953" w:type="dxa"/>
          </w:tcPr>
          <w:p>
            <w:pPr>
              <w:pStyle w:val="TableParagraph"/>
              <w:spacing w:line="147" w:lineRule="exact" w:before="1"/>
              <w:ind w:right="514"/>
              <w:jc w:val="right"/>
              <w:rPr>
                <w:b/>
                <w:sz w:val="14"/>
              </w:rPr>
            </w:pPr>
            <w:r>
              <w:rPr>
                <w:b/>
                <w:sz w:val="14"/>
              </w:rPr>
              <w:t>234.8</w:t>
            </w:r>
          </w:p>
        </w:tc>
        <w:tc>
          <w:tcPr>
            <w:tcW w:w="1595" w:type="dxa"/>
          </w:tcPr>
          <w:p>
            <w:pPr>
              <w:pStyle w:val="TableParagraph"/>
              <w:spacing w:line="147" w:lineRule="exact" w:before="1"/>
              <w:ind w:right="610"/>
              <w:jc w:val="right"/>
              <w:rPr>
                <w:sz w:val="14"/>
              </w:rPr>
            </w:pPr>
            <w:r>
              <w:rPr>
                <w:sz w:val="14"/>
              </w:rPr>
              <w:t>0 . 0 %</w:t>
            </w:r>
          </w:p>
        </w:tc>
        <w:tc>
          <w:tcPr>
            <w:tcW w:w="1472" w:type="dxa"/>
          </w:tcPr>
          <w:p>
            <w:pPr>
              <w:pStyle w:val="TableParagraph"/>
              <w:spacing w:line="147" w:lineRule="exact" w:before="1"/>
              <w:ind w:right="395"/>
              <w:jc w:val="right"/>
              <w:rPr>
                <w:sz w:val="14"/>
              </w:rPr>
            </w:pPr>
            <w:r>
              <w:rPr>
                <w:sz w:val="14"/>
              </w:rPr>
              <w:t>289.2</w:t>
            </w:r>
          </w:p>
        </w:tc>
        <w:tc>
          <w:tcPr>
            <w:tcW w:w="1428" w:type="dxa"/>
          </w:tcPr>
          <w:p>
            <w:pPr>
              <w:pStyle w:val="TableParagraph"/>
              <w:spacing w:line="147" w:lineRule="exact" w:before="1"/>
              <w:ind w:left="487"/>
              <w:rPr>
                <w:sz w:val="14"/>
              </w:rPr>
            </w:pPr>
            <w:r>
              <w:rPr>
                <w:sz w:val="14"/>
              </w:rPr>
              <w:t>0 . 0 %</w:t>
            </w:r>
          </w:p>
        </w:tc>
        <w:tc>
          <w:tcPr>
            <w:tcW w:w="1178" w:type="dxa"/>
          </w:tcPr>
          <w:p>
            <w:pPr>
              <w:pStyle w:val="TableParagraph"/>
              <w:spacing w:line="147" w:lineRule="exact" w:before="1"/>
              <w:ind w:left="518"/>
              <w:rPr>
                <w:sz w:val="14"/>
              </w:rPr>
            </w:pPr>
            <w:r>
              <w:rPr>
                <w:sz w:val="14"/>
              </w:rPr>
              <w:t>306.5</w:t>
            </w:r>
          </w:p>
        </w:tc>
        <w:tc>
          <w:tcPr>
            <w:tcW w:w="1225" w:type="dxa"/>
          </w:tcPr>
          <w:p>
            <w:pPr>
              <w:pStyle w:val="TableParagraph"/>
              <w:spacing w:line="147" w:lineRule="exact" w:before="1"/>
              <w:ind w:left="379" w:right="369"/>
              <w:jc w:val="center"/>
              <w:rPr>
                <w:sz w:val="14"/>
              </w:rPr>
            </w:pPr>
            <w:r>
              <w:rPr>
                <w:sz w:val="14"/>
              </w:rPr>
              <w:t>0 . 0 %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603"/>
              <w:rPr>
                <w:sz w:val="14"/>
              </w:rPr>
            </w:pPr>
            <w:r>
              <w:rPr>
                <w:sz w:val="14"/>
              </w:rPr>
              <w:t>Planning and Development Services</w:t>
            </w:r>
          </w:p>
        </w:tc>
        <w:tc>
          <w:tcPr>
            <w:tcW w:w="1953" w:type="dxa"/>
          </w:tcPr>
          <w:p>
            <w:pPr>
              <w:pStyle w:val="TableParagraph"/>
              <w:spacing w:line="147" w:lineRule="exact" w:before="1"/>
              <w:ind w:right="531"/>
              <w:jc w:val="right"/>
              <w:rPr>
                <w:b/>
                <w:sz w:val="14"/>
              </w:rPr>
            </w:pPr>
            <w:r>
              <w:rPr>
                <w:b/>
                <w:sz w:val="14"/>
              </w:rPr>
              <w:t>2,544.9</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3,134 .8</w:t>
            </w:r>
          </w:p>
        </w:tc>
        <w:tc>
          <w:tcPr>
            <w:tcW w:w="1428" w:type="dxa"/>
          </w:tcPr>
          <w:p>
            <w:pPr>
              <w:pStyle w:val="TableParagraph"/>
              <w:spacing w:line="147" w:lineRule="exact" w:before="1"/>
              <w:ind w:left="487"/>
              <w:rPr>
                <w:sz w:val="14"/>
              </w:rPr>
            </w:pPr>
            <w:r>
              <w:rPr>
                <w:sz w:val="14"/>
              </w:rPr>
              <w:t>0 . 2 %</w:t>
            </w:r>
          </w:p>
        </w:tc>
        <w:tc>
          <w:tcPr>
            <w:tcW w:w="1178" w:type="dxa"/>
          </w:tcPr>
          <w:p>
            <w:pPr>
              <w:pStyle w:val="TableParagraph"/>
              <w:spacing w:line="147" w:lineRule="exact" w:before="1"/>
              <w:ind w:left="369"/>
              <w:rPr>
                <w:sz w:val="14"/>
              </w:rPr>
            </w:pPr>
            <w:r>
              <w:rPr>
                <w:sz w:val="14"/>
              </w:rPr>
              <w:t>3,322 .6</w:t>
            </w:r>
          </w:p>
        </w:tc>
        <w:tc>
          <w:tcPr>
            <w:tcW w:w="1225" w:type="dxa"/>
          </w:tcPr>
          <w:p>
            <w:pPr>
              <w:pStyle w:val="TableParagraph"/>
              <w:spacing w:line="147" w:lineRule="exact" w:before="1"/>
              <w:ind w:left="379" w:right="369"/>
              <w:jc w:val="center"/>
              <w:rPr>
                <w:sz w:val="14"/>
              </w:rPr>
            </w:pPr>
            <w:r>
              <w:rPr>
                <w:sz w:val="14"/>
              </w:rPr>
              <w:t>0 . 2 %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603"/>
              <w:rPr>
                <w:sz w:val="14"/>
              </w:rPr>
            </w:pPr>
            <w:r>
              <w:rPr>
                <w:sz w:val="14"/>
              </w:rPr>
              <w:t>Pre-primary and Primary Education</w:t>
            </w:r>
          </w:p>
        </w:tc>
        <w:tc>
          <w:tcPr>
            <w:tcW w:w="1953" w:type="dxa"/>
          </w:tcPr>
          <w:p>
            <w:pPr>
              <w:pStyle w:val="TableParagraph"/>
              <w:spacing w:line="147" w:lineRule="exact" w:before="1"/>
              <w:ind w:right="531"/>
              <w:jc w:val="right"/>
              <w:rPr>
                <w:b/>
                <w:sz w:val="14"/>
              </w:rPr>
            </w:pPr>
            <w:r>
              <w:rPr>
                <w:b/>
                <w:sz w:val="14"/>
              </w:rPr>
              <w:t>1,876.9</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2,312 .0</w:t>
            </w:r>
          </w:p>
        </w:tc>
        <w:tc>
          <w:tcPr>
            <w:tcW w:w="1428" w:type="dxa"/>
          </w:tcPr>
          <w:p>
            <w:pPr>
              <w:pStyle w:val="TableParagraph"/>
              <w:spacing w:line="147" w:lineRule="exact" w:before="1"/>
              <w:ind w:left="487"/>
              <w:rPr>
                <w:sz w:val="14"/>
              </w:rPr>
            </w:pPr>
            <w:r>
              <w:rPr>
                <w:sz w:val="14"/>
              </w:rPr>
              <w:t>0 . 1 %</w:t>
            </w:r>
          </w:p>
        </w:tc>
        <w:tc>
          <w:tcPr>
            <w:tcW w:w="1178" w:type="dxa"/>
          </w:tcPr>
          <w:p>
            <w:pPr>
              <w:pStyle w:val="TableParagraph"/>
              <w:spacing w:line="147" w:lineRule="exact" w:before="1"/>
              <w:ind w:left="369"/>
              <w:rPr>
                <w:sz w:val="14"/>
              </w:rPr>
            </w:pPr>
            <w:r>
              <w:rPr>
                <w:sz w:val="14"/>
              </w:rPr>
              <w:t>2,450 .5</w:t>
            </w:r>
          </w:p>
        </w:tc>
        <w:tc>
          <w:tcPr>
            <w:tcW w:w="1225" w:type="dxa"/>
          </w:tcPr>
          <w:p>
            <w:pPr>
              <w:pStyle w:val="TableParagraph"/>
              <w:spacing w:line="147" w:lineRule="exact" w:before="1"/>
              <w:ind w:left="379" w:right="369"/>
              <w:jc w:val="center"/>
              <w:rPr>
                <w:sz w:val="14"/>
              </w:rPr>
            </w:pPr>
            <w:r>
              <w:rPr>
                <w:sz w:val="14"/>
              </w:rPr>
              <w:t>0 . 1 %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771"/>
              <w:rPr>
                <w:sz w:val="14"/>
              </w:rPr>
            </w:pPr>
            <w:r>
              <w:rPr>
                <w:sz w:val="14"/>
              </w:rPr>
              <w:t>of which: Grants to Physically Challenged Schools</w:t>
            </w:r>
          </w:p>
        </w:tc>
        <w:tc>
          <w:tcPr>
            <w:tcW w:w="1953" w:type="dxa"/>
          </w:tcPr>
          <w:p>
            <w:pPr>
              <w:pStyle w:val="TableParagraph"/>
              <w:spacing w:line="147" w:lineRule="exact" w:before="1"/>
              <w:ind w:right="531"/>
              <w:jc w:val="right"/>
              <w:rPr>
                <w:b/>
                <w:sz w:val="14"/>
              </w:rPr>
            </w:pPr>
            <w:r>
              <w:rPr>
                <w:b/>
                <w:sz w:val="14"/>
              </w:rPr>
              <w:t>1,798.9</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407"/>
              <w:jc w:val="right"/>
              <w:rPr>
                <w:sz w:val="14"/>
              </w:rPr>
            </w:pPr>
            <w:r>
              <w:rPr>
                <w:sz w:val="14"/>
              </w:rPr>
              <w:t>17,215.8</w:t>
            </w:r>
          </w:p>
        </w:tc>
        <w:tc>
          <w:tcPr>
            <w:tcW w:w="1428" w:type="dxa"/>
          </w:tcPr>
          <w:p>
            <w:pPr>
              <w:pStyle w:val="TableParagraph"/>
              <w:spacing w:line="147" w:lineRule="exact" w:before="1"/>
              <w:ind w:left="487"/>
              <w:rPr>
                <w:sz w:val="14"/>
              </w:rPr>
            </w:pPr>
            <w:r>
              <w:rPr>
                <w:sz w:val="14"/>
              </w:rPr>
              <w:t>0 . 8 %</w:t>
            </w:r>
          </w:p>
        </w:tc>
        <w:tc>
          <w:tcPr>
            <w:tcW w:w="1178" w:type="dxa"/>
          </w:tcPr>
          <w:p>
            <w:pPr>
              <w:pStyle w:val="TableParagraph"/>
              <w:spacing w:line="147" w:lineRule="exact" w:before="1"/>
              <w:ind w:left="278"/>
              <w:rPr>
                <w:sz w:val="14"/>
              </w:rPr>
            </w:pPr>
            <w:r>
              <w:rPr>
                <w:sz w:val="14"/>
              </w:rPr>
              <w:t>18,247.1</w:t>
            </w:r>
          </w:p>
        </w:tc>
        <w:tc>
          <w:tcPr>
            <w:tcW w:w="1225" w:type="dxa"/>
          </w:tcPr>
          <w:p>
            <w:pPr>
              <w:pStyle w:val="TableParagraph"/>
              <w:spacing w:line="147" w:lineRule="exact" w:before="1"/>
              <w:ind w:left="379" w:right="369"/>
              <w:jc w:val="center"/>
              <w:rPr>
                <w:sz w:val="14"/>
              </w:rPr>
            </w:pPr>
            <w:r>
              <w:rPr>
                <w:sz w:val="14"/>
              </w:rPr>
              <w:t>0 . 9 %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603"/>
              <w:rPr>
                <w:sz w:val="14"/>
              </w:rPr>
            </w:pPr>
            <w:r>
              <w:rPr>
                <w:sz w:val="14"/>
              </w:rPr>
              <w:t>Secondary Education</w:t>
            </w:r>
          </w:p>
        </w:tc>
        <w:tc>
          <w:tcPr>
            <w:tcW w:w="1953" w:type="dxa"/>
          </w:tcPr>
          <w:p>
            <w:pPr>
              <w:pStyle w:val="TableParagraph"/>
              <w:spacing w:line="147" w:lineRule="exact" w:before="1"/>
              <w:ind w:right="533"/>
              <w:jc w:val="right"/>
              <w:rPr>
                <w:b/>
                <w:sz w:val="14"/>
              </w:rPr>
            </w:pPr>
            <w:r>
              <w:rPr>
                <w:b/>
                <w:sz w:val="14"/>
              </w:rPr>
              <w:t>14,992.7</w:t>
            </w:r>
          </w:p>
        </w:tc>
        <w:tc>
          <w:tcPr>
            <w:tcW w:w="1595" w:type="dxa"/>
          </w:tcPr>
          <w:p>
            <w:pPr>
              <w:pStyle w:val="TableParagraph"/>
              <w:spacing w:line="147" w:lineRule="exact" w:before="1"/>
              <w:ind w:right="610"/>
              <w:jc w:val="right"/>
              <w:rPr>
                <w:sz w:val="14"/>
              </w:rPr>
            </w:pPr>
            <w:r>
              <w:rPr>
                <w:sz w:val="14"/>
              </w:rPr>
              <w:t>0 . 7 %</w:t>
            </w:r>
          </w:p>
        </w:tc>
        <w:tc>
          <w:tcPr>
            <w:tcW w:w="1472" w:type="dxa"/>
          </w:tcPr>
          <w:p>
            <w:pPr>
              <w:pStyle w:val="TableParagraph"/>
              <w:spacing w:line="147" w:lineRule="exact" w:before="1"/>
              <w:ind w:right="407"/>
              <w:jc w:val="right"/>
              <w:rPr>
                <w:sz w:val="14"/>
              </w:rPr>
            </w:pPr>
            <w:r>
              <w:rPr>
                <w:sz w:val="14"/>
              </w:rPr>
              <w:t>18,251.8</w:t>
            </w:r>
          </w:p>
        </w:tc>
        <w:tc>
          <w:tcPr>
            <w:tcW w:w="1428" w:type="dxa"/>
          </w:tcPr>
          <w:p>
            <w:pPr>
              <w:pStyle w:val="TableParagraph"/>
              <w:spacing w:line="147" w:lineRule="exact" w:before="1"/>
              <w:ind w:left="487"/>
              <w:rPr>
                <w:sz w:val="14"/>
              </w:rPr>
            </w:pPr>
            <w:r>
              <w:rPr>
                <w:sz w:val="14"/>
              </w:rPr>
              <w:t>0 . 9 %</w:t>
            </w:r>
          </w:p>
        </w:tc>
        <w:tc>
          <w:tcPr>
            <w:tcW w:w="1178" w:type="dxa"/>
          </w:tcPr>
          <w:p>
            <w:pPr>
              <w:pStyle w:val="TableParagraph"/>
              <w:spacing w:line="147" w:lineRule="exact" w:before="1"/>
              <w:ind w:left="278"/>
              <w:rPr>
                <w:sz w:val="14"/>
              </w:rPr>
            </w:pPr>
            <w:r>
              <w:rPr>
                <w:sz w:val="14"/>
              </w:rPr>
              <w:t>19,345.0</w:t>
            </w:r>
          </w:p>
        </w:tc>
        <w:tc>
          <w:tcPr>
            <w:tcW w:w="1225" w:type="dxa"/>
          </w:tcPr>
          <w:p>
            <w:pPr>
              <w:pStyle w:val="TableParagraph"/>
              <w:spacing w:line="147" w:lineRule="exact" w:before="1"/>
              <w:ind w:left="379" w:right="369"/>
              <w:jc w:val="center"/>
              <w:rPr>
                <w:sz w:val="14"/>
              </w:rPr>
            </w:pPr>
            <w:r>
              <w:rPr>
                <w:sz w:val="14"/>
              </w:rPr>
              <w:t>0 . 9 %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771"/>
              <w:rPr>
                <w:sz w:val="14"/>
              </w:rPr>
            </w:pPr>
            <w:r>
              <w:rPr>
                <w:i/>
                <w:sz w:val="14"/>
              </w:rPr>
              <w:t>of which: </w:t>
            </w:r>
            <w:r>
              <w:rPr>
                <w:sz w:val="14"/>
              </w:rPr>
              <w:t>Grants in Aid to Government Boarding Schools</w:t>
            </w:r>
          </w:p>
        </w:tc>
        <w:tc>
          <w:tcPr>
            <w:tcW w:w="1953" w:type="dxa"/>
          </w:tcPr>
          <w:p>
            <w:pPr>
              <w:pStyle w:val="TableParagraph"/>
              <w:spacing w:line="147" w:lineRule="exact" w:before="1"/>
              <w:ind w:right="533"/>
              <w:jc w:val="right"/>
              <w:rPr>
                <w:b/>
                <w:sz w:val="14"/>
              </w:rPr>
            </w:pPr>
            <w:r>
              <w:rPr>
                <w:b/>
                <w:sz w:val="14"/>
              </w:rPr>
              <w:t>10,188.6</w:t>
            </w:r>
          </w:p>
        </w:tc>
        <w:tc>
          <w:tcPr>
            <w:tcW w:w="1595" w:type="dxa"/>
          </w:tcPr>
          <w:p>
            <w:pPr>
              <w:pStyle w:val="TableParagraph"/>
              <w:spacing w:line="147" w:lineRule="exact" w:before="1"/>
              <w:ind w:right="610"/>
              <w:jc w:val="right"/>
              <w:rPr>
                <w:sz w:val="14"/>
              </w:rPr>
            </w:pPr>
            <w:r>
              <w:rPr>
                <w:sz w:val="14"/>
              </w:rPr>
              <w:t>0 . 5 %</w:t>
            </w:r>
          </w:p>
        </w:tc>
        <w:tc>
          <w:tcPr>
            <w:tcW w:w="1472" w:type="dxa"/>
          </w:tcPr>
          <w:p>
            <w:pPr>
              <w:pStyle w:val="TableParagraph"/>
              <w:spacing w:line="147" w:lineRule="exact" w:before="1"/>
              <w:ind w:right="407"/>
              <w:jc w:val="right"/>
              <w:rPr>
                <w:sz w:val="14"/>
              </w:rPr>
            </w:pPr>
            <w:r>
              <w:rPr>
                <w:sz w:val="14"/>
              </w:rPr>
              <w:t>62,550.3</w:t>
            </w:r>
          </w:p>
        </w:tc>
        <w:tc>
          <w:tcPr>
            <w:tcW w:w="1428" w:type="dxa"/>
          </w:tcPr>
          <w:p>
            <w:pPr>
              <w:pStyle w:val="TableParagraph"/>
              <w:spacing w:line="147" w:lineRule="exact" w:before="1"/>
              <w:ind w:left="487"/>
              <w:rPr>
                <w:sz w:val="14"/>
              </w:rPr>
            </w:pPr>
            <w:r>
              <w:rPr>
                <w:sz w:val="14"/>
              </w:rPr>
              <w:t>3 . 0 %</w:t>
            </w:r>
          </w:p>
        </w:tc>
        <w:tc>
          <w:tcPr>
            <w:tcW w:w="1178" w:type="dxa"/>
          </w:tcPr>
          <w:p>
            <w:pPr>
              <w:pStyle w:val="TableParagraph"/>
              <w:spacing w:line="147" w:lineRule="exact" w:before="1"/>
              <w:ind w:left="278"/>
              <w:rPr>
                <w:sz w:val="14"/>
              </w:rPr>
            </w:pPr>
            <w:r>
              <w:rPr>
                <w:sz w:val="14"/>
              </w:rPr>
              <w:t>66,297.0</w:t>
            </w:r>
          </w:p>
        </w:tc>
        <w:tc>
          <w:tcPr>
            <w:tcW w:w="1225" w:type="dxa"/>
          </w:tcPr>
          <w:p>
            <w:pPr>
              <w:pStyle w:val="TableParagraph"/>
              <w:spacing w:line="147" w:lineRule="exact" w:before="1"/>
              <w:ind w:left="379" w:right="369"/>
              <w:jc w:val="center"/>
              <w:rPr>
                <w:sz w:val="14"/>
              </w:rPr>
            </w:pPr>
            <w:r>
              <w:rPr>
                <w:sz w:val="14"/>
              </w:rPr>
              <w:t>3 . 2 %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802"/>
              <w:rPr>
                <w:sz w:val="14"/>
              </w:rPr>
            </w:pPr>
            <w:r>
              <w:rPr>
                <w:sz w:val="14"/>
              </w:rPr>
              <w:t>of which: Free Quality Education Coordination Programme</w:t>
            </w:r>
          </w:p>
        </w:tc>
        <w:tc>
          <w:tcPr>
            <w:tcW w:w="1953" w:type="dxa"/>
          </w:tcPr>
          <w:p>
            <w:pPr>
              <w:pStyle w:val="TableParagraph"/>
              <w:spacing w:line="147" w:lineRule="exact" w:before="1"/>
              <w:ind w:right="531"/>
              <w:jc w:val="right"/>
              <w:rPr>
                <w:b/>
                <w:sz w:val="14"/>
              </w:rPr>
            </w:pPr>
            <w:r>
              <w:rPr>
                <w:b/>
                <w:sz w:val="14"/>
              </w:rPr>
              <w:t>4,004.1</w:t>
            </w:r>
          </w:p>
        </w:tc>
        <w:tc>
          <w:tcPr>
            <w:tcW w:w="1595" w:type="dxa"/>
          </w:tcPr>
          <w:p>
            <w:pPr>
              <w:pStyle w:val="TableParagraph"/>
              <w:spacing w:line="147" w:lineRule="exact" w:before="1"/>
              <w:ind w:right="610"/>
              <w:jc w:val="right"/>
              <w:rPr>
                <w:sz w:val="14"/>
              </w:rPr>
            </w:pPr>
            <w:r>
              <w:rPr>
                <w:sz w:val="14"/>
              </w:rPr>
              <w:t>0 . 2 %</w:t>
            </w:r>
          </w:p>
        </w:tc>
        <w:tc>
          <w:tcPr>
            <w:tcW w:w="1472" w:type="dxa"/>
          </w:tcPr>
          <w:p>
            <w:pPr>
              <w:pStyle w:val="TableParagraph"/>
              <w:spacing w:line="147" w:lineRule="exact" w:before="1"/>
              <w:ind w:right="398"/>
              <w:jc w:val="right"/>
              <w:rPr>
                <w:sz w:val="14"/>
              </w:rPr>
            </w:pPr>
            <w:r>
              <w:rPr>
                <w:sz w:val="14"/>
              </w:rPr>
              <w:t>4,932 .2</w:t>
            </w:r>
          </w:p>
        </w:tc>
        <w:tc>
          <w:tcPr>
            <w:tcW w:w="1428" w:type="dxa"/>
          </w:tcPr>
          <w:p>
            <w:pPr>
              <w:pStyle w:val="TableParagraph"/>
              <w:spacing w:line="147" w:lineRule="exact" w:before="1"/>
              <w:ind w:left="487"/>
              <w:rPr>
                <w:sz w:val="14"/>
              </w:rPr>
            </w:pPr>
            <w:r>
              <w:rPr>
                <w:sz w:val="14"/>
              </w:rPr>
              <w:t>0 . 2 %</w:t>
            </w:r>
          </w:p>
        </w:tc>
        <w:tc>
          <w:tcPr>
            <w:tcW w:w="1178" w:type="dxa"/>
          </w:tcPr>
          <w:p>
            <w:pPr>
              <w:pStyle w:val="TableParagraph"/>
              <w:spacing w:line="147" w:lineRule="exact" w:before="1"/>
              <w:ind w:left="369"/>
              <w:rPr>
                <w:sz w:val="14"/>
              </w:rPr>
            </w:pPr>
            <w:r>
              <w:rPr>
                <w:sz w:val="14"/>
              </w:rPr>
              <w:t>5,227 .6</w:t>
            </w:r>
          </w:p>
        </w:tc>
        <w:tc>
          <w:tcPr>
            <w:tcW w:w="1225" w:type="dxa"/>
          </w:tcPr>
          <w:p>
            <w:pPr>
              <w:pStyle w:val="TableParagraph"/>
              <w:spacing w:line="147" w:lineRule="exact" w:before="1"/>
              <w:ind w:left="379" w:right="369"/>
              <w:jc w:val="center"/>
              <w:rPr>
                <w:sz w:val="14"/>
              </w:rPr>
            </w:pPr>
            <w:r>
              <w:rPr>
                <w:sz w:val="14"/>
              </w:rPr>
              <w:t>0 . 3 %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603"/>
              <w:rPr>
                <w:sz w:val="14"/>
              </w:rPr>
            </w:pPr>
            <w:r>
              <w:rPr>
                <w:sz w:val="14"/>
              </w:rPr>
              <w:t>Inspectorate Division</w:t>
            </w:r>
          </w:p>
        </w:tc>
        <w:tc>
          <w:tcPr>
            <w:tcW w:w="1953" w:type="dxa"/>
          </w:tcPr>
          <w:p>
            <w:pPr>
              <w:pStyle w:val="TableParagraph"/>
              <w:spacing w:line="147" w:lineRule="exact" w:before="1"/>
              <w:ind w:right="531"/>
              <w:jc w:val="right"/>
              <w:rPr>
                <w:b/>
                <w:sz w:val="14"/>
              </w:rPr>
            </w:pPr>
            <w:r>
              <w:rPr>
                <w:b/>
                <w:sz w:val="14"/>
              </w:rPr>
              <w:t>1,216.8</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6,498 .9</w:t>
            </w:r>
          </w:p>
        </w:tc>
        <w:tc>
          <w:tcPr>
            <w:tcW w:w="1428" w:type="dxa"/>
          </w:tcPr>
          <w:p>
            <w:pPr>
              <w:pStyle w:val="TableParagraph"/>
              <w:spacing w:line="147" w:lineRule="exact" w:before="1"/>
              <w:ind w:left="487"/>
              <w:rPr>
                <w:sz w:val="14"/>
              </w:rPr>
            </w:pPr>
            <w:r>
              <w:rPr>
                <w:sz w:val="14"/>
              </w:rPr>
              <w:t>0 . 3 %</w:t>
            </w:r>
          </w:p>
        </w:tc>
        <w:tc>
          <w:tcPr>
            <w:tcW w:w="1178" w:type="dxa"/>
          </w:tcPr>
          <w:p>
            <w:pPr>
              <w:pStyle w:val="TableParagraph"/>
              <w:spacing w:line="147" w:lineRule="exact" w:before="1"/>
              <w:ind w:left="369"/>
              <w:rPr>
                <w:sz w:val="14"/>
              </w:rPr>
            </w:pPr>
            <w:r>
              <w:rPr>
                <w:sz w:val="14"/>
              </w:rPr>
              <w:t>6,888 .2</w:t>
            </w:r>
          </w:p>
        </w:tc>
        <w:tc>
          <w:tcPr>
            <w:tcW w:w="1225" w:type="dxa"/>
          </w:tcPr>
          <w:p>
            <w:pPr>
              <w:pStyle w:val="TableParagraph"/>
              <w:spacing w:line="147" w:lineRule="exact" w:before="1"/>
              <w:ind w:left="379" w:right="369"/>
              <w:jc w:val="center"/>
              <w:rPr>
                <w:sz w:val="14"/>
              </w:rPr>
            </w:pPr>
            <w:r>
              <w:rPr>
                <w:sz w:val="14"/>
              </w:rPr>
              <w:t>0 . 3 %</w:t>
            </w:r>
          </w:p>
        </w:tc>
      </w:tr>
      <w:tr>
        <w:trPr>
          <w:trHeight w:val="251" w:hRule="atLeast"/>
        </w:trPr>
        <w:tc>
          <w:tcPr>
            <w:tcW w:w="472" w:type="dxa"/>
          </w:tcPr>
          <w:p>
            <w:pPr>
              <w:pStyle w:val="TableParagraph"/>
              <w:rPr>
                <w:rFonts w:ascii="Times New Roman"/>
                <w:sz w:val="14"/>
              </w:rPr>
            </w:pPr>
          </w:p>
        </w:tc>
        <w:tc>
          <w:tcPr>
            <w:tcW w:w="5479" w:type="dxa"/>
          </w:tcPr>
          <w:p>
            <w:pPr>
              <w:pStyle w:val="TableParagraph"/>
              <w:spacing w:before="1"/>
              <w:ind w:left="603"/>
              <w:rPr>
                <w:sz w:val="14"/>
              </w:rPr>
            </w:pPr>
            <w:r>
              <w:rPr>
                <w:sz w:val="14"/>
              </w:rPr>
              <w:t>Non Formal Education</w:t>
            </w:r>
          </w:p>
        </w:tc>
        <w:tc>
          <w:tcPr>
            <w:tcW w:w="1953" w:type="dxa"/>
          </w:tcPr>
          <w:p>
            <w:pPr>
              <w:pStyle w:val="TableParagraph"/>
              <w:spacing w:before="1"/>
              <w:ind w:right="514"/>
              <w:jc w:val="right"/>
              <w:rPr>
                <w:b/>
                <w:sz w:val="14"/>
              </w:rPr>
            </w:pPr>
            <w:r>
              <w:rPr>
                <w:b/>
                <w:sz w:val="14"/>
              </w:rPr>
              <w:t>953.9</w:t>
            </w:r>
          </w:p>
        </w:tc>
        <w:tc>
          <w:tcPr>
            <w:tcW w:w="1595" w:type="dxa"/>
          </w:tcPr>
          <w:p>
            <w:pPr>
              <w:pStyle w:val="TableParagraph"/>
              <w:spacing w:before="1"/>
              <w:ind w:right="610"/>
              <w:jc w:val="right"/>
              <w:rPr>
                <w:sz w:val="14"/>
              </w:rPr>
            </w:pPr>
            <w:r>
              <w:rPr>
                <w:sz w:val="14"/>
              </w:rPr>
              <w:t>0 . 0 %</w:t>
            </w:r>
          </w:p>
        </w:tc>
        <w:tc>
          <w:tcPr>
            <w:tcW w:w="1472" w:type="dxa"/>
          </w:tcPr>
          <w:p>
            <w:pPr>
              <w:pStyle w:val="TableParagraph"/>
              <w:spacing w:before="1"/>
              <w:ind w:right="398"/>
              <w:jc w:val="right"/>
              <w:rPr>
                <w:sz w:val="14"/>
              </w:rPr>
            </w:pPr>
            <w:r>
              <w:rPr>
                <w:sz w:val="14"/>
              </w:rPr>
              <w:t>6,175 .0</w:t>
            </w:r>
          </w:p>
        </w:tc>
        <w:tc>
          <w:tcPr>
            <w:tcW w:w="1428" w:type="dxa"/>
          </w:tcPr>
          <w:p>
            <w:pPr>
              <w:pStyle w:val="TableParagraph"/>
              <w:spacing w:before="1"/>
              <w:ind w:left="487"/>
              <w:rPr>
                <w:sz w:val="14"/>
              </w:rPr>
            </w:pPr>
            <w:r>
              <w:rPr>
                <w:sz w:val="14"/>
              </w:rPr>
              <w:t>0 . 3 %</w:t>
            </w:r>
          </w:p>
        </w:tc>
        <w:tc>
          <w:tcPr>
            <w:tcW w:w="1178" w:type="dxa"/>
          </w:tcPr>
          <w:p>
            <w:pPr>
              <w:pStyle w:val="TableParagraph"/>
              <w:spacing w:before="1"/>
              <w:ind w:left="369"/>
              <w:rPr>
                <w:sz w:val="14"/>
              </w:rPr>
            </w:pPr>
            <w:r>
              <w:rPr>
                <w:sz w:val="14"/>
              </w:rPr>
              <w:t>6,544 .8</w:t>
            </w:r>
          </w:p>
        </w:tc>
        <w:tc>
          <w:tcPr>
            <w:tcW w:w="1225" w:type="dxa"/>
          </w:tcPr>
          <w:p>
            <w:pPr>
              <w:pStyle w:val="TableParagraph"/>
              <w:spacing w:before="1"/>
              <w:ind w:left="379" w:right="369"/>
              <w:jc w:val="center"/>
              <w:rPr>
                <w:sz w:val="14"/>
              </w:rPr>
            </w:pPr>
            <w:r>
              <w:rPr>
                <w:sz w:val="14"/>
              </w:rPr>
              <w:t>0 . 3 %</w:t>
            </w:r>
          </w:p>
        </w:tc>
      </w:tr>
      <w:tr>
        <w:trPr>
          <w:trHeight w:val="252" w:hRule="atLeast"/>
        </w:trPr>
        <w:tc>
          <w:tcPr>
            <w:tcW w:w="472" w:type="dxa"/>
          </w:tcPr>
          <w:p>
            <w:pPr>
              <w:pStyle w:val="TableParagraph"/>
              <w:spacing w:line="147" w:lineRule="exact" w:before="85"/>
              <w:ind w:left="125"/>
              <w:rPr>
                <w:sz w:val="14"/>
              </w:rPr>
            </w:pPr>
            <w:r>
              <w:rPr>
                <w:sz w:val="14"/>
              </w:rPr>
              <w:t>302</w:t>
            </w:r>
          </w:p>
        </w:tc>
        <w:tc>
          <w:tcPr>
            <w:tcW w:w="5479" w:type="dxa"/>
          </w:tcPr>
          <w:p>
            <w:pPr>
              <w:pStyle w:val="TableParagraph"/>
              <w:spacing w:line="147" w:lineRule="exact" w:before="85"/>
              <w:ind w:left="95"/>
              <w:rPr>
                <w:sz w:val="14"/>
              </w:rPr>
            </w:pPr>
            <w:r>
              <w:rPr>
                <w:sz w:val="14"/>
              </w:rPr>
              <w:t>Ministry of Sports</w:t>
            </w:r>
          </w:p>
        </w:tc>
        <w:tc>
          <w:tcPr>
            <w:tcW w:w="1953" w:type="dxa"/>
          </w:tcPr>
          <w:p>
            <w:pPr>
              <w:pStyle w:val="TableParagraph"/>
              <w:spacing w:line="147" w:lineRule="exact" w:before="85"/>
              <w:ind w:right="533"/>
              <w:jc w:val="right"/>
              <w:rPr>
                <w:b/>
                <w:sz w:val="14"/>
              </w:rPr>
            </w:pPr>
            <w:r>
              <w:rPr>
                <w:b/>
                <w:sz w:val="14"/>
              </w:rPr>
              <w:t>16,611.3</w:t>
            </w:r>
          </w:p>
        </w:tc>
        <w:tc>
          <w:tcPr>
            <w:tcW w:w="1595" w:type="dxa"/>
          </w:tcPr>
          <w:p>
            <w:pPr>
              <w:pStyle w:val="TableParagraph"/>
              <w:spacing w:line="147" w:lineRule="exact" w:before="85"/>
              <w:ind w:right="610"/>
              <w:jc w:val="right"/>
              <w:rPr>
                <w:sz w:val="14"/>
              </w:rPr>
            </w:pPr>
            <w:r>
              <w:rPr>
                <w:sz w:val="14"/>
              </w:rPr>
              <w:t>0 . 8 %</w:t>
            </w:r>
          </w:p>
        </w:tc>
        <w:tc>
          <w:tcPr>
            <w:tcW w:w="1472" w:type="dxa"/>
          </w:tcPr>
          <w:p>
            <w:pPr>
              <w:pStyle w:val="TableParagraph"/>
              <w:spacing w:line="147" w:lineRule="exact" w:before="85"/>
              <w:ind w:right="398"/>
              <w:jc w:val="right"/>
              <w:rPr>
                <w:sz w:val="14"/>
              </w:rPr>
            </w:pPr>
            <w:r>
              <w:rPr>
                <w:sz w:val="14"/>
              </w:rPr>
              <w:t>5,461 .6</w:t>
            </w:r>
          </w:p>
        </w:tc>
        <w:tc>
          <w:tcPr>
            <w:tcW w:w="1428" w:type="dxa"/>
          </w:tcPr>
          <w:p>
            <w:pPr>
              <w:pStyle w:val="TableParagraph"/>
              <w:spacing w:line="147" w:lineRule="exact" w:before="85"/>
              <w:ind w:left="487"/>
              <w:rPr>
                <w:sz w:val="14"/>
              </w:rPr>
            </w:pPr>
            <w:r>
              <w:rPr>
                <w:sz w:val="14"/>
              </w:rPr>
              <w:t>0 . 3 %</w:t>
            </w:r>
          </w:p>
        </w:tc>
        <w:tc>
          <w:tcPr>
            <w:tcW w:w="1178" w:type="dxa"/>
          </w:tcPr>
          <w:p>
            <w:pPr>
              <w:pStyle w:val="TableParagraph"/>
              <w:spacing w:line="147" w:lineRule="exact" w:before="85"/>
              <w:ind w:left="369"/>
              <w:rPr>
                <w:sz w:val="14"/>
              </w:rPr>
            </w:pPr>
            <w:r>
              <w:rPr>
                <w:sz w:val="14"/>
              </w:rPr>
              <w:t>5,788 .8</w:t>
            </w:r>
          </w:p>
        </w:tc>
        <w:tc>
          <w:tcPr>
            <w:tcW w:w="1225" w:type="dxa"/>
          </w:tcPr>
          <w:p>
            <w:pPr>
              <w:pStyle w:val="TableParagraph"/>
              <w:spacing w:line="147" w:lineRule="exact" w:before="85"/>
              <w:ind w:left="379" w:right="369"/>
              <w:jc w:val="center"/>
              <w:rPr>
                <w:sz w:val="14"/>
              </w:rPr>
            </w:pPr>
            <w:r>
              <w:rPr>
                <w:sz w:val="14"/>
              </w:rPr>
              <w:t>0 . 3 %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2"/>
              <w:rPr>
                <w:sz w:val="14"/>
              </w:rPr>
            </w:pPr>
            <w:r>
              <w:rPr>
                <w:sz w:val="14"/>
              </w:rPr>
              <w:t>Administrative and Operating Costs</w:t>
            </w:r>
          </w:p>
        </w:tc>
        <w:tc>
          <w:tcPr>
            <w:tcW w:w="1953" w:type="dxa"/>
          </w:tcPr>
          <w:p>
            <w:pPr>
              <w:pStyle w:val="TableParagraph"/>
              <w:spacing w:line="147" w:lineRule="exact" w:before="1"/>
              <w:ind w:right="531"/>
              <w:jc w:val="right"/>
              <w:rPr>
                <w:b/>
                <w:sz w:val="14"/>
              </w:rPr>
            </w:pPr>
            <w:r>
              <w:rPr>
                <w:b/>
                <w:sz w:val="14"/>
              </w:rPr>
              <w:t>3,517.9</w:t>
            </w:r>
          </w:p>
        </w:tc>
        <w:tc>
          <w:tcPr>
            <w:tcW w:w="1595" w:type="dxa"/>
          </w:tcPr>
          <w:p>
            <w:pPr>
              <w:pStyle w:val="TableParagraph"/>
              <w:spacing w:line="147" w:lineRule="exact" w:before="1"/>
              <w:ind w:right="610"/>
              <w:jc w:val="right"/>
              <w:rPr>
                <w:sz w:val="14"/>
              </w:rPr>
            </w:pPr>
            <w:r>
              <w:rPr>
                <w:sz w:val="14"/>
              </w:rPr>
              <w:t>0 . 2 %</w:t>
            </w:r>
          </w:p>
        </w:tc>
        <w:tc>
          <w:tcPr>
            <w:tcW w:w="1472" w:type="dxa"/>
          </w:tcPr>
          <w:p>
            <w:pPr>
              <w:pStyle w:val="TableParagraph"/>
              <w:spacing w:line="147" w:lineRule="exact" w:before="1"/>
              <w:ind w:right="398"/>
              <w:jc w:val="right"/>
              <w:rPr>
                <w:sz w:val="14"/>
              </w:rPr>
            </w:pPr>
            <w:r>
              <w:rPr>
                <w:sz w:val="14"/>
              </w:rPr>
              <w:t>4,333 .3</w:t>
            </w:r>
          </w:p>
        </w:tc>
        <w:tc>
          <w:tcPr>
            <w:tcW w:w="1428" w:type="dxa"/>
          </w:tcPr>
          <w:p>
            <w:pPr>
              <w:pStyle w:val="TableParagraph"/>
              <w:spacing w:line="147" w:lineRule="exact" w:before="1"/>
              <w:ind w:left="487"/>
              <w:rPr>
                <w:sz w:val="14"/>
              </w:rPr>
            </w:pPr>
            <w:r>
              <w:rPr>
                <w:sz w:val="14"/>
              </w:rPr>
              <w:t>0 . 2 %</w:t>
            </w:r>
          </w:p>
        </w:tc>
        <w:tc>
          <w:tcPr>
            <w:tcW w:w="1178" w:type="dxa"/>
          </w:tcPr>
          <w:p>
            <w:pPr>
              <w:pStyle w:val="TableParagraph"/>
              <w:spacing w:line="147" w:lineRule="exact" w:before="1"/>
              <w:ind w:left="369"/>
              <w:rPr>
                <w:sz w:val="14"/>
              </w:rPr>
            </w:pPr>
            <w:r>
              <w:rPr>
                <w:sz w:val="14"/>
              </w:rPr>
              <w:t>4,592 .8</w:t>
            </w:r>
          </w:p>
        </w:tc>
        <w:tc>
          <w:tcPr>
            <w:tcW w:w="1225" w:type="dxa"/>
          </w:tcPr>
          <w:p>
            <w:pPr>
              <w:pStyle w:val="TableParagraph"/>
              <w:spacing w:line="147" w:lineRule="exact" w:before="1"/>
              <w:ind w:left="379" w:right="369"/>
              <w:jc w:val="center"/>
              <w:rPr>
                <w:sz w:val="14"/>
              </w:rPr>
            </w:pPr>
            <w:r>
              <w:rPr>
                <w:sz w:val="14"/>
              </w:rPr>
              <w:t>0 . 2 %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2"/>
              <w:rPr>
                <w:sz w:val="14"/>
              </w:rPr>
            </w:pPr>
            <w:r>
              <w:rPr>
                <w:sz w:val="14"/>
              </w:rPr>
              <w:t>Sports Programmes</w:t>
            </w:r>
          </w:p>
        </w:tc>
        <w:tc>
          <w:tcPr>
            <w:tcW w:w="1953" w:type="dxa"/>
          </w:tcPr>
          <w:p>
            <w:pPr>
              <w:pStyle w:val="TableParagraph"/>
              <w:spacing w:line="147" w:lineRule="exact" w:before="1"/>
              <w:ind w:right="533"/>
              <w:jc w:val="right"/>
              <w:rPr>
                <w:b/>
                <w:sz w:val="14"/>
              </w:rPr>
            </w:pPr>
            <w:r>
              <w:rPr>
                <w:b/>
                <w:sz w:val="14"/>
              </w:rPr>
              <w:t>13,093.4</w:t>
            </w:r>
          </w:p>
        </w:tc>
        <w:tc>
          <w:tcPr>
            <w:tcW w:w="1595" w:type="dxa"/>
          </w:tcPr>
          <w:p>
            <w:pPr>
              <w:pStyle w:val="TableParagraph"/>
              <w:spacing w:line="147" w:lineRule="exact" w:before="1"/>
              <w:ind w:right="610"/>
              <w:jc w:val="right"/>
              <w:rPr>
                <w:sz w:val="14"/>
              </w:rPr>
            </w:pPr>
            <w:r>
              <w:rPr>
                <w:sz w:val="14"/>
              </w:rPr>
              <w:t>0 . 6 %</w:t>
            </w:r>
          </w:p>
        </w:tc>
        <w:tc>
          <w:tcPr>
            <w:tcW w:w="1472" w:type="dxa"/>
          </w:tcPr>
          <w:p>
            <w:pPr>
              <w:pStyle w:val="TableParagraph"/>
              <w:spacing w:line="147" w:lineRule="exact" w:before="1"/>
              <w:ind w:right="398"/>
              <w:jc w:val="right"/>
              <w:rPr>
                <w:sz w:val="14"/>
              </w:rPr>
            </w:pPr>
            <w:r>
              <w:rPr>
                <w:sz w:val="14"/>
              </w:rPr>
              <w:t>1,128 .3</w:t>
            </w:r>
          </w:p>
        </w:tc>
        <w:tc>
          <w:tcPr>
            <w:tcW w:w="1428" w:type="dxa"/>
          </w:tcPr>
          <w:p>
            <w:pPr>
              <w:pStyle w:val="TableParagraph"/>
              <w:spacing w:line="147" w:lineRule="exact" w:before="1"/>
              <w:ind w:left="487"/>
              <w:rPr>
                <w:sz w:val="14"/>
              </w:rPr>
            </w:pPr>
            <w:r>
              <w:rPr>
                <w:sz w:val="14"/>
              </w:rPr>
              <w:t>0 . 1 %</w:t>
            </w:r>
          </w:p>
        </w:tc>
        <w:tc>
          <w:tcPr>
            <w:tcW w:w="1178" w:type="dxa"/>
          </w:tcPr>
          <w:p>
            <w:pPr>
              <w:pStyle w:val="TableParagraph"/>
              <w:spacing w:line="147" w:lineRule="exact" w:before="1"/>
              <w:ind w:left="369"/>
              <w:rPr>
                <w:sz w:val="14"/>
              </w:rPr>
            </w:pPr>
            <w:r>
              <w:rPr>
                <w:sz w:val="14"/>
              </w:rPr>
              <w:t>1,195 .9</w:t>
            </w:r>
          </w:p>
        </w:tc>
        <w:tc>
          <w:tcPr>
            <w:tcW w:w="1225" w:type="dxa"/>
          </w:tcPr>
          <w:p>
            <w:pPr>
              <w:pStyle w:val="TableParagraph"/>
              <w:spacing w:line="147" w:lineRule="exact" w:before="1"/>
              <w:ind w:left="379" w:right="369"/>
              <w:jc w:val="center"/>
              <w:rPr>
                <w:sz w:val="14"/>
              </w:rPr>
            </w:pPr>
            <w:r>
              <w:rPr>
                <w:sz w:val="14"/>
              </w:rPr>
              <w:t>0 . 1 %</w:t>
            </w:r>
          </w:p>
        </w:tc>
      </w:tr>
      <w:tr>
        <w:trPr>
          <w:trHeight w:val="251" w:hRule="atLeast"/>
        </w:trPr>
        <w:tc>
          <w:tcPr>
            <w:tcW w:w="472" w:type="dxa"/>
          </w:tcPr>
          <w:p>
            <w:pPr>
              <w:pStyle w:val="TableParagraph"/>
              <w:rPr>
                <w:rFonts w:ascii="Times New Roman"/>
                <w:sz w:val="14"/>
              </w:rPr>
            </w:pPr>
          </w:p>
        </w:tc>
        <w:tc>
          <w:tcPr>
            <w:tcW w:w="5479" w:type="dxa"/>
          </w:tcPr>
          <w:p>
            <w:pPr>
              <w:pStyle w:val="TableParagraph"/>
              <w:spacing w:before="1"/>
              <w:ind w:left="603"/>
              <w:rPr>
                <w:sz w:val="14"/>
              </w:rPr>
            </w:pPr>
            <w:r>
              <w:rPr>
                <w:i/>
                <w:sz w:val="14"/>
              </w:rPr>
              <w:t>o/ w: </w:t>
            </w:r>
            <w:r>
              <w:rPr>
                <w:sz w:val="14"/>
              </w:rPr>
              <w:t>Contributions to Sporting Activities</w:t>
            </w:r>
          </w:p>
        </w:tc>
        <w:tc>
          <w:tcPr>
            <w:tcW w:w="1953" w:type="dxa"/>
          </w:tcPr>
          <w:p>
            <w:pPr>
              <w:pStyle w:val="TableParagraph"/>
              <w:spacing w:before="1"/>
              <w:ind w:right="533"/>
              <w:jc w:val="right"/>
              <w:rPr>
                <w:b/>
                <w:sz w:val="14"/>
              </w:rPr>
            </w:pPr>
            <w:r>
              <w:rPr>
                <w:b/>
                <w:sz w:val="14"/>
              </w:rPr>
              <w:t>13,093.4</w:t>
            </w:r>
          </w:p>
        </w:tc>
        <w:tc>
          <w:tcPr>
            <w:tcW w:w="1595" w:type="dxa"/>
          </w:tcPr>
          <w:p>
            <w:pPr>
              <w:pStyle w:val="TableParagraph"/>
              <w:spacing w:before="1"/>
              <w:ind w:right="610"/>
              <w:jc w:val="right"/>
              <w:rPr>
                <w:sz w:val="14"/>
              </w:rPr>
            </w:pPr>
            <w:r>
              <w:rPr>
                <w:sz w:val="14"/>
              </w:rPr>
              <w:t>0 . 6 %</w:t>
            </w:r>
          </w:p>
        </w:tc>
        <w:tc>
          <w:tcPr>
            <w:tcW w:w="1472" w:type="dxa"/>
          </w:tcPr>
          <w:p>
            <w:pPr>
              <w:pStyle w:val="TableParagraph"/>
              <w:spacing w:before="1"/>
              <w:ind w:right="398"/>
              <w:jc w:val="right"/>
              <w:rPr>
                <w:sz w:val="14"/>
              </w:rPr>
            </w:pPr>
            <w:r>
              <w:rPr>
                <w:sz w:val="14"/>
              </w:rPr>
              <w:t>1,128 .3</w:t>
            </w:r>
          </w:p>
        </w:tc>
        <w:tc>
          <w:tcPr>
            <w:tcW w:w="1428" w:type="dxa"/>
          </w:tcPr>
          <w:p>
            <w:pPr>
              <w:pStyle w:val="TableParagraph"/>
              <w:spacing w:before="1"/>
              <w:ind w:left="487"/>
              <w:rPr>
                <w:sz w:val="14"/>
              </w:rPr>
            </w:pPr>
            <w:r>
              <w:rPr>
                <w:sz w:val="14"/>
              </w:rPr>
              <w:t>0 . 1 %</w:t>
            </w:r>
          </w:p>
        </w:tc>
        <w:tc>
          <w:tcPr>
            <w:tcW w:w="1178" w:type="dxa"/>
          </w:tcPr>
          <w:p>
            <w:pPr>
              <w:pStyle w:val="TableParagraph"/>
              <w:spacing w:before="1"/>
              <w:ind w:left="369"/>
              <w:rPr>
                <w:sz w:val="14"/>
              </w:rPr>
            </w:pPr>
            <w:r>
              <w:rPr>
                <w:sz w:val="14"/>
              </w:rPr>
              <w:t>1,195 .9</w:t>
            </w:r>
          </w:p>
        </w:tc>
        <w:tc>
          <w:tcPr>
            <w:tcW w:w="1225" w:type="dxa"/>
          </w:tcPr>
          <w:p>
            <w:pPr>
              <w:pStyle w:val="TableParagraph"/>
              <w:spacing w:before="1"/>
              <w:ind w:left="379" w:right="369"/>
              <w:jc w:val="center"/>
              <w:rPr>
                <w:sz w:val="14"/>
              </w:rPr>
            </w:pPr>
            <w:r>
              <w:rPr>
                <w:sz w:val="14"/>
              </w:rPr>
              <w:t>0 . 1 %</w:t>
            </w:r>
          </w:p>
        </w:tc>
      </w:tr>
      <w:tr>
        <w:trPr>
          <w:trHeight w:val="252" w:hRule="atLeast"/>
        </w:trPr>
        <w:tc>
          <w:tcPr>
            <w:tcW w:w="472" w:type="dxa"/>
          </w:tcPr>
          <w:p>
            <w:pPr>
              <w:pStyle w:val="TableParagraph"/>
              <w:spacing w:line="147" w:lineRule="exact" w:before="85"/>
              <w:ind w:left="125"/>
              <w:rPr>
                <w:sz w:val="14"/>
              </w:rPr>
            </w:pPr>
            <w:r>
              <w:rPr>
                <w:sz w:val="14"/>
              </w:rPr>
              <w:t>303</w:t>
            </w:r>
          </w:p>
        </w:tc>
        <w:tc>
          <w:tcPr>
            <w:tcW w:w="5479" w:type="dxa"/>
          </w:tcPr>
          <w:p>
            <w:pPr>
              <w:pStyle w:val="TableParagraph"/>
              <w:spacing w:line="147" w:lineRule="exact" w:before="85"/>
              <w:ind w:left="95"/>
              <w:rPr>
                <w:sz w:val="14"/>
              </w:rPr>
            </w:pPr>
            <w:r>
              <w:rPr>
                <w:sz w:val="14"/>
              </w:rPr>
              <w:t>Ministry of Tourism and Cultural Affairs</w:t>
            </w:r>
          </w:p>
        </w:tc>
        <w:tc>
          <w:tcPr>
            <w:tcW w:w="1953" w:type="dxa"/>
          </w:tcPr>
          <w:p>
            <w:pPr>
              <w:pStyle w:val="TableParagraph"/>
              <w:spacing w:line="147" w:lineRule="exact" w:before="85"/>
              <w:ind w:right="531"/>
              <w:jc w:val="right"/>
              <w:rPr>
                <w:b/>
                <w:sz w:val="14"/>
              </w:rPr>
            </w:pPr>
            <w:r>
              <w:rPr>
                <w:b/>
                <w:sz w:val="14"/>
              </w:rPr>
              <w:t>3,854.3</w:t>
            </w:r>
          </w:p>
        </w:tc>
        <w:tc>
          <w:tcPr>
            <w:tcW w:w="1595" w:type="dxa"/>
          </w:tcPr>
          <w:p>
            <w:pPr>
              <w:pStyle w:val="TableParagraph"/>
              <w:spacing w:line="147" w:lineRule="exact" w:before="85"/>
              <w:ind w:right="610"/>
              <w:jc w:val="right"/>
              <w:rPr>
                <w:sz w:val="14"/>
              </w:rPr>
            </w:pPr>
            <w:r>
              <w:rPr>
                <w:sz w:val="14"/>
              </w:rPr>
              <w:t>0 . 2 %</w:t>
            </w:r>
          </w:p>
        </w:tc>
        <w:tc>
          <w:tcPr>
            <w:tcW w:w="1472" w:type="dxa"/>
          </w:tcPr>
          <w:p>
            <w:pPr>
              <w:pStyle w:val="TableParagraph"/>
              <w:spacing w:line="147" w:lineRule="exact" w:before="85"/>
              <w:ind w:right="398"/>
              <w:jc w:val="right"/>
              <w:rPr>
                <w:sz w:val="14"/>
              </w:rPr>
            </w:pPr>
            <w:r>
              <w:rPr>
                <w:sz w:val="14"/>
              </w:rPr>
              <w:t>4,747 .7</w:t>
            </w:r>
          </w:p>
        </w:tc>
        <w:tc>
          <w:tcPr>
            <w:tcW w:w="1428" w:type="dxa"/>
          </w:tcPr>
          <w:p>
            <w:pPr>
              <w:pStyle w:val="TableParagraph"/>
              <w:spacing w:line="147" w:lineRule="exact" w:before="85"/>
              <w:ind w:left="487"/>
              <w:rPr>
                <w:sz w:val="14"/>
              </w:rPr>
            </w:pPr>
            <w:r>
              <w:rPr>
                <w:sz w:val="14"/>
              </w:rPr>
              <w:t>0 . 2 %</w:t>
            </w:r>
          </w:p>
        </w:tc>
        <w:tc>
          <w:tcPr>
            <w:tcW w:w="1178" w:type="dxa"/>
          </w:tcPr>
          <w:p>
            <w:pPr>
              <w:pStyle w:val="TableParagraph"/>
              <w:spacing w:line="147" w:lineRule="exact" w:before="85"/>
              <w:ind w:left="369"/>
              <w:rPr>
                <w:sz w:val="14"/>
              </w:rPr>
            </w:pPr>
            <w:r>
              <w:rPr>
                <w:sz w:val="14"/>
              </w:rPr>
              <w:t>5,032 .1</w:t>
            </w:r>
          </w:p>
        </w:tc>
        <w:tc>
          <w:tcPr>
            <w:tcW w:w="1225" w:type="dxa"/>
          </w:tcPr>
          <w:p>
            <w:pPr>
              <w:pStyle w:val="TableParagraph"/>
              <w:spacing w:line="147" w:lineRule="exact" w:before="85"/>
              <w:ind w:left="379" w:right="369"/>
              <w:jc w:val="center"/>
              <w:rPr>
                <w:sz w:val="14"/>
              </w:rPr>
            </w:pPr>
            <w:r>
              <w:rPr>
                <w:sz w:val="14"/>
              </w:rPr>
              <w:t>0 . 2 %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2"/>
              <w:rPr>
                <w:sz w:val="14"/>
              </w:rPr>
            </w:pPr>
            <w:r>
              <w:rPr>
                <w:sz w:val="14"/>
              </w:rPr>
              <w:t>Administrative and Operating Costs</w:t>
            </w:r>
          </w:p>
        </w:tc>
        <w:tc>
          <w:tcPr>
            <w:tcW w:w="1953" w:type="dxa"/>
          </w:tcPr>
          <w:p>
            <w:pPr>
              <w:pStyle w:val="TableParagraph"/>
              <w:spacing w:line="147" w:lineRule="exact" w:before="1"/>
              <w:ind w:right="514"/>
              <w:jc w:val="right"/>
              <w:rPr>
                <w:b/>
                <w:sz w:val="14"/>
              </w:rPr>
            </w:pPr>
            <w:r>
              <w:rPr>
                <w:b/>
                <w:sz w:val="14"/>
              </w:rPr>
              <w:t>857.1</w:t>
            </w:r>
          </w:p>
        </w:tc>
        <w:tc>
          <w:tcPr>
            <w:tcW w:w="1595" w:type="dxa"/>
          </w:tcPr>
          <w:p>
            <w:pPr>
              <w:pStyle w:val="TableParagraph"/>
              <w:spacing w:line="147" w:lineRule="exact" w:before="1"/>
              <w:ind w:right="610"/>
              <w:jc w:val="right"/>
              <w:rPr>
                <w:sz w:val="14"/>
              </w:rPr>
            </w:pPr>
            <w:r>
              <w:rPr>
                <w:sz w:val="14"/>
              </w:rPr>
              <w:t>0 . 0 %</w:t>
            </w:r>
          </w:p>
        </w:tc>
        <w:tc>
          <w:tcPr>
            <w:tcW w:w="1472" w:type="dxa"/>
          </w:tcPr>
          <w:p>
            <w:pPr>
              <w:pStyle w:val="TableParagraph"/>
              <w:spacing w:line="147" w:lineRule="exact" w:before="1"/>
              <w:ind w:right="398"/>
              <w:jc w:val="right"/>
              <w:rPr>
                <w:sz w:val="14"/>
              </w:rPr>
            </w:pPr>
            <w:r>
              <w:rPr>
                <w:sz w:val="14"/>
              </w:rPr>
              <w:t>1,055 .8</w:t>
            </w:r>
          </w:p>
        </w:tc>
        <w:tc>
          <w:tcPr>
            <w:tcW w:w="1428" w:type="dxa"/>
          </w:tcPr>
          <w:p>
            <w:pPr>
              <w:pStyle w:val="TableParagraph"/>
              <w:spacing w:line="147" w:lineRule="exact" w:before="1"/>
              <w:ind w:left="487"/>
              <w:rPr>
                <w:sz w:val="14"/>
              </w:rPr>
            </w:pPr>
            <w:r>
              <w:rPr>
                <w:sz w:val="14"/>
              </w:rPr>
              <w:t>0 . 1 %</w:t>
            </w:r>
          </w:p>
        </w:tc>
        <w:tc>
          <w:tcPr>
            <w:tcW w:w="1178" w:type="dxa"/>
          </w:tcPr>
          <w:p>
            <w:pPr>
              <w:pStyle w:val="TableParagraph"/>
              <w:spacing w:line="147" w:lineRule="exact" w:before="1"/>
              <w:ind w:left="369"/>
              <w:rPr>
                <w:sz w:val="14"/>
              </w:rPr>
            </w:pPr>
            <w:r>
              <w:rPr>
                <w:sz w:val="14"/>
              </w:rPr>
              <w:t>1,119 .0</w:t>
            </w:r>
          </w:p>
        </w:tc>
        <w:tc>
          <w:tcPr>
            <w:tcW w:w="1225" w:type="dxa"/>
          </w:tcPr>
          <w:p>
            <w:pPr>
              <w:pStyle w:val="TableParagraph"/>
              <w:spacing w:line="147" w:lineRule="exact" w:before="1"/>
              <w:ind w:left="379" w:right="369"/>
              <w:jc w:val="center"/>
              <w:rPr>
                <w:sz w:val="14"/>
              </w:rPr>
            </w:pPr>
            <w:r>
              <w:rPr>
                <w:sz w:val="14"/>
              </w:rPr>
              <w:t>0 . 1 %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2"/>
              <w:rPr>
                <w:sz w:val="14"/>
              </w:rPr>
            </w:pPr>
            <w:r>
              <w:rPr>
                <w:sz w:val="14"/>
              </w:rPr>
              <w:t>Promoting Local and International Tourism</w:t>
            </w:r>
          </w:p>
        </w:tc>
        <w:tc>
          <w:tcPr>
            <w:tcW w:w="1953" w:type="dxa"/>
          </w:tcPr>
          <w:p>
            <w:pPr>
              <w:pStyle w:val="TableParagraph"/>
              <w:spacing w:line="147" w:lineRule="exact" w:before="1"/>
              <w:ind w:right="531"/>
              <w:jc w:val="right"/>
              <w:rPr>
                <w:b/>
                <w:sz w:val="14"/>
              </w:rPr>
            </w:pPr>
            <w:r>
              <w:rPr>
                <w:b/>
                <w:sz w:val="14"/>
              </w:rPr>
              <w:t>2,997.2</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3,692 .0</w:t>
            </w:r>
          </w:p>
        </w:tc>
        <w:tc>
          <w:tcPr>
            <w:tcW w:w="1428" w:type="dxa"/>
          </w:tcPr>
          <w:p>
            <w:pPr>
              <w:pStyle w:val="TableParagraph"/>
              <w:spacing w:line="147" w:lineRule="exact" w:before="1"/>
              <w:ind w:left="487"/>
              <w:rPr>
                <w:sz w:val="14"/>
              </w:rPr>
            </w:pPr>
            <w:r>
              <w:rPr>
                <w:sz w:val="14"/>
              </w:rPr>
              <w:t>0 . 2 %</w:t>
            </w:r>
          </w:p>
        </w:tc>
        <w:tc>
          <w:tcPr>
            <w:tcW w:w="1178" w:type="dxa"/>
          </w:tcPr>
          <w:p>
            <w:pPr>
              <w:pStyle w:val="TableParagraph"/>
              <w:spacing w:line="147" w:lineRule="exact" w:before="1"/>
              <w:ind w:left="369"/>
              <w:rPr>
                <w:sz w:val="14"/>
              </w:rPr>
            </w:pPr>
            <w:r>
              <w:rPr>
                <w:sz w:val="14"/>
              </w:rPr>
              <w:t>3,913 .1</w:t>
            </w:r>
          </w:p>
        </w:tc>
        <w:tc>
          <w:tcPr>
            <w:tcW w:w="1225" w:type="dxa"/>
          </w:tcPr>
          <w:p>
            <w:pPr>
              <w:pStyle w:val="TableParagraph"/>
              <w:spacing w:line="147" w:lineRule="exact" w:before="1"/>
              <w:ind w:left="379" w:right="369"/>
              <w:jc w:val="center"/>
              <w:rPr>
                <w:sz w:val="14"/>
              </w:rPr>
            </w:pPr>
            <w:r>
              <w:rPr>
                <w:sz w:val="14"/>
              </w:rPr>
              <w:t>0 . 2 %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0"/>
              <w:rPr>
                <w:sz w:val="14"/>
              </w:rPr>
            </w:pPr>
            <w:r>
              <w:rPr>
                <w:sz w:val="14"/>
              </w:rPr>
              <w:t>Culture Division</w:t>
            </w:r>
          </w:p>
        </w:tc>
        <w:tc>
          <w:tcPr>
            <w:tcW w:w="1953" w:type="dxa"/>
          </w:tcPr>
          <w:p>
            <w:pPr>
              <w:pStyle w:val="TableParagraph"/>
              <w:spacing w:line="147" w:lineRule="exact" w:before="1"/>
              <w:ind w:right="514"/>
              <w:jc w:val="right"/>
              <w:rPr>
                <w:b/>
                <w:sz w:val="14"/>
              </w:rPr>
            </w:pPr>
            <w:r>
              <w:rPr>
                <w:b/>
                <w:sz w:val="14"/>
              </w:rPr>
              <w:t>793.3</w:t>
            </w:r>
          </w:p>
        </w:tc>
        <w:tc>
          <w:tcPr>
            <w:tcW w:w="1595" w:type="dxa"/>
          </w:tcPr>
          <w:p>
            <w:pPr>
              <w:pStyle w:val="TableParagraph"/>
              <w:spacing w:line="147" w:lineRule="exact" w:before="1"/>
              <w:ind w:right="610"/>
              <w:jc w:val="right"/>
              <w:rPr>
                <w:sz w:val="14"/>
              </w:rPr>
            </w:pPr>
            <w:r>
              <w:rPr>
                <w:sz w:val="14"/>
              </w:rPr>
              <w:t>0 . 0 %</w:t>
            </w:r>
          </w:p>
        </w:tc>
        <w:tc>
          <w:tcPr>
            <w:tcW w:w="1472" w:type="dxa"/>
          </w:tcPr>
          <w:p>
            <w:pPr>
              <w:pStyle w:val="TableParagraph"/>
              <w:spacing w:line="147" w:lineRule="exact" w:before="1"/>
              <w:ind w:right="395"/>
              <w:jc w:val="right"/>
              <w:rPr>
                <w:sz w:val="14"/>
              </w:rPr>
            </w:pPr>
            <w:r>
              <w:rPr>
                <w:sz w:val="14"/>
              </w:rPr>
              <w:t>977.2</w:t>
            </w:r>
          </w:p>
        </w:tc>
        <w:tc>
          <w:tcPr>
            <w:tcW w:w="1428" w:type="dxa"/>
          </w:tcPr>
          <w:p>
            <w:pPr>
              <w:pStyle w:val="TableParagraph"/>
              <w:spacing w:line="147" w:lineRule="exact" w:before="1"/>
              <w:ind w:left="487"/>
              <w:rPr>
                <w:sz w:val="14"/>
              </w:rPr>
            </w:pPr>
            <w:r>
              <w:rPr>
                <w:sz w:val="14"/>
              </w:rPr>
              <w:t>0 . 0 %</w:t>
            </w:r>
          </w:p>
        </w:tc>
        <w:tc>
          <w:tcPr>
            <w:tcW w:w="1178" w:type="dxa"/>
          </w:tcPr>
          <w:p>
            <w:pPr>
              <w:pStyle w:val="TableParagraph"/>
              <w:spacing w:line="147" w:lineRule="exact" w:before="1"/>
              <w:ind w:left="369"/>
              <w:rPr>
                <w:sz w:val="14"/>
              </w:rPr>
            </w:pPr>
            <w:r>
              <w:rPr>
                <w:sz w:val="14"/>
              </w:rPr>
              <w:t>1,035 .7</w:t>
            </w:r>
          </w:p>
        </w:tc>
        <w:tc>
          <w:tcPr>
            <w:tcW w:w="1225" w:type="dxa"/>
          </w:tcPr>
          <w:p>
            <w:pPr>
              <w:pStyle w:val="TableParagraph"/>
              <w:spacing w:line="147" w:lineRule="exact" w:before="1"/>
              <w:ind w:left="379" w:right="369"/>
              <w:jc w:val="center"/>
              <w:rPr>
                <w:sz w:val="14"/>
              </w:rPr>
            </w:pPr>
            <w:r>
              <w:rPr>
                <w:sz w:val="14"/>
              </w:rPr>
              <w:t>0 . 0 %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0"/>
              <w:rPr>
                <w:sz w:val="14"/>
              </w:rPr>
            </w:pPr>
            <w:r>
              <w:rPr>
                <w:sz w:val="14"/>
              </w:rPr>
              <w:t>Tourism Division</w:t>
            </w:r>
          </w:p>
        </w:tc>
        <w:tc>
          <w:tcPr>
            <w:tcW w:w="1953" w:type="dxa"/>
          </w:tcPr>
          <w:p>
            <w:pPr>
              <w:pStyle w:val="TableParagraph"/>
              <w:spacing w:line="147" w:lineRule="exact" w:before="1"/>
              <w:ind w:right="531"/>
              <w:jc w:val="right"/>
              <w:rPr>
                <w:b/>
                <w:sz w:val="14"/>
              </w:rPr>
            </w:pPr>
            <w:r>
              <w:rPr>
                <w:b/>
                <w:sz w:val="14"/>
              </w:rPr>
              <w:t>2,203.9</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2,714 .8</w:t>
            </w:r>
          </w:p>
        </w:tc>
        <w:tc>
          <w:tcPr>
            <w:tcW w:w="1428" w:type="dxa"/>
          </w:tcPr>
          <w:p>
            <w:pPr>
              <w:pStyle w:val="TableParagraph"/>
              <w:spacing w:line="147" w:lineRule="exact" w:before="1"/>
              <w:ind w:left="487"/>
              <w:rPr>
                <w:sz w:val="14"/>
              </w:rPr>
            </w:pPr>
            <w:r>
              <w:rPr>
                <w:sz w:val="14"/>
              </w:rPr>
              <w:t>0 . 1 %</w:t>
            </w:r>
          </w:p>
        </w:tc>
        <w:tc>
          <w:tcPr>
            <w:tcW w:w="1178" w:type="dxa"/>
          </w:tcPr>
          <w:p>
            <w:pPr>
              <w:pStyle w:val="TableParagraph"/>
              <w:spacing w:line="147" w:lineRule="exact" w:before="1"/>
              <w:ind w:left="369"/>
              <w:rPr>
                <w:sz w:val="14"/>
              </w:rPr>
            </w:pPr>
            <w:r>
              <w:rPr>
                <w:sz w:val="14"/>
              </w:rPr>
              <w:t>2,877 .4</w:t>
            </w:r>
          </w:p>
        </w:tc>
        <w:tc>
          <w:tcPr>
            <w:tcW w:w="1225" w:type="dxa"/>
          </w:tcPr>
          <w:p>
            <w:pPr>
              <w:pStyle w:val="TableParagraph"/>
              <w:spacing w:line="147" w:lineRule="exact" w:before="1"/>
              <w:ind w:left="379" w:right="369"/>
              <w:jc w:val="center"/>
              <w:rPr>
                <w:sz w:val="14"/>
              </w:rPr>
            </w:pPr>
            <w:r>
              <w:rPr>
                <w:sz w:val="14"/>
              </w:rPr>
              <w:t>0 . 1 %</w:t>
            </w:r>
          </w:p>
        </w:tc>
      </w:tr>
      <w:tr>
        <w:trPr>
          <w:trHeight w:val="251" w:hRule="atLeast"/>
        </w:trPr>
        <w:tc>
          <w:tcPr>
            <w:tcW w:w="472" w:type="dxa"/>
          </w:tcPr>
          <w:p>
            <w:pPr>
              <w:pStyle w:val="TableParagraph"/>
              <w:rPr>
                <w:rFonts w:ascii="Times New Roman"/>
                <w:sz w:val="14"/>
              </w:rPr>
            </w:pPr>
          </w:p>
        </w:tc>
        <w:tc>
          <w:tcPr>
            <w:tcW w:w="5479" w:type="dxa"/>
          </w:tcPr>
          <w:p>
            <w:pPr>
              <w:pStyle w:val="TableParagraph"/>
              <w:spacing w:before="1"/>
              <w:ind w:left="603"/>
              <w:rPr>
                <w:sz w:val="14"/>
              </w:rPr>
            </w:pPr>
            <w:r>
              <w:rPr>
                <w:sz w:val="14"/>
              </w:rPr>
              <w:t>Formulate Ecotourism Development Plan</w:t>
            </w:r>
          </w:p>
        </w:tc>
        <w:tc>
          <w:tcPr>
            <w:tcW w:w="1953" w:type="dxa"/>
          </w:tcPr>
          <w:p>
            <w:pPr>
              <w:pStyle w:val="TableParagraph"/>
              <w:spacing w:before="1"/>
              <w:ind w:right="531"/>
              <w:jc w:val="right"/>
              <w:rPr>
                <w:b/>
                <w:sz w:val="14"/>
              </w:rPr>
            </w:pPr>
            <w:r>
              <w:rPr>
                <w:b/>
                <w:sz w:val="14"/>
              </w:rPr>
              <w:t>1,182.1</w:t>
            </w:r>
          </w:p>
        </w:tc>
        <w:tc>
          <w:tcPr>
            <w:tcW w:w="1595" w:type="dxa"/>
          </w:tcPr>
          <w:p>
            <w:pPr>
              <w:pStyle w:val="TableParagraph"/>
              <w:spacing w:before="1"/>
              <w:ind w:right="610"/>
              <w:jc w:val="right"/>
              <w:rPr>
                <w:sz w:val="14"/>
              </w:rPr>
            </w:pPr>
            <w:r>
              <w:rPr>
                <w:sz w:val="14"/>
              </w:rPr>
              <w:t>0 . 1 %</w:t>
            </w:r>
          </w:p>
        </w:tc>
        <w:tc>
          <w:tcPr>
            <w:tcW w:w="1472" w:type="dxa"/>
          </w:tcPr>
          <w:p>
            <w:pPr>
              <w:pStyle w:val="TableParagraph"/>
              <w:spacing w:before="1"/>
              <w:ind w:right="398"/>
              <w:jc w:val="right"/>
              <w:rPr>
                <w:sz w:val="14"/>
              </w:rPr>
            </w:pPr>
            <w:r>
              <w:rPr>
                <w:sz w:val="14"/>
              </w:rPr>
              <w:t>1,456 .1</w:t>
            </w:r>
          </w:p>
        </w:tc>
        <w:tc>
          <w:tcPr>
            <w:tcW w:w="1428" w:type="dxa"/>
          </w:tcPr>
          <w:p>
            <w:pPr>
              <w:pStyle w:val="TableParagraph"/>
              <w:spacing w:before="1"/>
              <w:ind w:left="487"/>
              <w:rPr>
                <w:sz w:val="14"/>
              </w:rPr>
            </w:pPr>
            <w:r>
              <w:rPr>
                <w:sz w:val="14"/>
              </w:rPr>
              <w:t>0 . 1 %</w:t>
            </w:r>
          </w:p>
        </w:tc>
        <w:tc>
          <w:tcPr>
            <w:tcW w:w="1178" w:type="dxa"/>
          </w:tcPr>
          <w:p>
            <w:pPr>
              <w:pStyle w:val="TableParagraph"/>
              <w:spacing w:before="1"/>
              <w:ind w:left="369"/>
              <w:rPr>
                <w:sz w:val="14"/>
              </w:rPr>
            </w:pPr>
            <w:r>
              <w:rPr>
                <w:sz w:val="14"/>
              </w:rPr>
              <w:t>1,543 .4</w:t>
            </w:r>
          </w:p>
        </w:tc>
        <w:tc>
          <w:tcPr>
            <w:tcW w:w="1225" w:type="dxa"/>
          </w:tcPr>
          <w:p>
            <w:pPr>
              <w:pStyle w:val="TableParagraph"/>
              <w:spacing w:before="1"/>
              <w:ind w:left="379" w:right="369"/>
              <w:jc w:val="center"/>
              <w:rPr>
                <w:sz w:val="14"/>
              </w:rPr>
            </w:pPr>
            <w:r>
              <w:rPr>
                <w:sz w:val="14"/>
              </w:rPr>
              <w:t>0 . 1 %</w:t>
            </w:r>
          </w:p>
        </w:tc>
      </w:tr>
      <w:tr>
        <w:trPr>
          <w:trHeight w:val="252" w:hRule="atLeast"/>
        </w:trPr>
        <w:tc>
          <w:tcPr>
            <w:tcW w:w="472" w:type="dxa"/>
          </w:tcPr>
          <w:p>
            <w:pPr>
              <w:pStyle w:val="TableParagraph"/>
              <w:spacing w:line="147" w:lineRule="exact" w:before="85"/>
              <w:ind w:left="125"/>
              <w:rPr>
                <w:sz w:val="14"/>
              </w:rPr>
            </w:pPr>
            <w:r>
              <w:rPr>
                <w:sz w:val="14"/>
              </w:rPr>
              <w:t>304</w:t>
            </w:r>
          </w:p>
        </w:tc>
        <w:tc>
          <w:tcPr>
            <w:tcW w:w="5479" w:type="dxa"/>
          </w:tcPr>
          <w:p>
            <w:pPr>
              <w:pStyle w:val="TableParagraph"/>
              <w:spacing w:line="147" w:lineRule="exact" w:before="85"/>
              <w:ind w:left="95"/>
              <w:rPr>
                <w:sz w:val="14"/>
              </w:rPr>
            </w:pPr>
            <w:r>
              <w:rPr>
                <w:sz w:val="14"/>
              </w:rPr>
              <w:t>Ministry of Health and Sanitation</w:t>
            </w:r>
          </w:p>
        </w:tc>
        <w:tc>
          <w:tcPr>
            <w:tcW w:w="1953" w:type="dxa"/>
          </w:tcPr>
          <w:p>
            <w:pPr>
              <w:pStyle w:val="TableParagraph"/>
              <w:spacing w:line="147" w:lineRule="exact" w:before="85"/>
              <w:ind w:right="533"/>
              <w:jc w:val="right"/>
              <w:rPr>
                <w:b/>
                <w:sz w:val="14"/>
              </w:rPr>
            </w:pPr>
            <w:r>
              <w:rPr>
                <w:b/>
                <w:sz w:val="14"/>
              </w:rPr>
              <w:t>51,237.3</w:t>
            </w:r>
          </w:p>
        </w:tc>
        <w:tc>
          <w:tcPr>
            <w:tcW w:w="1595" w:type="dxa"/>
          </w:tcPr>
          <w:p>
            <w:pPr>
              <w:pStyle w:val="TableParagraph"/>
              <w:spacing w:line="147" w:lineRule="exact" w:before="85"/>
              <w:ind w:right="610"/>
              <w:jc w:val="right"/>
              <w:rPr>
                <w:sz w:val="14"/>
              </w:rPr>
            </w:pPr>
            <w:r>
              <w:rPr>
                <w:sz w:val="14"/>
              </w:rPr>
              <w:t>2 . 5 %</w:t>
            </w:r>
          </w:p>
        </w:tc>
        <w:tc>
          <w:tcPr>
            <w:tcW w:w="1472" w:type="dxa"/>
          </w:tcPr>
          <w:p>
            <w:pPr>
              <w:pStyle w:val="TableParagraph"/>
              <w:spacing w:line="147" w:lineRule="exact" w:before="85"/>
              <w:ind w:right="407"/>
              <w:jc w:val="right"/>
              <w:rPr>
                <w:sz w:val="14"/>
              </w:rPr>
            </w:pPr>
            <w:r>
              <w:rPr>
                <w:sz w:val="14"/>
              </w:rPr>
              <w:t>63,113.6</w:t>
            </w:r>
          </w:p>
        </w:tc>
        <w:tc>
          <w:tcPr>
            <w:tcW w:w="1428" w:type="dxa"/>
          </w:tcPr>
          <w:p>
            <w:pPr>
              <w:pStyle w:val="TableParagraph"/>
              <w:spacing w:line="147" w:lineRule="exact" w:before="85"/>
              <w:ind w:left="487"/>
              <w:rPr>
                <w:sz w:val="14"/>
              </w:rPr>
            </w:pPr>
            <w:r>
              <w:rPr>
                <w:sz w:val="14"/>
              </w:rPr>
              <w:t>3 . 0 %</w:t>
            </w:r>
          </w:p>
        </w:tc>
        <w:tc>
          <w:tcPr>
            <w:tcW w:w="1178" w:type="dxa"/>
          </w:tcPr>
          <w:p>
            <w:pPr>
              <w:pStyle w:val="TableParagraph"/>
              <w:spacing w:line="147" w:lineRule="exact" w:before="85"/>
              <w:ind w:left="278"/>
              <w:rPr>
                <w:sz w:val="14"/>
              </w:rPr>
            </w:pPr>
            <w:r>
              <w:rPr>
                <w:sz w:val="14"/>
              </w:rPr>
              <w:t>66,894.1</w:t>
            </w:r>
          </w:p>
        </w:tc>
        <w:tc>
          <w:tcPr>
            <w:tcW w:w="1225" w:type="dxa"/>
          </w:tcPr>
          <w:p>
            <w:pPr>
              <w:pStyle w:val="TableParagraph"/>
              <w:spacing w:line="147" w:lineRule="exact" w:before="85"/>
              <w:ind w:left="379" w:right="369"/>
              <w:jc w:val="center"/>
              <w:rPr>
                <w:sz w:val="14"/>
              </w:rPr>
            </w:pPr>
            <w:r>
              <w:rPr>
                <w:sz w:val="14"/>
              </w:rPr>
              <w:t>3 . 2 %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262"/>
              <w:rPr>
                <w:sz w:val="14"/>
              </w:rPr>
            </w:pPr>
            <w:r>
              <w:rPr>
                <w:sz w:val="14"/>
              </w:rPr>
              <w:t>Administrative and Operating Costs</w:t>
            </w:r>
          </w:p>
        </w:tc>
        <w:tc>
          <w:tcPr>
            <w:tcW w:w="1953" w:type="dxa"/>
          </w:tcPr>
          <w:p>
            <w:pPr>
              <w:pStyle w:val="TableParagraph"/>
              <w:spacing w:line="147" w:lineRule="exact" w:before="1"/>
              <w:ind w:right="531"/>
              <w:jc w:val="right"/>
              <w:rPr>
                <w:b/>
                <w:sz w:val="14"/>
              </w:rPr>
            </w:pPr>
            <w:r>
              <w:rPr>
                <w:b/>
                <w:sz w:val="14"/>
              </w:rPr>
              <w:t>6,317.9</w:t>
            </w:r>
          </w:p>
        </w:tc>
        <w:tc>
          <w:tcPr>
            <w:tcW w:w="1595" w:type="dxa"/>
          </w:tcPr>
          <w:p>
            <w:pPr>
              <w:pStyle w:val="TableParagraph"/>
              <w:spacing w:line="147" w:lineRule="exact" w:before="1"/>
              <w:ind w:right="610"/>
              <w:jc w:val="right"/>
              <w:rPr>
                <w:sz w:val="14"/>
              </w:rPr>
            </w:pPr>
            <w:r>
              <w:rPr>
                <w:sz w:val="14"/>
              </w:rPr>
              <w:t>0 . 3 %</w:t>
            </w:r>
          </w:p>
        </w:tc>
        <w:tc>
          <w:tcPr>
            <w:tcW w:w="1472" w:type="dxa"/>
          </w:tcPr>
          <w:p>
            <w:pPr>
              <w:pStyle w:val="TableParagraph"/>
              <w:spacing w:line="147" w:lineRule="exact" w:before="1"/>
              <w:ind w:right="398"/>
              <w:jc w:val="right"/>
              <w:rPr>
                <w:sz w:val="14"/>
              </w:rPr>
            </w:pPr>
            <w:r>
              <w:rPr>
                <w:sz w:val="14"/>
              </w:rPr>
              <w:t>7,782 .4</w:t>
            </w:r>
          </w:p>
        </w:tc>
        <w:tc>
          <w:tcPr>
            <w:tcW w:w="1428" w:type="dxa"/>
          </w:tcPr>
          <w:p>
            <w:pPr>
              <w:pStyle w:val="TableParagraph"/>
              <w:spacing w:line="147" w:lineRule="exact" w:before="1"/>
              <w:ind w:left="487"/>
              <w:rPr>
                <w:sz w:val="14"/>
              </w:rPr>
            </w:pPr>
            <w:r>
              <w:rPr>
                <w:sz w:val="14"/>
              </w:rPr>
              <w:t>0 . 4 %</w:t>
            </w:r>
          </w:p>
        </w:tc>
        <w:tc>
          <w:tcPr>
            <w:tcW w:w="1178" w:type="dxa"/>
          </w:tcPr>
          <w:p>
            <w:pPr>
              <w:pStyle w:val="TableParagraph"/>
              <w:spacing w:line="147" w:lineRule="exact" w:before="1"/>
              <w:ind w:left="369"/>
              <w:rPr>
                <w:sz w:val="14"/>
              </w:rPr>
            </w:pPr>
            <w:r>
              <w:rPr>
                <w:sz w:val="14"/>
              </w:rPr>
              <w:t>8,248 .5</w:t>
            </w:r>
          </w:p>
        </w:tc>
        <w:tc>
          <w:tcPr>
            <w:tcW w:w="1225" w:type="dxa"/>
          </w:tcPr>
          <w:p>
            <w:pPr>
              <w:pStyle w:val="TableParagraph"/>
              <w:spacing w:line="147" w:lineRule="exact" w:before="1"/>
              <w:ind w:left="379" w:right="369"/>
              <w:jc w:val="center"/>
              <w:rPr>
                <w:sz w:val="14"/>
              </w:rPr>
            </w:pPr>
            <w:r>
              <w:rPr>
                <w:sz w:val="14"/>
              </w:rPr>
              <w:t>0 . 4 %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306"/>
              <w:rPr>
                <w:sz w:val="14"/>
              </w:rPr>
            </w:pPr>
            <w:r>
              <w:rPr>
                <w:sz w:val="14"/>
              </w:rPr>
              <w:t>Improving Access and Quality of Basic Health Services</w:t>
            </w:r>
          </w:p>
        </w:tc>
        <w:tc>
          <w:tcPr>
            <w:tcW w:w="1953" w:type="dxa"/>
          </w:tcPr>
          <w:p>
            <w:pPr>
              <w:pStyle w:val="TableParagraph"/>
              <w:spacing w:line="147" w:lineRule="exact" w:before="1"/>
              <w:ind w:right="533"/>
              <w:jc w:val="right"/>
              <w:rPr>
                <w:b/>
                <w:sz w:val="14"/>
              </w:rPr>
            </w:pPr>
            <w:r>
              <w:rPr>
                <w:b/>
                <w:sz w:val="14"/>
              </w:rPr>
              <w:t>22,391.0</w:t>
            </w:r>
          </w:p>
        </w:tc>
        <w:tc>
          <w:tcPr>
            <w:tcW w:w="1595" w:type="dxa"/>
          </w:tcPr>
          <w:p>
            <w:pPr>
              <w:pStyle w:val="TableParagraph"/>
              <w:spacing w:line="147" w:lineRule="exact" w:before="1"/>
              <w:ind w:right="610"/>
              <w:jc w:val="right"/>
              <w:rPr>
                <w:sz w:val="14"/>
              </w:rPr>
            </w:pPr>
            <w:r>
              <w:rPr>
                <w:sz w:val="14"/>
              </w:rPr>
              <w:t>1 . 1 %</w:t>
            </w:r>
          </w:p>
        </w:tc>
        <w:tc>
          <w:tcPr>
            <w:tcW w:w="1472" w:type="dxa"/>
          </w:tcPr>
          <w:p>
            <w:pPr>
              <w:pStyle w:val="TableParagraph"/>
              <w:spacing w:line="147" w:lineRule="exact" w:before="1"/>
              <w:ind w:right="407"/>
              <w:jc w:val="right"/>
              <w:rPr>
                <w:sz w:val="14"/>
              </w:rPr>
            </w:pPr>
            <w:r>
              <w:rPr>
                <w:sz w:val="14"/>
              </w:rPr>
              <w:t>27,581.0</w:t>
            </w:r>
          </w:p>
        </w:tc>
        <w:tc>
          <w:tcPr>
            <w:tcW w:w="1428" w:type="dxa"/>
          </w:tcPr>
          <w:p>
            <w:pPr>
              <w:pStyle w:val="TableParagraph"/>
              <w:spacing w:line="147" w:lineRule="exact" w:before="1"/>
              <w:ind w:left="487"/>
              <w:rPr>
                <w:sz w:val="14"/>
              </w:rPr>
            </w:pPr>
            <w:r>
              <w:rPr>
                <w:sz w:val="14"/>
              </w:rPr>
              <w:t>1 . 3 %</w:t>
            </w:r>
          </w:p>
        </w:tc>
        <w:tc>
          <w:tcPr>
            <w:tcW w:w="1178" w:type="dxa"/>
          </w:tcPr>
          <w:p>
            <w:pPr>
              <w:pStyle w:val="TableParagraph"/>
              <w:spacing w:line="147" w:lineRule="exact" w:before="1"/>
              <w:ind w:left="278"/>
              <w:rPr>
                <w:sz w:val="14"/>
              </w:rPr>
            </w:pPr>
            <w:r>
              <w:rPr>
                <w:sz w:val="14"/>
              </w:rPr>
              <w:t>29,233.1</w:t>
            </w:r>
          </w:p>
        </w:tc>
        <w:tc>
          <w:tcPr>
            <w:tcW w:w="1225" w:type="dxa"/>
          </w:tcPr>
          <w:p>
            <w:pPr>
              <w:pStyle w:val="TableParagraph"/>
              <w:spacing w:line="147" w:lineRule="exact" w:before="1"/>
              <w:ind w:left="379" w:right="369"/>
              <w:jc w:val="center"/>
              <w:rPr>
                <w:sz w:val="14"/>
              </w:rPr>
            </w:pPr>
            <w:r>
              <w:rPr>
                <w:sz w:val="14"/>
              </w:rPr>
              <w:t>1 . 4 %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1"/>
              <w:rPr>
                <w:sz w:val="14"/>
              </w:rPr>
            </w:pPr>
            <w:r>
              <w:rPr>
                <w:sz w:val="14"/>
              </w:rPr>
              <w:t>Human Resources Management</w:t>
            </w:r>
          </w:p>
        </w:tc>
        <w:tc>
          <w:tcPr>
            <w:tcW w:w="1953" w:type="dxa"/>
          </w:tcPr>
          <w:p>
            <w:pPr>
              <w:pStyle w:val="TableParagraph"/>
              <w:spacing w:line="147" w:lineRule="exact" w:before="1"/>
              <w:ind w:right="531"/>
              <w:jc w:val="right"/>
              <w:rPr>
                <w:b/>
                <w:sz w:val="14"/>
              </w:rPr>
            </w:pPr>
            <w:r>
              <w:rPr>
                <w:b/>
                <w:sz w:val="14"/>
              </w:rPr>
              <w:t>3,747.9</w:t>
            </w:r>
          </w:p>
        </w:tc>
        <w:tc>
          <w:tcPr>
            <w:tcW w:w="1595" w:type="dxa"/>
          </w:tcPr>
          <w:p>
            <w:pPr>
              <w:pStyle w:val="TableParagraph"/>
              <w:spacing w:line="147" w:lineRule="exact" w:before="1"/>
              <w:ind w:right="610"/>
              <w:jc w:val="right"/>
              <w:rPr>
                <w:sz w:val="14"/>
              </w:rPr>
            </w:pPr>
            <w:r>
              <w:rPr>
                <w:sz w:val="14"/>
              </w:rPr>
              <w:t>0 . 2 %</w:t>
            </w:r>
          </w:p>
        </w:tc>
        <w:tc>
          <w:tcPr>
            <w:tcW w:w="1472" w:type="dxa"/>
          </w:tcPr>
          <w:p>
            <w:pPr>
              <w:pStyle w:val="TableParagraph"/>
              <w:spacing w:line="147" w:lineRule="exact" w:before="1"/>
              <w:ind w:right="398"/>
              <w:jc w:val="right"/>
              <w:rPr>
                <w:sz w:val="14"/>
              </w:rPr>
            </w:pPr>
            <w:r>
              <w:rPr>
                <w:sz w:val="14"/>
              </w:rPr>
              <w:t>4,616 .6</w:t>
            </w:r>
          </w:p>
        </w:tc>
        <w:tc>
          <w:tcPr>
            <w:tcW w:w="1428" w:type="dxa"/>
          </w:tcPr>
          <w:p>
            <w:pPr>
              <w:pStyle w:val="TableParagraph"/>
              <w:spacing w:line="147" w:lineRule="exact" w:before="1"/>
              <w:ind w:left="487"/>
              <w:rPr>
                <w:sz w:val="14"/>
              </w:rPr>
            </w:pPr>
            <w:r>
              <w:rPr>
                <w:sz w:val="14"/>
              </w:rPr>
              <w:t>0 . 2 %</w:t>
            </w:r>
          </w:p>
        </w:tc>
        <w:tc>
          <w:tcPr>
            <w:tcW w:w="1178" w:type="dxa"/>
          </w:tcPr>
          <w:p>
            <w:pPr>
              <w:pStyle w:val="TableParagraph"/>
              <w:spacing w:line="147" w:lineRule="exact" w:before="1"/>
              <w:ind w:left="369"/>
              <w:rPr>
                <w:sz w:val="14"/>
              </w:rPr>
            </w:pPr>
            <w:r>
              <w:rPr>
                <w:sz w:val="14"/>
              </w:rPr>
              <w:t>4,893 .1</w:t>
            </w:r>
          </w:p>
        </w:tc>
        <w:tc>
          <w:tcPr>
            <w:tcW w:w="1225" w:type="dxa"/>
          </w:tcPr>
          <w:p>
            <w:pPr>
              <w:pStyle w:val="TableParagraph"/>
              <w:spacing w:line="147" w:lineRule="exact" w:before="1"/>
              <w:ind w:left="379" w:right="369"/>
              <w:jc w:val="center"/>
              <w:rPr>
                <w:sz w:val="14"/>
              </w:rPr>
            </w:pPr>
            <w:r>
              <w:rPr>
                <w:sz w:val="14"/>
              </w:rPr>
              <w:t>0 . 2 %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430"/>
              <w:rPr>
                <w:sz w:val="14"/>
              </w:rPr>
            </w:pPr>
            <w:r>
              <w:rPr>
                <w:sz w:val="14"/>
              </w:rPr>
              <w:t>Primary Health Care Services</w:t>
            </w:r>
          </w:p>
        </w:tc>
        <w:tc>
          <w:tcPr>
            <w:tcW w:w="1953" w:type="dxa"/>
          </w:tcPr>
          <w:p>
            <w:pPr>
              <w:pStyle w:val="TableParagraph"/>
              <w:spacing w:line="147" w:lineRule="exact" w:before="1"/>
              <w:ind w:right="533"/>
              <w:jc w:val="right"/>
              <w:rPr>
                <w:b/>
                <w:sz w:val="14"/>
              </w:rPr>
            </w:pPr>
            <w:r>
              <w:rPr>
                <w:b/>
                <w:sz w:val="14"/>
              </w:rPr>
              <w:t>13,140.3</w:t>
            </w:r>
          </w:p>
        </w:tc>
        <w:tc>
          <w:tcPr>
            <w:tcW w:w="1595" w:type="dxa"/>
          </w:tcPr>
          <w:p>
            <w:pPr>
              <w:pStyle w:val="TableParagraph"/>
              <w:spacing w:line="147" w:lineRule="exact" w:before="1"/>
              <w:ind w:right="610"/>
              <w:jc w:val="right"/>
              <w:rPr>
                <w:sz w:val="14"/>
              </w:rPr>
            </w:pPr>
            <w:r>
              <w:rPr>
                <w:sz w:val="14"/>
              </w:rPr>
              <w:t>0 . 6 %</w:t>
            </w:r>
          </w:p>
        </w:tc>
        <w:tc>
          <w:tcPr>
            <w:tcW w:w="1472" w:type="dxa"/>
          </w:tcPr>
          <w:p>
            <w:pPr>
              <w:pStyle w:val="TableParagraph"/>
              <w:spacing w:line="147" w:lineRule="exact" w:before="1"/>
              <w:ind w:right="407"/>
              <w:jc w:val="right"/>
              <w:rPr>
                <w:sz w:val="14"/>
              </w:rPr>
            </w:pPr>
            <w:r>
              <w:rPr>
                <w:sz w:val="14"/>
              </w:rPr>
              <w:t>16,186.1</w:t>
            </w:r>
          </w:p>
        </w:tc>
        <w:tc>
          <w:tcPr>
            <w:tcW w:w="1428" w:type="dxa"/>
          </w:tcPr>
          <w:p>
            <w:pPr>
              <w:pStyle w:val="TableParagraph"/>
              <w:spacing w:line="147" w:lineRule="exact" w:before="1"/>
              <w:ind w:left="487"/>
              <w:rPr>
                <w:sz w:val="14"/>
              </w:rPr>
            </w:pPr>
            <w:r>
              <w:rPr>
                <w:sz w:val="14"/>
              </w:rPr>
              <w:t>0 . 8 %</w:t>
            </w:r>
          </w:p>
        </w:tc>
        <w:tc>
          <w:tcPr>
            <w:tcW w:w="1178" w:type="dxa"/>
          </w:tcPr>
          <w:p>
            <w:pPr>
              <w:pStyle w:val="TableParagraph"/>
              <w:spacing w:line="147" w:lineRule="exact" w:before="1"/>
              <w:ind w:left="278"/>
              <w:rPr>
                <w:sz w:val="14"/>
              </w:rPr>
            </w:pPr>
            <w:r>
              <w:rPr>
                <w:sz w:val="14"/>
              </w:rPr>
              <w:t>17,155.7</w:t>
            </w:r>
          </w:p>
        </w:tc>
        <w:tc>
          <w:tcPr>
            <w:tcW w:w="1225" w:type="dxa"/>
          </w:tcPr>
          <w:p>
            <w:pPr>
              <w:pStyle w:val="TableParagraph"/>
              <w:spacing w:line="147" w:lineRule="exact" w:before="1"/>
              <w:ind w:left="379" w:right="369"/>
              <w:jc w:val="center"/>
              <w:rPr>
                <w:sz w:val="14"/>
              </w:rPr>
            </w:pPr>
            <w:r>
              <w:rPr>
                <w:sz w:val="14"/>
              </w:rPr>
              <w:t>0 . 8 %</w:t>
            </w:r>
          </w:p>
        </w:tc>
      </w:tr>
      <w:tr>
        <w:trPr>
          <w:trHeight w:val="168" w:hRule="atLeast"/>
        </w:trPr>
        <w:tc>
          <w:tcPr>
            <w:tcW w:w="472" w:type="dxa"/>
          </w:tcPr>
          <w:p>
            <w:pPr>
              <w:pStyle w:val="TableParagraph"/>
              <w:rPr>
                <w:rFonts w:ascii="Times New Roman"/>
                <w:sz w:val="10"/>
              </w:rPr>
            </w:pPr>
          </w:p>
        </w:tc>
        <w:tc>
          <w:tcPr>
            <w:tcW w:w="5479" w:type="dxa"/>
          </w:tcPr>
          <w:p>
            <w:pPr>
              <w:pStyle w:val="TableParagraph"/>
              <w:spacing w:line="147" w:lineRule="exact" w:before="1"/>
              <w:ind w:left="603"/>
              <w:rPr>
                <w:sz w:val="14"/>
              </w:rPr>
            </w:pPr>
            <w:r>
              <w:rPr>
                <w:sz w:val="14"/>
              </w:rPr>
              <w:t>of which: Malaria Prevention and Control</w:t>
            </w:r>
          </w:p>
        </w:tc>
        <w:tc>
          <w:tcPr>
            <w:tcW w:w="1953" w:type="dxa"/>
          </w:tcPr>
          <w:p>
            <w:pPr>
              <w:pStyle w:val="TableParagraph"/>
              <w:spacing w:line="147" w:lineRule="exact" w:before="1"/>
              <w:ind w:right="531"/>
              <w:jc w:val="right"/>
              <w:rPr>
                <w:b/>
                <w:sz w:val="14"/>
              </w:rPr>
            </w:pPr>
            <w:r>
              <w:rPr>
                <w:b/>
                <w:sz w:val="14"/>
              </w:rPr>
              <w:t>5,058.2</w:t>
            </w:r>
          </w:p>
        </w:tc>
        <w:tc>
          <w:tcPr>
            <w:tcW w:w="1595" w:type="dxa"/>
          </w:tcPr>
          <w:p>
            <w:pPr>
              <w:pStyle w:val="TableParagraph"/>
              <w:spacing w:line="147" w:lineRule="exact" w:before="1"/>
              <w:ind w:right="610"/>
              <w:jc w:val="right"/>
              <w:rPr>
                <w:sz w:val="14"/>
              </w:rPr>
            </w:pPr>
            <w:r>
              <w:rPr>
                <w:sz w:val="14"/>
              </w:rPr>
              <w:t>0 . 2 %</w:t>
            </w:r>
          </w:p>
        </w:tc>
        <w:tc>
          <w:tcPr>
            <w:tcW w:w="1472" w:type="dxa"/>
          </w:tcPr>
          <w:p>
            <w:pPr>
              <w:pStyle w:val="TableParagraph"/>
              <w:spacing w:line="147" w:lineRule="exact" w:before="1"/>
              <w:ind w:right="398"/>
              <w:jc w:val="right"/>
              <w:rPr>
                <w:sz w:val="14"/>
              </w:rPr>
            </w:pPr>
            <w:r>
              <w:rPr>
                <w:sz w:val="14"/>
              </w:rPr>
              <w:t>6,230 .7</w:t>
            </w:r>
          </w:p>
        </w:tc>
        <w:tc>
          <w:tcPr>
            <w:tcW w:w="1428" w:type="dxa"/>
          </w:tcPr>
          <w:p>
            <w:pPr>
              <w:pStyle w:val="TableParagraph"/>
              <w:spacing w:line="147" w:lineRule="exact" w:before="1"/>
              <w:ind w:left="487"/>
              <w:rPr>
                <w:sz w:val="14"/>
              </w:rPr>
            </w:pPr>
            <w:r>
              <w:rPr>
                <w:sz w:val="14"/>
              </w:rPr>
              <w:t>0 . 3 %</w:t>
            </w:r>
          </w:p>
        </w:tc>
        <w:tc>
          <w:tcPr>
            <w:tcW w:w="1178" w:type="dxa"/>
          </w:tcPr>
          <w:p>
            <w:pPr>
              <w:pStyle w:val="TableParagraph"/>
              <w:spacing w:line="147" w:lineRule="exact" w:before="1"/>
              <w:ind w:left="369"/>
              <w:rPr>
                <w:sz w:val="14"/>
              </w:rPr>
            </w:pPr>
            <w:r>
              <w:rPr>
                <w:sz w:val="14"/>
              </w:rPr>
              <w:t>6,603 .9</w:t>
            </w:r>
          </w:p>
        </w:tc>
        <w:tc>
          <w:tcPr>
            <w:tcW w:w="1225" w:type="dxa"/>
          </w:tcPr>
          <w:p>
            <w:pPr>
              <w:pStyle w:val="TableParagraph"/>
              <w:spacing w:line="147" w:lineRule="exact" w:before="1"/>
              <w:ind w:left="379" w:right="369"/>
              <w:jc w:val="center"/>
              <w:rPr>
                <w:sz w:val="14"/>
              </w:rPr>
            </w:pPr>
            <w:r>
              <w:rPr>
                <w:sz w:val="14"/>
              </w:rPr>
              <w:t>0 . 3 %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610"/>
              <w:rPr>
                <w:sz w:val="14"/>
              </w:rPr>
            </w:pPr>
            <w:r>
              <w:rPr>
                <w:sz w:val="14"/>
              </w:rPr>
              <w:t>STI/ HIV/ AIDS Prevention and Control Programme</w:t>
            </w:r>
          </w:p>
        </w:tc>
        <w:tc>
          <w:tcPr>
            <w:tcW w:w="1953" w:type="dxa"/>
          </w:tcPr>
          <w:p>
            <w:pPr>
              <w:pStyle w:val="TableParagraph"/>
              <w:spacing w:line="147" w:lineRule="exact" w:before="1"/>
              <w:ind w:right="531"/>
              <w:jc w:val="right"/>
              <w:rPr>
                <w:b/>
                <w:sz w:val="14"/>
              </w:rPr>
            </w:pPr>
            <w:r>
              <w:rPr>
                <w:b/>
                <w:sz w:val="14"/>
              </w:rPr>
              <w:t>2,636.9</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3,248 .1</w:t>
            </w:r>
          </w:p>
        </w:tc>
        <w:tc>
          <w:tcPr>
            <w:tcW w:w="1428" w:type="dxa"/>
          </w:tcPr>
          <w:p>
            <w:pPr>
              <w:pStyle w:val="TableParagraph"/>
              <w:spacing w:line="147" w:lineRule="exact" w:before="1"/>
              <w:ind w:left="487"/>
              <w:rPr>
                <w:sz w:val="14"/>
              </w:rPr>
            </w:pPr>
            <w:r>
              <w:rPr>
                <w:sz w:val="14"/>
              </w:rPr>
              <w:t>0 . 2 %</w:t>
            </w:r>
          </w:p>
        </w:tc>
        <w:tc>
          <w:tcPr>
            <w:tcW w:w="1178" w:type="dxa"/>
          </w:tcPr>
          <w:p>
            <w:pPr>
              <w:pStyle w:val="TableParagraph"/>
              <w:spacing w:line="147" w:lineRule="exact" w:before="1"/>
              <w:ind w:left="369"/>
              <w:rPr>
                <w:sz w:val="14"/>
              </w:rPr>
            </w:pPr>
            <w:r>
              <w:rPr>
                <w:sz w:val="14"/>
              </w:rPr>
              <w:t>3,442 .7</w:t>
            </w:r>
          </w:p>
        </w:tc>
        <w:tc>
          <w:tcPr>
            <w:tcW w:w="1225" w:type="dxa"/>
          </w:tcPr>
          <w:p>
            <w:pPr>
              <w:pStyle w:val="TableParagraph"/>
              <w:spacing w:line="147" w:lineRule="exact" w:before="1"/>
              <w:ind w:left="379" w:right="369"/>
              <w:jc w:val="center"/>
              <w:rPr>
                <w:sz w:val="14"/>
              </w:rPr>
            </w:pPr>
            <w:r>
              <w:rPr>
                <w:sz w:val="14"/>
              </w:rPr>
              <w:t>0 . 2 %</w:t>
            </w:r>
          </w:p>
        </w:tc>
      </w:tr>
      <w:tr>
        <w:trPr>
          <w:trHeight w:val="167" w:hRule="atLeast"/>
        </w:trPr>
        <w:tc>
          <w:tcPr>
            <w:tcW w:w="472" w:type="dxa"/>
          </w:tcPr>
          <w:p>
            <w:pPr>
              <w:pStyle w:val="TableParagraph"/>
              <w:rPr>
                <w:rFonts w:ascii="Times New Roman"/>
                <w:sz w:val="10"/>
              </w:rPr>
            </w:pPr>
          </w:p>
        </w:tc>
        <w:tc>
          <w:tcPr>
            <w:tcW w:w="5479" w:type="dxa"/>
          </w:tcPr>
          <w:p>
            <w:pPr>
              <w:pStyle w:val="TableParagraph"/>
              <w:spacing w:line="147" w:lineRule="exact" w:before="1"/>
              <w:ind w:left="603"/>
              <w:rPr>
                <w:sz w:val="14"/>
              </w:rPr>
            </w:pPr>
            <w:r>
              <w:rPr>
                <w:sz w:val="14"/>
              </w:rPr>
              <w:t>Tuberculosis and Leprosy Control Programme</w:t>
            </w:r>
          </w:p>
        </w:tc>
        <w:tc>
          <w:tcPr>
            <w:tcW w:w="1953" w:type="dxa"/>
          </w:tcPr>
          <w:p>
            <w:pPr>
              <w:pStyle w:val="TableParagraph"/>
              <w:spacing w:line="147" w:lineRule="exact" w:before="1"/>
              <w:ind w:right="531"/>
              <w:jc w:val="right"/>
              <w:rPr>
                <w:b/>
                <w:sz w:val="14"/>
              </w:rPr>
            </w:pPr>
            <w:r>
              <w:rPr>
                <w:b/>
                <w:sz w:val="14"/>
              </w:rPr>
              <w:t>1,456.4</w:t>
            </w:r>
          </w:p>
        </w:tc>
        <w:tc>
          <w:tcPr>
            <w:tcW w:w="1595" w:type="dxa"/>
          </w:tcPr>
          <w:p>
            <w:pPr>
              <w:pStyle w:val="TableParagraph"/>
              <w:spacing w:line="147" w:lineRule="exact" w:before="1"/>
              <w:ind w:right="610"/>
              <w:jc w:val="right"/>
              <w:rPr>
                <w:sz w:val="14"/>
              </w:rPr>
            </w:pPr>
            <w:r>
              <w:rPr>
                <w:sz w:val="14"/>
              </w:rPr>
              <w:t>0 . 1 %</w:t>
            </w:r>
          </w:p>
        </w:tc>
        <w:tc>
          <w:tcPr>
            <w:tcW w:w="1472" w:type="dxa"/>
          </w:tcPr>
          <w:p>
            <w:pPr>
              <w:pStyle w:val="TableParagraph"/>
              <w:spacing w:line="147" w:lineRule="exact" w:before="1"/>
              <w:ind w:right="398"/>
              <w:jc w:val="right"/>
              <w:rPr>
                <w:sz w:val="14"/>
              </w:rPr>
            </w:pPr>
            <w:r>
              <w:rPr>
                <w:sz w:val="14"/>
              </w:rPr>
              <w:t>1,793 .9</w:t>
            </w:r>
          </w:p>
        </w:tc>
        <w:tc>
          <w:tcPr>
            <w:tcW w:w="1428" w:type="dxa"/>
          </w:tcPr>
          <w:p>
            <w:pPr>
              <w:pStyle w:val="TableParagraph"/>
              <w:spacing w:line="147" w:lineRule="exact" w:before="1"/>
              <w:ind w:left="487"/>
              <w:rPr>
                <w:sz w:val="14"/>
              </w:rPr>
            </w:pPr>
            <w:r>
              <w:rPr>
                <w:sz w:val="14"/>
              </w:rPr>
              <w:t>0 . 1 %</w:t>
            </w:r>
          </w:p>
        </w:tc>
        <w:tc>
          <w:tcPr>
            <w:tcW w:w="1178" w:type="dxa"/>
          </w:tcPr>
          <w:p>
            <w:pPr>
              <w:pStyle w:val="TableParagraph"/>
              <w:spacing w:line="147" w:lineRule="exact" w:before="1"/>
              <w:ind w:left="369"/>
              <w:rPr>
                <w:sz w:val="14"/>
              </w:rPr>
            </w:pPr>
            <w:r>
              <w:rPr>
                <w:sz w:val="14"/>
              </w:rPr>
              <w:t>1,901 .4</w:t>
            </w:r>
          </w:p>
        </w:tc>
        <w:tc>
          <w:tcPr>
            <w:tcW w:w="1225" w:type="dxa"/>
          </w:tcPr>
          <w:p>
            <w:pPr>
              <w:pStyle w:val="TableParagraph"/>
              <w:spacing w:line="147" w:lineRule="exact" w:before="1"/>
              <w:ind w:left="379" w:right="369"/>
              <w:jc w:val="center"/>
              <w:rPr>
                <w:sz w:val="14"/>
              </w:rPr>
            </w:pPr>
            <w:r>
              <w:rPr>
                <w:sz w:val="14"/>
              </w:rPr>
              <w:t>0 . 1 %</w:t>
            </w:r>
          </w:p>
        </w:tc>
      </w:tr>
      <w:tr>
        <w:trPr>
          <w:trHeight w:val="196" w:hRule="atLeast"/>
        </w:trPr>
        <w:tc>
          <w:tcPr>
            <w:tcW w:w="472" w:type="dxa"/>
          </w:tcPr>
          <w:p>
            <w:pPr>
              <w:pStyle w:val="TableParagraph"/>
              <w:rPr>
                <w:rFonts w:ascii="Times New Roman"/>
                <w:sz w:val="12"/>
              </w:rPr>
            </w:pPr>
          </w:p>
        </w:tc>
        <w:tc>
          <w:tcPr>
            <w:tcW w:w="5479" w:type="dxa"/>
          </w:tcPr>
          <w:p>
            <w:pPr>
              <w:pStyle w:val="TableParagraph"/>
              <w:spacing w:before="1"/>
              <w:ind w:left="430"/>
              <w:rPr>
                <w:sz w:val="14"/>
              </w:rPr>
            </w:pPr>
            <w:r>
              <w:rPr>
                <w:sz w:val="14"/>
              </w:rPr>
              <w:t>Reproductive and Child Health Care Services</w:t>
            </w:r>
          </w:p>
        </w:tc>
        <w:tc>
          <w:tcPr>
            <w:tcW w:w="1953" w:type="dxa"/>
          </w:tcPr>
          <w:p>
            <w:pPr>
              <w:pStyle w:val="TableParagraph"/>
              <w:spacing w:before="1"/>
              <w:ind w:right="531"/>
              <w:jc w:val="right"/>
              <w:rPr>
                <w:b/>
                <w:sz w:val="14"/>
              </w:rPr>
            </w:pPr>
            <w:r>
              <w:rPr>
                <w:b/>
                <w:sz w:val="14"/>
              </w:rPr>
              <w:t>5,502.8</w:t>
            </w:r>
          </w:p>
        </w:tc>
        <w:tc>
          <w:tcPr>
            <w:tcW w:w="1595" w:type="dxa"/>
          </w:tcPr>
          <w:p>
            <w:pPr>
              <w:pStyle w:val="TableParagraph"/>
              <w:spacing w:before="1"/>
              <w:ind w:right="610"/>
              <w:jc w:val="right"/>
              <w:rPr>
                <w:sz w:val="14"/>
              </w:rPr>
            </w:pPr>
            <w:r>
              <w:rPr>
                <w:sz w:val="14"/>
              </w:rPr>
              <w:t>0 . 3 %</w:t>
            </w:r>
          </w:p>
        </w:tc>
        <w:tc>
          <w:tcPr>
            <w:tcW w:w="1472" w:type="dxa"/>
          </w:tcPr>
          <w:p>
            <w:pPr>
              <w:pStyle w:val="TableParagraph"/>
              <w:spacing w:before="1"/>
              <w:ind w:right="398"/>
              <w:jc w:val="right"/>
              <w:rPr>
                <w:sz w:val="14"/>
              </w:rPr>
            </w:pPr>
            <w:r>
              <w:rPr>
                <w:sz w:val="14"/>
              </w:rPr>
              <w:t>6,778 .3</w:t>
            </w:r>
          </w:p>
        </w:tc>
        <w:tc>
          <w:tcPr>
            <w:tcW w:w="1428" w:type="dxa"/>
          </w:tcPr>
          <w:p>
            <w:pPr>
              <w:pStyle w:val="TableParagraph"/>
              <w:spacing w:before="1"/>
              <w:ind w:left="487"/>
              <w:rPr>
                <w:sz w:val="14"/>
              </w:rPr>
            </w:pPr>
            <w:r>
              <w:rPr>
                <w:sz w:val="14"/>
              </w:rPr>
              <w:t>0 . 3 %</w:t>
            </w:r>
          </w:p>
        </w:tc>
        <w:tc>
          <w:tcPr>
            <w:tcW w:w="1178" w:type="dxa"/>
          </w:tcPr>
          <w:p>
            <w:pPr>
              <w:pStyle w:val="TableParagraph"/>
              <w:spacing w:before="1"/>
              <w:ind w:left="369"/>
              <w:rPr>
                <w:sz w:val="14"/>
              </w:rPr>
            </w:pPr>
            <w:r>
              <w:rPr>
                <w:sz w:val="14"/>
              </w:rPr>
              <w:t>7,184 .3</w:t>
            </w:r>
          </w:p>
        </w:tc>
        <w:tc>
          <w:tcPr>
            <w:tcW w:w="1225" w:type="dxa"/>
          </w:tcPr>
          <w:p>
            <w:pPr>
              <w:pStyle w:val="TableParagraph"/>
              <w:spacing w:before="1"/>
              <w:ind w:left="379" w:right="369"/>
              <w:jc w:val="center"/>
              <w:rPr>
                <w:sz w:val="14"/>
              </w:rPr>
            </w:pPr>
            <w:r>
              <w:rPr>
                <w:sz w:val="14"/>
              </w:rPr>
              <w:t>0 . 3 %</w:t>
            </w:r>
          </w:p>
        </w:tc>
      </w:tr>
    </w:tbl>
    <w:p>
      <w:pPr>
        <w:spacing w:after="0"/>
        <w:jc w:val="center"/>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90.910004pt;width:14.35pt;height:10.4pt;mso-position-horizontal-relative:page;mso-position-vertical-relative:page;z-index:1312" type="#_x0000_t202" filled="false" stroked="false">
            <v:textbox inset="0,0,0,0" style="layout-flow:vertical">
              <w:txbxContent>
                <w:p>
                  <w:pPr>
                    <w:spacing w:before="13"/>
                    <w:ind w:left="20" w:right="0" w:firstLine="0"/>
                    <w:jc w:val="left"/>
                    <w:rPr>
                      <w:rFonts w:ascii="Arial"/>
                      <w:sz w:val="22"/>
                    </w:rPr>
                  </w:pPr>
                  <w:r>
                    <w:rPr>
                      <w:rFonts w:ascii="Arial"/>
                      <w:sz w:val="22"/>
                    </w:rPr>
                    <w:t>xi</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468"/>
        <w:gridCol w:w="1961"/>
        <w:gridCol w:w="1487"/>
        <w:gridCol w:w="1575"/>
        <w:gridCol w:w="1339"/>
        <w:gridCol w:w="1239"/>
        <w:gridCol w:w="1247"/>
      </w:tblGrid>
      <w:tr>
        <w:trPr>
          <w:trHeight w:val="568" w:hRule="atLeast"/>
        </w:trPr>
        <w:tc>
          <w:tcPr>
            <w:tcW w:w="471" w:type="dxa"/>
            <w:tcBorders>
              <w:bottom w:val="single" w:sz="4" w:space="0" w:color="000000"/>
            </w:tcBorders>
          </w:tcPr>
          <w:p>
            <w:pPr>
              <w:pStyle w:val="TableParagraph"/>
              <w:rPr>
                <w:rFonts w:ascii="Times New Roman"/>
                <w:sz w:val="14"/>
              </w:rPr>
            </w:pPr>
          </w:p>
        </w:tc>
        <w:tc>
          <w:tcPr>
            <w:tcW w:w="5468" w:type="dxa"/>
            <w:tcBorders>
              <w:bottom w:val="single" w:sz="4" w:space="0" w:color="000000"/>
            </w:tcBorders>
          </w:tcPr>
          <w:p>
            <w:pPr>
              <w:pStyle w:val="TableParagraph"/>
              <w:rPr>
                <w:rFonts w:ascii="Times New Roman"/>
                <w:sz w:val="14"/>
              </w:rPr>
            </w:pPr>
          </w:p>
        </w:tc>
        <w:tc>
          <w:tcPr>
            <w:tcW w:w="1961" w:type="dxa"/>
            <w:tcBorders>
              <w:bottom w:val="single" w:sz="4" w:space="0" w:color="000000"/>
            </w:tcBorders>
          </w:tcPr>
          <w:p>
            <w:pPr>
              <w:pStyle w:val="TableParagraph"/>
              <w:spacing w:before="29"/>
              <w:ind w:left="953" w:right="360"/>
              <w:jc w:val="center"/>
              <w:rPr>
                <w:b/>
                <w:sz w:val="14"/>
              </w:rPr>
            </w:pPr>
            <w:r>
              <w:rPr>
                <w:b/>
                <w:spacing w:val="2"/>
                <w:sz w:val="14"/>
              </w:rPr>
              <w:t>FY</w:t>
            </w:r>
            <w:r>
              <w:rPr>
                <w:b/>
                <w:spacing w:val="6"/>
                <w:sz w:val="14"/>
              </w:rPr>
              <w:t> </w:t>
            </w:r>
            <w:r>
              <w:rPr>
                <w:b/>
                <w:spacing w:val="4"/>
                <w:sz w:val="14"/>
              </w:rPr>
              <w:t>2020</w:t>
            </w:r>
          </w:p>
          <w:p>
            <w:pPr>
              <w:pStyle w:val="TableParagraph"/>
              <w:spacing w:before="17"/>
              <w:ind w:left="979" w:right="262"/>
              <w:jc w:val="center"/>
              <w:rPr>
                <w:b/>
                <w:sz w:val="14"/>
              </w:rPr>
            </w:pPr>
            <w:r>
              <w:rPr>
                <w:b/>
                <w:sz w:val="14"/>
              </w:rPr>
              <w:t>Budget</w:t>
            </w:r>
          </w:p>
        </w:tc>
        <w:tc>
          <w:tcPr>
            <w:tcW w:w="1487" w:type="dxa"/>
            <w:tcBorders>
              <w:bottom w:val="single" w:sz="4" w:space="0" w:color="000000"/>
            </w:tcBorders>
          </w:tcPr>
          <w:p>
            <w:pPr>
              <w:pStyle w:val="TableParagraph"/>
              <w:spacing w:line="264" w:lineRule="auto" w:before="29"/>
              <w:ind w:left="389" w:right="140" w:firstLine="91"/>
              <w:rPr>
                <w:sz w:val="14"/>
              </w:rPr>
            </w:pPr>
            <w:r>
              <w:rPr>
                <w:sz w:val="14"/>
              </w:rPr>
              <w:t>% of Total Non Int/ Sal</w:t>
            </w:r>
          </w:p>
        </w:tc>
        <w:tc>
          <w:tcPr>
            <w:tcW w:w="1575" w:type="dxa"/>
            <w:tcBorders>
              <w:bottom w:val="single" w:sz="4" w:space="0" w:color="000000"/>
            </w:tcBorders>
          </w:tcPr>
          <w:p>
            <w:pPr>
              <w:pStyle w:val="TableParagraph"/>
              <w:spacing w:before="29"/>
              <w:ind w:left="626"/>
              <w:rPr>
                <w:sz w:val="14"/>
              </w:rPr>
            </w:pPr>
            <w:r>
              <w:rPr>
                <w:sz w:val="14"/>
              </w:rPr>
              <w:t>FY</w:t>
            </w:r>
            <w:r>
              <w:rPr>
                <w:spacing w:val="17"/>
                <w:sz w:val="14"/>
              </w:rPr>
              <w:t> </w:t>
            </w:r>
            <w:r>
              <w:rPr>
                <w:spacing w:val="4"/>
                <w:sz w:val="14"/>
              </w:rPr>
              <w:t>2021</w:t>
            </w:r>
          </w:p>
          <w:p>
            <w:pPr>
              <w:pStyle w:val="TableParagraph"/>
              <w:spacing w:before="17"/>
              <w:ind w:left="554"/>
              <w:rPr>
                <w:sz w:val="14"/>
              </w:rPr>
            </w:pPr>
            <w:r>
              <w:rPr>
                <w:spacing w:val="3"/>
                <w:sz w:val="14"/>
              </w:rPr>
              <w:t>Indicative</w:t>
            </w:r>
          </w:p>
        </w:tc>
        <w:tc>
          <w:tcPr>
            <w:tcW w:w="1339" w:type="dxa"/>
            <w:tcBorders>
              <w:bottom w:val="single" w:sz="4" w:space="0" w:color="000000"/>
            </w:tcBorders>
          </w:tcPr>
          <w:p>
            <w:pPr>
              <w:pStyle w:val="TableParagraph"/>
              <w:spacing w:line="249" w:lineRule="auto" w:before="29"/>
              <w:ind w:left="390" w:right="192" w:firstLine="86"/>
              <w:jc w:val="both"/>
              <w:rPr>
                <w:sz w:val="14"/>
              </w:rPr>
            </w:pPr>
            <w:r>
              <w:rPr>
                <w:sz w:val="14"/>
              </w:rPr>
              <w:t>% of Total Non Int/ Sal Recurr Exp</w:t>
            </w:r>
          </w:p>
        </w:tc>
        <w:tc>
          <w:tcPr>
            <w:tcW w:w="1239" w:type="dxa"/>
            <w:tcBorders>
              <w:bottom w:val="single" w:sz="4" w:space="0" w:color="000000"/>
            </w:tcBorders>
          </w:tcPr>
          <w:p>
            <w:pPr>
              <w:pStyle w:val="TableParagraph"/>
              <w:spacing w:before="29"/>
              <w:ind w:left="491"/>
              <w:rPr>
                <w:sz w:val="14"/>
              </w:rPr>
            </w:pPr>
            <w:r>
              <w:rPr>
                <w:sz w:val="14"/>
              </w:rPr>
              <w:t>FY</w:t>
            </w:r>
            <w:r>
              <w:rPr>
                <w:spacing w:val="17"/>
                <w:sz w:val="14"/>
              </w:rPr>
              <w:t> </w:t>
            </w:r>
            <w:r>
              <w:rPr>
                <w:spacing w:val="4"/>
                <w:sz w:val="14"/>
              </w:rPr>
              <w:t>2022</w:t>
            </w:r>
          </w:p>
          <w:p>
            <w:pPr>
              <w:pStyle w:val="TableParagraph"/>
              <w:spacing w:before="17"/>
              <w:ind w:left="419"/>
              <w:rPr>
                <w:sz w:val="14"/>
              </w:rPr>
            </w:pPr>
            <w:r>
              <w:rPr>
                <w:spacing w:val="3"/>
                <w:sz w:val="14"/>
              </w:rPr>
              <w:t>Indicative</w:t>
            </w:r>
          </w:p>
        </w:tc>
        <w:tc>
          <w:tcPr>
            <w:tcW w:w="1247" w:type="dxa"/>
            <w:tcBorders>
              <w:bottom w:val="single" w:sz="4" w:space="0" w:color="000000"/>
            </w:tcBorders>
          </w:tcPr>
          <w:p>
            <w:pPr>
              <w:pStyle w:val="TableParagraph"/>
              <w:spacing w:line="249" w:lineRule="auto" w:before="29"/>
              <w:ind w:left="192" w:right="297" w:firstLine="86"/>
              <w:jc w:val="both"/>
              <w:rPr>
                <w:sz w:val="14"/>
              </w:rPr>
            </w:pPr>
            <w:r>
              <w:rPr>
                <w:sz w:val="14"/>
              </w:rPr>
              <w:t>% of Total Non Int/ Sal Recurr Exp</w:t>
            </w:r>
          </w:p>
        </w:tc>
      </w:tr>
      <w:tr>
        <w:trPr>
          <w:trHeight w:val="270" w:hRule="atLeast"/>
        </w:trPr>
        <w:tc>
          <w:tcPr>
            <w:tcW w:w="471" w:type="dxa"/>
            <w:tcBorders>
              <w:top w:val="single" w:sz="4" w:space="0" w:color="000000"/>
            </w:tcBorders>
          </w:tcPr>
          <w:p>
            <w:pPr>
              <w:pStyle w:val="TableParagraph"/>
              <w:rPr>
                <w:rFonts w:ascii="Times New Roman"/>
                <w:sz w:val="14"/>
              </w:rPr>
            </w:pPr>
          </w:p>
        </w:tc>
        <w:tc>
          <w:tcPr>
            <w:tcW w:w="5468" w:type="dxa"/>
            <w:tcBorders>
              <w:top w:val="single" w:sz="4" w:space="0" w:color="000000"/>
            </w:tcBorders>
          </w:tcPr>
          <w:p>
            <w:pPr>
              <w:pStyle w:val="TableParagraph"/>
              <w:spacing w:line="147" w:lineRule="exact" w:before="103"/>
              <w:ind w:left="625"/>
              <w:rPr>
                <w:sz w:val="14"/>
              </w:rPr>
            </w:pPr>
            <w:r>
              <w:rPr>
                <w:sz w:val="14"/>
              </w:rPr>
              <w:t>National School Health Programme</w:t>
            </w:r>
          </w:p>
        </w:tc>
        <w:tc>
          <w:tcPr>
            <w:tcW w:w="1961" w:type="dxa"/>
            <w:tcBorders>
              <w:top w:val="single" w:sz="4" w:space="0" w:color="000000"/>
            </w:tcBorders>
          </w:tcPr>
          <w:p>
            <w:pPr>
              <w:pStyle w:val="TableParagraph"/>
              <w:spacing w:line="147" w:lineRule="exact" w:before="103"/>
              <w:ind w:right="527"/>
              <w:jc w:val="right"/>
              <w:rPr>
                <w:b/>
                <w:sz w:val="14"/>
              </w:rPr>
            </w:pPr>
            <w:r>
              <w:rPr>
                <w:b/>
                <w:sz w:val="14"/>
              </w:rPr>
              <w:t>1,305.2</w:t>
            </w:r>
          </w:p>
        </w:tc>
        <w:tc>
          <w:tcPr>
            <w:tcW w:w="1487" w:type="dxa"/>
            <w:tcBorders>
              <w:top w:val="single" w:sz="4" w:space="0" w:color="000000"/>
            </w:tcBorders>
          </w:tcPr>
          <w:p>
            <w:pPr>
              <w:pStyle w:val="TableParagraph"/>
              <w:spacing w:line="147" w:lineRule="exact" w:before="103"/>
              <w:ind w:right="498"/>
              <w:jc w:val="right"/>
              <w:rPr>
                <w:sz w:val="14"/>
              </w:rPr>
            </w:pPr>
            <w:r>
              <w:rPr>
                <w:sz w:val="14"/>
              </w:rPr>
              <w:t>0 . 1 %</w:t>
            </w:r>
          </w:p>
        </w:tc>
        <w:tc>
          <w:tcPr>
            <w:tcW w:w="1575" w:type="dxa"/>
            <w:tcBorders>
              <w:top w:val="single" w:sz="4" w:space="0" w:color="000000"/>
            </w:tcBorders>
          </w:tcPr>
          <w:p>
            <w:pPr>
              <w:pStyle w:val="TableParagraph"/>
              <w:spacing w:line="147" w:lineRule="exact" w:before="103"/>
              <w:ind w:right="389"/>
              <w:jc w:val="right"/>
              <w:rPr>
                <w:sz w:val="14"/>
              </w:rPr>
            </w:pPr>
            <w:r>
              <w:rPr>
                <w:sz w:val="14"/>
              </w:rPr>
              <w:t>1,607 .7</w:t>
            </w:r>
          </w:p>
        </w:tc>
        <w:tc>
          <w:tcPr>
            <w:tcW w:w="1339" w:type="dxa"/>
            <w:tcBorders>
              <w:top w:val="single" w:sz="4" w:space="0" w:color="000000"/>
            </w:tcBorders>
          </w:tcPr>
          <w:p>
            <w:pPr>
              <w:pStyle w:val="TableParagraph"/>
              <w:spacing w:line="147" w:lineRule="exact" w:before="103"/>
              <w:ind w:left="496"/>
              <w:rPr>
                <w:sz w:val="14"/>
              </w:rPr>
            </w:pPr>
            <w:r>
              <w:rPr>
                <w:sz w:val="14"/>
              </w:rPr>
              <w:t>0 . 1 %</w:t>
            </w:r>
          </w:p>
        </w:tc>
        <w:tc>
          <w:tcPr>
            <w:tcW w:w="1239" w:type="dxa"/>
            <w:tcBorders>
              <w:top w:val="single" w:sz="4" w:space="0" w:color="000000"/>
            </w:tcBorders>
          </w:tcPr>
          <w:p>
            <w:pPr>
              <w:pStyle w:val="TableParagraph"/>
              <w:spacing w:line="147" w:lineRule="exact" w:before="103"/>
              <w:ind w:right="245"/>
              <w:jc w:val="right"/>
              <w:rPr>
                <w:sz w:val="14"/>
              </w:rPr>
            </w:pPr>
            <w:r>
              <w:rPr>
                <w:sz w:val="14"/>
              </w:rPr>
              <w:t>1,704 .0</w:t>
            </w:r>
          </w:p>
        </w:tc>
        <w:tc>
          <w:tcPr>
            <w:tcW w:w="1247" w:type="dxa"/>
            <w:tcBorders>
              <w:top w:val="single" w:sz="4" w:space="0" w:color="000000"/>
            </w:tcBorders>
          </w:tcPr>
          <w:p>
            <w:pPr>
              <w:pStyle w:val="TableParagraph"/>
              <w:spacing w:line="147" w:lineRule="exact" w:before="103"/>
              <w:ind w:left="416" w:right="354"/>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604"/>
              <w:rPr>
                <w:sz w:val="14"/>
              </w:rPr>
            </w:pPr>
            <w:r>
              <w:rPr>
                <w:sz w:val="14"/>
              </w:rPr>
              <w:t>Immunization Programme/ EPI</w:t>
            </w:r>
          </w:p>
        </w:tc>
        <w:tc>
          <w:tcPr>
            <w:tcW w:w="1961" w:type="dxa"/>
          </w:tcPr>
          <w:p>
            <w:pPr>
              <w:pStyle w:val="TableParagraph"/>
              <w:spacing w:line="147" w:lineRule="exact" w:before="1"/>
              <w:ind w:right="527"/>
              <w:jc w:val="right"/>
              <w:rPr>
                <w:b/>
                <w:sz w:val="14"/>
              </w:rPr>
            </w:pPr>
            <w:r>
              <w:rPr>
                <w:b/>
                <w:sz w:val="14"/>
              </w:rPr>
              <w:t>3,747.9</w:t>
            </w:r>
          </w:p>
        </w:tc>
        <w:tc>
          <w:tcPr>
            <w:tcW w:w="1487" w:type="dxa"/>
          </w:tcPr>
          <w:p>
            <w:pPr>
              <w:pStyle w:val="TableParagraph"/>
              <w:spacing w:line="147" w:lineRule="exact" w:before="1"/>
              <w:ind w:right="498"/>
              <w:jc w:val="right"/>
              <w:rPr>
                <w:sz w:val="14"/>
              </w:rPr>
            </w:pPr>
            <w:r>
              <w:rPr>
                <w:sz w:val="14"/>
              </w:rPr>
              <w:t>0 . 2 %</w:t>
            </w:r>
          </w:p>
        </w:tc>
        <w:tc>
          <w:tcPr>
            <w:tcW w:w="1575" w:type="dxa"/>
          </w:tcPr>
          <w:p>
            <w:pPr>
              <w:pStyle w:val="TableParagraph"/>
              <w:spacing w:line="147" w:lineRule="exact" w:before="1"/>
              <w:ind w:right="389"/>
              <w:jc w:val="right"/>
              <w:rPr>
                <w:sz w:val="14"/>
              </w:rPr>
            </w:pPr>
            <w:r>
              <w:rPr>
                <w:sz w:val="14"/>
              </w:rPr>
              <w:t>4,616 .6</w:t>
            </w:r>
          </w:p>
        </w:tc>
        <w:tc>
          <w:tcPr>
            <w:tcW w:w="1339" w:type="dxa"/>
          </w:tcPr>
          <w:p>
            <w:pPr>
              <w:pStyle w:val="TableParagraph"/>
              <w:spacing w:line="147" w:lineRule="exact" w:before="1"/>
              <w:ind w:left="496"/>
              <w:rPr>
                <w:sz w:val="14"/>
              </w:rPr>
            </w:pPr>
            <w:r>
              <w:rPr>
                <w:sz w:val="14"/>
              </w:rPr>
              <w:t>0 . 2 %</w:t>
            </w:r>
          </w:p>
        </w:tc>
        <w:tc>
          <w:tcPr>
            <w:tcW w:w="1239" w:type="dxa"/>
          </w:tcPr>
          <w:p>
            <w:pPr>
              <w:pStyle w:val="TableParagraph"/>
              <w:spacing w:line="147" w:lineRule="exact" w:before="1"/>
              <w:ind w:right="245"/>
              <w:jc w:val="right"/>
              <w:rPr>
                <w:sz w:val="14"/>
              </w:rPr>
            </w:pPr>
            <w:r>
              <w:rPr>
                <w:sz w:val="14"/>
              </w:rPr>
              <w:t>4,893 .1</w:t>
            </w:r>
          </w:p>
        </w:tc>
        <w:tc>
          <w:tcPr>
            <w:tcW w:w="1247" w:type="dxa"/>
          </w:tcPr>
          <w:p>
            <w:pPr>
              <w:pStyle w:val="TableParagraph"/>
              <w:spacing w:line="147" w:lineRule="exact" w:before="1"/>
              <w:ind w:left="416" w:right="354"/>
              <w:jc w:val="center"/>
              <w:rPr>
                <w:sz w:val="14"/>
              </w:rPr>
            </w:pPr>
            <w:r>
              <w:rPr>
                <w:sz w:val="14"/>
              </w:rPr>
              <w:t>0 . 2 %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604"/>
              <w:rPr>
                <w:sz w:val="14"/>
              </w:rPr>
            </w:pPr>
            <w:r>
              <w:rPr>
                <w:sz w:val="14"/>
              </w:rPr>
              <w:t>Reproductive Health/ Family Planning</w:t>
            </w:r>
          </w:p>
        </w:tc>
        <w:tc>
          <w:tcPr>
            <w:tcW w:w="1961" w:type="dxa"/>
          </w:tcPr>
          <w:p>
            <w:pPr>
              <w:pStyle w:val="TableParagraph"/>
              <w:spacing w:line="147" w:lineRule="exact" w:before="1"/>
              <w:ind w:right="510"/>
              <w:jc w:val="right"/>
              <w:rPr>
                <w:b/>
                <w:sz w:val="14"/>
              </w:rPr>
            </w:pPr>
            <w:r>
              <w:rPr>
                <w:b/>
                <w:sz w:val="14"/>
              </w:rPr>
              <w:t>449.8</w:t>
            </w:r>
          </w:p>
        </w:tc>
        <w:tc>
          <w:tcPr>
            <w:tcW w:w="1487" w:type="dxa"/>
          </w:tcPr>
          <w:p>
            <w:pPr>
              <w:pStyle w:val="TableParagraph"/>
              <w:spacing w:line="147" w:lineRule="exact" w:before="1"/>
              <w:ind w:right="498"/>
              <w:jc w:val="right"/>
              <w:rPr>
                <w:sz w:val="14"/>
              </w:rPr>
            </w:pPr>
            <w:r>
              <w:rPr>
                <w:sz w:val="14"/>
              </w:rPr>
              <w:t>0 . 0 %</w:t>
            </w:r>
          </w:p>
        </w:tc>
        <w:tc>
          <w:tcPr>
            <w:tcW w:w="1575" w:type="dxa"/>
          </w:tcPr>
          <w:p>
            <w:pPr>
              <w:pStyle w:val="TableParagraph"/>
              <w:spacing w:line="147" w:lineRule="exact" w:before="1"/>
              <w:ind w:right="386"/>
              <w:jc w:val="right"/>
              <w:rPr>
                <w:sz w:val="14"/>
              </w:rPr>
            </w:pPr>
            <w:r>
              <w:rPr>
                <w:sz w:val="14"/>
              </w:rPr>
              <w:t>554.0</w:t>
            </w:r>
          </w:p>
        </w:tc>
        <w:tc>
          <w:tcPr>
            <w:tcW w:w="1339" w:type="dxa"/>
          </w:tcPr>
          <w:p>
            <w:pPr>
              <w:pStyle w:val="TableParagraph"/>
              <w:spacing w:line="147" w:lineRule="exact" w:before="1"/>
              <w:ind w:left="496"/>
              <w:rPr>
                <w:sz w:val="14"/>
              </w:rPr>
            </w:pPr>
            <w:r>
              <w:rPr>
                <w:sz w:val="14"/>
              </w:rPr>
              <w:t>0 . 0 %</w:t>
            </w:r>
          </w:p>
        </w:tc>
        <w:tc>
          <w:tcPr>
            <w:tcW w:w="1239" w:type="dxa"/>
          </w:tcPr>
          <w:p>
            <w:pPr>
              <w:pStyle w:val="TableParagraph"/>
              <w:spacing w:line="147" w:lineRule="exact" w:before="1"/>
              <w:ind w:right="242"/>
              <w:jc w:val="right"/>
              <w:rPr>
                <w:sz w:val="14"/>
              </w:rPr>
            </w:pPr>
            <w:r>
              <w:rPr>
                <w:sz w:val="14"/>
              </w:rPr>
              <w:t>587.2</w:t>
            </w:r>
          </w:p>
        </w:tc>
        <w:tc>
          <w:tcPr>
            <w:tcW w:w="1247" w:type="dxa"/>
          </w:tcPr>
          <w:p>
            <w:pPr>
              <w:pStyle w:val="TableParagraph"/>
              <w:spacing w:line="147" w:lineRule="exact" w:before="1"/>
              <w:ind w:left="416" w:right="354"/>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Secondary Health Care Services</w:t>
            </w:r>
          </w:p>
        </w:tc>
        <w:tc>
          <w:tcPr>
            <w:tcW w:w="1961" w:type="dxa"/>
          </w:tcPr>
          <w:p>
            <w:pPr>
              <w:pStyle w:val="TableParagraph"/>
              <w:spacing w:line="147" w:lineRule="exact" w:before="1"/>
              <w:ind w:right="510"/>
              <w:jc w:val="right"/>
              <w:rPr>
                <w:b/>
                <w:sz w:val="14"/>
              </w:rPr>
            </w:pPr>
            <w:r>
              <w:rPr>
                <w:b/>
                <w:sz w:val="14"/>
              </w:rPr>
              <w:t>764.6</w:t>
            </w:r>
          </w:p>
        </w:tc>
        <w:tc>
          <w:tcPr>
            <w:tcW w:w="1487" w:type="dxa"/>
          </w:tcPr>
          <w:p>
            <w:pPr>
              <w:pStyle w:val="TableParagraph"/>
              <w:spacing w:line="147" w:lineRule="exact" w:before="1"/>
              <w:ind w:right="498"/>
              <w:jc w:val="right"/>
              <w:rPr>
                <w:sz w:val="14"/>
              </w:rPr>
            </w:pPr>
            <w:r>
              <w:rPr>
                <w:sz w:val="14"/>
              </w:rPr>
              <w:t>0 . 0 %</w:t>
            </w:r>
          </w:p>
        </w:tc>
        <w:tc>
          <w:tcPr>
            <w:tcW w:w="1575" w:type="dxa"/>
          </w:tcPr>
          <w:p>
            <w:pPr>
              <w:pStyle w:val="TableParagraph"/>
              <w:spacing w:line="147" w:lineRule="exact" w:before="1"/>
              <w:ind w:right="386"/>
              <w:jc w:val="right"/>
              <w:rPr>
                <w:sz w:val="14"/>
              </w:rPr>
            </w:pPr>
            <w:r>
              <w:rPr>
                <w:sz w:val="14"/>
              </w:rPr>
              <w:t>941.9</w:t>
            </w:r>
          </w:p>
        </w:tc>
        <w:tc>
          <w:tcPr>
            <w:tcW w:w="1339" w:type="dxa"/>
          </w:tcPr>
          <w:p>
            <w:pPr>
              <w:pStyle w:val="TableParagraph"/>
              <w:spacing w:line="147" w:lineRule="exact" w:before="1"/>
              <w:ind w:left="496"/>
              <w:rPr>
                <w:sz w:val="14"/>
              </w:rPr>
            </w:pPr>
            <w:r>
              <w:rPr>
                <w:sz w:val="14"/>
              </w:rPr>
              <w:t>0 . 0 %</w:t>
            </w:r>
          </w:p>
        </w:tc>
        <w:tc>
          <w:tcPr>
            <w:tcW w:w="1239" w:type="dxa"/>
          </w:tcPr>
          <w:p>
            <w:pPr>
              <w:pStyle w:val="TableParagraph"/>
              <w:spacing w:line="147" w:lineRule="exact" w:before="1"/>
              <w:ind w:right="242"/>
              <w:jc w:val="right"/>
              <w:rPr>
                <w:sz w:val="14"/>
              </w:rPr>
            </w:pPr>
            <w:r>
              <w:rPr>
                <w:sz w:val="14"/>
              </w:rPr>
              <w:t>998.3</w:t>
            </w:r>
          </w:p>
        </w:tc>
        <w:tc>
          <w:tcPr>
            <w:tcW w:w="1247" w:type="dxa"/>
          </w:tcPr>
          <w:p>
            <w:pPr>
              <w:pStyle w:val="TableParagraph"/>
              <w:spacing w:line="147" w:lineRule="exact" w:before="1"/>
              <w:ind w:left="416" w:right="354"/>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4"/>
              <w:rPr>
                <w:sz w:val="14"/>
              </w:rPr>
            </w:pPr>
            <w:r>
              <w:rPr>
                <w:sz w:val="14"/>
              </w:rPr>
              <w:t>Hospitals and Ambulance Services</w:t>
            </w:r>
          </w:p>
        </w:tc>
        <w:tc>
          <w:tcPr>
            <w:tcW w:w="1961" w:type="dxa"/>
          </w:tcPr>
          <w:p>
            <w:pPr>
              <w:pStyle w:val="TableParagraph"/>
              <w:spacing w:line="147" w:lineRule="exact" w:before="1"/>
              <w:ind w:right="529"/>
              <w:jc w:val="right"/>
              <w:rPr>
                <w:b/>
                <w:sz w:val="14"/>
              </w:rPr>
            </w:pPr>
            <w:r>
              <w:rPr>
                <w:b/>
                <w:sz w:val="14"/>
              </w:rPr>
              <w:t>19,178.9</w:t>
            </w:r>
          </w:p>
        </w:tc>
        <w:tc>
          <w:tcPr>
            <w:tcW w:w="1487" w:type="dxa"/>
          </w:tcPr>
          <w:p>
            <w:pPr>
              <w:pStyle w:val="TableParagraph"/>
              <w:spacing w:line="147" w:lineRule="exact" w:before="1"/>
              <w:ind w:right="498"/>
              <w:jc w:val="right"/>
              <w:rPr>
                <w:sz w:val="14"/>
              </w:rPr>
            </w:pPr>
            <w:r>
              <w:rPr>
                <w:sz w:val="14"/>
              </w:rPr>
              <w:t>0 . 9 %</w:t>
            </w:r>
          </w:p>
        </w:tc>
        <w:tc>
          <w:tcPr>
            <w:tcW w:w="1575" w:type="dxa"/>
          </w:tcPr>
          <w:p>
            <w:pPr>
              <w:pStyle w:val="TableParagraph"/>
              <w:spacing w:line="147" w:lineRule="exact" w:before="1"/>
              <w:ind w:right="398"/>
              <w:jc w:val="right"/>
              <w:rPr>
                <w:sz w:val="14"/>
              </w:rPr>
            </w:pPr>
            <w:r>
              <w:rPr>
                <w:sz w:val="14"/>
              </w:rPr>
              <w:t>23,624.4</w:t>
            </w:r>
          </w:p>
        </w:tc>
        <w:tc>
          <w:tcPr>
            <w:tcW w:w="1339" w:type="dxa"/>
          </w:tcPr>
          <w:p>
            <w:pPr>
              <w:pStyle w:val="TableParagraph"/>
              <w:spacing w:line="147" w:lineRule="exact" w:before="1"/>
              <w:ind w:left="496"/>
              <w:rPr>
                <w:sz w:val="14"/>
              </w:rPr>
            </w:pPr>
            <w:r>
              <w:rPr>
                <w:sz w:val="14"/>
              </w:rPr>
              <w:t>1 . 1 %</w:t>
            </w:r>
          </w:p>
        </w:tc>
        <w:tc>
          <w:tcPr>
            <w:tcW w:w="1239" w:type="dxa"/>
          </w:tcPr>
          <w:p>
            <w:pPr>
              <w:pStyle w:val="TableParagraph"/>
              <w:spacing w:line="147" w:lineRule="exact" w:before="1"/>
              <w:ind w:right="254"/>
              <w:jc w:val="right"/>
              <w:rPr>
                <w:sz w:val="14"/>
              </w:rPr>
            </w:pPr>
            <w:r>
              <w:rPr>
                <w:sz w:val="14"/>
              </w:rPr>
              <w:t>25,039.5</w:t>
            </w:r>
          </w:p>
        </w:tc>
        <w:tc>
          <w:tcPr>
            <w:tcW w:w="1247" w:type="dxa"/>
          </w:tcPr>
          <w:p>
            <w:pPr>
              <w:pStyle w:val="TableParagraph"/>
              <w:spacing w:line="147" w:lineRule="exact" w:before="1"/>
              <w:ind w:left="416" w:right="354"/>
              <w:jc w:val="center"/>
              <w:rPr>
                <w:sz w:val="14"/>
              </w:rPr>
            </w:pPr>
            <w:r>
              <w:rPr>
                <w:sz w:val="14"/>
              </w:rPr>
              <w:t>1 . 2 %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4"/>
              <w:rPr>
                <w:sz w:val="14"/>
              </w:rPr>
            </w:pPr>
            <w:r>
              <w:rPr>
                <w:sz w:val="14"/>
              </w:rPr>
              <w:t>Directorate of Hospitals and Laboratory</w:t>
            </w:r>
          </w:p>
        </w:tc>
        <w:tc>
          <w:tcPr>
            <w:tcW w:w="1961" w:type="dxa"/>
          </w:tcPr>
          <w:p>
            <w:pPr>
              <w:pStyle w:val="TableParagraph"/>
              <w:spacing w:line="147" w:lineRule="exact" w:before="1"/>
              <w:ind w:right="527"/>
              <w:jc w:val="right"/>
              <w:rPr>
                <w:b/>
                <w:sz w:val="14"/>
              </w:rPr>
            </w:pPr>
            <w:r>
              <w:rPr>
                <w:b/>
                <w:sz w:val="14"/>
              </w:rPr>
              <w:t>1,087.0</w:t>
            </w:r>
          </w:p>
        </w:tc>
        <w:tc>
          <w:tcPr>
            <w:tcW w:w="1487" w:type="dxa"/>
          </w:tcPr>
          <w:p>
            <w:pPr>
              <w:pStyle w:val="TableParagraph"/>
              <w:spacing w:line="147" w:lineRule="exact" w:before="1"/>
              <w:ind w:right="498"/>
              <w:jc w:val="right"/>
              <w:rPr>
                <w:sz w:val="14"/>
              </w:rPr>
            </w:pPr>
            <w:r>
              <w:rPr>
                <w:sz w:val="14"/>
              </w:rPr>
              <w:t>0 . 1 %</w:t>
            </w:r>
          </w:p>
        </w:tc>
        <w:tc>
          <w:tcPr>
            <w:tcW w:w="1575" w:type="dxa"/>
          </w:tcPr>
          <w:p>
            <w:pPr>
              <w:pStyle w:val="TableParagraph"/>
              <w:spacing w:line="147" w:lineRule="exact" w:before="1"/>
              <w:ind w:right="389"/>
              <w:jc w:val="right"/>
              <w:rPr>
                <w:sz w:val="14"/>
              </w:rPr>
            </w:pPr>
            <w:r>
              <w:rPr>
                <w:sz w:val="14"/>
              </w:rPr>
              <w:t>1,338 .9</w:t>
            </w:r>
          </w:p>
        </w:tc>
        <w:tc>
          <w:tcPr>
            <w:tcW w:w="1339" w:type="dxa"/>
          </w:tcPr>
          <w:p>
            <w:pPr>
              <w:pStyle w:val="TableParagraph"/>
              <w:spacing w:line="147" w:lineRule="exact" w:before="1"/>
              <w:ind w:left="496"/>
              <w:rPr>
                <w:sz w:val="14"/>
              </w:rPr>
            </w:pPr>
            <w:r>
              <w:rPr>
                <w:sz w:val="14"/>
              </w:rPr>
              <w:t>0 . 1 %</w:t>
            </w:r>
          </w:p>
        </w:tc>
        <w:tc>
          <w:tcPr>
            <w:tcW w:w="1239" w:type="dxa"/>
          </w:tcPr>
          <w:p>
            <w:pPr>
              <w:pStyle w:val="TableParagraph"/>
              <w:spacing w:line="147" w:lineRule="exact" w:before="1"/>
              <w:ind w:right="245"/>
              <w:jc w:val="right"/>
              <w:rPr>
                <w:sz w:val="14"/>
              </w:rPr>
            </w:pPr>
            <w:r>
              <w:rPr>
                <w:sz w:val="14"/>
              </w:rPr>
              <w:t>1,419 .1</w:t>
            </w:r>
          </w:p>
        </w:tc>
        <w:tc>
          <w:tcPr>
            <w:tcW w:w="1247" w:type="dxa"/>
          </w:tcPr>
          <w:p>
            <w:pPr>
              <w:pStyle w:val="TableParagraph"/>
              <w:spacing w:line="147" w:lineRule="exact" w:before="1"/>
              <w:ind w:left="416" w:right="354"/>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4"/>
              <w:rPr>
                <w:sz w:val="14"/>
              </w:rPr>
            </w:pPr>
            <w:r>
              <w:rPr>
                <w:sz w:val="14"/>
              </w:rPr>
              <w:t>Drugs and Medical Supplies Services</w:t>
            </w:r>
          </w:p>
        </w:tc>
        <w:tc>
          <w:tcPr>
            <w:tcW w:w="1961" w:type="dxa"/>
          </w:tcPr>
          <w:p>
            <w:pPr>
              <w:pStyle w:val="TableParagraph"/>
              <w:spacing w:line="147" w:lineRule="exact" w:before="1"/>
              <w:ind w:right="510"/>
              <w:jc w:val="right"/>
              <w:rPr>
                <w:b/>
                <w:sz w:val="14"/>
              </w:rPr>
            </w:pPr>
            <w:r>
              <w:rPr>
                <w:b/>
                <w:sz w:val="14"/>
              </w:rPr>
              <w:t>293.5</w:t>
            </w:r>
          </w:p>
        </w:tc>
        <w:tc>
          <w:tcPr>
            <w:tcW w:w="1487" w:type="dxa"/>
          </w:tcPr>
          <w:p>
            <w:pPr>
              <w:pStyle w:val="TableParagraph"/>
              <w:spacing w:line="147" w:lineRule="exact" w:before="1"/>
              <w:ind w:right="498"/>
              <w:jc w:val="right"/>
              <w:rPr>
                <w:sz w:val="14"/>
              </w:rPr>
            </w:pPr>
            <w:r>
              <w:rPr>
                <w:sz w:val="14"/>
              </w:rPr>
              <w:t>0 . 0 %</w:t>
            </w:r>
          </w:p>
        </w:tc>
        <w:tc>
          <w:tcPr>
            <w:tcW w:w="1575" w:type="dxa"/>
          </w:tcPr>
          <w:p>
            <w:pPr>
              <w:pStyle w:val="TableParagraph"/>
              <w:spacing w:line="147" w:lineRule="exact" w:before="1"/>
              <w:ind w:right="386"/>
              <w:jc w:val="right"/>
              <w:rPr>
                <w:sz w:val="14"/>
              </w:rPr>
            </w:pPr>
            <w:r>
              <w:rPr>
                <w:sz w:val="14"/>
              </w:rPr>
              <w:t>361.5</w:t>
            </w:r>
          </w:p>
        </w:tc>
        <w:tc>
          <w:tcPr>
            <w:tcW w:w="1339" w:type="dxa"/>
          </w:tcPr>
          <w:p>
            <w:pPr>
              <w:pStyle w:val="TableParagraph"/>
              <w:spacing w:line="147" w:lineRule="exact" w:before="1"/>
              <w:ind w:left="496"/>
              <w:rPr>
                <w:sz w:val="14"/>
              </w:rPr>
            </w:pPr>
            <w:r>
              <w:rPr>
                <w:sz w:val="14"/>
              </w:rPr>
              <w:t>0 . 0 %</w:t>
            </w:r>
          </w:p>
        </w:tc>
        <w:tc>
          <w:tcPr>
            <w:tcW w:w="1239" w:type="dxa"/>
          </w:tcPr>
          <w:p>
            <w:pPr>
              <w:pStyle w:val="TableParagraph"/>
              <w:spacing w:line="147" w:lineRule="exact" w:before="1"/>
              <w:ind w:right="242"/>
              <w:jc w:val="right"/>
              <w:rPr>
                <w:sz w:val="14"/>
              </w:rPr>
            </w:pPr>
            <w:r>
              <w:rPr>
                <w:sz w:val="14"/>
              </w:rPr>
              <w:t>383.2</w:t>
            </w:r>
          </w:p>
        </w:tc>
        <w:tc>
          <w:tcPr>
            <w:tcW w:w="1247" w:type="dxa"/>
          </w:tcPr>
          <w:p>
            <w:pPr>
              <w:pStyle w:val="TableParagraph"/>
              <w:spacing w:line="147" w:lineRule="exact" w:before="1"/>
              <w:ind w:left="416" w:right="354"/>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4"/>
              <w:rPr>
                <w:sz w:val="14"/>
              </w:rPr>
            </w:pPr>
            <w:r>
              <w:rPr>
                <w:sz w:val="14"/>
              </w:rPr>
              <w:t>Directorate of Support Services</w:t>
            </w:r>
          </w:p>
        </w:tc>
        <w:tc>
          <w:tcPr>
            <w:tcW w:w="1961" w:type="dxa"/>
          </w:tcPr>
          <w:p>
            <w:pPr>
              <w:pStyle w:val="TableParagraph"/>
              <w:spacing w:line="147" w:lineRule="exact" w:before="1"/>
              <w:ind w:right="510"/>
              <w:jc w:val="right"/>
              <w:rPr>
                <w:b/>
                <w:sz w:val="14"/>
              </w:rPr>
            </w:pPr>
            <w:r>
              <w:rPr>
                <w:b/>
                <w:sz w:val="14"/>
              </w:rPr>
              <w:t>234.8</w:t>
            </w:r>
          </w:p>
        </w:tc>
        <w:tc>
          <w:tcPr>
            <w:tcW w:w="1487" w:type="dxa"/>
          </w:tcPr>
          <w:p>
            <w:pPr>
              <w:pStyle w:val="TableParagraph"/>
              <w:spacing w:line="147" w:lineRule="exact" w:before="1"/>
              <w:ind w:right="498"/>
              <w:jc w:val="right"/>
              <w:rPr>
                <w:sz w:val="14"/>
              </w:rPr>
            </w:pPr>
            <w:r>
              <w:rPr>
                <w:sz w:val="14"/>
              </w:rPr>
              <w:t>0 . 0 %</w:t>
            </w:r>
          </w:p>
        </w:tc>
        <w:tc>
          <w:tcPr>
            <w:tcW w:w="1575" w:type="dxa"/>
          </w:tcPr>
          <w:p>
            <w:pPr>
              <w:pStyle w:val="TableParagraph"/>
              <w:spacing w:line="147" w:lineRule="exact" w:before="1"/>
              <w:ind w:right="386"/>
              <w:jc w:val="right"/>
              <w:rPr>
                <w:sz w:val="14"/>
              </w:rPr>
            </w:pPr>
            <w:r>
              <w:rPr>
                <w:sz w:val="14"/>
              </w:rPr>
              <w:t>289.2</w:t>
            </w:r>
          </w:p>
        </w:tc>
        <w:tc>
          <w:tcPr>
            <w:tcW w:w="1339" w:type="dxa"/>
          </w:tcPr>
          <w:p>
            <w:pPr>
              <w:pStyle w:val="TableParagraph"/>
              <w:spacing w:line="147" w:lineRule="exact" w:before="1"/>
              <w:ind w:left="496"/>
              <w:rPr>
                <w:sz w:val="14"/>
              </w:rPr>
            </w:pPr>
            <w:r>
              <w:rPr>
                <w:sz w:val="14"/>
              </w:rPr>
              <w:t>0 . 0 %</w:t>
            </w:r>
          </w:p>
        </w:tc>
        <w:tc>
          <w:tcPr>
            <w:tcW w:w="1239" w:type="dxa"/>
          </w:tcPr>
          <w:p>
            <w:pPr>
              <w:pStyle w:val="TableParagraph"/>
              <w:spacing w:line="147" w:lineRule="exact" w:before="1"/>
              <w:ind w:right="242"/>
              <w:jc w:val="right"/>
              <w:rPr>
                <w:sz w:val="14"/>
              </w:rPr>
            </w:pPr>
            <w:r>
              <w:rPr>
                <w:sz w:val="14"/>
              </w:rPr>
              <w:t>306.5</w:t>
            </w:r>
          </w:p>
        </w:tc>
        <w:tc>
          <w:tcPr>
            <w:tcW w:w="1247" w:type="dxa"/>
          </w:tcPr>
          <w:p>
            <w:pPr>
              <w:pStyle w:val="TableParagraph"/>
              <w:spacing w:line="147" w:lineRule="exact" w:before="1"/>
              <w:ind w:left="416" w:right="354"/>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Policy Planning and Information</w:t>
            </w:r>
          </w:p>
        </w:tc>
        <w:tc>
          <w:tcPr>
            <w:tcW w:w="1961" w:type="dxa"/>
          </w:tcPr>
          <w:p>
            <w:pPr>
              <w:pStyle w:val="TableParagraph"/>
              <w:spacing w:line="147" w:lineRule="exact" w:before="1"/>
              <w:ind w:right="510"/>
              <w:jc w:val="right"/>
              <w:rPr>
                <w:b/>
                <w:sz w:val="14"/>
              </w:rPr>
            </w:pPr>
            <w:r>
              <w:rPr>
                <w:b/>
                <w:sz w:val="14"/>
              </w:rPr>
              <w:t>352.2</w:t>
            </w:r>
          </w:p>
        </w:tc>
        <w:tc>
          <w:tcPr>
            <w:tcW w:w="1487" w:type="dxa"/>
          </w:tcPr>
          <w:p>
            <w:pPr>
              <w:pStyle w:val="TableParagraph"/>
              <w:spacing w:line="147" w:lineRule="exact" w:before="1"/>
              <w:ind w:right="498"/>
              <w:jc w:val="right"/>
              <w:rPr>
                <w:sz w:val="14"/>
              </w:rPr>
            </w:pPr>
            <w:r>
              <w:rPr>
                <w:sz w:val="14"/>
              </w:rPr>
              <w:t>0 . 0 %</w:t>
            </w:r>
          </w:p>
        </w:tc>
        <w:tc>
          <w:tcPr>
            <w:tcW w:w="1575" w:type="dxa"/>
          </w:tcPr>
          <w:p>
            <w:pPr>
              <w:pStyle w:val="TableParagraph"/>
              <w:spacing w:line="147" w:lineRule="exact" w:before="1"/>
              <w:ind w:right="386"/>
              <w:jc w:val="right"/>
              <w:rPr>
                <w:sz w:val="14"/>
              </w:rPr>
            </w:pPr>
            <w:r>
              <w:rPr>
                <w:sz w:val="14"/>
              </w:rPr>
              <w:t>433.8</w:t>
            </w:r>
          </w:p>
        </w:tc>
        <w:tc>
          <w:tcPr>
            <w:tcW w:w="1339" w:type="dxa"/>
          </w:tcPr>
          <w:p>
            <w:pPr>
              <w:pStyle w:val="TableParagraph"/>
              <w:spacing w:line="147" w:lineRule="exact" w:before="1"/>
              <w:ind w:left="496"/>
              <w:rPr>
                <w:sz w:val="14"/>
              </w:rPr>
            </w:pPr>
            <w:r>
              <w:rPr>
                <w:sz w:val="14"/>
              </w:rPr>
              <w:t>0 . 0 %</w:t>
            </w:r>
          </w:p>
        </w:tc>
        <w:tc>
          <w:tcPr>
            <w:tcW w:w="1239" w:type="dxa"/>
          </w:tcPr>
          <w:p>
            <w:pPr>
              <w:pStyle w:val="TableParagraph"/>
              <w:spacing w:line="147" w:lineRule="exact" w:before="1"/>
              <w:ind w:right="242"/>
              <w:jc w:val="right"/>
              <w:rPr>
                <w:sz w:val="14"/>
              </w:rPr>
            </w:pPr>
            <w:r>
              <w:rPr>
                <w:sz w:val="14"/>
              </w:rPr>
              <w:t>459.8</w:t>
            </w:r>
          </w:p>
        </w:tc>
        <w:tc>
          <w:tcPr>
            <w:tcW w:w="1247" w:type="dxa"/>
          </w:tcPr>
          <w:p>
            <w:pPr>
              <w:pStyle w:val="TableParagraph"/>
              <w:spacing w:line="147" w:lineRule="exact" w:before="1"/>
              <w:ind w:left="416" w:right="354"/>
              <w:jc w:val="center"/>
              <w:rPr>
                <w:sz w:val="14"/>
              </w:rPr>
            </w:pPr>
            <w:r>
              <w:rPr>
                <w:sz w:val="14"/>
              </w:rPr>
              <w:t>0 . 0 %</w:t>
            </w:r>
          </w:p>
        </w:tc>
      </w:tr>
      <w:tr>
        <w:trPr>
          <w:trHeight w:val="252" w:hRule="atLeast"/>
        </w:trPr>
        <w:tc>
          <w:tcPr>
            <w:tcW w:w="471" w:type="dxa"/>
          </w:tcPr>
          <w:p>
            <w:pPr>
              <w:pStyle w:val="TableParagraph"/>
              <w:rPr>
                <w:rFonts w:ascii="Times New Roman"/>
                <w:sz w:val="14"/>
              </w:rPr>
            </w:pPr>
          </w:p>
        </w:tc>
        <w:tc>
          <w:tcPr>
            <w:tcW w:w="5468" w:type="dxa"/>
          </w:tcPr>
          <w:p>
            <w:pPr>
              <w:pStyle w:val="TableParagraph"/>
              <w:spacing w:before="1"/>
              <w:ind w:left="264"/>
              <w:rPr>
                <w:sz w:val="14"/>
              </w:rPr>
            </w:pPr>
            <w:r>
              <w:rPr>
                <w:sz w:val="14"/>
              </w:rPr>
              <w:t>Mental Health and Non Communicable Diseases</w:t>
            </w:r>
          </w:p>
        </w:tc>
        <w:tc>
          <w:tcPr>
            <w:tcW w:w="1961" w:type="dxa"/>
          </w:tcPr>
          <w:p>
            <w:pPr>
              <w:pStyle w:val="TableParagraph"/>
              <w:spacing w:before="1"/>
              <w:ind w:right="510"/>
              <w:jc w:val="right"/>
              <w:rPr>
                <w:b/>
                <w:sz w:val="14"/>
              </w:rPr>
            </w:pPr>
            <w:r>
              <w:rPr>
                <w:b/>
                <w:sz w:val="14"/>
              </w:rPr>
              <w:t>617.4</w:t>
            </w:r>
          </w:p>
        </w:tc>
        <w:tc>
          <w:tcPr>
            <w:tcW w:w="1487" w:type="dxa"/>
          </w:tcPr>
          <w:p>
            <w:pPr>
              <w:pStyle w:val="TableParagraph"/>
              <w:spacing w:before="1"/>
              <w:ind w:right="498"/>
              <w:jc w:val="right"/>
              <w:rPr>
                <w:sz w:val="14"/>
              </w:rPr>
            </w:pPr>
            <w:r>
              <w:rPr>
                <w:sz w:val="14"/>
              </w:rPr>
              <w:t>0 . 0 %</w:t>
            </w:r>
          </w:p>
        </w:tc>
        <w:tc>
          <w:tcPr>
            <w:tcW w:w="1575" w:type="dxa"/>
          </w:tcPr>
          <w:p>
            <w:pPr>
              <w:pStyle w:val="TableParagraph"/>
              <w:spacing w:before="1"/>
              <w:ind w:right="386"/>
              <w:jc w:val="right"/>
              <w:rPr>
                <w:sz w:val="14"/>
              </w:rPr>
            </w:pPr>
            <w:r>
              <w:rPr>
                <w:sz w:val="14"/>
              </w:rPr>
              <w:t>760.5</w:t>
            </w:r>
          </w:p>
        </w:tc>
        <w:tc>
          <w:tcPr>
            <w:tcW w:w="1339" w:type="dxa"/>
          </w:tcPr>
          <w:p>
            <w:pPr>
              <w:pStyle w:val="TableParagraph"/>
              <w:spacing w:before="1"/>
              <w:ind w:left="496"/>
              <w:rPr>
                <w:sz w:val="14"/>
              </w:rPr>
            </w:pPr>
            <w:r>
              <w:rPr>
                <w:sz w:val="14"/>
              </w:rPr>
              <w:t>0 . 0 %</w:t>
            </w:r>
          </w:p>
        </w:tc>
        <w:tc>
          <w:tcPr>
            <w:tcW w:w="1239" w:type="dxa"/>
          </w:tcPr>
          <w:p>
            <w:pPr>
              <w:pStyle w:val="TableParagraph"/>
              <w:spacing w:before="1"/>
              <w:ind w:right="242"/>
              <w:jc w:val="right"/>
              <w:rPr>
                <w:sz w:val="14"/>
              </w:rPr>
            </w:pPr>
            <w:r>
              <w:rPr>
                <w:sz w:val="14"/>
              </w:rPr>
              <w:t>806.0</w:t>
            </w:r>
          </w:p>
        </w:tc>
        <w:tc>
          <w:tcPr>
            <w:tcW w:w="1247" w:type="dxa"/>
          </w:tcPr>
          <w:p>
            <w:pPr>
              <w:pStyle w:val="TableParagraph"/>
              <w:spacing w:before="1"/>
              <w:ind w:left="416" w:right="354"/>
              <w:jc w:val="center"/>
              <w:rPr>
                <w:sz w:val="14"/>
              </w:rPr>
            </w:pPr>
            <w:r>
              <w:rPr>
                <w:sz w:val="14"/>
              </w:rPr>
              <w:t>0 . 0 %</w:t>
            </w:r>
          </w:p>
        </w:tc>
      </w:tr>
      <w:tr>
        <w:trPr>
          <w:trHeight w:val="251" w:hRule="atLeast"/>
        </w:trPr>
        <w:tc>
          <w:tcPr>
            <w:tcW w:w="471" w:type="dxa"/>
          </w:tcPr>
          <w:p>
            <w:pPr>
              <w:pStyle w:val="TableParagraph"/>
              <w:spacing w:line="147" w:lineRule="exact" w:before="85"/>
              <w:ind w:left="125"/>
              <w:rPr>
                <w:sz w:val="14"/>
              </w:rPr>
            </w:pPr>
            <w:r>
              <w:rPr>
                <w:sz w:val="14"/>
              </w:rPr>
              <w:t>305</w:t>
            </w:r>
          </w:p>
        </w:tc>
        <w:tc>
          <w:tcPr>
            <w:tcW w:w="5468" w:type="dxa"/>
          </w:tcPr>
          <w:p>
            <w:pPr>
              <w:pStyle w:val="TableParagraph"/>
              <w:spacing w:line="147" w:lineRule="exact" w:before="85"/>
              <w:ind w:left="96"/>
              <w:rPr>
                <w:sz w:val="14"/>
              </w:rPr>
            </w:pPr>
            <w:r>
              <w:rPr>
                <w:sz w:val="14"/>
              </w:rPr>
              <w:t>Ministry of Social Welfare, Gender &amp; Children’s Affairs</w:t>
            </w:r>
          </w:p>
        </w:tc>
        <w:tc>
          <w:tcPr>
            <w:tcW w:w="1961" w:type="dxa"/>
          </w:tcPr>
          <w:p>
            <w:pPr>
              <w:pStyle w:val="TableParagraph"/>
              <w:spacing w:line="147" w:lineRule="exact" w:before="85"/>
              <w:ind w:right="529"/>
              <w:jc w:val="right"/>
              <w:rPr>
                <w:b/>
                <w:sz w:val="14"/>
              </w:rPr>
            </w:pPr>
            <w:r>
              <w:rPr>
                <w:b/>
                <w:sz w:val="14"/>
              </w:rPr>
              <w:t>20,657.5</w:t>
            </w:r>
          </w:p>
        </w:tc>
        <w:tc>
          <w:tcPr>
            <w:tcW w:w="1487" w:type="dxa"/>
          </w:tcPr>
          <w:p>
            <w:pPr>
              <w:pStyle w:val="TableParagraph"/>
              <w:spacing w:line="147" w:lineRule="exact" w:before="85"/>
              <w:ind w:left="495"/>
              <w:rPr>
                <w:sz w:val="14"/>
              </w:rPr>
            </w:pPr>
            <w:r>
              <w:rPr>
                <w:sz w:val="14"/>
              </w:rPr>
              <w:t>1 . 0 %</w:t>
            </w:r>
          </w:p>
        </w:tc>
        <w:tc>
          <w:tcPr>
            <w:tcW w:w="1575" w:type="dxa"/>
          </w:tcPr>
          <w:p>
            <w:pPr>
              <w:pStyle w:val="TableParagraph"/>
              <w:spacing w:line="147" w:lineRule="exact" w:before="85"/>
              <w:ind w:left="343"/>
              <w:rPr>
                <w:sz w:val="14"/>
              </w:rPr>
            </w:pPr>
            <w:r>
              <w:rPr>
                <w:sz w:val="14"/>
              </w:rPr>
              <w:t>25,445.8</w:t>
            </w:r>
          </w:p>
        </w:tc>
        <w:tc>
          <w:tcPr>
            <w:tcW w:w="1339" w:type="dxa"/>
          </w:tcPr>
          <w:p>
            <w:pPr>
              <w:pStyle w:val="TableParagraph"/>
              <w:spacing w:line="147" w:lineRule="exact" w:before="85"/>
              <w:ind w:left="438"/>
              <w:rPr>
                <w:sz w:val="14"/>
              </w:rPr>
            </w:pPr>
            <w:r>
              <w:rPr>
                <w:sz w:val="14"/>
              </w:rPr>
              <w:t>1 . 2 %</w:t>
            </w:r>
          </w:p>
        </w:tc>
        <w:tc>
          <w:tcPr>
            <w:tcW w:w="1239" w:type="dxa"/>
          </w:tcPr>
          <w:p>
            <w:pPr>
              <w:pStyle w:val="TableParagraph"/>
              <w:spacing w:line="147" w:lineRule="exact" w:before="85"/>
              <w:ind w:left="203"/>
              <w:rPr>
                <w:sz w:val="14"/>
              </w:rPr>
            </w:pPr>
            <w:r>
              <w:rPr>
                <w:sz w:val="14"/>
              </w:rPr>
              <w:t>26,970.0</w:t>
            </w:r>
          </w:p>
        </w:tc>
        <w:tc>
          <w:tcPr>
            <w:tcW w:w="1247" w:type="dxa"/>
          </w:tcPr>
          <w:p>
            <w:pPr>
              <w:pStyle w:val="TableParagraph"/>
              <w:spacing w:line="147" w:lineRule="exact" w:before="85"/>
              <w:ind w:left="416" w:right="354"/>
              <w:jc w:val="center"/>
              <w:rPr>
                <w:sz w:val="14"/>
              </w:rPr>
            </w:pPr>
            <w:r>
              <w:rPr>
                <w:sz w:val="14"/>
              </w:rPr>
              <w:t>1 . 3 %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Administrative and Operating Costs</w:t>
            </w:r>
          </w:p>
        </w:tc>
        <w:tc>
          <w:tcPr>
            <w:tcW w:w="1961" w:type="dxa"/>
          </w:tcPr>
          <w:p>
            <w:pPr>
              <w:pStyle w:val="TableParagraph"/>
              <w:spacing w:line="147" w:lineRule="exact" w:before="1"/>
              <w:ind w:right="527"/>
              <w:jc w:val="right"/>
              <w:rPr>
                <w:b/>
                <w:sz w:val="14"/>
              </w:rPr>
            </w:pPr>
            <w:r>
              <w:rPr>
                <w:b/>
                <w:sz w:val="14"/>
              </w:rPr>
              <w:t>9,812.3</w:t>
            </w:r>
          </w:p>
        </w:tc>
        <w:tc>
          <w:tcPr>
            <w:tcW w:w="1487" w:type="dxa"/>
          </w:tcPr>
          <w:p>
            <w:pPr>
              <w:pStyle w:val="TableParagraph"/>
              <w:spacing w:line="147" w:lineRule="exact" w:before="1"/>
              <w:ind w:left="495"/>
              <w:rPr>
                <w:sz w:val="14"/>
              </w:rPr>
            </w:pPr>
            <w:r>
              <w:rPr>
                <w:sz w:val="14"/>
              </w:rPr>
              <w:t>0 . 5 %</w:t>
            </w:r>
          </w:p>
        </w:tc>
        <w:tc>
          <w:tcPr>
            <w:tcW w:w="1575" w:type="dxa"/>
          </w:tcPr>
          <w:p>
            <w:pPr>
              <w:pStyle w:val="TableParagraph"/>
              <w:spacing w:line="147" w:lineRule="exact" w:before="1"/>
              <w:ind w:left="343"/>
              <w:rPr>
                <w:sz w:val="14"/>
              </w:rPr>
            </w:pPr>
            <w:r>
              <w:rPr>
                <w:sz w:val="14"/>
              </w:rPr>
              <w:t>12,086.7</w:t>
            </w:r>
          </w:p>
        </w:tc>
        <w:tc>
          <w:tcPr>
            <w:tcW w:w="1339" w:type="dxa"/>
          </w:tcPr>
          <w:p>
            <w:pPr>
              <w:pStyle w:val="TableParagraph"/>
              <w:spacing w:line="147" w:lineRule="exact" w:before="1"/>
              <w:ind w:left="438"/>
              <w:rPr>
                <w:sz w:val="14"/>
              </w:rPr>
            </w:pPr>
            <w:r>
              <w:rPr>
                <w:sz w:val="14"/>
              </w:rPr>
              <w:t>0 . 6 %</w:t>
            </w:r>
          </w:p>
        </w:tc>
        <w:tc>
          <w:tcPr>
            <w:tcW w:w="1239" w:type="dxa"/>
          </w:tcPr>
          <w:p>
            <w:pPr>
              <w:pStyle w:val="TableParagraph"/>
              <w:spacing w:line="147" w:lineRule="exact" w:before="1"/>
              <w:ind w:left="203"/>
              <w:rPr>
                <w:sz w:val="14"/>
              </w:rPr>
            </w:pPr>
            <w:r>
              <w:rPr>
                <w:sz w:val="14"/>
              </w:rPr>
              <w:t>12,810.7</w:t>
            </w:r>
          </w:p>
        </w:tc>
        <w:tc>
          <w:tcPr>
            <w:tcW w:w="1247" w:type="dxa"/>
          </w:tcPr>
          <w:p>
            <w:pPr>
              <w:pStyle w:val="TableParagraph"/>
              <w:spacing w:line="147" w:lineRule="exact" w:before="1"/>
              <w:ind w:left="416" w:right="354"/>
              <w:jc w:val="center"/>
              <w:rPr>
                <w:sz w:val="14"/>
              </w:rPr>
            </w:pPr>
            <w:r>
              <w:rPr>
                <w:sz w:val="14"/>
              </w:rPr>
              <w:t>0 . 6 %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1"/>
              <w:rPr>
                <w:sz w:val="14"/>
              </w:rPr>
            </w:pPr>
            <w:r>
              <w:rPr>
                <w:sz w:val="14"/>
              </w:rPr>
              <w:t>o/ w Pilgrimage</w:t>
            </w:r>
          </w:p>
        </w:tc>
        <w:tc>
          <w:tcPr>
            <w:tcW w:w="1961" w:type="dxa"/>
          </w:tcPr>
          <w:p>
            <w:pPr>
              <w:pStyle w:val="TableParagraph"/>
              <w:spacing w:line="147" w:lineRule="exact" w:before="1"/>
              <w:ind w:right="527"/>
              <w:jc w:val="right"/>
              <w:rPr>
                <w:b/>
                <w:sz w:val="14"/>
              </w:rPr>
            </w:pPr>
            <w:r>
              <w:rPr>
                <w:b/>
                <w:sz w:val="14"/>
              </w:rPr>
              <w:t>8,687.6</w:t>
            </w:r>
          </w:p>
        </w:tc>
        <w:tc>
          <w:tcPr>
            <w:tcW w:w="1487" w:type="dxa"/>
          </w:tcPr>
          <w:p>
            <w:pPr>
              <w:pStyle w:val="TableParagraph"/>
              <w:spacing w:line="147" w:lineRule="exact" w:before="1"/>
              <w:ind w:left="495"/>
              <w:rPr>
                <w:sz w:val="14"/>
              </w:rPr>
            </w:pPr>
            <w:r>
              <w:rPr>
                <w:sz w:val="14"/>
              </w:rPr>
              <w:t>0 . 4 %</w:t>
            </w:r>
          </w:p>
        </w:tc>
        <w:tc>
          <w:tcPr>
            <w:tcW w:w="1575" w:type="dxa"/>
          </w:tcPr>
          <w:p>
            <w:pPr>
              <w:pStyle w:val="TableParagraph"/>
              <w:spacing w:line="147" w:lineRule="exact" w:before="1"/>
              <w:ind w:left="343"/>
              <w:rPr>
                <w:sz w:val="14"/>
              </w:rPr>
            </w:pPr>
            <w:r>
              <w:rPr>
                <w:sz w:val="14"/>
              </w:rPr>
              <w:t>10,701.3</w:t>
            </w:r>
          </w:p>
        </w:tc>
        <w:tc>
          <w:tcPr>
            <w:tcW w:w="1339" w:type="dxa"/>
          </w:tcPr>
          <w:p>
            <w:pPr>
              <w:pStyle w:val="TableParagraph"/>
              <w:spacing w:line="147" w:lineRule="exact" w:before="1"/>
              <w:ind w:left="438"/>
              <w:rPr>
                <w:sz w:val="14"/>
              </w:rPr>
            </w:pPr>
            <w:r>
              <w:rPr>
                <w:sz w:val="14"/>
              </w:rPr>
              <w:t>0 . 5 %</w:t>
            </w:r>
          </w:p>
        </w:tc>
        <w:tc>
          <w:tcPr>
            <w:tcW w:w="1239" w:type="dxa"/>
          </w:tcPr>
          <w:p>
            <w:pPr>
              <w:pStyle w:val="TableParagraph"/>
              <w:spacing w:line="147" w:lineRule="exact" w:before="1"/>
              <w:ind w:left="203"/>
              <w:rPr>
                <w:sz w:val="14"/>
              </w:rPr>
            </w:pPr>
            <w:r>
              <w:rPr>
                <w:sz w:val="14"/>
              </w:rPr>
              <w:t>11,342.3</w:t>
            </w:r>
          </w:p>
        </w:tc>
        <w:tc>
          <w:tcPr>
            <w:tcW w:w="1247" w:type="dxa"/>
          </w:tcPr>
          <w:p>
            <w:pPr>
              <w:pStyle w:val="TableParagraph"/>
              <w:spacing w:line="147" w:lineRule="exact" w:before="1"/>
              <w:ind w:left="416" w:right="354"/>
              <w:jc w:val="center"/>
              <w:rPr>
                <w:sz w:val="14"/>
              </w:rPr>
            </w:pPr>
            <w:r>
              <w:rPr>
                <w:sz w:val="14"/>
              </w:rPr>
              <w:t>0 . 5 %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Social Protection Programmes</w:t>
            </w:r>
          </w:p>
        </w:tc>
        <w:tc>
          <w:tcPr>
            <w:tcW w:w="1961" w:type="dxa"/>
          </w:tcPr>
          <w:p>
            <w:pPr>
              <w:pStyle w:val="TableParagraph"/>
              <w:spacing w:line="147" w:lineRule="exact" w:before="1"/>
              <w:ind w:right="527"/>
              <w:jc w:val="right"/>
              <w:rPr>
                <w:b/>
                <w:sz w:val="14"/>
              </w:rPr>
            </w:pPr>
            <w:r>
              <w:rPr>
                <w:b/>
                <w:sz w:val="14"/>
              </w:rPr>
              <w:t>7,241.5</w:t>
            </w:r>
          </w:p>
        </w:tc>
        <w:tc>
          <w:tcPr>
            <w:tcW w:w="1487" w:type="dxa"/>
          </w:tcPr>
          <w:p>
            <w:pPr>
              <w:pStyle w:val="TableParagraph"/>
              <w:spacing w:line="147" w:lineRule="exact" w:before="1"/>
              <w:ind w:left="495"/>
              <w:rPr>
                <w:sz w:val="14"/>
              </w:rPr>
            </w:pPr>
            <w:r>
              <w:rPr>
                <w:sz w:val="14"/>
              </w:rPr>
              <w:t>0 . 3 %</w:t>
            </w:r>
          </w:p>
        </w:tc>
        <w:tc>
          <w:tcPr>
            <w:tcW w:w="1575" w:type="dxa"/>
          </w:tcPr>
          <w:p>
            <w:pPr>
              <w:pStyle w:val="TableParagraph"/>
              <w:spacing w:line="147" w:lineRule="exact" w:before="1"/>
              <w:ind w:left="429"/>
              <w:rPr>
                <w:sz w:val="14"/>
              </w:rPr>
            </w:pPr>
            <w:r>
              <w:rPr>
                <w:sz w:val="14"/>
              </w:rPr>
              <w:t>8,920 .0</w:t>
            </w:r>
          </w:p>
        </w:tc>
        <w:tc>
          <w:tcPr>
            <w:tcW w:w="1339" w:type="dxa"/>
          </w:tcPr>
          <w:p>
            <w:pPr>
              <w:pStyle w:val="TableParagraph"/>
              <w:spacing w:line="147" w:lineRule="exact" w:before="1"/>
              <w:ind w:left="438"/>
              <w:rPr>
                <w:sz w:val="14"/>
              </w:rPr>
            </w:pPr>
            <w:r>
              <w:rPr>
                <w:sz w:val="14"/>
              </w:rPr>
              <w:t>0 . 4 %</w:t>
            </w:r>
          </w:p>
        </w:tc>
        <w:tc>
          <w:tcPr>
            <w:tcW w:w="1239" w:type="dxa"/>
          </w:tcPr>
          <w:p>
            <w:pPr>
              <w:pStyle w:val="TableParagraph"/>
              <w:spacing w:line="147" w:lineRule="exact" w:before="1"/>
              <w:ind w:left="294"/>
              <w:rPr>
                <w:sz w:val="14"/>
              </w:rPr>
            </w:pPr>
            <w:r>
              <w:rPr>
                <w:sz w:val="14"/>
              </w:rPr>
              <w:t>9,454 .3</w:t>
            </w:r>
          </w:p>
        </w:tc>
        <w:tc>
          <w:tcPr>
            <w:tcW w:w="1247" w:type="dxa"/>
          </w:tcPr>
          <w:p>
            <w:pPr>
              <w:pStyle w:val="TableParagraph"/>
              <w:spacing w:line="147" w:lineRule="exact" w:before="1"/>
              <w:ind w:left="416" w:right="354"/>
              <w:jc w:val="center"/>
              <w:rPr>
                <w:sz w:val="14"/>
              </w:rPr>
            </w:pPr>
            <w:r>
              <w:rPr>
                <w:sz w:val="14"/>
              </w:rPr>
              <w:t>0 . 5 %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1"/>
              <w:rPr>
                <w:sz w:val="14"/>
              </w:rPr>
            </w:pPr>
            <w:r>
              <w:rPr>
                <w:sz w:val="14"/>
              </w:rPr>
              <w:t>Grants to Welfare Institutions</w:t>
            </w:r>
          </w:p>
        </w:tc>
        <w:tc>
          <w:tcPr>
            <w:tcW w:w="1961" w:type="dxa"/>
          </w:tcPr>
          <w:p>
            <w:pPr>
              <w:pStyle w:val="TableParagraph"/>
              <w:spacing w:line="147" w:lineRule="exact" w:before="1"/>
              <w:ind w:right="527"/>
              <w:jc w:val="right"/>
              <w:rPr>
                <w:b/>
                <w:sz w:val="14"/>
              </w:rPr>
            </w:pPr>
            <w:r>
              <w:rPr>
                <w:b/>
                <w:sz w:val="14"/>
              </w:rPr>
              <w:t>1,733.2</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2,135 .0</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left="294"/>
              <w:rPr>
                <w:sz w:val="14"/>
              </w:rPr>
            </w:pPr>
            <w:r>
              <w:rPr>
                <w:sz w:val="14"/>
              </w:rPr>
              <w:t>2,262 .9</w:t>
            </w:r>
          </w:p>
        </w:tc>
        <w:tc>
          <w:tcPr>
            <w:tcW w:w="1247" w:type="dxa"/>
          </w:tcPr>
          <w:p>
            <w:pPr>
              <w:pStyle w:val="TableParagraph"/>
              <w:spacing w:line="147" w:lineRule="exact" w:before="1"/>
              <w:ind w:left="416" w:right="354"/>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2"/>
              <w:rPr>
                <w:sz w:val="14"/>
              </w:rPr>
            </w:pPr>
            <w:r>
              <w:rPr>
                <w:sz w:val="14"/>
              </w:rPr>
              <w:t>Diets for Approved School &amp; Remand Home</w:t>
            </w:r>
          </w:p>
        </w:tc>
        <w:tc>
          <w:tcPr>
            <w:tcW w:w="1961" w:type="dxa"/>
          </w:tcPr>
          <w:p>
            <w:pPr>
              <w:pStyle w:val="TableParagraph"/>
              <w:spacing w:line="147" w:lineRule="exact" w:before="1"/>
              <w:ind w:right="510"/>
              <w:jc w:val="right"/>
              <w:rPr>
                <w:b/>
                <w:sz w:val="14"/>
              </w:rPr>
            </w:pPr>
            <w:r>
              <w:rPr>
                <w:b/>
                <w:sz w:val="14"/>
              </w:rPr>
              <w:t>954.0</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left="429"/>
              <w:rPr>
                <w:sz w:val="14"/>
              </w:rPr>
            </w:pPr>
            <w:r>
              <w:rPr>
                <w:sz w:val="14"/>
              </w:rPr>
              <w:t>1,175 .1</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left="294"/>
              <w:rPr>
                <w:sz w:val="14"/>
              </w:rPr>
            </w:pPr>
            <w:r>
              <w:rPr>
                <w:sz w:val="14"/>
              </w:rPr>
              <w:t>1,245 .5</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1"/>
              <w:rPr>
                <w:sz w:val="14"/>
              </w:rPr>
            </w:pPr>
            <w:r>
              <w:rPr>
                <w:sz w:val="14"/>
              </w:rPr>
              <w:t>Social Development Activities</w:t>
            </w:r>
          </w:p>
        </w:tc>
        <w:tc>
          <w:tcPr>
            <w:tcW w:w="1961" w:type="dxa"/>
          </w:tcPr>
          <w:p>
            <w:pPr>
              <w:pStyle w:val="TableParagraph"/>
              <w:spacing w:line="147" w:lineRule="exact" w:before="1"/>
              <w:ind w:right="527"/>
              <w:jc w:val="right"/>
              <w:rPr>
                <w:b/>
                <w:sz w:val="14"/>
              </w:rPr>
            </w:pPr>
            <w:r>
              <w:rPr>
                <w:b/>
                <w:sz w:val="14"/>
              </w:rPr>
              <w:t>1,737.5</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2,140 .2</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left="294"/>
              <w:rPr>
                <w:sz w:val="14"/>
              </w:rPr>
            </w:pPr>
            <w:r>
              <w:rPr>
                <w:sz w:val="14"/>
              </w:rPr>
              <w:t>2,268 .4</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1"/>
              <w:rPr>
                <w:sz w:val="14"/>
              </w:rPr>
            </w:pPr>
            <w:r>
              <w:rPr>
                <w:sz w:val="14"/>
              </w:rPr>
              <w:t>Programme for Disabled Persons - Disability Commission</w:t>
            </w:r>
          </w:p>
        </w:tc>
        <w:tc>
          <w:tcPr>
            <w:tcW w:w="1961" w:type="dxa"/>
          </w:tcPr>
          <w:p>
            <w:pPr>
              <w:pStyle w:val="TableParagraph"/>
              <w:spacing w:line="147" w:lineRule="exact" w:before="1"/>
              <w:ind w:right="527"/>
              <w:jc w:val="right"/>
              <w:rPr>
                <w:b/>
                <w:sz w:val="14"/>
              </w:rPr>
            </w:pPr>
            <w:r>
              <w:rPr>
                <w:b/>
                <w:sz w:val="14"/>
              </w:rPr>
              <w:t>2,058.2</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2,535 .3</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left="294"/>
              <w:rPr>
                <w:sz w:val="14"/>
              </w:rPr>
            </w:pPr>
            <w:r>
              <w:rPr>
                <w:sz w:val="14"/>
              </w:rPr>
              <w:t>2,687 .1</w:t>
            </w:r>
          </w:p>
        </w:tc>
        <w:tc>
          <w:tcPr>
            <w:tcW w:w="1247" w:type="dxa"/>
          </w:tcPr>
          <w:p>
            <w:pPr>
              <w:pStyle w:val="TableParagraph"/>
              <w:spacing w:line="147" w:lineRule="exact" w:before="1"/>
              <w:ind w:left="416" w:right="354"/>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1"/>
              <w:rPr>
                <w:sz w:val="14"/>
              </w:rPr>
            </w:pPr>
            <w:r>
              <w:rPr>
                <w:sz w:val="14"/>
              </w:rPr>
              <w:t>Policy Development and Strategic Planning</w:t>
            </w:r>
          </w:p>
        </w:tc>
        <w:tc>
          <w:tcPr>
            <w:tcW w:w="1961" w:type="dxa"/>
          </w:tcPr>
          <w:p>
            <w:pPr>
              <w:pStyle w:val="TableParagraph"/>
              <w:spacing w:line="147" w:lineRule="exact" w:before="1"/>
              <w:ind w:right="510"/>
              <w:jc w:val="right"/>
              <w:rPr>
                <w:b/>
                <w:sz w:val="14"/>
              </w:rPr>
            </w:pPr>
            <w:r>
              <w:rPr>
                <w:b/>
                <w:sz w:val="14"/>
              </w:rPr>
              <w:t>758.6</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left="564" w:right="592"/>
              <w:jc w:val="center"/>
              <w:rPr>
                <w:sz w:val="14"/>
              </w:rPr>
            </w:pPr>
            <w:r>
              <w:rPr>
                <w:sz w:val="14"/>
              </w:rPr>
              <w:t>934.4</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left="437" w:right="411"/>
              <w:jc w:val="center"/>
              <w:rPr>
                <w:sz w:val="14"/>
              </w:rPr>
            </w:pPr>
            <w:r>
              <w:rPr>
                <w:sz w:val="14"/>
              </w:rPr>
              <w:t>990.4</w:t>
            </w:r>
          </w:p>
        </w:tc>
        <w:tc>
          <w:tcPr>
            <w:tcW w:w="1247" w:type="dxa"/>
          </w:tcPr>
          <w:p>
            <w:pPr>
              <w:pStyle w:val="TableParagraph"/>
              <w:spacing w:line="147" w:lineRule="exact" w:before="1"/>
              <w:ind w:left="416" w:right="354"/>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1"/>
              <w:rPr>
                <w:sz w:val="14"/>
              </w:rPr>
            </w:pPr>
            <w:r>
              <w:rPr>
                <w:sz w:val="14"/>
              </w:rPr>
              <w:t>Gender and Children’s Affairs</w:t>
            </w:r>
          </w:p>
        </w:tc>
        <w:tc>
          <w:tcPr>
            <w:tcW w:w="1961" w:type="dxa"/>
          </w:tcPr>
          <w:p>
            <w:pPr>
              <w:pStyle w:val="TableParagraph"/>
              <w:spacing w:line="147" w:lineRule="exact" w:before="1"/>
              <w:ind w:right="527"/>
              <w:jc w:val="right"/>
              <w:rPr>
                <w:b/>
                <w:sz w:val="14"/>
              </w:rPr>
            </w:pPr>
            <w:r>
              <w:rPr>
                <w:b/>
                <w:sz w:val="14"/>
              </w:rPr>
              <w:t>2,303.3</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2,837 .2</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left="294"/>
              <w:rPr>
                <w:sz w:val="14"/>
              </w:rPr>
            </w:pPr>
            <w:r>
              <w:rPr>
                <w:sz w:val="14"/>
              </w:rPr>
              <w:t>3,007 .1</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604"/>
              <w:rPr>
                <w:sz w:val="14"/>
              </w:rPr>
            </w:pPr>
            <w:r>
              <w:rPr>
                <w:i/>
                <w:sz w:val="14"/>
              </w:rPr>
              <w:t>of which </w:t>
            </w:r>
            <w:r>
              <w:rPr>
                <w:sz w:val="14"/>
              </w:rPr>
              <w:t>: Gender and Children’s Programmes</w:t>
            </w:r>
          </w:p>
        </w:tc>
        <w:tc>
          <w:tcPr>
            <w:tcW w:w="1961" w:type="dxa"/>
          </w:tcPr>
          <w:p>
            <w:pPr>
              <w:pStyle w:val="TableParagraph"/>
              <w:spacing w:line="147" w:lineRule="exact" w:before="1"/>
              <w:ind w:right="527"/>
              <w:jc w:val="right"/>
              <w:rPr>
                <w:b/>
                <w:sz w:val="14"/>
              </w:rPr>
            </w:pPr>
            <w:r>
              <w:rPr>
                <w:b/>
                <w:sz w:val="14"/>
              </w:rPr>
              <w:t>2,303.3</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2,837 .2</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left="294"/>
              <w:rPr>
                <w:sz w:val="14"/>
              </w:rPr>
            </w:pPr>
            <w:r>
              <w:rPr>
                <w:sz w:val="14"/>
              </w:rPr>
              <w:t>3,007 .1</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431"/>
              <w:rPr>
                <w:sz w:val="14"/>
              </w:rPr>
            </w:pPr>
            <w:r>
              <w:rPr>
                <w:sz w:val="14"/>
              </w:rPr>
              <w:t>Children’s Commission</w:t>
            </w:r>
          </w:p>
        </w:tc>
        <w:tc>
          <w:tcPr>
            <w:tcW w:w="1961" w:type="dxa"/>
          </w:tcPr>
          <w:p>
            <w:pPr>
              <w:pStyle w:val="TableParagraph"/>
              <w:spacing w:line="147" w:lineRule="exact" w:before="1"/>
              <w:ind w:right="527"/>
              <w:jc w:val="right"/>
              <w:rPr>
                <w:b/>
                <w:sz w:val="14"/>
              </w:rPr>
            </w:pPr>
            <w:r>
              <w:rPr>
                <w:b/>
                <w:sz w:val="14"/>
              </w:rPr>
              <w:t>1,300.4</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1,601 .9</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left="294"/>
              <w:rPr>
                <w:sz w:val="14"/>
              </w:rPr>
            </w:pPr>
            <w:r>
              <w:rPr>
                <w:sz w:val="14"/>
              </w:rPr>
              <w:t>1,697 .8</w:t>
            </w:r>
          </w:p>
        </w:tc>
        <w:tc>
          <w:tcPr>
            <w:tcW w:w="1247" w:type="dxa"/>
          </w:tcPr>
          <w:p>
            <w:pPr>
              <w:pStyle w:val="TableParagraph"/>
              <w:spacing w:line="147" w:lineRule="exact" w:before="1"/>
              <w:ind w:left="416" w:right="354"/>
              <w:jc w:val="center"/>
              <w:rPr>
                <w:sz w:val="14"/>
              </w:rPr>
            </w:pPr>
            <w:r>
              <w:rPr>
                <w:sz w:val="14"/>
              </w:rPr>
              <w:t>0 . 1 %</w:t>
            </w:r>
          </w:p>
        </w:tc>
      </w:tr>
      <w:tr>
        <w:trPr>
          <w:trHeight w:val="251" w:hRule="atLeast"/>
        </w:trPr>
        <w:tc>
          <w:tcPr>
            <w:tcW w:w="471" w:type="dxa"/>
          </w:tcPr>
          <w:p>
            <w:pPr>
              <w:pStyle w:val="TableParagraph"/>
              <w:rPr>
                <w:rFonts w:ascii="Times New Roman"/>
                <w:sz w:val="14"/>
              </w:rPr>
            </w:pPr>
          </w:p>
        </w:tc>
        <w:tc>
          <w:tcPr>
            <w:tcW w:w="5468" w:type="dxa"/>
          </w:tcPr>
          <w:p>
            <w:pPr>
              <w:pStyle w:val="TableParagraph"/>
              <w:spacing w:before="1"/>
              <w:ind w:left="604"/>
              <w:rPr>
                <w:sz w:val="14"/>
              </w:rPr>
            </w:pPr>
            <w:r>
              <w:rPr>
                <w:i/>
                <w:sz w:val="14"/>
              </w:rPr>
              <w:t>of which </w:t>
            </w:r>
            <w:r>
              <w:rPr>
                <w:sz w:val="14"/>
              </w:rPr>
              <w:t>: Child Orphans</w:t>
            </w:r>
          </w:p>
        </w:tc>
        <w:tc>
          <w:tcPr>
            <w:tcW w:w="1961" w:type="dxa"/>
          </w:tcPr>
          <w:p>
            <w:pPr>
              <w:pStyle w:val="TableParagraph"/>
              <w:spacing w:before="1"/>
              <w:ind w:right="527"/>
              <w:jc w:val="right"/>
              <w:rPr>
                <w:b/>
                <w:sz w:val="14"/>
              </w:rPr>
            </w:pPr>
            <w:r>
              <w:rPr>
                <w:b/>
                <w:sz w:val="14"/>
              </w:rPr>
              <w:t>1,001.0</w:t>
            </w:r>
          </w:p>
        </w:tc>
        <w:tc>
          <w:tcPr>
            <w:tcW w:w="1487" w:type="dxa"/>
          </w:tcPr>
          <w:p>
            <w:pPr>
              <w:pStyle w:val="TableParagraph"/>
              <w:spacing w:before="1"/>
              <w:ind w:left="495"/>
              <w:rPr>
                <w:sz w:val="14"/>
              </w:rPr>
            </w:pPr>
            <w:r>
              <w:rPr>
                <w:sz w:val="14"/>
              </w:rPr>
              <w:t>0 . 0 %</w:t>
            </w:r>
          </w:p>
        </w:tc>
        <w:tc>
          <w:tcPr>
            <w:tcW w:w="1575" w:type="dxa"/>
          </w:tcPr>
          <w:p>
            <w:pPr>
              <w:pStyle w:val="TableParagraph"/>
              <w:spacing w:before="1"/>
              <w:ind w:left="429"/>
              <w:rPr>
                <w:sz w:val="14"/>
              </w:rPr>
            </w:pPr>
            <w:r>
              <w:rPr>
                <w:sz w:val="14"/>
              </w:rPr>
              <w:t>1,233 .0</w:t>
            </w:r>
          </w:p>
        </w:tc>
        <w:tc>
          <w:tcPr>
            <w:tcW w:w="1339" w:type="dxa"/>
          </w:tcPr>
          <w:p>
            <w:pPr>
              <w:pStyle w:val="TableParagraph"/>
              <w:spacing w:before="1"/>
              <w:ind w:left="438"/>
              <w:rPr>
                <w:sz w:val="14"/>
              </w:rPr>
            </w:pPr>
            <w:r>
              <w:rPr>
                <w:sz w:val="14"/>
              </w:rPr>
              <w:t>0 . 1 %</w:t>
            </w:r>
          </w:p>
        </w:tc>
        <w:tc>
          <w:tcPr>
            <w:tcW w:w="1239" w:type="dxa"/>
          </w:tcPr>
          <w:p>
            <w:pPr>
              <w:pStyle w:val="TableParagraph"/>
              <w:spacing w:before="1"/>
              <w:ind w:left="294"/>
              <w:rPr>
                <w:sz w:val="14"/>
              </w:rPr>
            </w:pPr>
            <w:r>
              <w:rPr>
                <w:sz w:val="14"/>
              </w:rPr>
              <w:t>1,306 .8</w:t>
            </w:r>
          </w:p>
        </w:tc>
        <w:tc>
          <w:tcPr>
            <w:tcW w:w="1247" w:type="dxa"/>
          </w:tcPr>
          <w:p>
            <w:pPr>
              <w:pStyle w:val="TableParagraph"/>
              <w:spacing w:before="1"/>
              <w:ind w:left="416" w:right="354"/>
              <w:jc w:val="center"/>
              <w:rPr>
                <w:sz w:val="14"/>
              </w:rPr>
            </w:pPr>
            <w:r>
              <w:rPr>
                <w:sz w:val="14"/>
              </w:rPr>
              <w:t>0 . 1 %</w:t>
            </w:r>
          </w:p>
        </w:tc>
      </w:tr>
      <w:tr>
        <w:trPr>
          <w:trHeight w:val="251" w:hRule="atLeast"/>
        </w:trPr>
        <w:tc>
          <w:tcPr>
            <w:tcW w:w="471" w:type="dxa"/>
          </w:tcPr>
          <w:p>
            <w:pPr>
              <w:pStyle w:val="TableParagraph"/>
              <w:spacing w:line="147" w:lineRule="exact" w:before="85"/>
              <w:ind w:left="125"/>
              <w:rPr>
                <w:sz w:val="14"/>
              </w:rPr>
            </w:pPr>
            <w:r>
              <w:rPr>
                <w:sz w:val="14"/>
              </w:rPr>
              <w:t>306</w:t>
            </w:r>
          </w:p>
        </w:tc>
        <w:tc>
          <w:tcPr>
            <w:tcW w:w="5468" w:type="dxa"/>
          </w:tcPr>
          <w:p>
            <w:pPr>
              <w:pStyle w:val="TableParagraph"/>
              <w:spacing w:line="147" w:lineRule="exact" w:before="85"/>
              <w:ind w:left="96"/>
              <w:rPr>
                <w:sz w:val="14"/>
              </w:rPr>
            </w:pPr>
            <w:r>
              <w:rPr>
                <w:sz w:val="14"/>
              </w:rPr>
              <w:t>Ministry of Lands, Housing and the Environment</w:t>
            </w:r>
          </w:p>
        </w:tc>
        <w:tc>
          <w:tcPr>
            <w:tcW w:w="1961" w:type="dxa"/>
          </w:tcPr>
          <w:p>
            <w:pPr>
              <w:pStyle w:val="TableParagraph"/>
              <w:spacing w:line="147" w:lineRule="exact" w:before="85"/>
              <w:ind w:right="527"/>
              <w:jc w:val="right"/>
              <w:rPr>
                <w:b/>
                <w:sz w:val="14"/>
              </w:rPr>
            </w:pPr>
            <w:r>
              <w:rPr>
                <w:b/>
                <w:sz w:val="14"/>
              </w:rPr>
              <w:t>3,692.1</w:t>
            </w:r>
          </w:p>
        </w:tc>
        <w:tc>
          <w:tcPr>
            <w:tcW w:w="1487" w:type="dxa"/>
          </w:tcPr>
          <w:p>
            <w:pPr>
              <w:pStyle w:val="TableParagraph"/>
              <w:spacing w:line="147" w:lineRule="exact" w:before="85"/>
              <w:ind w:left="495"/>
              <w:rPr>
                <w:sz w:val="14"/>
              </w:rPr>
            </w:pPr>
            <w:r>
              <w:rPr>
                <w:sz w:val="14"/>
              </w:rPr>
              <w:t>0 . 2 %</w:t>
            </w:r>
          </w:p>
        </w:tc>
        <w:tc>
          <w:tcPr>
            <w:tcW w:w="1575" w:type="dxa"/>
          </w:tcPr>
          <w:p>
            <w:pPr>
              <w:pStyle w:val="TableParagraph"/>
              <w:spacing w:line="147" w:lineRule="exact" w:before="85"/>
              <w:ind w:left="429"/>
              <w:rPr>
                <w:sz w:val="14"/>
              </w:rPr>
            </w:pPr>
            <w:r>
              <w:rPr>
                <w:sz w:val="14"/>
              </w:rPr>
              <w:t>4,547 .9</w:t>
            </w:r>
          </w:p>
        </w:tc>
        <w:tc>
          <w:tcPr>
            <w:tcW w:w="1339" w:type="dxa"/>
          </w:tcPr>
          <w:p>
            <w:pPr>
              <w:pStyle w:val="TableParagraph"/>
              <w:spacing w:line="147" w:lineRule="exact" w:before="85"/>
              <w:ind w:left="438"/>
              <w:rPr>
                <w:sz w:val="14"/>
              </w:rPr>
            </w:pPr>
            <w:r>
              <w:rPr>
                <w:sz w:val="14"/>
              </w:rPr>
              <w:t>0 . 2 %</w:t>
            </w:r>
          </w:p>
        </w:tc>
        <w:tc>
          <w:tcPr>
            <w:tcW w:w="1239" w:type="dxa"/>
          </w:tcPr>
          <w:p>
            <w:pPr>
              <w:pStyle w:val="TableParagraph"/>
              <w:spacing w:line="147" w:lineRule="exact" w:before="85"/>
              <w:ind w:left="294"/>
              <w:rPr>
                <w:sz w:val="14"/>
              </w:rPr>
            </w:pPr>
            <w:r>
              <w:rPr>
                <w:sz w:val="14"/>
              </w:rPr>
              <w:t>4,820 .3</w:t>
            </w:r>
          </w:p>
        </w:tc>
        <w:tc>
          <w:tcPr>
            <w:tcW w:w="1247" w:type="dxa"/>
          </w:tcPr>
          <w:p>
            <w:pPr>
              <w:pStyle w:val="TableParagraph"/>
              <w:spacing w:line="147" w:lineRule="exact" w:before="85"/>
              <w:ind w:left="416" w:right="354"/>
              <w:jc w:val="center"/>
              <w:rPr>
                <w:sz w:val="14"/>
              </w:rPr>
            </w:pPr>
            <w:r>
              <w:rPr>
                <w:sz w:val="14"/>
              </w:rPr>
              <w:t>0 . 2 %</w:t>
            </w:r>
          </w:p>
        </w:tc>
      </w:tr>
      <w:tr>
        <w:trPr>
          <w:trHeight w:val="251" w:hRule="atLeast"/>
        </w:trPr>
        <w:tc>
          <w:tcPr>
            <w:tcW w:w="471" w:type="dxa"/>
          </w:tcPr>
          <w:p>
            <w:pPr>
              <w:pStyle w:val="TableParagraph"/>
              <w:rPr>
                <w:rFonts w:ascii="Times New Roman"/>
                <w:sz w:val="14"/>
              </w:rPr>
            </w:pPr>
          </w:p>
        </w:tc>
        <w:tc>
          <w:tcPr>
            <w:tcW w:w="5468" w:type="dxa"/>
          </w:tcPr>
          <w:p>
            <w:pPr>
              <w:pStyle w:val="TableParagraph"/>
              <w:spacing w:before="1"/>
              <w:ind w:left="263"/>
              <w:rPr>
                <w:sz w:val="14"/>
              </w:rPr>
            </w:pPr>
            <w:r>
              <w:rPr>
                <w:sz w:val="14"/>
              </w:rPr>
              <w:t>of which Housing Division</w:t>
            </w:r>
          </w:p>
        </w:tc>
        <w:tc>
          <w:tcPr>
            <w:tcW w:w="1961" w:type="dxa"/>
          </w:tcPr>
          <w:p>
            <w:pPr>
              <w:pStyle w:val="TableParagraph"/>
              <w:spacing w:before="1"/>
              <w:ind w:right="510"/>
              <w:jc w:val="right"/>
              <w:rPr>
                <w:b/>
                <w:sz w:val="14"/>
              </w:rPr>
            </w:pPr>
            <w:r>
              <w:rPr>
                <w:b/>
                <w:sz w:val="14"/>
              </w:rPr>
              <w:t>308.2</w:t>
            </w:r>
          </w:p>
        </w:tc>
        <w:tc>
          <w:tcPr>
            <w:tcW w:w="1487" w:type="dxa"/>
          </w:tcPr>
          <w:p>
            <w:pPr>
              <w:pStyle w:val="TableParagraph"/>
              <w:spacing w:before="1"/>
              <w:ind w:left="495"/>
              <w:rPr>
                <w:sz w:val="14"/>
              </w:rPr>
            </w:pPr>
            <w:r>
              <w:rPr>
                <w:sz w:val="14"/>
              </w:rPr>
              <w:t>0 . 0 %</w:t>
            </w:r>
          </w:p>
        </w:tc>
        <w:tc>
          <w:tcPr>
            <w:tcW w:w="1575" w:type="dxa"/>
          </w:tcPr>
          <w:p>
            <w:pPr>
              <w:pStyle w:val="TableParagraph"/>
              <w:spacing w:before="1"/>
              <w:ind w:left="564" w:right="592"/>
              <w:jc w:val="center"/>
              <w:rPr>
                <w:sz w:val="14"/>
              </w:rPr>
            </w:pPr>
            <w:r>
              <w:rPr>
                <w:sz w:val="14"/>
              </w:rPr>
              <w:t>379.6</w:t>
            </w:r>
          </w:p>
        </w:tc>
        <w:tc>
          <w:tcPr>
            <w:tcW w:w="1339" w:type="dxa"/>
          </w:tcPr>
          <w:p>
            <w:pPr>
              <w:pStyle w:val="TableParagraph"/>
              <w:spacing w:before="1"/>
              <w:ind w:left="438"/>
              <w:rPr>
                <w:sz w:val="14"/>
              </w:rPr>
            </w:pPr>
            <w:r>
              <w:rPr>
                <w:sz w:val="14"/>
              </w:rPr>
              <w:t>0 . 0 %</w:t>
            </w:r>
          </w:p>
        </w:tc>
        <w:tc>
          <w:tcPr>
            <w:tcW w:w="1239" w:type="dxa"/>
          </w:tcPr>
          <w:p>
            <w:pPr>
              <w:pStyle w:val="TableParagraph"/>
              <w:spacing w:before="1"/>
              <w:ind w:left="437" w:right="411"/>
              <w:jc w:val="center"/>
              <w:rPr>
                <w:sz w:val="14"/>
              </w:rPr>
            </w:pPr>
            <w:r>
              <w:rPr>
                <w:sz w:val="14"/>
              </w:rPr>
              <w:t>402.3</w:t>
            </w:r>
          </w:p>
        </w:tc>
        <w:tc>
          <w:tcPr>
            <w:tcW w:w="1247" w:type="dxa"/>
          </w:tcPr>
          <w:p>
            <w:pPr>
              <w:pStyle w:val="TableParagraph"/>
              <w:spacing w:before="1"/>
              <w:ind w:left="416" w:right="354"/>
              <w:jc w:val="center"/>
              <w:rPr>
                <w:sz w:val="14"/>
              </w:rPr>
            </w:pPr>
            <w:r>
              <w:rPr>
                <w:sz w:val="14"/>
              </w:rPr>
              <w:t>0 . 0 %</w:t>
            </w:r>
          </w:p>
        </w:tc>
      </w:tr>
      <w:tr>
        <w:trPr>
          <w:trHeight w:val="252" w:hRule="atLeast"/>
        </w:trPr>
        <w:tc>
          <w:tcPr>
            <w:tcW w:w="471" w:type="dxa"/>
          </w:tcPr>
          <w:p>
            <w:pPr>
              <w:pStyle w:val="TableParagraph"/>
              <w:spacing w:line="147" w:lineRule="exact" w:before="85"/>
              <w:ind w:left="125"/>
              <w:rPr>
                <w:sz w:val="14"/>
              </w:rPr>
            </w:pPr>
            <w:r>
              <w:rPr>
                <w:sz w:val="14"/>
              </w:rPr>
              <w:t>307</w:t>
            </w:r>
          </w:p>
        </w:tc>
        <w:tc>
          <w:tcPr>
            <w:tcW w:w="5468" w:type="dxa"/>
          </w:tcPr>
          <w:p>
            <w:pPr>
              <w:pStyle w:val="TableParagraph"/>
              <w:spacing w:line="147" w:lineRule="exact" w:before="85"/>
              <w:ind w:left="95"/>
              <w:rPr>
                <w:sz w:val="14"/>
              </w:rPr>
            </w:pPr>
            <w:r>
              <w:rPr>
                <w:sz w:val="14"/>
              </w:rPr>
              <w:t>National Medical Supplies Agency</w:t>
            </w:r>
          </w:p>
        </w:tc>
        <w:tc>
          <w:tcPr>
            <w:tcW w:w="1961" w:type="dxa"/>
          </w:tcPr>
          <w:p>
            <w:pPr>
              <w:pStyle w:val="TableParagraph"/>
              <w:spacing w:line="147" w:lineRule="exact" w:before="85"/>
              <w:ind w:right="529"/>
              <w:jc w:val="right"/>
              <w:rPr>
                <w:b/>
                <w:sz w:val="14"/>
              </w:rPr>
            </w:pPr>
            <w:r>
              <w:rPr>
                <w:b/>
                <w:sz w:val="14"/>
              </w:rPr>
              <w:t>51,304.5</w:t>
            </w:r>
          </w:p>
        </w:tc>
        <w:tc>
          <w:tcPr>
            <w:tcW w:w="1487" w:type="dxa"/>
          </w:tcPr>
          <w:p>
            <w:pPr>
              <w:pStyle w:val="TableParagraph"/>
              <w:spacing w:line="147" w:lineRule="exact" w:before="85"/>
              <w:ind w:left="495"/>
              <w:rPr>
                <w:sz w:val="14"/>
              </w:rPr>
            </w:pPr>
            <w:r>
              <w:rPr>
                <w:sz w:val="14"/>
              </w:rPr>
              <w:t>2 . 5 %</w:t>
            </w:r>
          </w:p>
        </w:tc>
        <w:tc>
          <w:tcPr>
            <w:tcW w:w="1575" w:type="dxa"/>
          </w:tcPr>
          <w:p>
            <w:pPr>
              <w:pStyle w:val="TableParagraph"/>
              <w:spacing w:line="147" w:lineRule="exact" w:before="85"/>
              <w:ind w:left="429"/>
              <w:rPr>
                <w:sz w:val="14"/>
              </w:rPr>
            </w:pPr>
            <w:r>
              <w:rPr>
                <w:sz w:val="14"/>
              </w:rPr>
              <w:t>7,313 .8</w:t>
            </w:r>
          </w:p>
        </w:tc>
        <w:tc>
          <w:tcPr>
            <w:tcW w:w="1339" w:type="dxa"/>
          </w:tcPr>
          <w:p>
            <w:pPr>
              <w:pStyle w:val="TableParagraph"/>
              <w:spacing w:line="147" w:lineRule="exact" w:before="85"/>
              <w:ind w:left="438"/>
              <w:rPr>
                <w:sz w:val="14"/>
              </w:rPr>
            </w:pPr>
            <w:r>
              <w:rPr>
                <w:sz w:val="14"/>
              </w:rPr>
              <w:t>0 . 4 %</w:t>
            </w:r>
          </w:p>
        </w:tc>
        <w:tc>
          <w:tcPr>
            <w:tcW w:w="1239" w:type="dxa"/>
          </w:tcPr>
          <w:p>
            <w:pPr>
              <w:pStyle w:val="TableParagraph"/>
              <w:spacing w:line="147" w:lineRule="exact" w:before="85"/>
              <w:ind w:left="203"/>
              <w:rPr>
                <w:sz w:val="14"/>
              </w:rPr>
            </w:pPr>
            <w:r>
              <w:rPr>
                <w:sz w:val="14"/>
              </w:rPr>
              <w:t>88,751.9</w:t>
            </w:r>
          </w:p>
        </w:tc>
        <w:tc>
          <w:tcPr>
            <w:tcW w:w="1247" w:type="dxa"/>
          </w:tcPr>
          <w:p>
            <w:pPr>
              <w:pStyle w:val="TableParagraph"/>
              <w:spacing w:line="147" w:lineRule="exact" w:before="85"/>
              <w:ind w:left="416" w:right="354"/>
              <w:jc w:val="center"/>
              <w:rPr>
                <w:sz w:val="14"/>
              </w:rPr>
            </w:pPr>
            <w:r>
              <w:rPr>
                <w:sz w:val="14"/>
              </w:rPr>
              <w:t>4 . 3 %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Administrative and Operating Costs</w:t>
            </w:r>
          </w:p>
        </w:tc>
        <w:tc>
          <w:tcPr>
            <w:tcW w:w="1961" w:type="dxa"/>
          </w:tcPr>
          <w:p>
            <w:pPr>
              <w:pStyle w:val="TableParagraph"/>
              <w:spacing w:line="147" w:lineRule="exact" w:before="1"/>
              <w:ind w:right="527"/>
              <w:jc w:val="right"/>
              <w:rPr>
                <w:b/>
                <w:sz w:val="14"/>
              </w:rPr>
            </w:pPr>
            <w:r>
              <w:rPr>
                <w:b/>
                <w:sz w:val="14"/>
              </w:rPr>
              <w:t>1,878.4</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7,313 .8</w:t>
            </w:r>
          </w:p>
        </w:tc>
        <w:tc>
          <w:tcPr>
            <w:tcW w:w="1339" w:type="dxa"/>
          </w:tcPr>
          <w:p>
            <w:pPr>
              <w:pStyle w:val="TableParagraph"/>
              <w:spacing w:line="147" w:lineRule="exact" w:before="1"/>
              <w:ind w:left="438"/>
              <w:rPr>
                <w:sz w:val="14"/>
              </w:rPr>
            </w:pPr>
            <w:r>
              <w:rPr>
                <w:sz w:val="14"/>
              </w:rPr>
              <w:t>0 . 4 %</w:t>
            </w:r>
          </w:p>
        </w:tc>
        <w:tc>
          <w:tcPr>
            <w:tcW w:w="1239" w:type="dxa"/>
          </w:tcPr>
          <w:p>
            <w:pPr>
              <w:pStyle w:val="TableParagraph"/>
              <w:spacing w:line="147" w:lineRule="exact" w:before="1"/>
              <w:ind w:left="294"/>
              <w:rPr>
                <w:sz w:val="14"/>
              </w:rPr>
            </w:pPr>
            <w:r>
              <w:rPr>
                <w:sz w:val="14"/>
              </w:rPr>
              <w:t>7,751 .9</w:t>
            </w:r>
          </w:p>
        </w:tc>
        <w:tc>
          <w:tcPr>
            <w:tcW w:w="1247" w:type="dxa"/>
          </w:tcPr>
          <w:p>
            <w:pPr>
              <w:pStyle w:val="TableParagraph"/>
              <w:spacing w:line="147" w:lineRule="exact" w:before="1"/>
              <w:ind w:left="416" w:right="354"/>
              <w:jc w:val="center"/>
              <w:rPr>
                <w:sz w:val="14"/>
              </w:rPr>
            </w:pPr>
            <w:r>
              <w:rPr>
                <w:sz w:val="14"/>
              </w:rPr>
              <w:t>0 . 4 %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Procurement of Free Health Care Drugs</w:t>
            </w:r>
          </w:p>
        </w:tc>
        <w:tc>
          <w:tcPr>
            <w:tcW w:w="1961" w:type="dxa"/>
          </w:tcPr>
          <w:p>
            <w:pPr>
              <w:pStyle w:val="TableParagraph"/>
              <w:spacing w:line="147" w:lineRule="exact" w:before="1"/>
              <w:ind w:right="529"/>
              <w:jc w:val="right"/>
              <w:rPr>
                <w:b/>
                <w:sz w:val="14"/>
              </w:rPr>
            </w:pPr>
            <w:r>
              <w:rPr>
                <w:b/>
                <w:sz w:val="14"/>
              </w:rPr>
              <w:t>33,883.2</w:t>
            </w:r>
          </w:p>
        </w:tc>
        <w:tc>
          <w:tcPr>
            <w:tcW w:w="1487" w:type="dxa"/>
          </w:tcPr>
          <w:p>
            <w:pPr>
              <w:pStyle w:val="TableParagraph"/>
              <w:spacing w:line="147" w:lineRule="exact" w:before="1"/>
              <w:ind w:left="495"/>
              <w:rPr>
                <w:sz w:val="14"/>
              </w:rPr>
            </w:pPr>
            <w:r>
              <w:rPr>
                <w:sz w:val="14"/>
              </w:rPr>
              <w:t>1 . 6 %</w:t>
            </w:r>
          </w:p>
        </w:tc>
        <w:tc>
          <w:tcPr>
            <w:tcW w:w="1575" w:type="dxa"/>
          </w:tcPr>
          <w:p>
            <w:pPr>
              <w:pStyle w:val="TableParagraph"/>
              <w:spacing w:line="147" w:lineRule="exact" w:before="1"/>
              <w:ind w:left="578" w:right="423"/>
              <w:jc w:val="center"/>
              <w:rPr>
                <w:sz w:val="14"/>
              </w:rPr>
            </w:pPr>
            <w:r>
              <w:rPr>
                <w:sz w:val="14"/>
              </w:rPr>
              <w:t>0.0</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left="203"/>
              <w:rPr>
                <w:sz w:val="14"/>
              </w:rPr>
            </w:pPr>
            <w:r>
              <w:rPr>
                <w:sz w:val="14"/>
              </w:rPr>
              <w:t>45,000.0</w:t>
            </w:r>
          </w:p>
        </w:tc>
        <w:tc>
          <w:tcPr>
            <w:tcW w:w="1247" w:type="dxa"/>
          </w:tcPr>
          <w:p>
            <w:pPr>
              <w:pStyle w:val="TableParagraph"/>
              <w:spacing w:line="147" w:lineRule="exact" w:before="1"/>
              <w:ind w:left="416" w:right="354"/>
              <w:jc w:val="center"/>
              <w:rPr>
                <w:sz w:val="14"/>
              </w:rPr>
            </w:pPr>
            <w:r>
              <w:rPr>
                <w:sz w:val="14"/>
              </w:rPr>
              <w:t>2 . 2 %</w:t>
            </w:r>
          </w:p>
        </w:tc>
      </w:tr>
      <w:tr>
        <w:trPr>
          <w:trHeight w:val="218" w:hRule="atLeast"/>
        </w:trPr>
        <w:tc>
          <w:tcPr>
            <w:tcW w:w="471" w:type="dxa"/>
          </w:tcPr>
          <w:p>
            <w:pPr>
              <w:pStyle w:val="TableParagraph"/>
              <w:rPr>
                <w:rFonts w:ascii="Times New Roman"/>
                <w:sz w:val="14"/>
              </w:rPr>
            </w:pPr>
          </w:p>
        </w:tc>
        <w:tc>
          <w:tcPr>
            <w:tcW w:w="5468" w:type="dxa"/>
          </w:tcPr>
          <w:p>
            <w:pPr>
              <w:pStyle w:val="TableParagraph"/>
              <w:spacing w:before="1"/>
              <w:ind w:left="263"/>
              <w:rPr>
                <w:sz w:val="14"/>
              </w:rPr>
            </w:pPr>
            <w:r>
              <w:rPr>
                <w:sz w:val="14"/>
              </w:rPr>
              <w:t>Procurement of Cost Recovery Drugs and Other Medical Supplies</w:t>
            </w:r>
          </w:p>
        </w:tc>
        <w:tc>
          <w:tcPr>
            <w:tcW w:w="1961" w:type="dxa"/>
          </w:tcPr>
          <w:p>
            <w:pPr>
              <w:pStyle w:val="TableParagraph"/>
              <w:spacing w:before="1"/>
              <w:ind w:right="529"/>
              <w:jc w:val="right"/>
              <w:rPr>
                <w:b/>
                <w:sz w:val="14"/>
              </w:rPr>
            </w:pPr>
            <w:r>
              <w:rPr>
                <w:b/>
                <w:sz w:val="14"/>
              </w:rPr>
              <w:t>15,542.9</w:t>
            </w:r>
          </w:p>
        </w:tc>
        <w:tc>
          <w:tcPr>
            <w:tcW w:w="1487" w:type="dxa"/>
          </w:tcPr>
          <w:p>
            <w:pPr>
              <w:pStyle w:val="TableParagraph"/>
              <w:spacing w:before="1"/>
              <w:ind w:left="495"/>
              <w:rPr>
                <w:sz w:val="14"/>
              </w:rPr>
            </w:pPr>
            <w:r>
              <w:rPr>
                <w:sz w:val="14"/>
              </w:rPr>
              <w:t>0 . 7 %</w:t>
            </w:r>
          </w:p>
        </w:tc>
        <w:tc>
          <w:tcPr>
            <w:tcW w:w="1575" w:type="dxa"/>
          </w:tcPr>
          <w:p>
            <w:pPr>
              <w:pStyle w:val="TableParagraph"/>
              <w:spacing w:before="1"/>
              <w:ind w:left="578" w:right="423"/>
              <w:jc w:val="center"/>
              <w:rPr>
                <w:sz w:val="14"/>
              </w:rPr>
            </w:pPr>
            <w:r>
              <w:rPr>
                <w:sz w:val="14"/>
              </w:rPr>
              <w:t>0.0</w:t>
            </w:r>
          </w:p>
        </w:tc>
        <w:tc>
          <w:tcPr>
            <w:tcW w:w="1339" w:type="dxa"/>
          </w:tcPr>
          <w:p>
            <w:pPr>
              <w:pStyle w:val="TableParagraph"/>
              <w:spacing w:before="1"/>
              <w:ind w:left="438"/>
              <w:rPr>
                <w:sz w:val="14"/>
              </w:rPr>
            </w:pPr>
            <w:r>
              <w:rPr>
                <w:sz w:val="14"/>
              </w:rPr>
              <w:t>0 . 0 %</w:t>
            </w:r>
          </w:p>
        </w:tc>
        <w:tc>
          <w:tcPr>
            <w:tcW w:w="1239" w:type="dxa"/>
          </w:tcPr>
          <w:p>
            <w:pPr>
              <w:pStyle w:val="TableParagraph"/>
              <w:spacing w:before="1"/>
              <w:ind w:left="203"/>
              <w:rPr>
                <w:sz w:val="14"/>
              </w:rPr>
            </w:pPr>
            <w:r>
              <w:rPr>
                <w:sz w:val="14"/>
              </w:rPr>
              <w:t>36,000.0</w:t>
            </w:r>
          </w:p>
        </w:tc>
        <w:tc>
          <w:tcPr>
            <w:tcW w:w="1247" w:type="dxa"/>
          </w:tcPr>
          <w:p>
            <w:pPr>
              <w:pStyle w:val="TableParagraph"/>
              <w:spacing w:before="1"/>
              <w:ind w:left="416" w:right="354"/>
              <w:jc w:val="center"/>
              <w:rPr>
                <w:sz w:val="14"/>
              </w:rPr>
            </w:pPr>
            <w:r>
              <w:rPr>
                <w:sz w:val="14"/>
              </w:rPr>
              <w:t>1 . 7 %</w:t>
            </w:r>
          </w:p>
        </w:tc>
      </w:tr>
      <w:tr>
        <w:trPr>
          <w:trHeight w:val="268" w:hRule="atLeast"/>
        </w:trPr>
        <w:tc>
          <w:tcPr>
            <w:tcW w:w="471" w:type="dxa"/>
          </w:tcPr>
          <w:p>
            <w:pPr>
              <w:pStyle w:val="TableParagraph"/>
              <w:spacing w:before="51"/>
              <w:ind w:left="125"/>
              <w:rPr>
                <w:sz w:val="14"/>
              </w:rPr>
            </w:pPr>
            <w:r>
              <w:rPr>
                <w:sz w:val="14"/>
              </w:rPr>
              <w:t>308</w:t>
            </w:r>
          </w:p>
        </w:tc>
        <w:tc>
          <w:tcPr>
            <w:tcW w:w="5468" w:type="dxa"/>
          </w:tcPr>
          <w:p>
            <w:pPr>
              <w:pStyle w:val="TableParagraph"/>
              <w:spacing w:before="51"/>
              <w:ind w:left="95"/>
              <w:rPr>
                <w:sz w:val="14"/>
              </w:rPr>
            </w:pPr>
            <w:r>
              <w:rPr>
                <w:sz w:val="14"/>
              </w:rPr>
              <w:t>National Commission for Social Action</w:t>
            </w:r>
          </w:p>
        </w:tc>
        <w:tc>
          <w:tcPr>
            <w:tcW w:w="1961" w:type="dxa"/>
          </w:tcPr>
          <w:p>
            <w:pPr>
              <w:pStyle w:val="TableParagraph"/>
              <w:spacing w:before="51"/>
              <w:ind w:right="527"/>
              <w:jc w:val="right"/>
              <w:rPr>
                <w:b/>
                <w:sz w:val="14"/>
              </w:rPr>
            </w:pPr>
            <w:r>
              <w:rPr>
                <w:b/>
                <w:sz w:val="14"/>
              </w:rPr>
              <w:t>2,135.6</w:t>
            </w:r>
          </w:p>
        </w:tc>
        <w:tc>
          <w:tcPr>
            <w:tcW w:w="1487" w:type="dxa"/>
          </w:tcPr>
          <w:p>
            <w:pPr>
              <w:pStyle w:val="TableParagraph"/>
              <w:spacing w:before="51"/>
              <w:ind w:left="495"/>
              <w:rPr>
                <w:sz w:val="14"/>
              </w:rPr>
            </w:pPr>
            <w:r>
              <w:rPr>
                <w:sz w:val="14"/>
              </w:rPr>
              <w:t>0 . 1 %</w:t>
            </w:r>
          </w:p>
        </w:tc>
        <w:tc>
          <w:tcPr>
            <w:tcW w:w="1575" w:type="dxa"/>
          </w:tcPr>
          <w:p>
            <w:pPr>
              <w:pStyle w:val="TableParagraph"/>
              <w:spacing w:before="51"/>
              <w:ind w:left="429"/>
              <w:rPr>
                <w:sz w:val="14"/>
              </w:rPr>
            </w:pPr>
            <w:r>
              <w:rPr>
                <w:sz w:val="14"/>
              </w:rPr>
              <w:t>6,398 .8</w:t>
            </w:r>
          </w:p>
        </w:tc>
        <w:tc>
          <w:tcPr>
            <w:tcW w:w="1339" w:type="dxa"/>
          </w:tcPr>
          <w:p>
            <w:pPr>
              <w:pStyle w:val="TableParagraph"/>
              <w:spacing w:before="51"/>
              <w:ind w:left="438"/>
              <w:rPr>
                <w:sz w:val="14"/>
              </w:rPr>
            </w:pPr>
            <w:r>
              <w:rPr>
                <w:sz w:val="14"/>
              </w:rPr>
              <w:t>0 . 3 %</w:t>
            </w:r>
          </w:p>
        </w:tc>
        <w:tc>
          <w:tcPr>
            <w:tcW w:w="1239" w:type="dxa"/>
          </w:tcPr>
          <w:p>
            <w:pPr>
              <w:pStyle w:val="TableParagraph"/>
              <w:spacing w:before="51"/>
              <w:ind w:left="294"/>
              <w:rPr>
                <w:sz w:val="14"/>
              </w:rPr>
            </w:pPr>
            <w:r>
              <w:rPr>
                <w:sz w:val="14"/>
              </w:rPr>
              <w:t>6,782 .1</w:t>
            </w:r>
          </w:p>
        </w:tc>
        <w:tc>
          <w:tcPr>
            <w:tcW w:w="1247" w:type="dxa"/>
          </w:tcPr>
          <w:p>
            <w:pPr>
              <w:pStyle w:val="TableParagraph"/>
              <w:spacing w:before="51"/>
              <w:ind w:left="416" w:right="354"/>
              <w:jc w:val="center"/>
              <w:rPr>
                <w:sz w:val="14"/>
              </w:rPr>
            </w:pPr>
            <w:r>
              <w:rPr>
                <w:sz w:val="14"/>
              </w:rPr>
              <w:t>0 . 3 %</w:t>
            </w:r>
          </w:p>
        </w:tc>
      </w:tr>
      <w:tr>
        <w:trPr>
          <w:trHeight w:val="302" w:hRule="atLeast"/>
        </w:trPr>
        <w:tc>
          <w:tcPr>
            <w:tcW w:w="471" w:type="dxa"/>
          </w:tcPr>
          <w:p>
            <w:pPr>
              <w:pStyle w:val="TableParagraph"/>
              <w:spacing w:before="51"/>
              <w:ind w:left="125"/>
              <w:rPr>
                <w:sz w:val="14"/>
              </w:rPr>
            </w:pPr>
            <w:r>
              <w:rPr>
                <w:sz w:val="14"/>
              </w:rPr>
              <w:t>309</w:t>
            </w:r>
          </w:p>
        </w:tc>
        <w:tc>
          <w:tcPr>
            <w:tcW w:w="5468" w:type="dxa"/>
          </w:tcPr>
          <w:p>
            <w:pPr>
              <w:pStyle w:val="TableParagraph"/>
              <w:spacing w:before="51"/>
              <w:ind w:left="96"/>
              <w:rPr>
                <w:sz w:val="14"/>
              </w:rPr>
            </w:pPr>
            <w:r>
              <w:rPr>
                <w:sz w:val="14"/>
              </w:rPr>
              <w:t>Dental and Medical Board</w:t>
            </w:r>
          </w:p>
        </w:tc>
        <w:tc>
          <w:tcPr>
            <w:tcW w:w="1961" w:type="dxa"/>
          </w:tcPr>
          <w:p>
            <w:pPr>
              <w:pStyle w:val="TableParagraph"/>
              <w:spacing w:before="51"/>
              <w:ind w:right="510"/>
              <w:jc w:val="right"/>
              <w:rPr>
                <w:b/>
                <w:sz w:val="14"/>
              </w:rPr>
            </w:pPr>
            <w:r>
              <w:rPr>
                <w:b/>
                <w:sz w:val="14"/>
              </w:rPr>
              <w:t>541.1</w:t>
            </w:r>
          </w:p>
        </w:tc>
        <w:tc>
          <w:tcPr>
            <w:tcW w:w="1487" w:type="dxa"/>
          </w:tcPr>
          <w:p>
            <w:pPr>
              <w:pStyle w:val="TableParagraph"/>
              <w:spacing w:before="51"/>
              <w:ind w:left="495"/>
              <w:rPr>
                <w:sz w:val="14"/>
              </w:rPr>
            </w:pPr>
            <w:r>
              <w:rPr>
                <w:sz w:val="14"/>
              </w:rPr>
              <w:t>0 . 0 %</w:t>
            </w:r>
          </w:p>
        </w:tc>
        <w:tc>
          <w:tcPr>
            <w:tcW w:w="1575" w:type="dxa"/>
          </w:tcPr>
          <w:p>
            <w:pPr>
              <w:pStyle w:val="TableParagraph"/>
              <w:spacing w:before="51"/>
              <w:ind w:left="564" w:right="592"/>
              <w:jc w:val="center"/>
              <w:rPr>
                <w:sz w:val="14"/>
              </w:rPr>
            </w:pPr>
            <w:r>
              <w:rPr>
                <w:sz w:val="14"/>
              </w:rPr>
              <w:t>296.9</w:t>
            </w:r>
          </w:p>
        </w:tc>
        <w:tc>
          <w:tcPr>
            <w:tcW w:w="1339" w:type="dxa"/>
          </w:tcPr>
          <w:p>
            <w:pPr>
              <w:pStyle w:val="TableParagraph"/>
              <w:spacing w:before="51"/>
              <w:ind w:left="438"/>
              <w:rPr>
                <w:sz w:val="14"/>
              </w:rPr>
            </w:pPr>
            <w:r>
              <w:rPr>
                <w:sz w:val="14"/>
              </w:rPr>
              <w:t>0 . 0 %</w:t>
            </w:r>
          </w:p>
        </w:tc>
        <w:tc>
          <w:tcPr>
            <w:tcW w:w="1239" w:type="dxa"/>
          </w:tcPr>
          <w:p>
            <w:pPr>
              <w:pStyle w:val="TableParagraph"/>
              <w:spacing w:before="51"/>
              <w:ind w:left="437" w:right="411"/>
              <w:jc w:val="center"/>
              <w:rPr>
                <w:sz w:val="14"/>
              </w:rPr>
            </w:pPr>
            <w:r>
              <w:rPr>
                <w:sz w:val="14"/>
              </w:rPr>
              <w:t>314.7</w:t>
            </w:r>
          </w:p>
        </w:tc>
        <w:tc>
          <w:tcPr>
            <w:tcW w:w="1247" w:type="dxa"/>
          </w:tcPr>
          <w:p>
            <w:pPr>
              <w:pStyle w:val="TableParagraph"/>
              <w:spacing w:before="51"/>
              <w:ind w:left="416" w:right="354"/>
              <w:jc w:val="center"/>
              <w:rPr>
                <w:sz w:val="14"/>
              </w:rPr>
            </w:pPr>
            <w:r>
              <w:rPr>
                <w:sz w:val="14"/>
              </w:rPr>
              <w:t>0 . 0 %</w:t>
            </w:r>
          </w:p>
        </w:tc>
      </w:tr>
      <w:tr>
        <w:trPr>
          <w:trHeight w:val="251" w:hRule="atLeast"/>
        </w:trPr>
        <w:tc>
          <w:tcPr>
            <w:tcW w:w="471" w:type="dxa"/>
          </w:tcPr>
          <w:p>
            <w:pPr>
              <w:pStyle w:val="TableParagraph"/>
              <w:spacing w:line="147" w:lineRule="exact" w:before="85"/>
              <w:ind w:left="125"/>
              <w:rPr>
                <w:sz w:val="14"/>
              </w:rPr>
            </w:pPr>
            <w:r>
              <w:rPr>
                <w:sz w:val="14"/>
              </w:rPr>
              <w:t>310</w:t>
            </w:r>
          </w:p>
        </w:tc>
        <w:tc>
          <w:tcPr>
            <w:tcW w:w="5468" w:type="dxa"/>
          </w:tcPr>
          <w:p>
            <w:pPr>
              <w:pStyle w:val="TableParagraph"/>
              <w:spacing w:line="147" w:lineRule="exact" w:before="85"/>
              <w:ind w:left="96"/>
              <w:rPr>
                <w:sz w:val="14"/>
              </w:rPr>
            </w:pPr>
            <w:r>
              <w:rPr>
                <w:sz w:val="14"/>
              </w:rPr>
              <w:t>Ministry of Youth Affairs</w:t>
            </w:r>
          </w:p>
        </w:tc>
        <w:tc>
          <w:tcPr>
            <w:tcW w:w="1961" w:type="dxa"/>
          </w:tcPr>
          <w:p>
            <w:pPr>
              <w:pStyle w:val="TableParagraph"/>
              <w:spacing w:line="147" w:lineRule="exact" w:before="85"/>
              <w:ind w:right="527"/>
              <w:jc w:val="right"/>
              <w:rPr>
                <w:b/>
                <w:sz w:val="14"/>
              </w:rPr>
            </w:pPr>
            <w:r>
              <w:rPr>
                <w:b/>
                <w:sz w:val="14"/>
              </w:rPr>
              <w:t>5,489.3</w:t>
            </w:r>
          </w:p>
        </w:tc>
        <w:tc>
          <w:tcPr>
            <w:tcW w:w="1487" w:type="dxa"/>
          </w:tcPr>
          <w:p>
            <w:pPr>
              <w:pStyle w:val="TableParagraph"/>
              <w:spacing w:line="147" w:lineRule="exact" w:before="85"/>
              <w:ind w:left="495"/>
              <w:rPr>
                <w:sz w:val="14"/>
              </w:rPr>
            </w:pPr>
            <w:r>
              <w:rPr>
                <w:sz w:val="14"/>
              </w:rPr>
              <w:t>0 . 3 %</w:t>
            </w:r>
          </w:p>
        </w:tc>
        <w:tc>
          <w:tcPr>
            <w:tcW w:w="1575" w:type="dxa"/>
          </w:tcPr>
          <w:p>
            <w:pPr>
              <w:pStyle w:val="TableParagraph"/>
              <w:spacing w:line="147" w:lineRule="exact" w:before="85"/>
              <w:ind w:left="343"/>
              <w:rPr>
                <w:sz w:val="14"/>
              </w:rPr>
            </w:pPr>
            <w:r>
              <w:rPr>
                <w:sz w:val="14"/>
              </w:rPr>
              <w:t>20,776.2</w:t>
            </w:r>
          </w:p>
        </w:tc>
        <w:tc>
          <w:tcPr>
            <w:tcW w:w="1339" w:type="dxa"/>
          </w:tcPr>
          <w:p>
            <w:pPr>
              <w:pStyle w:val="TableParagraph"/>
              <w:spacing w:line="147" w:lineRule="exact" w:before="85"/>
              <w:ind w:left="438"/>
              <w:rPr>
                <w:sz w:val="14"/>
              </w:rPr>
            </w:pPr>
            <w:r>
              <w:rPr>
                <w:sz w:val="14"/>
              </w:rPr>
              <w:t>1 . 0 %</w:t>
            </w:r>
          </w:p>
        </w:tc>
        <w:tc>
          <w:tcPr>
            <w:tcW w:w="1239" w:type="dxa"/>
          </w:tcPr>
          <w:p>
            <w:pPr>
              <w:pStyle w:val="TableParagraph"/>
              <w:spacing w:line="147" w:lineRule="exact" w:before="85"/>
              <w:ind w:left="203"/>
              <w:rPr>
                <w:sz w:val="14"/>
              </w:rPr>
            </w:pPr>
            <w:r>
              <w:rPr>
                <w:sz w:val="14"/>
              </w:rPr>
              <w:t>22,020.7</w:t>
            </w:r>
          </w:p>
        </w:tc>
        <w:tc>
          <w:tcPr>
            <w:tcW w:w="1247" w:type="dxa"/>
          </w:tcPr>
          <w:p>
            <w:pPr>
              <w:pStyle w:val="TableParagraph"/>
              <w:spacing w:line="147" w:lineRule="exact" w:before="85"/>
              <w:ind w:left="416" w:right="354"/>
              <w:jc w:val="center"/>
              <w:rPr>
                <w:sz w:val="14"/>
              </w:rPr>
            </w:pPr>
            <w:r>
              <w:rPr>
                <w:sz w:val="14"/>
              </w:rPr>
              <w:t>1 . 1 %</w:t>
            </w:r>
          </w:p>
        </w:tc>
      </w:tr>
      <w:tr>
        <w:trPr>
          <w:trHeight w:val="168"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Administrative and Operating Costs</w:t>
            </w:r>
          </w:p>
        </w:tc>
        <w:tc>
          <w:tcPr>
            <w:tcW w:w="1961" w:type="dxa"/>
          </w:tcPr>
          <w:p>
            <w:pPr>
              <w:pStyle w:val="TableParagraph"/>
              <w:spacing w:line="147" w:lineRule="exact" w:before="1"/>
              <w:ind w:right="527"/>
              <w:jc w:val="right"/>
              <w:rPr>
                <w:b/>
                <w:sz w:val="14"/>
              </w:rPr>
            </w:pPr>
            <w:r>
              <w:rPr>
                <w:b/>
                <w:sz w:val="14"/>
              </w:rPr>
              <w:t>1,826.0</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left="429"/>
              <w:rPr>
                <w:sz w:val="14"/>
              </w:rPr>
            </w:pPr>
            <w:r>
              <w:rPr>
                <w:sz w:val="14"/>
              </w:rPr>
              <w:t>6,510 .2</w:t>
            </w:r>
          </w:p>
        </w:tc>
        <w:tc>
          <w:tcPr>
            <w:tcW w:w="1339" w:type="dxa"/>
          </w:tcPr>
          <w:p>
            <w:pPr>
              <w:pStyle w:val="TableParagraph"/>
              <w:spacing w:line="147" w:lineRule="exact" w:before="1"/>
              <w:ind w:left="438"/>
              <w:rPr>
                <w:sz w:val="14"/>
              </w:rPr>
            </w:pPr>
            <w:r>
              <w:rPr>
                <w:sz w:val="14"/>
              </w:rPr>
              <w:t>0 . 3 %</w:t>
            </w:r>
          </w:p>
        </w:tc>
        <w:tc>
          <w:tcPr>
            <w:tcW w:w="1239" w:type="dxa"/>
          </w:tcPr>
          <w:p>
            <w:pPr>
              <w:pStyle w:val="TableParagraph"/>
              <w:spacing w:line="147" w:lineRule="exact" w:before="1"/>
              <w:ind w:left="294"/>
              <w:rPr>
                <w:sz w:val="14"/>
              </w:rPr>
            </w:pPr>
            <w:r>
              <w:rPr>
                <w:sz w:val="14"/>
              </w:rPr>
              <w:t>6,900 .2</w:t>
            </w:r>
          </w:p>
        </w:tc>
        <w:tc>
          <w:tcPr>
            <w:tcW w:w="1247" w:type="dxa"/>
          </w:tcPr>
          <w:p>
            <w:pPr>
              <w:pStyle w:val="TableParagraph"/>
              <w:spacing w:line="147" w:lineRule="exact" w:before="1"/>
              <w:ind w:left="416" w:right="354"/>
              <w:jc w:val="center"/>
              <w:rPr>
                <w:sz w:val="14"/>
              </w:rPr>
            </w:pPr>
            <w:r>
              <w:rPr>
                <w:sz w:val="14"/>
              </w:rPr>
              <w:t>0 . 3 %</w:t>
            </w:r>
          </w:p>
        </w:tc>
      </w:tr>
      <w:tr>
        <w:trPr>
          <w:trHeight w:val="167" w:hRule="atLeast"/>
        </w:trPr>
        <w:tc>
          <w:tcPr>
            <w:tcW w:w="471" w:type="dxa"/>
          </w:tcPr>
          <w:p>
            <w:pPr>
              <w:pStyle w:val="TableParagraph"/>
              <w:rPr>
                <w:rFonts w:ascii="Times New Roman"/>
                <w:sz w:val="10"/>
              </w:rPr>
            </w:pPr>
          </w:p>
        </w:tc>
        <w:tc>
          <w:tcPr>
            <w:tcW w:w="5468" w:type="dxa"/>
          </w:tcPr>
          <w:p>
            <w:pPr>
              <w:pStyle w:val="TableParagraph"/>
              <w:spacing w:line="147" w:lineRule="exact" w:before="1"/>
              <w:ind w:left="263"/>
              <w:rPr>
                <w:sz w:val="14"/>
              </w:rPr>
            </w:pPr>
            <w:r>
              <w:rPr>
                <w:sz w:val="14"/>
              </w:rPr>
              <w:t>Coordination of Youth Policies and Programmes</w:t>
            </w:r>
          </w:p>
        </w:tc>
        <w:tc>
          <w:tcPr>
            <w:tcW w:w="1961" w:type="dxa"/>
          </w:tcPr>
          <w:p>
            <w:pPr>
              <w:pStyle w:val="TableParagraph"/>
              <w:spacing w:line="147" w:lineRule="exact" w:before="1"/>
              <w:ind w:right="510"/>
              <w:jc w:val="right"/>
              <w:rPr>
                <w:b/>
                <w:sz w:val="14"/>
              </w:rPr>
            </w:pPr>
            <w:r>
              <w:rPr>
                <w:b/>
                <w:sz w:val="14"/>
              </w:rPr>
              <w:t>587.0</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left="429"/>
              <w:rPr>
                <w:sz w:val="14"/>
              </w:rPr>
            </w:pPr>
            <w:r>
              <w:rPr>
                <w:sz w:val="14"/>
              </w:rPr>
              <w:t>5,723 .1</w:t>
            </w:r>
          </w:p>
        </w:tc>
        <w:tc>
          <w:tcPr>
            <w:tcW w:w="1339" w:type="dxa"/>
          </w:tcPr>
          <w:p>
            <w:pPr>
              <w:pStyle w:val="TableParagraph"/>
              <w:spacing w:line="147" w:lineRule="exact" w:before="1"/>
              <w:ind w:left="438"/>
              <w:rPr>
                <w:sz w:val="14"/>
              </w:rPr>
            </w:pPr>
            <w:r>
              <w:rPr>
                <w:sz w:val="14"/>
              </w:rPr>
              <w:t>0 . 3 %</w:t>
            </w:r>
          </w:p>
        </w:tc>
        <w:tc>
          <w:tcPr>
            <w:tcW w:w="1239" w:type="dxa"/>
          </w:tcPr>
          <w:p>
            <w:pPr>
              <w:pStyle w:val="TableParagraph"/>
              <w:spacing w:line="147" w:lineRule="exact" w:before="1"/>
              <w:ind w:left="294"/>
              <w:rPr>
                <w:sz w:val="14"/>
              </w:rPr>
            </w:pPr>
            <w:r>
              <w:rPr>
                <w:sz w:val="14"/>
              </w:rPr>
              <w:t>6,065 .9</w:t>
            </w:r>
          </w:p>
        </w:tc>
        <w:tc>
          <w:tcPr>
            <w:tcW w:w="1247" w:type="dxa"/>
          </w:tcPr>
          <w:p>
            <w:pPr>
              <w:pStyle w:val="TableParagraph"/>
              <w:spacing w:line="147" w:lineRule="exact" w:before="1"/>
              <w:ind w:left="416" w:right="354"/>
              <w:jc w:val="center"/>
              <w:rPr>
                <w:sz w:val="14"/>
              </w:rPr>
            </w:pPr>
            <w:r>
              <w:rPr>
                <w:sz w:val="14"/>
              </w:rPr>
              <w:t>0 . 3 %</w:t>
            </w:r>
          </w:p>
        </w:tc>
      </w:tr>
      <w:tr>
        <w:trPr>
          <w:trHeight w:val="196" w:hRule="atLeast"/>
        </w:trPr>
        <w:tc>
          <w:tcPr>
            <w:tcW w:w="471" w:type="dxa"/>
          </w:tcPr>
          <w:p>
            <w:pPr>
              <w:pStyle w:val="TableParagraph"/>
              <w:rPr>
                <w:rFonts w:ascii="Times New Roman"/>
                <w:sz w:val="12"/>
              </w:rPr>
            </w:pPr>
          </w:p>
        </w:tc>
        <w:tc>
          <w:tcPr>
            <w:tcW w:w="5468" w:type="dxa"/>
          </w:tcPr>
          <w:p>
            <w:pPr>
              <w:pStyle w:val="TableParagraph"/>
              <w:spacing w:before="1"/>
              <w:ind w:left="263"/>
              <w:rPr>
                <w:sz w:val="14"/>
              </w:rPr>
            </w:pPr>
            <w:r>
              <w:rPr>
                <w:sz w:val="14"/>
              </w:rPr>
              <w:t>National Youth Commission</w:t>
            </w:r>
          </w:p>
        </w:tc>
        <w:tc>
          <w:tcPr>
            <w:tcW w:w="1961" w:type="dxa"/>
          </w:tcPr>
          <w:p>
            <w:pPr>
              <w:pStyle w:val="TableParagraph"/>
              <w:spacing w:before="1"/>
              <w:ind w:right="527"/>
              <w:jc w:val="right"/>
              <w:rPr>
                <w:b/>
                <w:sz w:val="14"/>
              </w:rPr>
            </w:pPr>
            <w:r>
              <w:rPr>
                <w:b/>
                <w:sz w:val="14"/>
              </w:rPr>
              <w:t>3,076.3</w:t>
            </w:r>
          </w:p>
        </w:tc>
        <w:tc>
          <w:tcPr>
            <w:tcW w:w="1487" w:type="dxa"/>
          </w:tcPr>
          <w:p>
            <w:pPr>
              <w:pStyle w:val="TableParagraph"/>
              <w:spacing w:before="1"/>
              <w:ind w:left="495"/>
              <w:rPr>
                <w:sz w:val="14"/>
              </w:rPr>
            </w:pPr>
            <w:r>
              <w:rPr>
                <w:sz w:val="14"/>
              </w:rPr>
              <w:t>0 . 1 %</w:t>
            </w:r>
          </w:p>
        </w:tc>
        <w:tc>
          <w:tcPr>
            <w:tcW w:w="1575" w:type="dxa"/>
          </w:tcPr>
          <w:p>
            <w:pPr>
              <w:pStyle w:val="TableParagraph"/>
              <w:spacing w:before="1"/>
              <w:ind w:left="429"/>
              <w:rPr>
                <w:sz w:val="14"/>
              </w:rPr>
            </w:pPr>
            <w:r>
              <w:rPr>
                <w:sz w:val="14"/>
              </w:rPr>
              <w:t>8,543 .0</w:t>
            </w:r>
          </w:p>
        </w:tc>
        <w:tc>
          <w:tcPr>
            <w:tcW w:w="1339" w:type="dxa"/>
          </w:tcPr>
          <w:p>
            <w:pPr>
              <w:pStyle w:val="TableParagraph"/>
              <w:spacing w:before="1"/>
              <w:ind w:left="438"/>
              <w:rPr>
                <w:sz w:val="14"/>
              </w:rPr>
            </w:pPr>
            <w:r>
              <w:rPr>
                <w:sz w:val="14"/>
              </w:rPr>
              <w:t>0 . 4 %</w:t>
            </w:r>
          </w:p>
        </w:tc>
        <w:tc>
          <w:tcPr>
            <w:tcW w:w="1239" w:type="dxa"/>
          </w:tcPr>
          <w:p>
            <w:pPr>
              <w:pStyle w:val="TableParagraph"/>
              <w:spacing w:before="1"/>
              <w:ind w:left="294"/>
              <w:rPr>
                <w:sz w:val="14"/>
              </w:rPr>
            </w:pPr>
            <w:r>
              <w:rPr>
                <w:sz w:val="14"/>
              </w:rPr>
              <w:t>9,054 .7</w:t>
            </w:r>
          </w:p>
        </w:tc>
        <w:tc>
          <w:tcPr>
            <w:tcW w:w="1247" w:type="dxa"/>
          </w:tcPr>
          <w:p>
            <w:pPr>
              <w:pStyle w:val="TableParagraph"/>
              <w:spacing w:before="1"/>
              <w:ind w:left="416" w:right="354"/>
              <w:jc w:val="center"/>
              <w:rPr>
                <w:sz w:val="14"/>
              </w:rPr>
            </w:pPr>
            <w:r>
              <w:rPr>
                <w:sz w:val="14"/>
              </w:rPr>
              <w:t>0 . 4 %</w:t>
            </w:r>
          </w:p>
        </w:tc>
      </w:tr>
    </w:tbl>
    <w:p>
      <w:pPr>
        <w:spacing w:after="0"/>
        <w:jc w:val="center"/>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89.230011pt;width:14.35pt;height:13.3pt;mso-position-horizontal-relative:page;mso-position-vertical-relative:page;z-index:1336" type="#_x0000_t202" filled="false" stroked="false">
            <v:textbox inset="0,0,0,0" style="layout-flow:vertical">
              <w:txbxContent>
                <w:p>
                  <w:pPr>
                    <w:spacing w:before="13"/>
                    <w:ind w:left="20" w:right="0" w:firstLine="0"/>
                    <w:jc w:val="left"/>
                    <w:rPr>
                      <w:rFonts w:ascii="Arial"/>
                      <w:sz w:val="22"/>
                    </w:rPr>
                  </w:pPr>
                  <w:r>
                    <w:rPr>
                      <w:rFonts w:ascii="Arial"/>
                      <w:sz w:val="22"/>
                    </w:rPr>
                    <w:t>xii</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595"/>
        <w:gridCol w:w="1834"/>
        <w:gridCol w:w="1487"/>
        <w:gridCol w:w="1575"/>
        <w:gridCol w:w="1339"/>
        <w:gridCol w:w="1239"/>
        <w:gridCol w:w="1247"/>
      </w:tblGrid>
      <w:tr>
        <w:trPr>
          <w:trHeight w:val="568" w:hRule="atLeast"/>
        </w:trPr>
        <w:tc>
          <w:tcPr>
            <w:tcW w:w="471" w:type="dxa"/>
            <w:tcBorders>
              <w:bottom w:val="single" w:sz="4" w:space="0" w:color="000000"/>
            </w:tcBorders>
          </w:tcPr>
          <w:p>
            <w:pPr>
              <w:pStyle w:val="TableParagraph"/>
              <w:rPr>
                <w:rFonts w:ascii="Times New Roman"/>
                <w:sz w:val="14"/>
              </w:rPr>
            </w:pPr>
          </w:p>
        </w:tc>
        <w:tc>
          <w:tcPr>
            <w:tcW w:w="5595" w:type="dxa"/>
            <w:tcBorders>
              <w:bottom w:val="single" w:sz="4" w:space="0" w:color="000000"/>
            </w:tcBorders>
          </w:tcPr>
          <w:p>
            <w:pPr>
              <w:pStyle w:val="TableParagraph"/>
              <w:rPr>
                <w:rFonts w:ascii="Times New Roman"/>
                <w:sz w:val="14"/>
              </w:rPr>
            </w:pPr>
          </w:p>
        </w:tc>
        <w:tc>
          <w:tcPr>
            <w:tcW w:w="1834" w:type="dxa"/>
            <w:tcBorders>
              <w:bottom w:val="single" w:sz="4" w:space="0" w:color="000000"/>
            </w:tcBorders>
          </w:tcPr>
          <w:p>
            <w:pPr>
              <w:pStyle w:val="TableParagraph"/>
              <w:spacing w:before="29"/>
              <w:ind w:left="826" w:right="360"/>
              <w:jc w:val="center"/>
              <w:rPr>
                <w:b/>
                <w:sz w:val="14"/>
              </w:rPr>
            </w:pPr>
            <w:r>
              <w:rPr>
                <w:b/>
                <w:spacing w:val="2"/>
                <w:sz w:val="14"/>
              </w:rPr>
              <w:t>FY</w:t>
            </w:r>
            <w:r>
              <w:rPr>
                <w:b/>
                <w:spacing w:val="6"/>
                <w:sz w:val="14"/>
              </w:rPr>
              <w:t> </w:t>
            </w:r>
            <w:r>
              <w:rPr>
                <w:b/>
                <w:spacing w:val="4"/>
                <w:sz w:val="14"/>
              </w:rPr>
              <w:t>2020</w:t>
            </w:r>
          </w:p>
          <w:p>
            <w:pPr>
              <w:pStyle w:val="TableParagraph"/>
              <w:spacing w:before="17"/>
              <w:ind w:left="852" w:right="262"/>
              <w:jc w:val="center"/>
              <w:rPr>
                <w:b/>
                <w:sz w:val="14"/>
              </w:rPr>
            </w:pPr>
            <w:r>
              <w:rPr>
                <w:b/>
                <w:sz w:val="14"/>
              </w:rPr>
              <w:t>Budget</w:t>
            </w:r>
          </w:p>
        </w:tc>
        <w:tc>
          <w:tcPr>
            <w:tcW w:w="1487" w:type="dxa"/>
            <w:tcBorders>
              <w:bottom w:val="single" w:sz="4" w:space="0" w:color="000000"/>
            </w:tcBorders>
          </w:tcPr>
          <w:p>
            <w:pPr>
              <w:pStyle w:val="TableParagraph"/>
              <w:spacing w:line="264" w:lineRule="auto" w:before="29"/>
              <w:ind w:left="389" w:right="140" w:firstLine="91"/>
              <w:rPr>
                <w:sz w:val="14"/>
              </w:rPr>
            </w:pPr>
            <w:r>
              <w:rPr>
                <w:sz w:val="14"/>
              </w:rPr>
              <w:t>% of Total Non Int/ Sal</w:t>
            </w:r>
          </w:p>
        </w:tc>
        <w:tc>
          <w:tcPr>
            <w:tcW w:w="1575" w:type="dxa"/>
            <w:tcBorders>
              <w:bottom w:val="single" w:sz="4" w:space="0" w:color="000000"/>
            </w:tcBorders>
          </w:tcPr>
          <w:p>
            <w:pPr>
              <w:pStyle w:val="TableParagraph"/>
              <w:spacing w:before="29"/>
              <w:ind w:left="626"/>
              <w:rPr>
                <w:sz w:val="14"/>
              </w:rPr>
            </w:pPr>
            <w:r>
              <w:rPr>
                <w:sz w:val="14"/>
              </w:rPr>
              <w:t>FY</w:t>
            </w:r>
            <w:r>
              <w:rPr>
                <w:spacing w:val="17"/>
                <w:sz w:val="14"/>
              </w:rPr>
              <w:t> </w:t>
            </w:r>
            <w:r>
              <w:rPr>
                <w:spacing w:val="4"/>
                <w:sz w:val="14"/>
              </w:rPr>
              <w:t>2021</w:t>
            </w:r>
          </w:p>
          <w:p>
            <w:pPr>
              <w:pStyle w:val="TableParagraph"/>
              <w:spacing w:before="17"/>
              <w:ind w:left="554"/>
              <w:rPr>
                <w:sz w:val="14"/>
              </w:rPr>
            </w:pPr>
            <w:r>
              <w:rPr>
                <w:spacing w:val="3"/>
                <w:sz w:val="14"/>
              </w:rPr>
              <w:t>Indicative</w:t>
            </w:r>
          </w:p>
        </w:tc>
        <w:tc>
          <w:tcPr>
            <w:tcW w:w="1339" w:type="dxa"/>
            <w:tcBorders>
              <w:bottom w:val="single" w:sz="4" w:space="0" w:color="000000"/>
            </w:tcBorders>
          </w:tcPr>
          <w:p>
            <w:pPr>
              <w:pStyle w:val="TableParagraph"/>
              <w:spacing w:line="249" w:lineRule="auto" w:before="29"/>
              <w:ind w:left="390" w:right="192" w:firstLine="86"/>
              <w:jc w:val="both"/>
              <w:rPr>
                <w:sz w:val="14"/>
              </w:rPr>
            </w:pPr>
            <w:r>
              <w:rPr>
                <w:sz w:val="14"/>
              </w:rPr>
              <w:t>% of Total Non Int/ Sal Recurr Exp</w:t>
            </w:r>
          </w:p>
        </w:tc>
        <w:tc>
          <w:tcPr>
            <w:tcW w:w="1239" w:type="dxa"/>
            <w:tcBorders>
              <w:bottom w:val="single" w:sz="4" w:space="0" w:color="000000"/>
            </w:tcBorders>
          </w:tcPr>
          <w:p>
            <w:pPr>
              <w:pStyle w:val="TableParagraph"/>
              <w:spacing w:before="29"/>
              <w:ind w:left="491"/>
              <w:rPr>
                <w:sz w:val="14"/>
              </w:rPr>
            </w:pPr>
            <w:r>
              <w:rPr>
                <w:sz w:val="14"/>
              </w:rPr>
              <w:t>FY</w:t>
            </w:r>
            <w:r>
              <w:rPr>
                <w:spacing w:val="17"/>
                <w:sz w:val="14"/>
              </w:rPr>
              <w:t> </w:t>
            </w:r>
            <w:r>
              <w:rPr>
                <w:spacing w:val="4"/>
                <w:sz w:val="14"/>
              </w:rPr>
              <w:t>2022</w:t>
            </w:r>
          </w:p>
          <w:p>
            <w:pPr>
              <w:pStyle w:val="TableParagraph"/>
              <w:spacing w:before="17"/>
              <w:ind w:left="419"/>
              <w:rPr>
                <w:sz w:val="14"/>
              </w:rPr>
            </w:pPr>
            <w:r>
              <w:rPr>
                <w:spacing w:val="3"/>
                <w:sz w:val="14"/>
              </w:rPr>
              <w:t>Indicative</w:t>
            </w:r>
          </w:p>
        </w:tc>
        <w:tc>
          <w:tcPr>
            <w:tcW w:w="1247" w:type="dxa"/>
            <w:tcBorders>
              <w:bottom w:val="single" w:sz="4" w:space="0" w:color="000000"/>
            </w:tcBorders>
          </w:tcPr>
          <w:p>
            <w:pPr>
              <w:pStyle w:val="TableParagraph"/>
              <w:spacing w:line="249" w:lineRule="auto" w:before="29"/>
              <w:ind w:left="192" w:right="297" w:firstLine="86"/>
              <w:jc w:val="both"/>
              <w:rPr>
                <w:sz w:val="14"/>
              </w:rPr>
            </w:pPr>
            <w:r>
              <w:rPr>
                <w:sz w:val="14"/>
              </w:rPr>
              <w:t>% of Total Non Int/ Sal Recurr Exp</w:t>
            </w:r>
          </w:p>
        </w:tc>
      </w:tr>
      <w:tr>
        <w:trPr>
          <w:trHeight w:val="321" w:hRule="atLeast"/>
        </w:trPr>
        <w:tc>
          <w:tcPr>
            <w:tcW w:w="471" w:type="dxa"/>
            <w:tcBorders>
              <w:top w:val="single" w:sz="4" w:space="0" w:color="000000"/>
            </w:tcBorders>
          </w:tcPr>
          <w:p>
            <w:pPr>
              <w:pStyle w:val="TableParagraph"/>
              <w:spacing w:before="103"/>
              <w:ind w:left="125"/>
              <w:rPr>
                <w:sz w:val="14"/>
              </w:rPr>
            </w:pPr>
            <w:r>
              <w:rPr>
                <w:sz w:val="14"/>
              </w:rPr>
              <w:t>311</w:t>
            </w:r>
          </w:p>
        </w:tc>
        <w:tc>
          <w:tcPr>
            <w:tcW w:w="5595" w:type="dxa"/>
            <w:tcBorders>
              <w:top w:val="single" w:sz="4" w:space="0" w:color="000000"/>
            </w:tcBorders>
          </w:tcPr>
          <w:p>
            <w:pPr>
              <w:pStyle w:val="TableParagraph"/>
              <w:spacing w:before="103"/>
              <w:ind w:left="96"/>
              <w:rPr>
                <w:sz w:val="14"/>
              </w:rPr>
            </w:pPr>
            <w:r>
              <w:rPr>
                <w:sz w:val="14"/>
              </w:rPr>
              <w:t>Health Service Commission</w:t>
            </w:r>
          </w:p>
        </w:tc>
        <w:tc>
          <w:tcPr>
            <w:tcW w:w="1834" w:type="dxa"/>
            <w:tcBorders>
              <w:top w:val="single" w:sz="4" w:space="0" w:color="000000"/>
            </w:tcBorders>
          </w:tcPr>
          <w:p>
            <w:pPr>
              <w:pStyle w:val="TableParagraph"/>
              <w:spacing w:before="103"/>
              <w:ind w:right="527"/>
              <w:jc w:val="right"/>
              <w:rPr>
                <w:b/>
                <w:sz w:val="14"/>
              </w:rPr>
            </w:pPr>
            <w:r>
              <w:rPr>
                <w:b/>
                <w:sz w:val="14"/>
              </w:rPr>
              <w:t>1,034.0</w:t>
            </w:r>
          </w:p>
        </w:tc>
        <w:tc>
          <w:tcPr>
            <w:tcW w:w="1487" w:type="dxa"/>
            <w:tcBorders>
              <w:top w:val="single" w:sz="4" w:space="0" w:color="000000"/>
            </w:tcBorders>
          </w:tcPr>
          <w:p>
            <w:pPr>
              <w:pStyle w:val="TableParagraph"/>
              <w:spacing w:before="103"/>
              <w:ind w:left="495"/>
              <w:rPr>
                <w:sz w:val="14"/>
              </w:rPr>
            </w:pPr>
            <w:r>
              <w:rPr>
                <w:sz w:val="14"/>
              </w:rPr>
              <w:t>0 . 0 %</w:t>
            </w:r>
          </w:p>
        </w:tc>
        <w:tc>
          <w:tcPr>
            <w:tcW w:w="1575" w:type="dxa"/>
            <w:tcBorders>
              <w:top w:val="single" w:sz="4" w:space="0" w:color="000000"/>
            </w:tcBorders>
          </w:tcPr>
          <w:p>
            <w:pPr>
              <w:pStyle w:val="TableParagraph"/>
              <w:spacing w:before="103"/>
              <w:ind w:right="623"/>
              <w:jc w:val="right"/>
              <w:rPr>
                <w:sz w:val="14"/>
              </w:rPr>
            </w:pPr>
            <w:r>
              <w:rPr>
                <w:sz w:val="14"/>
              </w:rPr>
              <w:t>10,904.1</w:t>
            </w:r>
          </w:p>
        </w:tc>
        <w:tc>
          <w:tcPr>
            <w:tcW w:w="1339" w:type="dxa"/>
            <w:tcBorders>
              <w:top w:val="single" w:sz="4" w:space="0" w:color="000000"/>
            </w:tcBorders>
          </w:tcPr>
          <w:p>
            <w:pPr>
              <w:pStyle w:val="TableParagraph"/>
              <w:spacing w:before="103"/>
              <w:ind w:left="438"/>
              <w:rPr>
                <w:sz w:val="14"/>
              </w:rPr>
            </w:pPr>
            <w:r>
              <w:rPr>
                <w:sz w:val="14"/>
              </w:rPr>
              <w:t>0 . 5 %</w:t>
            </w:r>
          </w:p>
        </w:tc>
        <w:tc>
          <w:tcPr>
            <w:tcW w:w="1239" w:type="dxa"/>
            <w:tcBorders>
              <w:top w:val="single" w:sz="4" w:space="0" w:color="000000"/>
            </w:tcBorders>
          </w:tcPr>
          <w:p>
            <w:pPr>
              <w:pStyle w:val="TableParagraph"/>
              <w:spacing w:before="103"/>
              <w:ind w:right="427"/>
              <w:jc w:val="right"/>
              <w:rPr>
                <w:sz w:val="14"/>
              </w:rPr>
            </w:pPr>
            <w:r>
              <w:rPr>
                <w:sz w:val="14"/>
              </w:rPr>
              <w:t>11,557.3</w:t>
            </w:r>
          </w:p>
        </w:tc>
        <w:tc>
          <w:tcPr>
            <w:tcW w:w="1247" w:type="dxa"/>
            <w:tcBorders>
              <w:top w:val="single" w:sz="4" w:space="0" w:color="000000"/>
            </w:tcBorders>
          </w:tcPr>
          <w:p>
            <w:pPr>
              <w:pStyle w:val="TableParagraph"/>
              <w:spacing w:before="103"/>
              <w:ind w:left="416" w:right="354"/>
              <w:jc w:val="center"/>
              <w:rPr>
                <w:sz w:val="14"/>
              </w:rPr>
            </w:pPr>
            <w:r>
              <w:rPr>
                <w:sz w:val="14"/>
              </w:rPr>
              <w:t>0 . 6 %</w:t>
            </w:r>
          </w:p>
        </w:tc>
      </w:tr>
      <w:tr>
        <w:trPr>
          <w:trHeight w:val="268" w:hRule="atLeast"/>
        </w:trPr>
        <w:tc>
          <w:tcPr>
            <w:tcW w:w="471" w:type="dxa"/>
          </w:tcPr>
          <w:p>
            <w:pPr>
              <w:pStyle w:val="TableParagraph"/>
              <w:spacing w:before="51"/>
              <w:ind w:left="125"/>
              <w:rPr>
                <w:sz w:val="14"/>
              </w:rPr>
            </w:pPr>
            <w:r>
              <w:rPr>
                <w:sz w:val="14"/>
              </w:rPr>
              <w:t>312</w:t>
            </w:r>
          </w:p>
        </w:tc>
        <w:tc>
          <w:tcPr>
            <w:tcW w:w="5595" w:type="dxa"/>
          </w:tcPr>
          <w:p>
            <w:pPr>
              <w:pStyle w:val="TableParagraph"/>
              <w:spacing w:before="51"/>
              <w:ind w:left="95"/>
              <w:rPr>
                <w:sz w:val="14"/>
              </w:rPr>
            </w:pPr>
            <w:r>
              <w:rPr>
                <w:sz w:val="14"/>
              </w:rPr>
              <w:t>Teaching Service Commission</w:t>
            </w:r>
          </w:p>
        </w:tc>
        <w:tc>
          <w:tcPr>
            <w:tcW w:w="1834" w:type="dxa"/>
          </w:tcPr>
          <w:p>
            <w:pPr>
              <w:pStyle w:val="TableParagraph"/>
              <w:spacing w:before="51"/>
              <w:ind w:right="527"/>
              <w:jc w:val="right"/>
              <w:rPr>
                <w:b/>
                <w:sz w:val="14"/>
              </w:rPr>
            </w:pPr>
            <w:r>
              <w:rPr>
                <w:b/>
                <w:sz w:val="14"/>
              </w:rPr>
              <w:t>2,287.4</w:t>
            </w:r>
          </w:p>
        </w:tc>
        <w:tc>
          <w:tcPr>
            <w:tcW w:w="1487" w:type="dxa"/>
          </w:tcPr>
          <w:p>
            <w:pPr>
              <w:pStyle w:val="TableParagraph"/>
              <w:spacing w:before="51"/>
              <w:ind w:left="495"/>
              <w:rPr>
                <w:sz w:val="14"/>
              </w:rPr>
            </w:pPr>
            <w:r>
              <w:rPr>
                <w:sz w:val="14"/>
              </w:rPr>
              <w:t>0 . 1 %</w:t>
            </w:r>
          </w:p>
        </w:tc>
        <w:tc>
          <w:tcPr>
            <w:tcW w:w="1575" w:type="dxa"/>
          </w:tcPr>
          <w:p>
            <w:pPr>
              <w:pStyle w:val="TableParagraph"/>
              <w:spacing w:before="51"/>
              <w:ind w:right="623"/>
              <w:jc w:val="right"/>
              <w:rPr>
                <w:sz w:val="14"/>
              </w:rPr>
            </w:pPr>
            <w:r>
              <w:rPr>
                <w:sz w:val="14"/>
              </w:rPr>
              <w:t>12,817.6</w:t>
            </w:r>
          </w:p>
        </w:tc>
        <w:tc>
          <w:tcPr>
            <w:tcW w:w="1339" w:type="dxa"/>
          </w:tcPr>
          <w:p>
            <w:pPr>
              <w:pStyle w:val="TableParagraph"/>
              <w:spacing w:before="51"/>
              <w:ind w:left="438"/>
              <w:rPr>
                <w:sz w:val="14"/>
              </w:rPr>
            </w:pPr>
            <w:r>
              <w:rPr>
                <w:sz w:val="14"/>
              </w:rPr>
              <w:t>0 . 6 %</w:t>
            </w:r>
          </w:p>
        </w:tc>
        <w:tc>
          <w:tcPr>
            <w:tcW w:w="1239" w:type="dxa"/>
          </w:tcPr>
          <w:p>
            <w:pPr>
              <w:pStyle w:val="TableParagraph"/>
              <w:spacing w:before="51"/>
              <w:ind w:right="427"/>
              <w:jc w:val="right"/>
              <w:rPr>
                <w:sz w:val="14"/>
              </w:rPr>
            </w:pPr>
            <w:r>
              <w:rPr>
                <w:sz w:val="14"/>
              </w:rPr>
              <w:t>13,585.4</w:t>
            </w:r>
          </w:p>
        </w:tc>
        <w:tc>
          <w:tcPr>
            <w:tcW w:w="1247" w:type="dxa"/>
          </w:tcPr>
          <w:p>
            <w:pPr>
              <w:pStyle w:val="TableParagraph"/>
              <w:spacing w:before="51"/>
              <w:ind w:left="416" w:right="354"/>
              <w:jc w:val="center"/>
              <w:rPr>
                <w:sz w:val="14"/>
              </w:rPr>
            </w:pPr>
            <w:r>
              <w:rPr>
                <w:sz w:val="14"/>
              </w:rPr>
              <w:t>0 . 7 %</w:t>
            </w:r>
          </w:p>
        </w:tc>
      </w:tr>
      <w:tr>
        <w:trPr>
          <w:trHeight w:val="266" w:hRule="atLeast"/>
        </w:trPr>
        <w:tc>
          <w:tcPr>
            <w:tcW w:w="471" w:type="dxa"/>
          </w:tcPr>
          <w:p>
            <w:pPr>
              <w:pStyle w:val="TableParagraph"/>
              <w:spacing w:before="51"/>
              <w:ind w:left="125"/>
              <w:rPr>
                <w:sz w:val="14"/>
              </w:rPr>
            </w:pPr>
            <w:r>
              <w:rPr>
                <w:sz w:val="14"/>
              </w:rPr>
              <w:t>313</w:t>
            </w:r>
          </w:p>
        </w:tc>
        <w:tc>
          <w:tcPr>
            <w:tcW w:w="5595" w:type="dxa"/>
          </w:tcPr>
          <w:p>
            <w:pPr>
              <w:pStyle w:val="TableParagraph"/>
              <w:spacing w:before="51"/>
              <w:ind w:left="95"/>
              <w:rPr>
                <w:sz w:val="14"/>
              </w:rPr>
            </w:pPr>
            <w:r>
              <w:rPr>
                <w:sz w:val="14"/>
              </w:rPr>
              <w:t>National Youth Service</w:t>
            </w:r>
          </w:p>
        </w:tc>
        <w:tc>
          <w:tcPr>
            <w:tcW w:w="1834" w:type="dxa"/>
          </w:tcPr>
          <w:p>
            <w:pPr>
              <w:pStyle w:val="TableParagraph"/>
              <w:spacing w:before="51"/>
              <w:ind w:right="527"/>
              <w:jc w:val="right"/>
              <w:rPr>
                <w:b/>
                <w:sz w:val="14"/>
              </w:rPr>
            </w:pPr>
            <w:r>
              <w:rPr>
                <w:b/>
                <w:sz w:val="14"/>
              </w:rPr>
              <w:t>2,406.7</w:t>
            </w:r>
          </w:p>
        </w:tc>
        <w:tc>
          <w:tcPr>
            <w:tcW w:w="1487" w:type="dxa"/>
          </w:tcPr>
          <w:p>
            <w:pPr>
              <w:pStyle w:val="TableParagraph"/>
              <w:spacing w:before="51"/>
              <w:ind w:left="495"/>
              <w:rPr>
                <w:sz w:val="14"/>
              </w:rPr>
            </w:pPr>
            <w:r>
              <w:rPr>
                <w:sz w:val="14"/>
              </w:rPr>
              <w:t>0 . 1 %</w:t>
            </w:r>
          </w:p>
        </w:tc>
        <w:tc>
          <w:tcPr>
            <w:tcW w:w="1575" w:type="dxa"/>
          </w:tcPr>
          <w:p>
            <w:pPr>
              <w:pStyle w:val="TableParagraph"/>
              <w:spacing w:before="51"/>
              <w:ind w:right="619"/>
              <w:jc w:val="right"/>
              <w:rPr>
                <w:sz w:val="14"/>
              </w:rPr>
            </w:pPr>
            <w:r>
              <w:rPr>
                <w:sz w:val="14"/>
              </w:rPr>
              <w:t>2,964 .5</w:t>
            </w:r>
          </w:p>
        </w:tc>
        <w:tc>
          <w:tcPr>
            <w:tcW w:w="1339" w:type="dxa"/>
          </w:tcPr>
          <w:p>
            <w:pPr>
              <w:pStyle w:val="TableParagraph"/>
              <w:spacing w:before="51"/>
              <w:ind w:left="438"/>
              <w:rPr>
                <w:sz w:val="14"/>
              </w:rPr>
            </w:pPr>
            <w:r>
              <w:rPr>
                <w:sz w:val="14"/>
              </w:rPr>
              <w:t>0 . 1 %</w:t>
            </w:r>
          </w:p>
        </w:tc>
        <w:tc>
          <w:tcPr>
            <w:tcW w:w="1239" w:type="dxa"/>
          </w:tcPr>
          <w:p>
            <w:pPr>
              <w:pStyle w:val="TableParagraph"/>
              <w:spacing w:before="51"/>
              <w:ind w:right="418"/>
              <w:jc w:val="right"/>
              <w:rPr>
                <w:sz w:val="14"/>
              </w:rPr>
            </w:pPr>
            <w:r>
              <w:rPr>
                <w:sz w:val="14"/>
              </w:rPr>
              <w:t>3,142 .1</w:t>
            </w:r>
          </w:p>
        </w:tc>
        <w:tc>
          <w:tcPr>
            <w:tcW w:w="1247" w:type="dxa"/>
          </w:tcPr>
          <w:p>
            <w:pPr>
              <w:pStyle w:val="TableParagraph"/>
              <w:spacing w:before="51"/>
              <w:ind w:left="416" w:right="354"/>
              <w:jc w:val="center"/>
              <w:rPr>
                <w:sz w:val="14"/>
              </w:rPr>
            </w:pPr>
            <w:r>
              <w:rPr>
                <w:sz w:val="14"/>
              </w:rPr>
              <w:t>0 . 2 %</w:t>
            </w:r>
          </w:p>
        </w:tc>
      </w:tr>
      <w:tr>
        <w:trPr>
          <w:trHeight w:val="266" w:hRule="atLeast"/>
        </w:trPr>
        <w:tc>
          <w:tcPr>
            <w:tcW w:w="471" w:type="dxa"/>
          </w:tcPr>
          <w:p>
            <w:pPr>
              <w:pStyle w:val="TableParagraph"/>
              <w:spacing w:before="49"/>
              <w:ind w:left="125"/>
              <w:rPr>
                <w:sz w:val="14"/>
              </w:rPr>
            </w:pPr>
            <w:r>
              <w:rPr>
                <w:sz w:val="14"/>
              </w:rPr>
              <w:t>314</w:t>
            </w:r>
          </w:p>
        </w:tc>
        <w:tc>
          <w:tcPr>
            <w:tcW w:w="5595" w:type="dxa"/>
          </w:tcPr>
          <w:p>
            <w:pPr>
              <w:pStyle w:val="TableParagraph"/>
              <w:spacing w:before="49"/>
              <w:ind w:left="95"/>
              <w:rPr>
                <w:sz w:val="14"/>
              </w:rPr>
            </w:pPr>
            <w:r>
              <w:rPr>
                <w:sz w:val="14"/>
              </w:rPr>
              <w:t>National HIV and AIDS Commission</w:t>
            </w:r>
          </w:p>
        </w:tc>
        <w:tc>
          <w:tcPr>
            <w:tcW w:w="1834" w:type="dxa"/>
          </w:tcPr>
          <w:p>
            <w:pPr>
              <w:pStyle w:val="TableParagraph"/>
              <w:spacing w:before="49"/>
              <w:ind w:right="527"/>
              <w:jc w:val="right"/>
              <w:rPr>
                <w:b/>
                <w:sz w:val="14"/>
              </w:rPr>
            </w:pPr>
            <w:r>
              <w:rPr>
                <w:b/>
                <w:sz w:val="14"/>
              </w:rPr>
              <w:t>2,074.3</w:t>
            </w:r>
          </w:p>
        </w:tc>
        <w:tc>
          <w:tcPr>
            <w:tcW w:w="1487" w:type="dxa"/>
          </w:tcPr>
          <w:p>
            <w:pPr>
              <w:pStyle w:val="TableParagraph"/>
              <w:spacing w:before="49"/>
              <w:ind w:left="495"/>
              <w:rPr>
                <w:sz w:val="14"/>
              </w:rPr>
            </w:pPr>
            <w:r>
              <w:rPr>
                <w:sz w:val="14"/>
              </w:rPr>
              <w:t>0 . 1 %</w:t>
            </w:r>
          </w:p>
        </w:tc>
        <w:tc>
          <w:tcPr>
            <w:tcW w:w="1575" w:type="dxa"/>
          </w:tcPr>
          <w:p>
            <w:pPr>
              <w:pStyle w:val="TableParagraph"/>
              <w:spacing w:before="49"/>
              <w:ind w:right="619"/>
              <w:jc w:val="right"/>
              <w:rPr>
                <w:sz w:val="14"/>
              </w:rPr>
            </w:pPr>
            <w:r>
              <w:rPr>
                <w:sz w:val="14"/>
              </w:rPr>
              <w:t>7,308 .7</w:t>
            </w:r>
          </w:p>
        </w:tc>
        <w:tc>
          <w:tcPr>
            <w:tcW w:w="1339" w:type="dxa"/>
          </w:tcPr>
          <w:p>
            <w:pPr>
              <w:pStyle w:val="TableParagraph"/>
              <w:spacing w:before="49"/>
              <w:ind w:left="438"/>
              <w:rPr>
                <w:sz w:val="14"/>
              </w:rPr>
            </w:pPr>
            <w:r>
              <w:rPr>
                <w:sz w:val="14"/>
              </w:rPr>
              <w:t>0 . 4 %</w:t>
            </w:r>
          </w:p>
        </w:tc>
        <w:tc>
          <w:tcPr>
            <w:tcW w:w="1239" w:type="dxa"/>
          </w:tcPr>
          <w:p>
            <w:pPr>
              <w:pStyle w:val="TableParagraph"/>
              <w:spacing w:before="49"/>
              <w:ind w:right="418"/>
              <w:jc w:val="right"/>
              <w:rPr>
                <w:sz w:val="14"/>
              </w:rPr>
            </w:pPr>
            <w:r>
              <w:rPr>
                <w:sz w:val="14"/>
              </w:rPr>
              <w:t>7,746 .5</w:t>
            </w:r>
          </w:p>
        </w:tc>
        <w:tc>
          <w:tcPr>
            <w:tcW w:w="1247" w:type="dxa"/>
          </w:tcPr>
          <w:p>
            <w:pPr>
              <w:pStyle w:val="TableParagraph"/>
              <w:spacing w:before="49"/>
              <w:ind w:left="416" w:right="354"/>
              <w:jc w:val="center"/>
              <w:rPr>
                <w:sz w:val="14"/>
              </w:rPr>
            </w:pPr>
            <w:r>
              <w:rPr>
                <w:sz w:val="14"/>
              </w:rPr>
              <w:t>0 . 4 %</w:t>
            </w:r>
          </w:p>
        </w:tc>
      </w:tr>
      <w:tr>
        <w:trPr>
          <w:trHeight w:val="302" w:hRule="atLeast"/>
        </w:trPr>
        <w:tc>
          <w:tcPr>
            <w:tcW w:w="471" w:type="dxa"/>
          </w:tcPr>
          <w:p>
            <w:pPr>
              <w:pStyle w:val="TableParagraph"/>
              <w:spacing w:before="51"/>
              <w:ind w:left="125"/>
              <w:rPr>
                <w:sz w:val="14"/>
              </w:rPr>
            </w:pPr>
            <w:r>
              <w:rPr>
                <w:sz w:val="14"/>
              </w:rPr>
              <w:t>315</w:t>
            </w:r>
          </w:p>
        </w:tc>
        <w:tc>
          <w:tcPr>
            <w:tcW w:w="5595" w:type="dxa"/>
          </w:tcPr>
          <w:p>
            <w:pPr>
              <w:pStyle w:val="TableParagraph"/>
              <w:spacing w:before="51"/>
              <w:ind w:left="95"/>
              <w:rPr>
                <w:sz w:val="14"/>
              </w:rPr>
            </w:pPr>
            <w:r>
              <w:rPr>
                <w:sz w:val="14"/>
              </w:rPr>
              <w:t>Teaching Hospitals Complex Administration</w:t>
            </w:r>
          </w:p>
        </w:tc>
        <w:tc>
          <w:tcPr>
            <w:tcW w:w="1834" w:type="dxa"/>
          </w:tcPr>
          <w:p>
            <w:pPr>
              <w:pStyle w:val="TableParagraph"/>
              <w:spacing w:before="51"/>
              <w:ind w:right="527"/>
              <w:jc w:val="right"/>
              <w:rPr>
                <w:b/>
                <w:sz w:val="14"/>
              </w:rPr>
            </w:pPr>
            <w:r>
              <w:rPr>
                <w:b/>
                <w:sz w:val="14"/>
              </w:rPr>
              <w:t>1,648.7</w:t>
            </w:r>
          </w:p>
        </w:tc>
        <w:tc>
          <w:tcPr>
            <w:tcW w:w="1487" w:type="dxa"/>
          </w:tcPr>
          <w:p>
            <w:pPr>
              <w:pStyle w:val="TableParagraph"/>
              <w:spacing w:before="51"/>
              <w:ind w:left="495"/>
              <w:rPr>
                <w:sz w:val="14"/>
              </w:rPr>
            </w:pPr>
            <w:r>
              <w:rPr>
                <w:sz w:val="14"/>
              </w:rPr>
              <w:t>0 . 1 %</w:t>
            </w:r>
          </w:p>
        </w:tc>
        <w:tc>
          <w:tcPr>
            <w:tcW w:w="1575" w:type="dxa"/>
          </w:tcPr>
          <w:p>
            <w:pPr>
              <w:pStyle w:val="TableParagraph"/>
              <w:spacing w:before="51"/>
              <w:ind w:right="619"/>
              <w:jc w:val="right"/>
              <w:rPr>
                <w:sz w:val="14"/>
              </w:rPr>
            </w:pPr>
            <w:r>
              <w:rPr>
                <w:sz w:val="14"/>
              </w:rPr>
              <w:t>7,030 .8</w:t>
            </w:r>
          </w:p>
        </w:tc>
        <w:tc>
          <w:tcPr>
            <w:tcW w:w="1339" w:type="dxa"/>
          </w:tcPr>
          <w:p>
            <w:pPr>
              <w:pStyle w:val="TableParagraph"/>
              <w:spacing w:before="51"/>
              <w:ind w:left="438"/>
              <w:rPr>
                <w:sz w:val="14"/>
              </w:rPr>
            </w:pPr>
            <w:r>
              <w:rPr>
                <w:sz w:val="14"/>
              </w:rPr>
              <w:t>0 . 3 %</w:t>
            </w:r>
          </w:p>
        </w:tc>
        <w:tc>
          <w:tcPr>
            <w:tcW w:w="1239" w:type="dxa"/>
          </w:tcPr>
          <w:p>
            <w:pPr>
              <w:pStyle w:val="TableParagraph"/>
              <w:spacing w:before="51"/>
              <w:ind w:right="418"/>
              <w:jc w:val="right"/>
              <w:rPr>
                <w:sz w:val="14"/>
              </w:rPr>
            </w:pPr>
            <w:r>
              <w:rPr>
                <w:sz w:val="14"/>
              </w:rPr>
              <w:t>7,452 .0</w:t>
            </w:r>
          </w:p>
        </w:tc>
        <w:tc>
          <w:tcPr>
            <w:tcW w:w="1247" w:type="dxa"/>
          </w:tcPr>
          <w:p>
            <w:pPr>
              <w:pStyle w:val="TableParagraph"/>
              <w:spacing w:before="51"/>
              <w:ind w:left="416" w:right="354"/>
              <w:jc w:val="center"/>
              <w:rPr>
                <w:sz w:val="14"/>
              </w:rPr>
            </w:pPr>
            <w:r>
              <w:rPr>
                <w:sz w:val="14"/>
              </w:rPr>
              <w:t>0 . 4 %</w:t>
            </w:r>
          </w:p>
        </w:tc>
      </w:tr>
      <w:tr>
        <w:trPr>
          <w:trHeight w:val="336" w:hRule="atLeast"/>
        </w:trPr>
        <w:tc>
          <w:tcPr>
            <w:tcW w:w="471" w:type="dxa"/>
          </w:tcPr>
          <w:p>
            <w:pPr>
              <w:pStyle w:val="TableParagraph"/>
              <w:spacing w:before="85"/>
              <w:ind w:left="125"/>
              <w:rPr>
                <w:sz w:val="14"/>
              </w:rPr>
            </w:pPr>
            <w:r>
              <w:rPr>
                <w:sz w:val="14"/>
              </w:rPr>
              <w:t>316</w:t>
            </w:r>
          </w:p>
        </w:tc>
        <w:tc>
          <w:tcPr>
            <w:tcW w:w="5595" w:type="dxa"/>
          </w:tcPr>
          <w:p>
            <w:pPr>
              <w:pStyle w:val="TableParagraph"/>
              <w:spacing w:before="85"/>
              <w:ind w:left="95"/>
              <w:rPr>
                <w:sz w:val="14"/>
              </w:rPr>
            </w:pPr>
            <w:r>
              <w:rPr>
                <w:sz w:val="14"/>
              </w:rPr>
              <w:t>Civil Service Training College</w:t>
            </w:r>
          </w:p>
        </w:tc>
        <w:tc>
          <w:tcPr>
            <w:tcW w:w="1834" w:type="dxa"/>
          </w:tcPr>
          <w:p>
            <w:pPr>
              <w:pStyle w:val="TableParagraph"/>
              <w:spacing w:before="85"/>
              <w:ind w:right="510"/>
              <w:jc w:val="right"/>
              <w:rPr>
                <w:b/>
                <w:sz w:val="14"/>
              </w:rPr>
            </w:pPr>
            <w:r>
              <w:rPr>
                <w:b/>
                <w:sz w:val="14"/>
              </w:rPr>
              <w:t>588.3</w:t>
            </w:r>
          </w:p>
        </w:tc>
        <w:tc>
          <w:tcPr>
            <w:tcW w:w="1487" w:type="dxa"/>
          </w:tcPr>
          <w:p>
            <w:pPr>
              <w:pStyle w:val="TableParagraph"/>
              <w:spacing w:before="85"/>
              <w:ind w:left="495"/>
              <w:rPr>
                <w:sz w:val="14"/>
              </w:rPr>
            </w:pPr>
            <w:r>
              <w:rPr>
                <w:sz w:val="14"/>
              </w:rPr>
              <w:t>0 . 0 %</w:t>
            </w:r>
          </w:p>
        </w:tc>
        <w:tc>
          <w:tcPr>
            <w:tcW w:w="1575" w:type="dxa"/>
          </w:tcPr>
          <w:p>
            <w:pPr>
              <w:pStyle w:val="TableParagraph"/>
              <w:spacing w:before="85"/>
              <w:ind w:right="612"/>
              <w:jc w:val="right"/>
              <w:rPr>
                <w:sz w:val="14"/>
              </w:rPr>
            </w:pPr>
            <w:r>
              <w:rPr>
                <w:sz w:val="14"/>
              </w:rPr>
              <w:t>724.7</w:t>
            </w:r>
          </w:p>
        </w:tc>
        <w:tc>
          <w:tcPr>
            <w:tcW w:w="1339" w:type="dxa"/>
          </w:tcPr>
          <w:p>
            <w:pPr>
              <w:pStyle w:val="TableParagraph"/>
              <w:spacing w:before="85"/>
              <w:ind w:left="438"/>
              <w:rPr>
                <w:sz w:val="14"/>
              </w:rPr>
            </w:pPr>
            <w:r>
              <w:rPr>
                <w:sz w:val="14"/>
              </w:rPr>
              <w:t>0 . 0 %</w:t>
            </w:r>
          </w:p>
        </w:tc>
        <w:tc>
          <w:tcPr>
            <w:tcW w:w="1239" w:type="dxa"/>
          </w:tcPr>
          <w:p>
            <w:pPr>
              <w:pStyle w:val="TableParagraph"/>
              <w:spacing w:before="85"/>
              <w:ind w:right="415"/>
              <w:jc w:val="right"/>
              <w:rPr>
                <w:sz w:val="14"/>
              </w:rPr>
            </w:pPr>
            <w:r>
              <w:rPr>
                <w:sz w:val="14"/>
              </w:rPr>
              <w:t>768.1</w:t>
            </w:r>
          </w:p>
        </w:tc>
        <w:tc>
          <w:tcPr>
            <w:tcW w:w="1247" w:type="dxa"/>
          </w:tcPr>
          <w:p>
            <w:pPr>
              <w:pStyle w:val="TableParagraph"/>
              <w:spacing w:before="85"/>
              <w:ind w:left="416" w:right="354"/>
              <w:jc w:val="center"/>
              <w:rPr>
                <w:sz w:val="14"/>
              </w:rPr>
            </w:pPr>
            <w:r>
              <w:rPr>
                <w:sz w:val="14"/>
              </w:rPr>
              <w:t>0 . 0 %</w:t>
            </w:r>
          </w:p>
        </w:tc>
      </w:tr>
      <w:tr>
        <w:trPr>
          <w:trHeight w:val="335" w:hRule="atLeast"/>
        </w:trPr>
        <w:tc>
          <w:tcPr>
            <w:tcW w:w="471" w:type="dxa"/>
          </w:tcPr>
          <w:p>
            <w:pPr>
              <w:pStyle w:val="TableParagraph"/>
              <w:spacing w:before="85"/>
              <w:ind w:left="125"/>
              <w:rPr>
                <w:sz w:val="14"/>
              </w:rPr>
            </w:pPr>
            <w:r>
              <w:rPr>
                <w:sz w:val="14"/>
              </w:rPr>
              <w:t>317</w:t>
            </w:r>
          </w:p>
        </w:tc>
        <w:tc>
          <w:tcPr>
            <w:tcW w:w="5595" w:type="dxa"/>
          </w:tcPr>
          <w:p>
            <w:pPr>
              <w:pStyle w:val="TableParagraph"/>
              <w:spacing w:before="85"/>
              <w:ind w:left="95"/>
              <w:rPr>
                <w:sz w:val="14"/>
              </w:rPr>
            </w:pPr>
            <w:r>
              <w:rPr>
                <w:sz w:val="14"/>
              </w:rPr>
              <w:t>Post Graduate College of Health Specialists</w:t>
            </w:r>
          </w:p>
        </w:tc>
        <w:tc>
          <w:tcPr>
            <w:tcW w:w="1834" w:type="dxa"/>
          </w:tcPr>
          <w:p>
            <w:pPr>
              <w:pStyle w:val="TableParagraph"/>
              <w:spacing w:before="85"/>
              <w:ind w:right="527"/>
              <w:jc w:val="right"/>
              <w:rPr>
                <w:b/>
                <w:sz w:val="14"/>
              </w:rPr>
            </w:pPr>
            <w:r>
              <w:rPr>
                <w:b/>
                <w:sz w:val="14"/>
              </w:rPr>
              <w:t>1,510.0</w:t>
            </w:r>
          </w:p>
        </w:tc>
        <w:tc>
          <w:tcPr>
            <w:tcW w:w="1487" w:type="dxa"/>
          </w:tcPr>
          <w:p>
            <w:pPr>
              <w:pStyle w:val="TableParagraph"/>
              <w:spacing w:before="85"/>
              <w:ind w:left="495"/>
              <w:rPr>
                <w:sz w:val="14"/>
              </w:rPr>
            </w:pPr>
            <w:r>
              <w:rPr>
                <w:sz w:val="14"/>
              </w:rPr>
              <w:t>0 . 1 %</w:t>
            </w:r>
          </w:p>
        </w:tc>
        <w:tc>
          <w:tcPr>
            <w:tcW w:w="1575" w:type="dxa"/>
          </w:tcPr>
          <w:p>
            <w:pPr>
              <w:pStyle w:val="TableParagraph"/>
              <w:spacing w:before="85"/>
              <w:ind w:right="619"/>
              <w:jc w:val="right"/>
              <w:rPr>
                <w:sz w:val="14"/>
              </w:rPr>
            </w:pPr>
            <w:r>
              <w:rPr>
                <w:sz w:val="14"/>
              </w:rPr>
              <w:t>1,452 .0</w:t>
            </w:r>
          </w:p>
        </w:tc>
        <w:tc>
          <w:tcPr>
            <w:tcW w:w="1339" w:type="dxa"/>
          </w:tcPr>
          <w:p>
            <w:pPr>
              <w:pStyle w:val="TableParagraph"/>
              <w:spacing w:before="85"/>
              <w:ind w:left="438"/>
              <w:rPr>
                <w:sz w:val="14"/>
              </w:rPr>
            </w:pPr>
            <w:r>
              <w:rPr>
                <w:sz w:val="14"/>
              </w:rPr>
              <w:t>0 . 1 %</w:t>
            </w:r>
          </w:p>
        </w:tc>
        <w:tc>
          <w:tcPr>
            <w:tcW w:w="1239" w:type="dxa"/>
          </w:tcPr>
          <w:p>
            <w:pPr>
              <w:pStyle w:val="TableParagraph"/>
              <w:spacing w:before="85"/>
              <w:ind w:right="418"/>
              <w:jc w:val="right"/>
              <w:rPr>
                <w:sz w:val="14"/>
              </w:rPr>
            </w:pPr>
            <w:r>
              <w:rPr>
                <w:sz w:val="14"/>
              </w:rPr>
              <w:t>1,539 .0</w:t>
            </w:r>
          </w:p>
        </w:tc>
        <w:tc>
          <w:tcPr>
            <w:tcW w:w="1247" w:type="dxa"/>
          </w:tcPr>
          <w:p>
            <w:pPr>
              <w:pStyle w:val="TableParagraph"/>
              <w:spacing w:before="85"/>
              <w:ind w:left="416" w:right="354"/>
              <w:jc w:val="center"/>
              <w:rPr>
                <w:sz w:val="14"/>
              </w:rPr>
            </w:pPr>
            <w:r>
              <w:rPr>
                <w:sz w:val="14"/>
              </w:rPr>
              <w:t>0 . 1 %</w:t>
            </w:r>
          </w:p>
        </w:tc>
      </w:tr>
      <w:tr>
        <w:trPr>
          <w:trHeight w:val="280" w:hRule="atLeast"/>
        </w:trPr>
        <w:tc>
          <w:tcPr>
            <w:tcW w:w="471" w:type="dxa"/>
          </w:tcPr>
          <w:p>
            <w:pPr>
              <w:pStyle w:val="TableParagraph"/>
              <w:spacing w:before="85"/>
              <w:ind w:left="125"/>
              <w:rPr>
                <w:sz w:val="14"/>
              </w:rPr>
            </w:pPr>
            <w:r>
              <w:rPr>
                <w:sz w:val="14"/>
              </w:rPr>
              <w:t>345</w:t>
            </w:r>
          </w:p>
        </w:tc>
        <w:tc>
          <w:tcPr>
            <w:tcW w:w="5595" w:type="dxa"/>
          </w:tcPr>
          <w:p>
            <w:pPr>
              <w:pStyle w:val="TableParagraph"/>
              <w:spacing w:before="85"/>
              <w:ind w:left="95"/>
              <w:rPr>
                <w:sz w:val="14"/>
              </w:rPr>
            </w:pPr>
            <w:r>
              <w:rPr>
                <w:sz w:val="14"/>
              </w:rPr>
              <w:t>Pharmacy Board Services</w:t>
            </w:r>
          </w:p>
        </w:tc>
        <w:tc>
          <w:tcPr>
            <w:tcW w:w="1834" w:type="dxa"/>
          </w:tcPr>
          <w:p>
            <w:pPr>
              <w:pStyle w:val="TableParagraph"/>
              <w:spacing w:before="85"/>
              <w:ind w:right="527"/>
              <w:jc w:val="right"/>
              <w:rPr>
                <w:b/>
                <w:sz w:val="14"/>
              </w:rPr>
            </w:pPr>
            <w:r>
              <w:rPr>
                <w:b/>
                <w:sz w:val="14"/>
              </w:rPr>
              <w:t>4,011.0</w:t>
            </w:r>
          </w:p>
        </w:tc>
        <w:tc>
          <w:tcPr>
            <w:tcW w:w="1487" w:type="dxa"/>
          </w:tcPr>
          <w:p>
            <w:pPr>
              <w:pStyle w:val="TableParagraph"/>
              <w:spacing w:before="85"/>
              <w:ind w:left="495"/>
              <w:rPr>
                <w:sz w:val="14"/>
              </w:rPr>
            </w:pPr>
            <w:r>
              <w:rPr>
                <w:sz w:val="14"/>
              </w:rPr>
              <w:t>0 . 2 %</w:t>
            </w:r>
          </w:p>
        </w:tc>
        <w:tc>
          <w:tcPr>
            <w:tcW w:w="1575" w:type="dxa"/>
          </w:tcPr>
          <w:p>
            <w:pPr>
              <w:pStyle w:val="TableParagraph"/>
              <w:spacing w:before="85"/>
              <w:ind w:right="619"/>
              <w:jc w:val="right"/>
              <w:rPr>
                <w:sz w:val="14"/>
              </w:rPr>
            </w:pPr>
            <w:r>
              <w:rPr>
                <w:sz w:val="14"/>
              </w:rPr>
              <w:t>4,940 .7</w:t>
            </w:r>
          </w:p>
        </w:tc>
        <w:tc>
          <w:tcPr>
            <w:tcW w:w="1339" w:type="dxa"/>
          </w:tcPr>
          <w:p>
            <w:pPr>
              <w:pStyle w:val="TableParagraph"/>
              <w:spacing w:before="85"/>
              <w:ind w:left="438"/>
              <w:rPr>
                <w:sz w:val="14"/>
              </w:rPr>
            </w:pPr>
            <w:r>
              <w:rPr>
                <w:sz w:val="14"/>
              </w:rPr>
              <w:t>0 . 2 %</w:t>
            </w:r>
          </w:p>
        </w:tc>
        <w:tc>
          <w:tcPr>
            <w:tcW w:w="1239" w:type="dxa"/>
          </w:tcPr>
          <w:p>
            <w:pPr>
              <w:pStyle w:val="TableParagraph"/>
              <w:spacing w:before="85"/>
              <w:ind w:right="418"/>
              <w:jc w:val="right"/>
              <w:rPr>
                <w:sz w:val="14"/>
              </w:rPr>
            </w:pPr>
            <w:r>
              <w:rPr>
                <w:sz w:val="14"/>
              </w:rPr>
              <w:t>5,236 .7</w:t>
            </w:r>
          </w:p>
        </w:tc>
        <w:tc>
          <w:tcPr>
            <w:tcW w:w="1247" w:type="dxa"/>
          </w:tcPr>
          <w:p>
            <w:pPr>
              <w:pStyle w:val="TableParagraph"/>
              <w:spacing w:before="85"/>
              <w:ind w:left="416" w:right="354"/>
              <w:jc w:val="center"/>
              <w:rPr>
                <w:sz w:val="14"/>
              </w:rPr>
            </w:pPr>
            <w:r>
              <w:rPr>
                <w:sz w:val="14"/>
              </w:rPr>
              <w:t>0 . 3 %</w:t>
            </w:r>
          </w:p>
        </w:tc>
      </w:tr>
      <w:tr>
        <w:trPr>
          <w:trHeight w:val="391" w:hRule="atLeast"/>
        </w:trPr>
        <w:tc>
          <w:tcPr>
            <w:tcW w:w="14787" w:type="dxa"/>
            <w:gridSpan w:val="8"/>
          </w:tcPr>
          <w:p>
            <w:pPr>
              <w:pStyle w:val="TableParagraph"/>
              <w:tabs>
                <w:tab w:pos="6720" w:val="left" w:leader="none"/>
                <w:tab w:pos="8367" w:val="left" w:leader="none"/>
                <w:tab w:pos="9668" w:val="left" w:leader="none"/>
                <w:tab w:pos="11372" w:val="left" w:leader="none"/>
                <w:tab w:pos="12447" w:val="left" w:leader="none"/>
                <w:tab w:pos="13978" w:val="left" w:leader="none"/>
              </w:tabs>
              <w:spacing w:before="140"/>
              <w:ind w:left="1"/>
              <w:rPr>
                <w:b/>
                <w:sz w:val="14"/>
              </w:rPr>
            </w:pPr>
            <w:r>
              <w:rPr>
                <w:b/>
                <w:sz w:val="14"/>
              </w:rPr>
              <w:t>4 </w:t>
            </w:r>
            <w:r>
              <w:rPr>
                <w:b/>
                <w:spacing w:val="4"/>
                <w:sz w:val="14"/>
              </w:rPr>
              <w:t> </w:t>
            </w:r>
            <w:r>
              <w:rPr>
                <w:b/>
                <w:spacing w:val="3"/>
                <w:sz w:val="14"/>
              </w:rPr>
              <w:t>ECONOMIC</w:t>
            </w:r>
            <w:r>
              <w:rPr>
                <w:b/>
                <w:spacing w:val="4"/>
                <w:sz w:val="14"/>
              </w:rPr>
              <w:t> SERVICES</w:t>
              <w:tab/>
            </w:r>
            <w:r>
              <w:rPr>
                <w:b/>
                <w:sz w:val="14"/>
              </w:rPr>
              <w:t>757,605.7</w:t>
              <w:tab/>
              <w:t>33.6%</w:t>
              <w:tab/>
              <w:t>777,860.9</w:t>
              <w:tab/>
              <w:t>34.3%</w:t>
              <w:tab/>
              <w:t>822,715.9</w:t>
              <w:tab/>
              <w:t>35.9%</w:t>
            </w:r>
          </w:p>
        </w:tc>
      </w:tr>
      <w:tr>
        <w:trPr>
          <w:trHeight w:val="251" w:hRule="atLeast"/>
        </w:trPr>
        <w:tc>
          <w:tcPr>
            <w:tcW w:w="471" w:type="dxa"/>
          </w:tcPr>
          <w:p>
            <w:pPr>
              <w:pStyle w:val="TableParagraph"/>
              <w:spacing w:line="147" w:lineRule="exact" w:before="85"/>
              <w:ind w:left="125"/>
              <w:rPr>
                <w:sz w:val="14"/>
              </w:rPr>
            </w:pPr>
            <w:r>
              <w:rPr>
                <w:sz w:val="14"/>
              </w:rPr>
              <w:t>401</w:t>
            </w:r>
          </w:p>
        </w:tc>
        <w:tc>
          <w:tcPr>
            <w:tcW w:w="5595" w:type="dxa"/>
          </w:tcPr>
          <w:p>
            <w:pPr>
              <w:pStyle w:val="TableParagraph"/>
              <w:spacing w:line="147" w:lineRule="exact" w:before="85"/>
              <w:ind w:left="96"/>
              <w:rPr>
                <w:sz w:val="14"/>
              </w:rPr>
            </w:pPr>
            <w:r>
              <w:rPr>
                <w:sz w:val="14"/>
              </w:rPr>
              <w:t>Ministry of Agriculture and Forestry</w:t>
            </w:r>
          </w:p>
        </w:tc>
        <w:tc>
          <w:tcPr>
            <w:tcW w:w="1834" w:type="dxa"/>
          </w:tcPr>
          <w:p>
            <w:pPr>
              <w:pStyle w:val="TableParagraph"/>
              <w:spacing w:line="147" w:lineRule="exact" w:before="85"/>
              <w:ind w:right="529"/>
              <w:jc w:val="right"/>
              <w:rPr>
                <w:b/>
                <w:sz w:val="14"/>
              </w:rPr>
            </w:pPr>
            <w:r>
              <w:rPr>
                <w:b/>
                <w:sz w:val="14"/>
              </w:rPr>
              <w:t>38,925.7</w:t>
            </w:r>
          </w:p>
        </w:tc>
        <w:tc>
          <w:tcPr>
            <w:tcW w:w="1487" w:type="dxa"/>
          </w:tcPr>
          <w:p>
            <w:pPr>
              <w:pStyle w:val="TableParagraph"/>
              <w:spacing w:line="147" w:lineRule="exact" w:before="85"/>
              <w:ind w:left="495"/>
              <w:rPr>
                <w:sz w:val="14"/>
              </w:rPr>
            </w:pPr>
            <w:r>
              <w:rPr>
                <w:sz w:val="14"/>
              </w:rPr>
              <w:t>1 . 9 %</w:t>
            </w:r>
          </w:p>
        </w:tc>
        <w:tc>
          <w:tcPr>
            <w:tcW w:w="1575" w:type="dxa"/>
          </w:tcPr>
          <w:p>
            <w:pPr>
              <w:pStyle w:val="TableParagraph"/>
              <w:spacing w:line="147" w:lineRule="exact" w:before="85"/>
              <w:ind w:right="623"/>
              <w:jc w:val="right"/>
              <w:rPr>
                <w:sz w:val="14"/>
              </w:rPr>
            </w:pPr>
            <w:r>
              <w:rPr>
                <w:sz w:val="14"/>
              </w:rPr>
              <w:t>33,323.9</w:t>
            </w:r>
          </w:p>
        </w:tc>
        <w:tc>
          <w:tcPr>
            <w:tcW w:w="1339" w:type="dxa"/>
          </w:tcPr>
          <w:p>
            <w:pPr>
              <w:pStyle w:val="TableParagraph"/>
              <w:spacing w:line="147" w:lineRule="exact" w:before="85"/>
              <w:ind w:left="438"/>
              <w:rPr>
                <w:sz w:val="14"/>
              </w:rPr>
            </w:pPr>
            <w:r>
              <w:rPr>
                <w:sz w:val="14"/>
              </w:rPr>
              <w:t>1 . 6 %</w:t>
            </w:r>
          </w:p>
        </w:tc>
        <w:tc>
          <w:tcPr>
            <w:tcW w:w="1239" w:type="dxa"/>
          </w:tcPr>
          <w:p>
            <w:pPr>
              <w:pStyle w:val="TableParagraph"/>
              <w:spacing w:line="147" w:lineRule="exact" w:before="85"/>
              <w:ind w:right="427"/>
              <w:jc w:val="right"/>
              <w:rPr>
                <w:sz w:val="14"/>
              </w:rPr>
            </w:pPr>
            <w:r>
              <w:rPr>
                <w:sz w:val="14"/>
              </w:rPr>
              <w:t>60,320.0</w:t>
            </w:r>
          </w:p>
        </w:tc>
        <w:tc>
          <w:tcPr>
            <w:tcW w:w="1247" w:type="dxa"/>
          </w:tcPr>
          <w:p>
            <w:pPr>
              <w:pStyle w:val="TableParagraph"/>
              <w:spacing w:line="147" w:lineRule="exact" w:before="85"/>
              <w:ind w:left="416" w:right="354"/>
              <w:jc w:val="center"/>
              <w:rPr>
                <w:sz w:val="14"/>
              </w:rPr>
            </w:pPr>
            <w:r>
              <w:rPr>
                <w:sz w:val="14"/>
              </w:rPr>
              <w:t>2 . 9 %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Administrative and Operating Costs</w:t>
            </w:r>
          </w:p>
        </w:tc>
        <w:tc>
          <w:tcPr>
            <w:tcW w:w="1834" w:type="dxa"/>
          </w:tcPr>
          <w:p>
            <w:pPr>
              <w:pStyle w:val="TableParagraph"/>
              <w:spacing w:line="147" w:lineRule="exact" w:before="1"/>
              <w:ind w:right="527"/>
              <w:jc w:val="right"/>
              <w:rPr>
                <w:b/>
                <w:sz w:val="14"/>
              </w:rPr>
            </w:pPr>
            <w:r>
              <w:rPr>
                <w:b/>
                <w:sz w:val="14"/>
              </w:rPr>
              <w:t>6,137.6</w:t>
            </w:r>
          </w:p>
        </w:tc>
        <w:tc>
          <w:tcPr>
            <w:tcW w:w="1487" w:type="dxa"/>
          </w:tcPr>
          <w:p>
            <w:pPr>
              <w:pStyle w:val="TableParagraph"/>
              <w:spacing w:line="147" w:lineRule="exact" w:before="1"/>
              <w:ind w:left="495"/>
              <w:rPr>
                <w:sz w:val="14"/>
              </w:rPr>
            </w:pPr>
            <w:r>
              <w:rPr>
                <w:sz w:val="14"/>
              </w:rPr>
              <w:t>0 . 3 %</w:t>
            </w:r>
          </w:p>
        </w:tc>
        <w:tc>
          <w:tcPr>
            <w:tcW w:w="1575" w:type="dxa"/>
          </w:tcPr>
          <w:p>
            <w:pPr>
              <w:pStyle w:val="TableParagraph"/>
              <w:spacing w:line="147" w:lineRule="exact" w:before="1"/>
              <w:ind w:right="619"/>
              <w:jc w:val="right"/>
              <w:rPr>
                <w:sz w:val="14"/>
              </w:rPr>
            </w:pPr>
            <w:r>
              <w:rPr>
                <w:sz w:val="14"/>
              </w:rPr>
              <w:t>6,804 .3</w:t>
            </w:r>
          </w:p>
        </w:tc>
        <w:tc>
          <w:tcPr>
            <w:tcW w:w="1339" w:type="dxa"/>
          </w:tcPr>
          <w:p>
            <w:pPr>
              <w:pStyle w:val="TableParagraph"/>
              <w:spacing w:line="147" w:lineRule="exact" w:before="1"/>
              <w:ind w:left="438"/>
              <w:rPr>
                <w:sz w:val="14"/>
              </w:rPr>
            </w:pPr>
            <w:r>
              <w:rPr>
                <w:sz w:val="14"/>
              </w:rPr>
              <w:t>0 . 3 %</w:t>
            </w:r>
          </w:p>
        </w:tc>
        <w:tc>
          <w:tcPr>
            <w:tcW w:w="1239" w:type="dxa"/>
          </w:tcPr>
          <w:p>
            <w:pPr>
              <w:pStyle w:val="TableParagraph"/>
              <w:spacing w:line="147" w:lineRule="exact" w:before="1"/>
              <w:ind w:right="418"/>
              <w:jc w:val="right"/>
              <w:rPr>
                <w:sz w:val="14"/>
              </w:rPr>
            </w:pPr>
            <w:r>
              <w:rPr>
                <w:sz w:val="14"/>
              </w:rPr>
              <w:t>7,211 .8</w:t>
            </w:r>
          </w:p>
        </w:tc>
        <w:tc>
          <w:tcPr>
            <w:tcW w:w="1247" w:type="dxa"/>
          </w:tcPr>
          <w:p>
            <w:pPr>
              <w:pStyle w:val="TableParagraph"/>
              <w:spacing w:line="147" w:lineRule="exact" w:before="1"/>
              <w:ind w:left="416" w:right="354"/>
              <w:jc w:val="center"/>
              <w:rPr>
                <w:sz w:val="14"/>
              </w:rPr>
            </w:pPr>
            <w:r>
              <w:rPr>
                <w:sz w:val="14"/>
              </w:rPr>
              <w:t>0 . 3 %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Support to the Establishment of Seed Certification Agency</w:t>
            </w:r>
          </w:p>
        </w:tc>
        <w:tc>
          <w:tcPr>
            <w:tcW w:w="1834" w:type="dxa"/>
          </w:tcPr>
          <w:p>
            <w:pPr>
              <w:pStyle w:val="TableParagraph"/>
              <w:spacing w:line="147" w:lineRule="exact" w:before="1"/>
              <w:ind w:right="510"/>
              <w:jc w:val="right"/>
              <w:rPr>
                <w:b/>
                <w:sz w:val="14"/>
              </w:rPr>
            </w:pPr>
            <w:r>
              <w:rPr>
                <w:b/>
                <w:sz w:val="14"/>
              </w:rPr>
              <w:t>800.0</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961.6</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8"/>
              <w:jc w:val="right"/>
              <w:rPr>
                <w:sz w:val="14"/>
              </w:rPr>
            </w:pPr>
            <w:r>
              <w:rPr>
                <w:sz w:val="14"/>
              </w:rPr>
              <w:t>1,019 .2</w:t>
            </w:r>
          </w:p>
        </w:tc>
        <w:tc>
          <w:tcPr>
            <w:tcW w:w="1247" w:type="dxa"/>
          </w:tcPr>
          <w:p>
            <w:pPr>
              <w:pStyle w:val="TableParagraph"/>
              <w:spacing w:line="147" w:lineRule="exact" w:before="1"/>
              <w:ind w:left="416" w:right="354"/>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Support to the Establishment of Fertilizer Regulatory Agency</w:t>
            </w:r>
          </w:p>
        </w:tc>
        <w:tc>
          <w:tcPr>
            <w:tcW w:w="1834" w:type="dxa"/>
          </w:tcPr>
          <w:p>
            <w:pPr>
              <w:pStyle w:val="TableParagraph"/>
              <w:spacing w:line="147" w:lineRule="exact" w:before="1"/>
              <w:ind w:right="510"/>
              <w:jc w:val="right"/>
              <w:rPr>
                <w:b/>
                <w:sz w:val="14"/>
              </w:rPr>
            </w:pPr>
            <w:r>
              <w:rPr>
                <w:b/>
                <w:sz w:val="14"/>
              </w:rPr>
              <w:t>700.0</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865.4</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5"/>
              <w:jc w:val="right"/>
              <w:rPr>
                <w:sz w:val="14"/>
              </w:rPr>
            </w:pPr>
            <w:r>
              <w:rPr>
                <w:sz w:val="14"/>
              </w:rPr>
              <w:t>917.3</w:t>
            </w:r>
          </w:p>
        </w:tc>
        <w:tc>
          <w:tcPr>
            <w:tcW w:w="1247" w:type="dxa"/>
          </w:tcPr>
          <w:p>
            <w:pPr>
              <w:pStyle w:val="TableParagraph"/>
              <w:spacing w:line="147" w:lineRule="exact" w:before="1"/>
              <w:ind w:left="416" w:right="354"/>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Support to Seed Multiplication Programme</w:t>
            </w:r>
          </w:p>
        </w:tc>
        <w:tc>
          <w:tcPr>
            <w:tcW w:w="1834" w:type="dxa"/>
          </w:tcPr>
          <w:p>
            <w:pPr>
              <w:pStyle w:val="TableParagraph"/>
              <w:spacing w:line="147" w:lineRule="exact" w:before="1"/>
              <w:ind w:right="527"/>
              <w:jc w:val="right"/>
              <w:rPr>
                <w:b/>
                <w:sz w:val="14"/>
              </w:rPr>
            </w:pPr>
            <w:r>
              <w:rPr>
                <w:b/>
                <w:sz w:val="14"/>
              </w:rPr>
              <w:t>1,000.0</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961.6</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8"/>
              <w:jc w:val="right"/>
              <w:rPr>
                <w:sz w:val="14"/>
              </w:rPr>
            </w:pPr>
            <w:r>
              <w:rPr>
                <w:sz w:val="14"/>
              </w:rPr>
              <w:t>1,019 .2</w:t>
            </w:r>
          </w:p>
        </w:tc>
        <w:tc>
          <w:tcPr>
            <w:tcW w:w="1247" w:type="dxa"/>
          </w:tcPr>
          <w:p>
            <w:pPr>
              <w:pStyle w:val="TableParagraph"/>
              <w:spacing w:line="147" w:lineRule="exact" w:before="1"/>
              <w:ind w:left="416" w:right="354"/>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National Agricultural Training Centre</w:t>
            </w:r>
          </w:p>
        </w:tc>
        <w:tc>
          <w:tcPr>
            <w:tcW w:w="1834" w:type="dxa"/>
          </w:tcPr>
          <w:p>
            <w:pPr>
              <w:pStyle w:val="TableParagraph"/>
              <w:spacing w:line="147" w:lineRule="exact" w:before="1"/>
              <w:ind w:right="510"/>
              <w:jc w:val="right"/>
              <w:rPr>
                <w:b/>
                <w:sz w:val="14"/>
              </w:rPr>
            </w:pPr>
            <w:r>
              <w:rPr>
                <w:b/>
                <w:sz w:val="14"/>
              </w:rPr>
              <w:t>428.5</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2"/>
              <w:jc w:val="right"/>
              <w:rPr>
                <w:sz w:val="14"/>
              </w:rPr>
            </w:pPr>
            <w:r>
              <w:rPr>
                <w:sz w:val="14"/>
              </w:rPr>
              <w:t>480.8</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15"/>
              <w:jc w:val="right"/>
              <w:rPr>
                <w:sz w:val="14"/>
              </w:rPr>
            </w:pPr>
            <w:r>
              <w:rPr>
                <w:sz w:val="14"/>
              </w:rPr>
              <w:t>509.6</w:t>
            </w:r>
          </w:p>
        </w:tc>
        <w:tc>
          <w:tcPr>
            <w:tcW w:w="1247" w:type="dxa"/>
          </w:tcPr>
          <w:p>
            <w:pPr>
              <w:pStyle w:val="TableParagraph"/>
              <w:spacing w:line="147" w:lineRule="exact" w:before="1"/>
              <w:ind w:left="416" w:right="354"/>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4"/>
              <w:rPr>
                <w:sz w:val="14"/>
              </w:rPr>
            </w:pPr>
            <w:r>
              <w:rPr>
                <w:sz w:val="14"/>
              </w:rPr>
              <w:t>Increasing Agricultural Productivity and Value Added</w:t>
            </w:r>
          </w:p>
        </w:tc>
        <w:tc>
          <w:tcPr>
            <w:tcW w:w="1834" w:type="dxa"/>
          </w:tcPr>
          <w:p>
            <w:pPr>
              <w:pStyle w:val="TableParagraph"/>
              <w:spacing w:line="147" w:lineRule="exact" w:before="1"/>
              <w:ind w:right="529"/>
              <w:jc w:val="right"/>
              <w:rPr>
                <w:b/>
                <w:sz w:val="14"/>
              </w:rPr>
            </w:pPr>
            <w:r>
              <w:rPr>
                <w:b/>
                <w:sz w:val="14"/>
              </w:rPr>
              <w:t>20,345.7</w:t>
            </w:r>
          </w:p>
        </w:tc>
        <w:tc>
          <w:tcPr>
            <w:tcW w:w="1487" w:type="dxa"/>
          </w:tcPr>
          <w:p>
            <w:pPr>
              <w:pStyle w:val="TableParagraph"/>
              <w:spacing w:line="147" w:lineRule="exact" w:before="1"/>
              <w:ind w:left="495"/>
              <w:rPr>
                <w:sz w:val="14"/>
              </w:rPr>
            </w:pPr>
            <w:r>
              <w:rPr>
                <w:sz w:val="14"/>
              </w:rPr>
              <w:t>1 . 0 %</w:t>
            </w:r>
          </w:p>
        </w:tc>
        <w:tc>
          <w:tcPr>
            <w:tcW w:w="1575" w:type="dxa"/>
          </w:tcPr>
          <w:p>
            <w:pPr>
              <w:pStyle w:val="TableParagraph"/>
              <w:spacing w:line="147" w:lineRule="exact" w:before="1"/>
              <w:ind w:right="623"/>
              <w:jc w:val="right"/>
              <w:rPr>
                <w:sz w:val="14"/>
              </w:rPr>
            </w:pPr>
            <w:r>
              <w:rPr>
                <w:sz w:val="14"/>
              </w:rPr>
              <w:t>11,193.3</w:t>
            </w:r>
          </w:p>
        </w:tc>
        <w:tc>
          <w:tcPr>
            <w:tcW w:w="1339" w:type="dxa"/>
          </w:tcPr>
          <w:p>
            <w:pPr>
              <w:pStyle w:val="TableParagraph"/>
              <w:spacing w:line="147" w:lineRule="exact" w:before="1"/>
              <w:ind w:left="438"/>
              <w:rPr>
                <w:sz w:val="14"/>
              </w:rPr>
            </w:pPr>
            <w:r>
              <w:rPr>
                <w:sz w:val="14"/>
              </w:rPr>
              <w:t>0 . 5 %</w:t>
            </w:r>
          </w:p>
        </w:tc>
        <w:tc>
          <w:tcPr>
            <w:tcW w:w="1239" w:type="dxa"/>
          </w:tcPr>
          <w:p>
            <w:pPr>
              <w:pStyle w:val="TableParagraph"/>
              <w:spacing w:line="147" w:lineRule="exact" w:before="1"/>
              <w:ind w:right="427"/>
              <w:jc w:val="right"/>
              <w:rPr>
                <w:sz w:val="14"/>
              </w:rPr>
            </w:pPr>
            <w:r>
              <w:rPr>
                <w:sz w:val="14"/>
              </w:rPr>
              <w:t>36,863.8</w:t>
            </w:r>
          </w:p>
        </w:tc>
        <w:tc>
          <w:tcPr>
            <w:tcW w:w="1247" w:type="dxa"/>
          </w:tcPr>
          <w:p>
            <w:pPr>
              <w:pStyle w:val="TableParagraph"/>
              <w:spacing w:line="147" w:lineRule="exact" w:before="1"/>
              <w:ind w:left="416" w:right="354"/>
              <w:jc w:val="center"/>
              <w:rPr>
                <w:sz w:val="14"/>
              </w:rPr>
            </w:pPr>
            <w:r>
              <w:rPr>
                <w:sz w:val="14"/>
              </w:rPr>
              <w:t>1 . 8 %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Production of Export/ Cash Crops</w:t>
            </w:r>
          </w:p>
        </w:tc>
        <w:tc>
          <w:tcPr>
            <w:tcW w:w="1834" w:type="dxa"/>
          </w:tcPr>
          <w:p>
            <w:pPr>
              <w:pStyle w:val="TableParagraph"/>
              <w:spacing w:line="147" w:lineRule="exact" w:before="1"/>
              <w:ind w:right="527"/>
              <w:jc w:val="right"/>
              <w:rPr>
                <w:b/>
                <w:sz w:val="14"/>
              </w:rPr>
            </w:pPr>
            <w:r>
              <w:rPr>
                <w:b/>
                <w:sz w:val="14"/>
              </w:rPr>
              <w:t>2,758.2</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3,397 .6</w:t>
            </w:r>
          </w:p>
        </w:tc>
        <w:tc>
          <w:tcPr>
            <w:tcW w:w="1339" w:type="dxa"/>
          </w:tcPr>
          <w:p>
            <w:pPr>
              <w:pStyle w:val="TableParagraph"/>
              <w:spacing w:line="147" w:lineRule="exact" w:before="1"/>
              <w:ind w:left="438"/>
              <w:rPr>
                <w:sz w:val="14"/>
              </w:rPr>
            </w:pPr>
            <w:r>
              <w:rPr>
                <w:sz w:val="14"/>
              </w:rPr>
              <w:t>0 . 2 %</w:t>
            </w:r>
          </w:p>
        </w:tc>
        <w:tc>
          <w:tcPr>
            <w:tcW w:w="1239" w:type="dxa"/>
          </w:tcPr>
          <w:p>
            <w:pPr>
              <w:pStyle w:val="TableParagraph"/>
              <w:spacing w:line="147" w:lineRule="exact" w:before="1"/>
              <w:ind w:right="418"/>
              <w:jc w:val="right"/>
              <w:rPr>
                <w:sz w:val="14"/>
              </w:rPr>
            </w:pPr>
            <w:r>
              <w:rPr>
                <w:sz w:val="14"/>
              </w:rPr>
              <w:t>3,601 .1</w:t>
            </w:r>
          </w:p>
        </w:tc>
        <w:tc>
          <w:tcPr>
            <w:tcW w:w="1247" w:type="dxa"/>
          </w:tcPr>
          <w:p>
            <w:pPr>
              <w:pStyle w:val="TableParagraph"/>
              <w:spacing w:line="147" w:lineRule="exact" w:before="1"/>
              <w:ind w:left="416" w:right="354"/>
              <w:jc w:val="center"/>
              <w:rPr>
                <w:sz w:val="14"/>
              </w:rPr>
            </w:pPr>
            <w:r>
              <w:rPr>
                <w:sz w:val="14"/>
              </w:rPr>
              <w:t>0 . 2 %</w:t>
            </w:r>
          </w:p>
        </w:tc>
      </w:tr>
      <w:tr>
        <w:trPr>
          <w:trHeight w:val="167"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Rehabilitation of Existing Plantations</w:t>
            </w:r>
          </w:p>
        </w:tc>
        <w:tc>
          <w:tcPr>
            <w:tcW w:w="1834" w:type="dxa"/>
          </w:tcPr>
          <w:p>
            <w:pPr>
              <w:pStyle w:val="TableParagraph"/>
              <w:spacing w:line="147" w:lineRule="exact" w:before="1"/>
              <w:ind w:right="527"/>
              <w:jc w:val="right"/>
              <w:rPr>
                <w:b/>
                <w:sz w:val="14"/>
              </w:rPr>
            </w:pPr>
            <w:r>
              <w:rPr>
                <w:b/>
                <w:sz w:val="14"/>
              </w:rPr>
              <w:t>1,608.7</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1,981 .6</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2,100 .3</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Food Security Division</w:t>
            </w:r>
          </w:p>
        </w:tc>
        <w:tc>
          <w:tcPr>
            <w:tcW w:w="1834" w:type="dxa"/>
          </w:tcPr>
          <w:p>
            <w:pPr>
              <w:pStyle w:val="TableParagraph"/>
              <w:spacing w:line="147" w:lineRule="exact" w:before="1"/>
              <w:ind w:right="527"/>
              <w:jc w:val="right"/>
              <w:rPr>
                <w:b/>
                <w:sz w:val="14"/>
              </w:rPr>
            </w:pPr>
            <w:r>
              <w:rPr>
                <w:b/>
                <w:sz w:val="14"/>
              </w:rPr>
              <w:t>11,258.7</w:t>
            </w:r>
          </w:p>
        </w:tc>
        <w:tc>
          <w:tcPr>
            <w:tcW w:w="1487" w:type="dxa"/>
          </w:tcPr>
          <w:p>
            <w:pPr>
              <w:pStyle w:val="TableParagraph"/>
              <w:spacing w:line="147" w:lineRule="exact" w:before="1"/>
              <w:ind w:left="495"/>
              <w:rPr>
                <w:sz w:val="14"/>
              </w:rPr>
            </w:pPr>
            <w:r>
              <w:rPr>
                <w:sz w:val="14"/>
              </w:rPr>
              <w:t>0 . 5 %</w:t>
            </w:r>
          </w:p>
        </w:tc>
        <w:tc>
          <w:tcPr>
            <w:tcW w:w="1575" w:type="dxa"/>
          </w:tcPr>
          <w:p>
            <w:pPr>
              <w:pStyle w:val="TableParagraph"/>
              <w:spacing w:line="147" w:lineRule="exact" w:before="1"/>
              <w:ind w:right="603"/>
              <w:jc w:val="right"/>
              <w:rPr>
                <w:sz w:val="14"/>
              </w:rPr>
            </w:pPr>
            <w:r>
              <w:rPr>
                <w:w w:val="95"/>
                <w:sz w:val="14"/>
              </w:rPr>
              <w:t>0.0</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27"/>
              <w:jc w:val="right"/>
              <w:rPr>
                <w:sz w:val="14"/>
              </w:rPr>
            </w:pPr>
            <w:r>
              <w:rPr>
                <w:sz w:val="14"/>
              </w:rPr>
              <w:t>25,000.0</w:t>
            </w:r>
          </w:p>
        </w:tc>
        <w:tc>
          <w:tcPr>
            <w:tcW w:w="1247" w:type="dxa"/>
          </w:tcPr>
          <w:p>
            <w:pPr>
              <w:pStyle w:val="TableParagraph"/>
              <w:spacing w:line="147" w:lineRule="exact" w:before="1"/>
              <w:ind w:left="416" w:right="354"/>
              <w:jc w:val="center"/>
              <w:rPr>
                <w:sz w:val="14"/>
              </w:rPr>
            </w:pPr>
            <w:r>
              <w:rPr>
                <w:sz w:val="14"/>
              </w:rPr>
              <w:t>1 . 2 %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Procurement of Fertilizers</w:t>
            </w:r>
          </w:p>
        </w:tc>
        <w:tc>
          <w:tcPr>
            <w:tcW w:w="1834" w:type="dxa"/>
          </w:tcPr>
          <w:p>
            <w:pPr>
              <w:pStyle w:val="TableParagraph"/>
              <w:spacing w:line="147" w:lineRule="exact" w:before="1"/>
              <w:ind w:right="527"/>
              <w:jc w:val="right"/>
              <w:rPr>
                <w:b/>
                <w:sz w:val="14"/>
              </w:rPr>
            </w:pPr>
            <w:r>
              <w:rPr>
                <w:b/>
                <w:sz w:val="14"/>
              </w:rPr>
              <w:t>4,799.9</w:t>
            </w:r>
          </w:p>
        </w:tc>
        <w:tc>
          <w:tcPr>
            <w:tcW w:w="1487" w:type="dxa"/>
          </w:tcPr>
          <w:p>
            <w:pPr>
              <w:pStyle w:val="TableParagraph"/>
              <w:spacing w:line="147" w:lineRule="exact" w:before="1"/>
              <w:ind w:left="495"/>
              <w:rPr>
                <w:sz w:val="14"/>
              </w:rPr>
            </w:pPr>
            <w:r>
              <w:rPr>
                <w:sz w:val="14"/>
              </w:rPr>
              <w:t>0 . 2 %</w:t>
            </w:r>
          </w:p>
        </w:tc>
        <w:tc>
          <w:tcPr>
            <w:tcW w:w="1575" w:type="dxa"/>
          </w:tcPr>
          <w:p>
            <w:pPr>
              <w:pStyle w:val="TableParagraph"/>
              <w:spacing w:line="147" w:lineRule="exact" w:before="1"/>
              <w:ind w:right="603"/>
              <w:jc w:val="right"/>
              <w:rPr>
                <w:sz w:val="14"/>
              </w:rPr>
            </w:pPr>
            <w:r>
              <w:rPr>
                <w:w w:val="95"/>
                <w:sz w:val="14"/>
              </w:rPr>
              <w:t>0.0</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27"/>
              <w:jc w:val="right"/>
              <w:rPr>
                <w:sz w:val="14"/>
              </w:rPr>
            </w:pPr>
            <w:r>
              <w:rPr>
                <w:sz w:val="14"/>
              </w:rPr>
              <w:t>15,000.0</w:t>
            </w:r>
          </w:p>
        </w:tc>
        <w:tc>
          <w:tcPr>
            <w:tcW w:w="1247" w:type="dxa"/>
          </w:tcPr>
          <w:p>
            <w:pPr>
              <w:pStyle w:val="TableParagraph"/>
              <w:spacing w:line="147" w:lineRule="exact" w:before="1"/>
              <w:ind w:left="416" w:right="354"/>
              <w:jc w:val="center"/>
              <w:rPr>
                <w:sz w:val="14"/>
              </w:rPr>
            </w:pPr>
            <w:r>
              <w:rPr>
                <w:sz w:val="14"/>
              </w:rPr>
              <w:t>0 . 7 %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Procurement of Seedlings</w:t>
            </w:r>
          </w:p>
        </w:tc>
        <w:tc>
          <w:tcPr>
            <w:tcW w:w="1834" w:type="dxa"/>
          </w:tcPr>
          <w:p>
            <w:pPr>
              <w:pStyle w:val="TableParagraph"/>
              <w:spacing w:line="147" w:lineRule="exact" w:before="1"/>
              <w:ind w:right="527"/>
              <w:jc w:val="right"/>
              <w:rPr>
                <w:b/>
                <w:sz w:val="14"/>
              </w:rPr>
            </w:pPr>
            <w:r>
              <w:rPr>
                <w:b/>
                <w:sz w:val="14"/>
              </w:rPr>
              <w:t>6,458.8</w:t>
            </w:r>
          </w:p>
        </w:tc>
        <w:tc>
          <w:tcPr>
            <w:tcW w:w="1487" w:type="dxa"/>
          </w:tcPr>
          <w:p>
            <w:pPr>
              <w:pStyle w:val="TableParagraph"/>
              <w:spacing w:line="147" w:lineRule="exact" w:before="1"/>
              <w:ind w:left="495"/>
              <w:rPr>
                <w:sz w:val="14"/>
              </w:rPr>
            </w:pPr>
            <w:r>
              <w:rPr>
                <w:sz w:val="14"/>
              </w:rPr>
              <w:t>0 . 3 %</w:t>
            </w:r>
          </w:p>
        </w:tc>
        <w:tc>
          <w:tcPr>
            <w:tcW w:w="1575" w:type="dxa"/>
          </w:tcPr>
          <w:p>
            <w:pPr>
              <w:pStyle w:val="TableParagraph"/>
              <w:spacing w:line="147" w:lineRule="exact" w:before="1"/>
              <w:ind w:right="603"/>
              <w:jc w:val="right"/>
              <w:rPr>
                <w:sz w:val="14"/>
              </w:rPr>
            </w:pPr>
            <w:r>
              <w:rPr>
                <w:w w:val="95"/>
                <w:sz w:val="14"/>
              </w:rPr>
              <w:t>0.0</w:t>
            </w:r>
          </w:p>
        </w:tc>
        <w:tc>
          <w:tcPr>
            <w:tcW w:w="1339" w:type="dxa"/>
          </w:tcPr>
          <w:p>
            <w:pPr>
              <w:pStyle w:val="TableParagraph"/>
              <w:spacing w:line="147" w:lineRule="exact" w:before="1"/>
              <w:ind w:left="438"/>
              <w:rPr>
                <w:sz w:val="14"/>
              </w:rPr>
            </w:pPr>
            <w:r>
              <w:rPr>
                <w:sz w:val="14"/>
              </w:rPr>
              <w:t>0 . 0 %</w:t>
            </w:r>
          </w:p>
        </w:tc>
        <w:tc>
          <w:tcPr>
            <w:tcW w:w="1239" w:type="dxa"/>
          </w:tcPr>
          <w:p>
            <w:pPr>
              <w:pStyle w:val="TableParagraph"/>
              <w:spacing w:line="147" w:lineRule="exact" w:before="1"/>
              <w:ind w:right="427"/>
              <w:jc w:val="right"/>
              <w:rPr>
                <w:sz w:val="14"/>
              </w:rPr>
            </w:pPr>
            <w:r>
              <w:rPr>
                <w:sz w:val="14"/>
              </w:rPr>
              <w:t>10,000.0</w:t>
            </w:r>
          </w:p>
        </w:tc>
        <w:tc>
          <w:tcPr>
            <w:tcW w:w="1247" w:type="dxa"/>
          </w:tcPr>
          <w:p>
            <w:pPr>
              <w:pStyle w:val="TableParagraph"/>
              <w:spacing w:line="147" w:lineRule="exact" w:before="1"/>
              <w:ind w:left="416" w:right="354"/>
              <w:jc w:val="center"/>
              <w:rPr>
                <w:sz w:val="14"/>
              </w:rPr>
            </w:pPr>
            <w:r>
              <w:rPr>
                <w:sz w:val="14"/>
              </w:rPr>
              <w:t>0 . 5 %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Forestry Conservation Division</w:t>
            </w:r>
          </w:p>
        </w:tc>
        <w:tc>
          <w:tcPr>
            <w:tcW w:w="1834" w:type="dxa"/>
          </w:tcPr>
          <w:p>
            <w:pPr>
              <w:pStyle w:val="TableParagraph"/>
              <w:spacing w:line="147" w:lineRule="exact" w:before="1"/>
              <w:ind w:right="527"/>
              <w:jc w:val="right"/>
              <w:rPr>
                <w:b/>
                <w:sz w:val="14"/>
              </w:rPr>
            </w:pPr>
            <w:r>
              <w:rPr>
                <w:b/>
                <w:sz w:val="14"/>
              </w:rPr>
              <w:t>2,012.8</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2,479 .3</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2,627 .8</w:t>
            </w:r>
          </w:p>
        </w:tc>
        <w:tc>
          <w:tcPr>
            <w:tcW w:w="1247" w:type="dxa"/>
          </w:tcPr>
          <w:p>
            <w:pPr>
              <w:pStyle w:val="TableParagraph"/>
              <w:spacing w:line="147" w:lineRule="exact" w:before="1"/>
              <w:ind w:left="416" w:right="354"/>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Mainstreaming Forestry and Wildlife into Agricultural Practices</w:t>
            </w:r>
          </w:p>
        </w:tc>
        <w:tc>
          <w:tcPr>
            <w:tcW w:w="1834" w:type="dxa"/>
          </w:tcPr>
          <w:p>
            <w:pPr>
              <w:pStyle w:val="TableParagraph"/>
              <w:spacing w:line="147" w:lineRule="exact" w:before="1"/>
              <w:ind w:right="527"/>
              <w:jc w:val="right"/>
              <w:rPr>
                <w:b/>
                <w:sz w:val="14"/>
              </w:rPr>
            </w:pPr>
            <w:r>
              <w:rPr>
                <w:b/>
                <w:sz w:val="14"/>
              </w:rPr>
              <w:t>1,084.1</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1,335 .4</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1,415 .3</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Agricultural Engineering/ Land and Water Development Division</w:t>
            </w:r>
          </w:p>
        </w:tc>
        <w:tc>
          <w:tcPr>
            <w:tcW w:w="1834" w:type="dxa"/>
          </w:tcPr>
          <w:p>
            <w:pPr>
              <w:pStyle w:val="TableParagraph"/>
              <w:spacing w:line="147" w:lineRule="exact" w:before="1"/>
              <w:ind w:right="527"/>
              <w:jc w:val="right"/>
              <w:rPr>
                <w:b/>
                <w:sz w:val="14"/>
              </w:rPr>
            </w:pPr>
            <w:r>
              <w:rPr>
                <w:b/>
                <w:sz w:val="14"/>
              </w:rPr>
              <w:t>4,316.0</w:t>
            </w:r>
          </w:p>
        </w:tc>
        <w:tc>
          <w:tcPr>
            <w:tcW w:w="1487" w:type="dxa"/>
          </w:tcPr>
          <w:p>
            <w:pPr>
              <w:pStyle w:val="TableParagraph"/>
              <w:spacing w:line="147" w:lineRule="exact" w:before="1"/>
              <w:ind w:left="495"/>
              <w:rPr>
                <w:sz w:val="14"/>
              </w:rPr>
            </w:pPr>
            <w:r>
              <w:rPr>
                <w:sz w:val="14"/>
              </w:rPr>
              <w:t>0 . 2 %</w:t>
            </w:r>
          </w:p>
        </w:tc>
        <w:tc>
          <w:tcPr>
            <w:tcW w:w="1575" w:type="dxa"/>
          </w:tcPr>
          <w:p>
            <w:pPr>
              <w:pStyle w:val="TableParagraph"/>
              <w:spacing w:line="147" w:lineRule="exact" w:before="1"/>
              <w:ind w:right="619"/>
              <w:jc w:val="right"/>
              <w:rPr>
                <w:sz w:val="14"/>
              </w:rPr>
            </w:pPr>
            <w:r>
              <w:rPr>
                <w:sz w:val="14"/>
              </w:rPr>
              <w:t>5,316 .4</w:t>
            </w:r>
          </w:p>
        </w:tc>
        <w:tc>
          <w:tcPr>
            <w:tcW w:w="1339" w:type="dxa"/>
          </w:tcPr>
          <w:p>
            <w:pPr>
              <w:pStyle w:val="TableParagraph"/>
              <w:spacing w:line="147" w:lineRule="exact" w:before="1"/>
              <w:ind w:left="438"/>
              <w:rPr>
                <w:sz w:val="14"/>
              </w:rPr>
            </w:pPr>
            <w:r>
              <w:rPr>
                <w:sz w:val="14"/>
              </w:rPr>
              <w:t>0 . 3 %</w:t>
            </w:r>
          </w:p>
        </w:tc>
        <w:tc>
          <w:tcPr>
            <w:tcW w:w="1239" w:type="dxa"/>
          </w:tcPr>
          <w:p>
            <w:pPr>
              <w:pStyle w:val="TableParagraph"/>
              <w:spacing w:line="147" w:lineRule="exact" w:before="1"/>
              <w:ind w:right="418"/>
              <w:jc w:val="right"/>
              <w:rPr>
                <w:sz w:val="14"/>
              </w:rPr>
            </w:pPr>
            <w:r>
              <w:rPr>
                <w:sz w:val="14"/>
              </w:rPr>
              <w:t>5,634 .9</w:t>
            </w:r>
          </w:p>
        </w:tc>
        <w:tc>
          <w:tcPr>
            <w:tcW w:w="1247" w:type="dxa"/>
          </w:tcPr>
          <w:p>
            <w:pPr>
              <w:pStyle w:val="TableParagraph"/>
              <w:spacing w:line="147" w:lineRule="exact" w:before="1"/>
              <w:ind w:left="416" w:right="354"/>
              <w:jc w:val="center"/>
              <w:rPr>
                <w:sz w:val="14"/>
              </w:rPr>
            </w:pPr>
            <w:r>
              <w:rPr>
                <w:sz w:val="14"/>
              </w:rPr>
              <w:t>0 . 3 %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Rehabilitation of Inland Valley Swamps</w:t>
            </w:r>
          </w:p>
        </w:tc>
        <w:tc>
          <w:tcPr>
            <w:tcW w:w="1834" w:type="dxa"/>
          </w:tcPr>
          <w:p>
            <w:pPr>
              <w:pStyle w:val="TableParagraph"/>
              <w:spacing w:line="147" w:lineRule="exact" w:before="1"/>
              <w:ind w:right="527"/>
              <w:jc w:val="right"/>
              <w:rPr>
                <w:b/>
                <w:sz w:val="14"/>
              </w:rPr>
            </w:pPr>
            <w:r>
              <w:rPr>
                <w:b/>
                <w:sz w:val="14"/>
              </w:rPr>
              <w:t>3,779.8</w:t>
            </w:r>
          </w:p>
        </w:tc>
        <w:tc>
          <w:tcPr>
            <w:tcW w:w="1487" w:type="dxa"/>
          </w:tcPr>
          <w:p>
            <w:pPr>
              <w:pStyle w:val="TableParagraph"/>
              <w:spacing w:line="147" w:lineRule="exact" w:before="1"/>
              <w:ind w:left="495"/>
              <w:rPr>
                <w:sz w:val="14"/>
              </w:rPr>
            </w:pPr>
            <w:r>
              <w:rPr>
                <w:sz w:val="14"/>
              </w:rPr>
              <w:t>0 . 2 %</w:t>
            </w:r>
          </w:p>
        </w:tc>
        <w:tc>
          <w:tcPr>
            <w:tcW w:w="1575" w:type="dxa"/>
          </w:tcPr>
          <w:p>
            <w:pPr>
              <w:pStyle w:val="TableParagraph"/>
              <w:spacing w:line="147" w:lineRule="exact" w:before="1"/>
              <w:ind w:right="619"/>
              <w:jc w:val="right"/>
              <w:rPr>
                <w:sz w:val="14"/>
              </w:rPr>
            </w:pPr>
            <w:r>
              <w:rPr>
                <w:sz w:val="14"/>
              </w:rPr>
              <w:t>4,655 .9</w:t>
            </w:r>
          </w:p>
        </w:tc>
        <w:tc>
          <w:tcPr>
            <w:tcW w:w="1339" w:type="dxa"/>
          </w:tcPr>
          <w:p>
            <w:pPr>
              <w:pStyle w:val="TableParagraph"/>
              <w:spacing w:line="147" w:lineRule="exact" w:before="1"/>
              <w:ind w:left="438"/>
              <w:rPr>
                <w:sz w:val="14"/>
              </w:rPr>
            </w:pPr>
            <w:r>
              <w:rPr>
                <w:sz w:val="14"/>
              </w:rPr>
              <w:t>0 . 2 %</w:t>
            </w:r>
          </w:p>
        </w:tc>
        <w:tc>
          <w:tcPr>
            <w:tcW w:w="1239" w:type="dxa"/>
          </w:tcPr>
          <w:p>
            <w:pPr>
              <w:pStyle w:val="TableParagraph"/>
              <w:spacing w:line="147" w:lineRule="exact" w:before="1"/>
              <w:ind w:right="418"/>
              <w:jc w:val="right"/>
              <w:rPr>
                <w:sz w:val="14"/>
              </w:rPr>
            </w:pPr>
            <w:r>
              <w:rPr>
                <w:sz w:val="14"/>
              </w:rPr>
              <w:t>4,934 .8</w:t>
            </w:r>
          </w:p>
        </w:tc>
        <w:tc>
          <w:tcPr>
            <w:tcW w:w="1247" w:type="dxa"/>
          </w:tcPr>
          <w:p>
            <w:pPr>
              <w:pStyle w:val="TableParagraph"/>
              <w:spacing w:line="147" w:lineRule="exact" w:before="1"/>
              <w:ind w:left="416" w:right="354"/>
              <w:jc w:val="center"/>
              <w:rPr>
                <w:sz w:val="14"/>
              </w:rPr>
            </w:pPr>
            <w:r>
              <w:rPr>
                <w:sz w:val="14"/>
              </w:rPr>
              <w:t>0 . 2 %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Agricultural Extension Services</w:t>
            </w:r>
          </w:p>
        </w:tc>
        <w:tc>
          <w:tcPr>
            <w:tcW w:w="1834" w:type="dxa"/>
          </w:tcPr>
          <w:p>
            <w:pPr>
              <w:pStyle w:val="TableParagraph"/>
              <w:spacing w:line="147" w:lineRule="exact" w:before="1"/>
              <w:ind w:right="527"/>
              <w:jc w:val="right"/>
              <w:rPr>
                <w:b/>
                <w:sz w:val="14"/>
              </w:rPr>
            </w:pPr>
            <w:r>
              <w:rPr>
                <w:b/>
                <w:sz w:val="14"/>
              </w:rPr>
              <w:t>3,199.4</w:t>
            </w:r>
          </w:p>
        </w:tc>
        <w:tc>
          <w:tcPr>
            <w:tcW w:w="1487" w:type="dxa"/>
          </w:tcPr>
          <w:p>
            <w:pPr>
              <w:pStyle w:val="TableParagraph"/>
              <w:spacing w:line="147" w:lineRule="exact" w:before="1"/>
              <w:ind w:left="495"/>
              <w:rPr>
                <w:sz w:val="14"/>
              </w:rPr>
            </w:pPr>
            <w:r>
              <w:rPr>
                <w:sz w:val="14"/>
              </w:rPr>
              <w:t>0 . 2 %</w:t>
            </w:r>
          </w:p>
        </w:tc>
        <w:tc>
          <w:tcPr>
            <w:tcW w:w="1575" w:type="dxa"/>
          </w:tcPr>
          <w:p>
            <w:pPr>
              <w:pStyle w:val="TableParagraph"/>
              <w:spacing w:line="147" w:lineRule="exact" w:before="1"/>
              <w:ind w:right="619"/>
              <w:jc w:val="right"/>
              <w:rPr>
                <w:sz w:val="14"/>
              </w:rPr>
            </w:pPr>
            <w:r>
              <w:rPr>
                <w:sz w:val="14"/>
              </w:rPr>
              <w:t>3,941 .0</w:t>
            </w:r>
          </w:p>
        </w:tc>
        <w:tc>
          <w:tcPr>
            <w:tcW w:w="1339" w:type="dxa"/>
          </w:tcPr>
          <w:p>
            <w:pPr>
              <w:pStyle w:val="TableParagraph"/>
              <w:spacing w:line="147" w:lineRule="exact" w:before="1"/>
              <w:ind w:left="438"/>
              <w:rPr>
                <w:sz w:val="14"/>
              </w:rPr>
            </w:pPr>
            <w:r>
              <w:rPr>
                <w:sz w:val="14"/>
              </w:rPr>
              <w:t>0 . 2 %</w:t>
            </w:r>
          </w:p>
        </w:tc>
        <w:tc>
          <w:tcPr>
            <w:tcW w:w="1239" w:type="dxa"/>
          </w:tcPr>
          <w:p>
            <w:pPr>
              <w:pStyle w:val="TableParagraph"/>
              <w:spacing w:line="147" w:lineRule="exact" w:before="1"/>
              <w:ind w:right="418"/>
              <w:jc w:val="right"/>
              <w:rPr>
                <w:sz w:val="14"/>
              </w:rPr>
            </w:pPr>
            <w:r>
              <w:rPr>
                <w:sz w:val="14"/>
              </w:rPr>
              <w:t>4,177 .0</w:t>
            </w:r>
          </w:p>
        </w:tc>
        <w:tc>
          <w:tcPr>
            <w:tcW w:w="1247" w:type="dxa"/>
          </w:tcPr>
          <w:p>
            <w:pPr>
              <w:pStyle w:val="TableParagraph"/>
              <w:spacing w:line="147" w:lineRule="exact" w:before="1"/>
              <w:ind w:left="416" w:right="354"/>
              <w:jc w:val="center"/>
              <w:rPr>
                <w:sz w:val="14"/>
              </w:rPr>
            </w:pPr>
            <w:r>
              <w:rPr>
                <w:sz w:val="14"/>
              </w:rPr>
              <w:t>0 . 2 %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Planning, Evaluation, Monitoring and Statistics Division (PEMSD)</w:t>
            </w:r>
          </w:p>
        </w:tc>
        <w:tc>
          <w:tcPr>
            <w:tcW w:w="1834" w:type="dxa"/>
          </w:tcPr>
          <w:p>
            <w:pPr>
              <w:pStyle w:val="TableParagraph"/>
              <w:spacing w:line="147" w:lineRule="exact" w:before="1"/>
              <w:ind w:right="527"/>
              <w:jc w:val="right"/>
              <w:rPr>
                <w:b/>
                <w:sz w:val="14"/>
              </w:rPr>
            </w:pPr>
            <w:r>
              <w:rPr>
                <w:b/>
                <w:sz w:val="14"/>
              </w:rPr>
              <w:t>2,483.7</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3,059 .4</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3,242 .6</w:t>
            </w:r>
          </w:p>
        </w:tc>
        <w:tc>
          <w:tcPr>
            <w:tcW w:w="1247" w:type="dxa"/>
          </w:tcPr>
          <w:p>
            <w:pPr>
              <w:pStyle w:val="TableParagraph"/>
              <w:spacing w:line="147" w:lineRule="exact" w:before="1"/>
              <w:ind w:left="416" w:right="354"/>
              <w:jc w:val="center"/>
              <w:rPr>
                <w:sz w:val="14"/>
              </w:rPr>
            </w:pPr>
            <w:r>
              <w:rPr>
                <w:sz w:val="14"/>
              </w:rPr>
              <w:t>0 . 2 %</w:t>
            </w:r>
          </w:p>
        </w:tc>
      </w:tr>
      <w:tr>
        <w:trPr>
          <w:trHeight w:val="167"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o/ w: Collection and Analysis of Agricultural Statistics</w:t>
            </w:r>
          </w:p>
        </w:tc>
        <w:tc>
          <w:tcPr>
            <w:tcW w:w="1834" w:type="dxa"/>
          </w:tcPr>
          <w:p>
            <w:pPr>
              <w:pStyle w:val="TableParagraph"/>
              <w:spacing w:line="147" w:lineRule="exact" w:before="1"/>
              <w:ind w:right="527"/>
              <w:jc w:val="right"/>
              <w:rPr>
                <w:b/>
                <w:sz w:val="14"/>
              </w:rPr>
            </w:pPr>
            <w:r>
              <w:rPr>
                <w:b/>
                <w:sz w:val="14"/>
              </w:rPr>
              <w:t>1,013.5</w:t>
            </w:r>
          </w:p>
        </w:tc>
        <w:tc>
          <w:tcPr>
            <w:tcW w:w="1487" w:type="dxa"/>
          </w:tcPr>
          <w:p>
            <w:pPr>
              <w:pStyle w:val="TableParagraph"/>
              <w:spacing w:line="147" w:lineRule="exact" w:before="1"/>
              <w:ind w:left="495"/>
              <w:rPr>
                <w:sz w:val="14"/>
              </w:rPr>
            </w:pPr>
            <w:r>
              <w:rPr>
                <w:sz w:val="14"/>
              </w:rPr>
              <w:t>0 . 0 %</w:t>
            </w:r>
          </w:p>
        </w:tc>
        <w:tc>
          <w:tcPr>
            <w:tcW w:w="1575" w:type="dxa"/>
          </w:tcPr>
          <w:p>
            <w:pPr>
              <w:pStyle w:val="TableParagraph"/>
              <w:spacing w:line="147" w:lineRule="exact" w:before="1"/>
              <w:ind w:right="619"/>
              <w:jc w:val="right"/>
              <w:rPr>
                <w:sz w:val="14"/>
              </w:rPr>
            </w:pPr>
            <w:r>
              <w:rPr>
                <w:sz w:val="14"/>
              </w:rPr>
              <w:t>1,248 .4</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1,323 .2</w:t>
            </w:r>
          </w:p>
        </w:tc>
        <w:tc>
          <w:tcPr>
            <w:tcW w:w="1247" w:type="dxa"/>
          </w:tcPr>
          <w:p>
            <w:pPr>
              <w:pStyle w:val="TableParagraph"/>
              <w:spacing w:line="147" w:lineRule="exact" w:before="1"/>
              <w:ind w:left="416" w:right="354"/>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595" w:type="dxa"/>
          </w:tcPr>
          <w:p>
            <w:pPr>
              <w:pStyle w:val="TableParagraph"/>
              <w:spacing w:line="147" w:lineRule="exact" w:before="1"/>
              <w:ind w:left="263"/>
              <w:rPr>
                <w:sz w:val="14"/>
              </w:rPr>
            </w:pPr>
            <w:r>
              <w:rPr>
                <w:sz w:val="14"/>
              </w:rPr>
              <w:t>Livestock Division</w:t>
            </w:r>
          </w:p>
        </w:tc>
        <w:tc>
          <w:tcPr>
            <w:tcW w:w="1834" w:type="dxa"/>
          </w:tcPr>
          <w:p>
            <w:pPr>
              <w:pStyle w:val="TableParagraph"/>
              <w:spacing w:line="147" w:lineRule="exact" w:before="1"/>
              <w:ind w:right="527"/>
              <w:jc w:val="right"/>
              <w:rPr>
                <w:b/>
                <w:sz w:val="14"/>
              </w:rPr>
            </w:pPr>
            <w:r>
              <w:rPr>
                <w:b/>
                <w:sz w:val="14"/>
              </w:rPr>
              <w:t>6,759.3</w:t>
            </w:r>
          </w:p>
        </w:tc>
        <w:tc>
          <w:tcPr>
            <w:tcW w:w="1487" w:type="dxa"/>
          </w:tcPr>
          <w:p>
            <w:pPr>
              <w:pStyle w:val="TableParagraph"/>
              <w:spacing w:line="147" w:lineRule="exact" w:before="1"/>
              <w:ind w:left="495"/>
              <w:rPr>
                <w:sz w:val="14"/>
              </w:rPr>
            </w:pPr>
            <w:r>
              <w:rPr>
                <w:sz w:val="14"/>
              </w:rPr>
              <w:t>0 . 3 %</w:t>
            </w:r>
          </w:p>
        </w:tc>
        <w:tc>
          <w:tcPr>
            <w:tcW w:w="1575" w:type="dxa"/>
          </w:tcPr>
          <w:p>
            <w:pPr>
              <w:pStyle w:val="TableParagraph"/>
              <w:spacing w:line="147" w:lineRule="exact" w:before="1"/>
              <w:ind w:right="619"/>
              <w:jc w:val="right"/>
              <w:rPr>
                <w:sz w:val="14"/>
              </w:rPr>
            </w:pPr>
            <w:r>
              <w:rPr>
                <w:sz w:val="14"/>
              </w:rPr>
              <w:t>8,326 .0</w:t>
            </w:r>
          </w:p>
        </w:tc>
        <w:tc>
          <w:tcPr>
            <w:tcW w:w="1339" w:type="dxa"/>
          </w:tcPr>
          <w:p>
            <w:pPr>
              <w:pStyle w:val="TableParagraph"/>
              <w:spacing w:line="147" w:lineRule="exact" w:before="1"/>
              <w:ind w:left="438"/>
              <w:rPr>
                <w:sz w:val="14"/>
              </w:rPr>
            </w:pPr>
            <w:r>
              <w:rPr>
                <w:sz w:val="14"/>
              </w:rPr>
              <w:t>0 . 4 %</w:t>
            </w:r>
          </w:p>
        </w:tc>
        <w:tc>
          <w:tcPr>
            <w:tcW w:w="1239" w:type="dxa"/>
          </w:tcPr>
          <w:p>
            <w:pPr>
              <w:pStyle w:val="TableParagraph"/>
              <w:spacing w:line="147" w:lineRule="exact" w:before="1"/>
              <w:ind w:right="418"/>
              <w:jc w:val="right"/>
              <w:rPr>
                <w:sz w:val="14"/>
              </w:rPr>
            </w:pPr>
            <w:r>
              <w:rPr>
                <w:sz w:val="14"/>
              </w:rPr>
              <w:t>8,824 .8</w:t>
            </w:r>
          </w:p>
        </w:tc>
        <w:tc>
          <w:tcPr>
            <w:tcW w:w="1247" w:type="dxa"/>
          </w:tcPr>
          <w:p>
            <w:pPr>
              <w:pStyle w:val="TableParagraph"/>
              <w:spacing w:line="147" w:lineRule="exact" w:before="1"/>
              <w:ind w:left="416" w:right="354"/>
              <w:jc w:val="center"/>
              <w:rPr>
                <w:sz w:val="14"/>
              </w:rPr>
            </w:pPr>
            <w:r>
              <w:rPr>
                <w:sz w:val="14"/>
              </w:rPr>
              <w:t>0 . 4 %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Procurement of Livestock</w:t>
            </w:r>
          </w:p>
        </w:tc>
        <w:tc>
          <w:tcPr>
            <w:tcW w:w="1834" w:type="dxa"/>
          </w:tcPr>
          <w:p>
            <w:pPr>
              <w:pStyle w:val="TableParagraph"/>
              <w:spacing w:line="147" w:lineRule="exact" w:before="1"/>
              <w:ind w:right="527"/>
              <w:jc w:val="right"/>
              <w:rPr>
                <w:b/>
                <w:sz w:val="14"/>
              </w:rPr>
            </w:pPr>
            <w:r>
              <w:rPr>
                <w:b/>
                <w:sz w:val="14"/>
              </w:rPr>
              <w:t>2,234.8</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2,752 .8</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2,917 .7</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Establishment of District Livestock Clinics</w:t>
            </w:r>
          </w:p>
        </w:tc>
        <w:tc>
          <w:tcPr>
            <w:tcW w:w="1834" w:type="dxa"/>
          </w:tcPr>
          <w:p>
            <w:pPr>
              <w:pStyle w:val="TableParagraph"/>
              <w:spacing w:line="147" w:lineRule="exact" w:before="1"/>
              <w:ind w:right="527"/>
              <w:jc w:val="right"/>
              <w:rPr>
                <w:b/>
                <w:sz w:val="14"/>
              </w:rPr>
            </w:pPr>
            <w:r>
              <w:rPr>
                <w:b/>
                <w:sz w:val="14"/>
              </w:rPr>
              <w:t>1,544.6</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1,902 .6</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2,016 .6</w:t>
            </w:r>
          </w:p>
        </w:tc>
        <w:tc>
          <w:tcPr>
            <w:tcW w:w="1247" w:type="dxa"/>
          </w:tcPr>
          <w:p>
            <w:pPr>
              <w:pStyle w:val="TableParagraph"/>
              <w:spacing w:line="147" w:lineRule="exact" w:before="1"/>
              <w:ind w:left="416" w:right="354"/>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595" w:type="dxa"/>
          </w:tcPr>
          <w:p>
            <w:pPr>
              <w:pStyle w:val="TableParagraph"/>
              <w:spacing w:line="147" w:lineRule="exact" w:before="1"/>
              <w:ind w:left="431"/>
              <w:rPr>
                <w:sz w:val="14"/>
              </w:rPr>
            </w:pPr>
            <w:r>
              <w:rPr>
                <w:sz w:val="14"/>
              </w:rPr>
              <w:t>Training of Community Animal Health Workers</w:t>
            </w:r>
          </w:p>
        </w:tc>
        <w:tc>
          <w:tcPr>
            <w:tcW w:w="1834" w:type="dxa"/>
          </w:tcPr>
          <w:p>
            <w:pPr>
              <w:pStyle w:val="TableParagraph"/>
              <w:spacing w:line="147" w:lineRule="exact" w:before="1"/>
              <w:ind w:right="527"/>
              <w:jc w:val="right"/>
              <w:rPr>
                <w:b/>
                <w:sz w:val="14"/>
              </w:rPr>
            </w:pPr>
            <w:r>
              <w:rPr>
                <w:b/>
                <w:sz w:val="14"/>
              </w:rPr>
              <w:t>1,513.4</w:t>
            </w:r>
          </w:p>
        </w:tc>
        <w:tc>
          <w:tcPr>
            <w:tcW w:w="1487" w:type="dxa"/>
          </w:tcPr>
          <w:p>
            <w:pPr>
              <w:pStyle w:val="TableParagraph"/>
              <w:spacing w:line="147" w:lineRule="exact" w:before="1"/>
              <w:ind w:left="495"/>
              <w:rPr>
                <w:sz w:val="14"/>
              </w:rPr>
            </w:pPr>
            <w:r>
              <w:rPr>
                <w:sz w:val="14"/>
              </w:rPr>
              <w:t>0 . 1 %</w:t>
            </w:r>
          </w:p>
        </w:tc>
        <w:tc>
          <w:tcPr>
            <w:tcW w:w="1575" w:type="dxa"/>
          </w:tcPr>
          <w:p>
            <w:pPr>
              <w:pStyle w:val="TableParagraph"/>
              <w:spacing w:line="147" w:lineRule="exact" w:before="1"/>
              <w:ind w:right="619"/>
              <w:jc w:val="right"/>
              <w:rPr>
                <w:sz w:val="14"/>
              </w:rPr>
            </w:pPr>
            <w:r>
              <w:rPr>
                <w:sz w:val="14"/>
              </w:rPr>
              <w:t>1,864 .2</w:t>
            </w:r>
          </w:p>
        </w:tc>
        <w:tc>
          <w:tcPr>
            <w:tcW w:w="1339" w:type="dxa"/>
          </w:tcPr>
          <w:p>
            <w:pPr>
              <w:pStyle w:val="TableParagraph"/>
              <w:spacing w:line="147" w:lineRule="exact" w:before="1"/>
              <w:ind w:left="438"/>
              <w:rPr>
                <w:sz w:val="14"/>
              </w:rPr>
            </w:pPr>
            <w:r>
              <w:rPr>
                <w:sz w:val="14"/>
              </w:rPr>
              <w:t>0 . 1 %</w:t>
            </w:r>
          </w:p>
        </w:tc>
        <w:tc>
          <w:tcPr>
            <w:tcW w:w="1239" w:type="dxa"/>
          </w:tcPr>
          <w:p>
            <w:pPr>
              <w:pStyle w:val="TableParagraph"/>
              <w:spacing w:line="147" w:lineRule="exact" w:before="1"/>
              <w:ind w:right="418"/>
              <w:jc w:val="right"/>
              <w:rPr>
                <w:sz w:val="14"/>
              </w:rPr>
            </w:pPr>
            <w:r>
              <w:rPr>
                <w:sz w:val="14"/>
              </w:rPr>
              <w:t>1,975 .9</w:t>
            </w:r>
          </w:p>
        </w:tc>
        <w:tc>
          <w:tcPr>
            <w:tcW w:w="1247" w:type="dxa"/>
          </w:tcPr>
          <w:p>
            <w:pPr>
              <w:pStyle w:val="TableParagraph"/>
              <w:spacing w:line="147" w:lineRule="exact" w:before="1"/>
              <w:ind w:left="416" w:right="354"/>
              <w:jc w:val="center"/>
              <w:rPr>
                <w:sz w:val="14"/>
              </w:rPr>
            </w:pPr>
            <w:r>
              <w:rPr>
                <w:sz w:val="14"/>
              </w:rPr>
              <w:t>0 . 1 %</w:t>
            </w:r>
          </w:p>
        </w:tc>
      </w:tr>
      <w:tr>
        <w:trPr>
          <w:trHeight w:val="196" w:hRule="atLeast"/>
        </w:trPr>
        <w:tc>
          <w:tcPr>
            <w:tcW w:w="471" w:type="dxa"/>
          </w:tcPr>
          <w:p>
            <w:pPr>
              <w:pStyle w:val="TableParagraph"/>
              <w:rPr>
                <w:rFonts w:ascii="Times New Roman"/>
                <w:sz w:val="12"/>
              </w:rPr>
            </w:pPr>
          </w:p>
        </w:tc>
        <w:tc>
          <w:tcPr>
            <w:tcW w:w="5595" w:type="dxa"/>
          </w:tcPr>
          <w:p>
            <w:pPr>
              <w:pStyle w:val="TableParagraph"/>
              <w:spacing w:before="1"/>
              <w:ind w:left="431"/>
              <w:rPr>
                <w:sz w:val="14"/>
              </w:rPr>
            </w:pPr>
            <w:r>
              <w:rPr>
                <w:sz w:val="14"/>
              </w:rPr>
              <w:t>Procurement of Animal Vaccines</w:t>
            </w:r>
          </w:p>
        </w:tc>
        <w:tc>
          <w:tcPr>
            <w:tcW w:w="1834" w:type="dxa"/>
          </w:tcPr>
          <w:p>
            <w:pPr>
              <w:pStyle w:val="TableParagraph"/>
              <w:spacing w:before="1"/>
              <w:ind w:right="527"/>
              <w:jc w:val="right"/>
              <w:rPr>
                <w:b/>
                <w:sz w:val="14"/>
              </w:rPr>
            </w:pPr>
            <w:r>
              <w:rPr>
                <w:b/>
                <w:sz w:val="14"/>
              </w:rPr>
              <w:t>1,466.5</w:t>
            </w:r>
          </w:p>
        </w:tc>
        <w:tc>
          <w:tcPr>
            <w:tcW w:w="1487" w:type="dxa"/>
          </w:tcPr>
          <w:p>
            <w:pPr>
              <w:pStyle w:val="TableParagraph"/>
              <w:spacing w:before="1"/>
              <w:ind w:left="495"/>
              <w:rPr>
                <w:sz w:val="14"/>
              </w:rPr>
            </w:pPr>
            <w:r>
              <w:rPr>
                <w:sz w:val="14"/>
              </w:rPr>
              <w:t>0 . 1 %</w:t>
            </w:r>
          </w:p>
        </w:tc>
        <w:tc>
          <w:tcPr>
            <w:tcW w:w="1575" w:type="dxa"/>
          </w:tcPr>
          <w:p>
            <w:pPr>
              <w:pStyle w:val="TableParagraph"/>
              <w:spacing w:before="1"/>
              <w:ind w:right="619"/>
              <w:jc w:val="right"/>
              <w:rPr>
                <w:sz w:val="14"/>
              </w:rPr>
            </w:pPr>
            <w:r>
              <w:rPr>
                <w:sz w:val="14"/>
              </w:rPr>
              <w:t>1,806 .4</w:t>
            </w:r>
          </w:p>
        </w:tc>
        <w:tc>
          <w:tcPr>
            <w:tcW w:w="1339" w:type="dxa"/>
          </w:tcPr>
          <w:p>
            <w:pPr>
              <w:pStyle w:val="TableParagraph"/>
              <w:spacing w:before="1"/>
              <w:ind w:left="438"/>
              <w:rPr>
                <w:sz w:val="14"/>
              </w:rPr>
            </w:pPr>
            <w:r>
              <w:rPr>
                <w:sz w:val="14"/>
              </w:rPr>
              <w:t>0 . 1 %</w:t>
            </w:r>
          </w:p>
        </w:tc>
        <w:tc>
          <w:tcPr>
            <w:tcW w:w="1239" w:type="dxa"/>
          </w:tcPr>
          <w:p>
            <w:pPr>
              <w:pStyle w:val="TableParagraph"/>
              <w:spacing w:before="1"/>
              <w:ind w:right="418"/>
              <w:jc w:val="right"/>
              <w:rPr>
                <w:sz w:val="14"/>
              </w:rPr>
            </w:pPr>
            <w:r>
              <w:rPr>
                <w:sz w:val="14"/>
              </w:rPr>
              <w:t>1,914 .6</w:t>
            </w:r>
          </w:p>
        </w:tc>
        <w:tc>
          <w:tcPr>
            <w:tcW w:w="1247" w:type="dxa"/>
          </w:tcPr>
          <w:p>
            <w:pPr>
              <w:pStyle w:val="TableParagraph"/>
              <w:spacing w:before="1"/>
              <w:ind w:left="416" w:right="354"/>
              <w:jc w:val="center"/>
              <w:rPr>
                <w:sz w:val="14"/>
              </w:rPr>
            </w:pPr>
            <w:r>
              <w:rPr>
                <w:sz w:val="14"/>
              </w:rPr>
              <w:t>0 . 1 %</w:t>
            </w:r>
          </w:p>
        </w:tc>
      </w:tr>
    </w:tbl>
    <w:p>
      <w:pPr>
        <w:spacing w:after="0"/>
        <w:jc w:val="center"/>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87.550018pt;width:14.35pt;height:16.25pt;mso-position-horizontal-relative:page;mso-position-vertical-relative:page;z-index:1360" type="#_x0000_t202" filled="false" stroked="false">
            <v:textbox inset="0,0,0,0" style="layout-flow:vertical">
              <w:txbxContent>
                <w:p>
                  <w:pPr>
                    <w:spacing w:before="13"/>
                    <w:ind w:left="20" w:right="0" w:firstLine="0"/>
                    <w:jc w:val="left"/>
                    <w:rPr>
                      <w:rFonts w:ascii="Arial"/>
                      <w:sz w:val="22"/>
                    </w:rPr>
                  </w:pPr>
                  <w:r>
                    <w:rPr>
                      <w:rFonts w:ascii="Arial"/>
                      <w:sz w:val="22"/>
                    </w:rPr>
                    <w:t>xiii</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
        <w:gridCol w:w="5792"/>
        <w:gridCol w:w="1639"/>
        <w:gridCol w:w="1443"/>
        <w:gridCol w:w="1622"/>
        <w:gridCol w:w="1298"/>
        <w:gridCol w:w="1284"/>
        <w:gridCol w:w="1249"/>
      </w:tblGrid>
      <w:tr>
        <w:trPr>
          <w:trHeight w:val="568" w:hRule="atLeast"/>
        </w:trPr>
        <w:tc>
          <w:tcPr>
            <w:tcW w:w="472" w:type="dxa"/>
            <w:tcBorders>
              <w:bottom w:val="single" w:sz="4" w:space="0" w:color="000000"/>
            </w:tcBorders>
          </w:tcPr>
          <w:p>
            <w:pPr>
              <w:pStyle w:val="TableParagraph"/>
              <w:rPr>
                <w:rFonts w:ascii="Times New Roman"/>
                <w:sz w:val="14"/>
              </w:rPr>
            </w:pPr>
          </w:p>
        </w:tc>
        <w:tc>
          <w:tcPr>
            <w:tcW w:w="5792" w:type="dxa"/>
            <w:tcBorders>
              <w:bottom w:val="single" w:sz="4" w:space="0" w:color="000000"/>
            </w:tcBorders>
          </w:tcPr>
          <w:p>
            <w:pPr>
              <w:pStyle w:val="TableParagraph"/>
              <w:rPr>
                <w:rFonts w:ascii="Times New Roman"/>
                <w:sz w:val="14"/>
              </w:rPr>
            </w:pPr>
          </w:p>
        </w:tc>
        <w:tc>
          <w:tcPr>
            <w:tcW w:w="1639" w:type="dxa"/>
            <w:tcBorders>
              <w:bottom w:val="single" w:sz="4" w:space="0" w:color="000000"/>
            </w:tcBorders>
          </w:tcPr>
          <w:p>
            <w:pPr>
              <w:pStyle w:val="TableParagraph"/>
              <w:spacing w:before="29"/>
              <w:ind w:left="628" w:right="363"/>
              <w:jc w:val="center"/>
              <w:rPr>
                <w:b/>
                <w:sz w:val="14"/>
              </w:rPr>
            </w:pPr>
            <w:r>
              <w:rPr>
                <w:b/>
                <w:spacing w:val="2"/>
                <w:sz w:val="14"/>
              </w:rPr>
              <w:t>FY</w:t>
            </w:r>
            <w:r>
              <w:rPr>
                <w:b/>
                <w:spacing w:val="6"/>
                <w:sz w:val="14"/>
              </w:rPr>
              <w:t> </w:t>
            </w:r>
            <w:r>
              <w:rPr>
                <w:b/>
                <w:spacing w:val="4"/>
                <w:sz w:val="14"/>
              </w:rPr>
              <w:t>2020</w:t>
            </w:r>
          </w:p>
          <w:p>
            <w:pPr>
              <w:pStyle w:val="TableParagraph"/>
              <w:spacing w:before="17"/>
              <w:ind w:left="654" w:right="265"/>
              <w:jc w:val="center"/>
              <w:rPr>
                <w:b/>
                <w:sz w:val="14"/>
              </w:rPr>
            </w:pPr>
            <w:r>
              <w:rPr>
                <w:b/>
                <w:sz w:val="14"/>
              </w:rPr>
              <w:t>Budget</w:t>
            </w:r>
          </w:p>
        </w:tc>
        <w:tc>
          <w:tcPr>
            <w:tcW w:w="1443" w:type="dxa"/>
            <w:tcBorders>
              <w:bottom w:val="single" w:sz="4" w:space="0" w:color="000000"/>
            </w:tcBorders>
          </w:tcPr>
          <w:p>
            <w:pPr>
              <w:pStyle w:val="TableParagraph"/>
              <w:spacing w:line="264" w:lineRule="auto" w:before="29"/>
              <w:ind w:left="386" w:right="98" w:firstLine="91"/>
              <w:rPr>
                <w:sz w:val="14"/>
              </w:rPr>
            </w:pPr>
            <w:r>
              <w:rPr>
                <w:sz w:val="14"/>
              </w:rPr>
              <w:t>% of Total Non Int/ Sal</w:t>
            </w:r>
          </w:p>
        </w:tc>
        <w:tc>
          <w:tcPr>
            <w:tcW w:w="1622" w:type="dxa"/>
            <w:tcBorders>
              <w:bottom w:val="single" w:sz="4" w:space="0" w:color="000000"/>
            </w:tcBorders>
          </w:tcPr>
          <w:p>
            <w:pPr>
              <w:pStyle w:val="TableParagraph"/>
              <w:spacing w:before="29"/>
              <w:ind w:left="667"/>
              <w:rPr>
                <w:sz w:val="14"/>
              </w:rPr>
            </w:pPr>
            <w:r>
              <w:rPr>
                <w:sz w:val="14"/>
              </w:rPr>
              <w:t>FY</w:t>
            </w:r>
            <w:r>
              <w:rPr>
                <w:spacing w:val="17"/>
                <w:sz w:val="14"/>
              </w:rPr>
              <w:t> </w:t>
            </w:r>
            <w:r>
              <w:rPr>
                <w:spacing w:val="4"/>
                <w:sz w:val="14"/>
              </w:rPr>
              <w:t>2021</w:t>
            </w:r>
          </w:p>
          <w:p>
            <w:pPr>
              <w:pStyle w:val="TableParagraph"/>
              <w:spacing w:before="17"/>
              <w:ind w:left="595"/>
              <w:rPr>
                <w:sz w:val="14"/>
              </w:rPr>
            </w:pPr>
            <w:r>
              <w:rPr>
                <w:spacing w:val="3"/>
                <w:sz w:val="14"/>
              </w:rPr>
              <w:t>Indicative</w:t>
            </w:r>
          </w:p>
        </w:tc>
        <w:tc>
          <w:tcPr>
            <w:tcW w:w="1298" w:type="dxa"/>
            <w:tcBorders>
              <w:bottom w:val="single" w:sz="4" w:space="0" w:color="000000"/>
            </w:tcBorders>
          </w:tcPr>
          <w:p>
            <w:pPr>
              <w:pStyle w:val="TableParagraph"/>
              <w:spacing w:line="249" w:lineRule="auto" w:before="29"/>
              <w:ind w:left="383" w:right="157" w:firstLine="86"/>
              <w:jc w:val="both"/>
              <w:rPr>
                <w:sz w:val="14"/>
              </w:rPr>
            </w:pPr>
            <w:r>
              <w:rPr>
                <w:sz w:val="14"/>
              </w:rPr>
              <w:t>% of Total Non Int/ Sal Recurr Exp</w:t>
            </w:r>
          </w:p>
        </w:tc>
        <w:tc>
          <w:tcPr>
            <w:tcW w:w="1284" w:type="dxa"/>
            <w:tcBorders>
              <w:bottom w:val="single" w:sz="4" w:space="0" w:color="000000"/>
            </w:tcBorders>
          </w:tcPr>
          <w:p>
            <w:pPr>
              <w:pStyle w:val="TableParagraph"/>
              <w:spacing w:before="29"/>
              <w:ind w:left="526"/>
              <w:rPr>
                <w:sz w:val="14"/>
              </w:rPr>
            </w:pPr>
            <w:r>
              <w:rPr>
                <w:sz w:val="14"/>
              </w:rPr>
              <w:t>FY</w:t>
            </w:r>
            <w:r>
              <w:rPr>
                <w:spacing w:val="17"/>
                <w:sz w:val="14"/>
              </w:rPr>
              <w:t> </w:t>
            </w:r>
            <w:r>
              <w:rPr>
                <w:spacing w:val="4"/>
                <w:sz w:val="14"/>
              </w:rPr>
              <w:t>2022</w:t>
            </w:r>
          </w:p>
          <w:p>
            <w:pPr>
              <w:pStyle w:val="TableParagraph"/>
              <w:spacing w:before="17"/>
              <w:ind w:left="454"/>
              <w:rPr>
                <w:sz w:val="14"/>
              </w:rPr>
            </w:pPr>
            <w:r>
              <w:rPr>
                <w:spacing w:val="3"/>
                <w:sz w:val="14"/>
              </w:rPr>
              <w:t>Indicative</w:t>
            </w:r>
          </w:p>
        </w:tc>
        <w:tc>
          <w:tcPr>
            <w:tcW w:w="1249" w:type="dxa"/>
            <w:tcBorders>
              <w:bottom w:val="single" w:sz="4" w:space="0" w:color="000000"/>
            </w:tcBorders>
          </w:tcPr>
          <w:p>
            <w:pPr>
              <w:pStyle w:val="TableParagraph"/>
              <w:spacing w:line="249" w:lineRule="auto" w:before="29"/>
              <w:ind w:left="182" w:right="309" w:firstLine="86"/>
              <w:jc w:val="both"/>
              <w:rPr>
                <w:sz w:val="14"/>
              </w:rPr>
            </w:pPr>
            <w:r>
              <w:rPr>
                <w:sz w:val="14"/>
              </w:rPr>
              <w:t>% of Total Non Int/ Sal Recurr Exp</w:t>
            </w:r>
          </w:p>
        </w:tc>
      </w:tr>
      <w:tr>
        <w:trPr>
          <w:trHeight w:val="270" w:hRule="atLeast"/>
        </w:trPr>
        <w:tc>
          <w:tcPr>
            <w:tcW w:w="472" w:type="dxa"/>
            <w:tcBorders>
              <w:top w:val="single" w:sz="4" w:space="0" w:color="000000"/>
            </w:tcBorders>
          </w:tcPr>
          <w:p>
            <w:pPr>
              <w:pStyle w:val="TableParagraph"/>
              <w:spacing w:line="147" w:lineRule="exact" w:before="103"/>
              <w:ind w:left="125"/>
              <w:rPr>
                <w:sz w:val="14"/>
              </w:rPr>
            </w:pPr>
            <w:r>
              <w:rPr>
                <w:sz w:val="14"/>
              </w:rPr>
              <w:t>402</w:t>
            </w:r>
          </w:p>
        </w:tc>
        <w:tc>
          <w:tcPr>
            <w:tcW w:w="5792" w:type="dxa"/>
            <w:tcBorders>
              <w:top w:val="single" w:sz="4" w:space="0" w:color="000000"/>
            </w:tcBorders>
          </w:tcPr>
          <w:p>
            <w:pPr>
              <w:pStyle w:val="TableParagraph"/>
              <w:spacing w:line="147" w:lineRule="exact" w:before="103"/>
              <w:ind w:left="95"/>
              <w:rPr>
                <w:sz w:val="14"/>
              </w:rPr>
            </w:pPr>
            <w:r>
              <w:rPr>
                <w:sz w:val="14"/>
              </w:rPr>
              <w:t>Ministry of Fisheries and Marine Resources</w:t>
            </w:r>
          </w:p>
        </w:tc>
        <w:tc>
          <w:tcPr>
            <w:tcW w:w="1639" w:type="dxa"/>
            <w:tcBorders>
              <w:top w:val="single" w:sz="4" w:space="0" w:color="000000"/>
            </w:tcBorders>
          </w:tcPr>
          <w:p>
            <w:pPr>
              <w:pStyle w:val="TableParagraph"/>
              <w:spacing w:line="147" w:lineRule="exact" w:before="103"/>
              <w:ind w:right="532"/>
              <w:jc w:val="right"/>
              <w:rPr>
                <w:b/>
                <w:sz w:val="14"/>
              </w:rPr>
            </w:pPr>
            <w:r>
              <w:rPr>
                <w:b/>
                <w:sz w:val="14"/>
              </w:rPr>
              <w:t>12,578.2</w:t>
            </w:r>
          </w:p>
        </w:tc>
        <w:tc>
          <w:tcPr>
            <w:tcW w:w="1443" w:type="dxa"/>
            <w:tcBorders>
              <w:top w:val="single" w:sz="4" w:space="0" w:color="000000"/>
            </w:tcBorders>
          </w:tcPr>
          <w:p>
            <w:pPr>
              <w:pStyle w:val="TableParagraph"/>
              <w:spacing w:line="147" w:lineRule="exact" w:before="103"/>
              <w:ind w:left="492"/>
              <w:rPr>
                <w:sz w:val="14"/>
              </w:rPr>
            </w:pPr>
            <w:r>
              <w:rPr>
                <w:sz w:val="14"/>
              </w:rPr>
              <w:t>0 . 6 %</w:t>
            </w:r>
          </w:p>
        </w:tc>
        <w:tc>
          <w:tcPr>
            <w:tcW w:w="1622" w:type="dxa"/>
            <w:tcBorders>
              <w:top w:val="single" w:sz="4" w:space="0" w:color="000000"/>
            </w:tcBorders>
          </w:tcPr>
          <w:p>
            <w:pPr>
              <w:pStyle w:val="TableParagraph"/>
              <w:spacing w:line="147" w:lineRule="exact" w:before="103"/>
              <w:ind w:right="629"/>
              <w:jc w:val="right"/>
              <w:rPr>
                <w:sz w:val="14"/>
              </w:rPr>
            </w:pPr>
            <w:r>
              <w:rPr>
                <w:sz w:val="14"/>
              </w:rPr>
              <w:t>15,001.0</w:t>
            </w:r>
          </w:p>
        </w:tc>
        <w:tc>
          <w:tcPr>
            <w:tcW w:w="1298" w:type="dxa"/>
            <w:tcBorders>
              <w:top w:val="single" w:sz="4" w:space="0" w:color="000000"/>
            </w:tcBorders>
          </w:tcPr>
          <w:p>
            <w:pPr>
              <w:pStyle w:val="TableParagraph"/>
              <w:spacing w:line="147" w:lineRule="exact" w:before="103"/>
              <w:ind w:left="432"/>
              <w:rPr>
                <w:sz w:val="14"/>
              </w:rPr>
            </w:pPr>
            <w:r>
              <w:rPr>
                <w:sz w:val="14"/>
              </w:rPr>
              <w:t>0 . 7 %</w:t>
            </w:r>
          </w:p>
        </w:tc>
        <w:tc>
          <w:tcPr>
            <w:tcW w:w="1284" w:type="dxa"/>
            <w:tcBorders>
              <w:top w:val="single" w:sz="4" w:space="0" w:color="000000"/>
            </w:tcBorders>
          </w:tcPr>
          <w:p>
            <w:pPr>
              <w:pStyle w:val="TableParagraph"/>
              <w:spacing w:line="147" w:lineRule="exact" w:before="103"/>
              <w:ind w:right="432"/>
              <w:jc w:val="right"/>
              <w:rPr>
                <w:sz w:val="14"/>
              </w:rPr>
            </w:pPr>
            <w:r>
              <w:rPr>
                <w:sz w:val="14"/>
              </w:rPr>
              <w:t>15,899.6</w:t>
            </w:r>
          </w:p>
        </w:tc>
        <w:tc>
          <w:tcPr>
            <w:tcW w:w="1249" w:type="dxa"/>
            <w:tcBorders>
              <w:top w:val="single" w:sz="4" w:space="0" w:color="000000"/>
            </w:tcBorders>
          </w:tcPr>
          <w:p>
            <w:pPr>
              <w:pStyle w:val="TableParagraph"/>
              <w:spacing w:line="147" w:lineRule="exact" w:before="103"/>
              <w:ind w:left="406" w:right="366"/>
              <w:jc w:val="center"/>
              <w:rPr>
                <w:sz w:val="14"/>
              </w:rPr>
            </w:pPr>
            <w:r>
              <w:rPr>
                <w:sz w:val="14"/>
              </w:rPr>
              <w:t>0 . 8 %</w:t>
            </w:r>
          </w:p>
        </w:tc>
      </w:tr>
      <w:tr>
        <w:trPr>
          <w:trHeight w:val="167"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Administrative and Operating Costs</w:t>
            </w:r>
          </w:p>
        </w:tc>
        <w:tc>
          <w:tcPr>
            <w:tcW w:w="1639" w:type="dxa"/>
          </w:tcPr>
          <w:p>
            <w:pPr>
              <w:pStyle w:val="TableParagraph"/>
              <w:spacing w:line="147" w:lineRule="exact" w:before="1"/>
              <w:ind w:right="525"/>
              <w:jc w:val="right"/>
              <w:rPr>
                <w:b/>
                <w:sz w:val="14"/>
              </w:rPr>
            </w:pPr>
            <w:r>
              <w:rPr>
                <w:b/>
                <w:sz w:val="14"/>
              </w:rPr>
              <w:t>1,901.6</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1,849 .7</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1,960 .4</w:t>
            </w:r>
          </w:p>
        </w:tc>
        <w:tc>
          <w:tcPr>
            <w:tcW w:w="1249" w:type="dxa"/>
          </w:tcPr>
          <w:p>
            <w:pPr>
              <w:pStyle w:val="TableParagraph"/>
              <w:spacing w:line="147" w:lineRule="exact" w:before="1"/>
              <w:ind w:left="406" w:right="366"/>
              <w:jc w:val="center"/>
              <w:rPr>
                <w:sz w:val="14"/>
              </w:rPr>
            </w:pPr>
            <w:r>
              <w:rPr>
                <w:sz w:val="14"/>
              </w:rPr>
              <w:t>0 . 1 %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Support to Artisanal Fishing</w:t>
            </w:r>
          </w:p>
        </w:tc>
        <w:tc>
          <w:tcPr>
            <w:tcW w:w="1639" w:type="dxa"/>
          </w:tcPr>
          <w:p>
            <w:pPr>
              <w:pStyle w:val="TableParagraph"/>
              <w:spacing w:line="147" w:lineRule="exact" w:before="1"/>
              <w:ind w:right="525"/>
              <w:jc w:val="right"/>
              <w:rPr>
                <w:b/>
                <w:sz w:val="14"/>
              </w:rPr>
            </w:pPr>
            <w:r>
              <w:rPr>
                <w:b/>
                <w:sz w:val="14"/>
              </w:rPr>
              <w:t>7,607.0</w:t>
            </w:r>
          </w:p>
        </w:tc>
        <w:tc>
          <w:tcPr>
            <w:tcW w:w="1443" w:type="dxa"/>
          </w:tcPr>
          <w:p>
            <w:pPr>
              <w:pStyle w:val="TableParagraph"/>
              <w:spacing w:line="147" w:lineRule="exact" w:before="1"/>
              <w:ind w:left="492"/>
              <w:rPr>
                <w:sz w:val="14"/>
              </w:rPr>
            </w:pPr>
            <w:r>
              <w:rPr>
                <w:sz w:val="14"/>
              </w:rPr>
              <w:t>0 . 4 %</w:t>
            </w:r>
          </w:p>
        </w:tc>
        <w:tc>
          <w:tcPr>
            <w:tcW w:w="1622" w:type="dxa"/>
          </w:tcPr>
          <w:p>
            <w:pPr>
              <w:pStyle w:val="TableParagraph"/>
              <w:spacing w:line="147" w:lineRule="exact" w:before="1"/>
              <w:ind w:right="620"/>
              <w:jc w:val="right"/>
              <w:rPr>
                <w:sz w:val="14"/>
              </w:rPr>
            </w:pPr>
            <w:r>
              <w:rPr>
                <w:sz w:val="14"/>
              </w:rPr>
              <w:t>9,370 .2</w:t>
            </w:r>
          </w:p>
        </w:tc>
        <w:tc>
          <w:tcPr>
            <w:tcW w:w="1298" w:type="dxa"/>
          </w:tcPr>
          <w:p>
            <w:pPr>
              <w:pStyle w:val="TableParagraph"/>
              <w:spacing w:line="147" w:lineRule="exact" w:before="1"/>
              <w:ind w:left="432"/>
              <w:rPr>
                <w:sz w:val="14"/>
              </w:rPr>
            </w:pPr>
            <w:r>
              <w:rPr>
                <w:sz w:val="14"/>
              </w:rPr>
              <w:t>0 . 5 %</w:t>
            </w:r>
          </w:p>
        </w:tc>
        <w:tc>
          <w:tcPr>
            <w:tcW w:w="1284" w:type="dxa"/>
          </w:tcPr>
          <w:p>
            <w:pPr>
              <w:pStyle w:val="TableParagraph"/>
              <w:spacing w:line="147" w:lineRule="exact" w:before="1"/>
              <w:ind w:right="428"/>
              <w:jc w:val="right"/>
              <w:rPr>
                <w:sz w:val="14"/>
              </w:rPr>
            </w:pPr>
            <w:r>
              <w:rPr>
                <w:sz w:val="14"/>
              </w:rPr>
              <w:t>9,931 .5</w:t>
            </w:r>
          </w:p>
        </w:tc>
        <w:tc>
          <w:tcPr>
            <w:tcW w:w="1249" w:type="dxa"/>
          </w:tcPr>
          <w:p>
            <w:pPr>
              <w:pStyle w:val="TableParagraph"/>
              <w:spacing w:line="147" w:lineRule="exact" w:before="1"/>
              <w:ind w:left="406" w:right="366"/>
              <w:jc w:val="center"/>
              <w:rPr>
                <w:sz w:val="14"/>
              </w:rPr>
            </w:pPr>
            <w:r>
              <w:rPr>
                <w:sz w:val="14"/>
              </w:rPr>
              <w:t>0 . 5 %</w:t>
            </w:r>
          </w:p>
        </w:tc>
      </w:tr>
      <w:tr>
        <w:trPr>
          <w:trHeight w:val="167" w:hRule="atLeast"/>
        </w:trPr>
        <w:tc>
          <w:tcPr>
            <w:tcW w:w="472" w:type="dxa"/>
          </w:tcPr>
          <w:p>
            <w:pPr>
              <w:pStyle w:val="TableParagraph"/>
              <w:rPr>
                <w:rFonts w:ascii="Times New Roman"/>
                <w:sz w:val="10"/>
              </w:rPr>
            </w:pPr>
          </w:p>
        </w:tc>
        <w:tc>
          <w:tcPr>
            <w:tcW w:w="5792" w:type="dxa"/>
          </w:tcPr>
          <w:p>
            <w:pPr>
              <w:pStyle w:val="TableParagraph"/>
              <w:spacing w:line="147" w:lineRule="exact" w:before="1"/>
              <w:ind w:left="435"/>
              <w:rPr>
                <w:sz w:val="14"/>
              </w:rPr>
            </w:pPr>
            <w:r>
              <w:rPr>
                <w:sz w:val="14"/>
              </w:rPr>
              <w:t>Procurement and Distribution of appropriate Fishing Gears</w:t>
            </w:r>
          </w:p>
        </w:tc>
        <w:tc>
          <w:tcPr>
            <w:tcW w:w="1639" w:type="dxa"/>
          </w:tcPr>
          <w:p>
            <w:pPr>
              <w:pStyle w:val="TableParagraph"/>
              <w:spacing w:line="147" w:lineRule="exact" w:before="1"/>
              <w:ind w:right="525"/>
              <w:jc w:val="right"/>
              <w:rPr>
                <w:b/>
                <w:sz w:val="14"/>
              </w:rPr>
            </w:pPr>
            <w:r>
              <w:rPr>
                <w:b/>
                <w:sz w:val="14"/>
              </w:rPr>
              <w:t>6,104.9</w:t>
            </w:r>
          </w:p>
        </w:tc>
        <w:tc>
          <w:tcPr>
            <w:tcW w:w="1443" w:type="dxa"/>
          </w:tcPr>
          <w:p>
            <w:pPr>
              <w:pStyle w:val="TableParagraph"/>
              <w:spacing w:line="147" w:lineRule="exact" w:before="1"/>
              <w:ind w:left="492"/>
              <w:rPr>
                <w:sz w:val="14"/>
              </w:rPr>
            </w:pPr>
            <w:r>
              <w:rPr>
                <w:sz w:val="14"/>
              </w:rPr>
              <w:t>0 . 3 %</w:t>
            </w:r>
          </w:p>
        </w:tc>
        <w:tc>
          <w:tcPr>
            <w:tcW w:w="1622" w:type="dxa"/>
          </w:tcPr>
          <w:p>
            <w:pPr>
              <w:pStyle w:val="TableParagraph"/>
              <w:spacing w:line="147" w:lineRule="exact" w:before="1"/>
              <w:ind w:right="620"/>
              <w:jc w:val="right"/>
              <w:rPr>
                <w:sz w:val="14"/>
              </w:rPr>
            </w:pPr>
            <w:r>
              <w:rPr>
                <w:sz w:val="14"/>
              </w:rPr>
              <w:t>7,519 .9</w:t>
            </w:r>
          </w:p>
        </w:tc>
        <w:tc>
          <w:tcPr>
            <w:tcW w:w="1298" w:type="dxa"/>
          </w:tcPr>
          <w:p>
            <w:pPr>
              <w:pStyle w:val="TableParagraph"/>
              <w:spacing w:line="147" w:lineRule="exact" w:before="1"/>
              <w:ind w:left="432"/>
              <w:rPr>
                <w:sz w:val="14"/>
              </w:rPr>
            </w:pPr>
            <w:r>
              <w:rPr>
                <w:sz w:val="14"/>
              </w:rPr>
              <w:t>0 . 4 %</w:t>
            </w:r>
          </w:p>
        </w:tc>
        <w:tc>
          <w:tcPr>
            <w:tcW w:w="1284" w:type="dxa"/>
          </w:tcPr>
          <w:p>
            <w:pPr>
              <w:pStyle w:val="TableParagraph"/>
              <w:spacing w:line="147" w:lineRule="exact" w:before="1"/>
              <w:ind w:right="428"/>
              <w:jc w:val="right"/>
              <w:rPr>
                <w:sz w:val="14"/>
              </w:rPr>
            </w:pPr>
            <w:r>
              <w:rPr>
                <w:sz w:val="14"/>
              </w:rPr>
              <w:t>7,970 .4</w:t>
            </w:r>
          </w:p>
        </w:tc>
        <w:tc>
          <w:tcPr>
            <w:tcW w:w="1249" w:type="dxa"/>
          </w:tcPr>
          <w:p>
            <w:pPr>
              <w:pStyle w:val="TableParagraph"/>
              <w:spacing w:line="147" w:lineRule="exact" w:before="1"/>
              <w:ind w:left="406" w:right="366"/>
              <w:jc w:val="center"/>
              <w:rPr>
                <w:sz w:val="14"/>
              </w:rPr>
            </w:pPr>
            <w:r>
              <w:rPr>
                <w:sz w:val="14"/>
              </w:rPr>
              <w:t>0 . 4 %</w:t>
            </w:r>
          </w:p>
        </w:tc>
      </w:tr>
      <w:tr>
        <w:trPr>
          <w:trHeight w:val="167" w:hRule="atLeast"/>
        </w:trPr>
        <w:tc>
          <w:tcPr>
            <w:tcW w:w="472" w:type="dxa"/>
          </w:tcPr>
          <w:p>
            <w:pPr>
              <w:pStyle w:val="TableParagraph"/>
              <w:rPr>
                <w:rFonts w:ascii="Times New Roman"/>
                <w:sz w:val="10"/>
              </w:rPr>
            </w:pPr>
          </w:p>
        </w:tc>
        <w:tc>
          <w:tcPr>
            <w:tcW w:w="5792" w:type="dxa"/>
          </w:tcPr>
          <w:p>
            <w:pPr>
              <w:pStyle w:val="TableParagraph"/>
              <w:spacing w:line="147" w:lineRule="exact" w:before="1"/>
              <w:ind w:left="435"/>
              <w:rPr>
                <w:sz w:val="14"/>
              </w:rPr>
            </w:pPr>
            <w:r>
              <w:rPr>
                <w:sz w:val="14"/>
              </w:rPr>
              <w:t>Training on appropriate and sustainable fishing practices</w:t>
            </w:r>
          </w:p>
        </w:tc>
        <w:tc>
          <w:tcPr>
            <w:tcW w:w="1639" w:type="dxa"/>
          </w:tcPr>
          <w:p>
            <w:pPr>
              <w:pStyle w:val="TableParagraph"/>
              <w:spacing w:line="147" w:lineRule="exact" w:before="1"/>
              <w:ind w:right="525"/>
              <w:jc w:val="right"/>
              <w:rPr>
                <w:b/>
                <w:sz w:val="14"/>
              </w:rPr>
            </w:pPr>
            <w:r>
              <w:rPr>
                <w:b/>
                <w:sz w:val="14"/>
              </w:rPr>
              <w:t>1,502.1</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1,850 .2</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1,961 .1</w:t>
            </w:r>
          </w:p>
        </w:tc>
        <w:tc>
          <w:tcPr>
            <w:tcW w:w="1249" w:type="dxa"/>
          </w:tcPr>
          <w:p>
            <w:pPr>
              <w:pStyle w:val="TableParagraph"/>
              <w:spacing w:line="147" w:lineRule="exact" w:before="1"/>
              <w:ind w:left="406" w:right="366"/>
              <w:jc w:val="center"/>
              <w:rPr>
                <w:sz w:val="14"/>
              </w:rPr>
            </w:pPr>
            <w:r>
              <w:rPr>
                <w:sz w:val="14"/>
              </w:rPr>
              <w:t>0 . 1 %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Promote Fish Export Activities</w:t>
            </w:r>
          </w:p>
        </w:tc>
        <w:tc>
          <w:tcPr>
            <w:tcW w:w="1639" w:type="dxa"/>
          </w:tcPr>
          <w:p>
            <w:pPr>
              <w:pStyle w:val="TableParagraph"/>
              <w:spacing w:line="147" w:lineRule="exact" w:before="1"/>
              <w:ind w:right="525"/>
              <w:jc w:val="right"/>
              <w:rPr>
                <w:b/>
                <w:sz w:val="14"/>
              </w:rPr>
            </w:pPr>
            <w:r>
              <w:rPr>
                <w:b/>
                <w:sz w:val="14"/>
              </w:rPr>
              <w:t>3,069.6</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3,781 .2</w:t>
            </w:r>
          </w:p>
        </w:tc>
        <w:tc>
          <w:tcPr>
            <w:tcW w:w="1298" w:type="dxa"/>
          </w:tcPr>
          <w:p>
            <w:pPr>
              <w:pStyle w:val="TableParagraph"/>
              <w:spacing w:line="147" w:lineRule="exact" w:before="1"/>
              <w:ind w:left="432"/>
              <w:rPr>
                <w:sz w:val="14"/>
              </w:rPr>
            </w:pPr>
            <w:r>
              <w:rPr>
                <w:sz w:val="14"/>
              </w:rPr>
              <w:t>0 . 2 %</w:t>
            </w:r>
          </w:p>
        </w:tc>
        <w:tc>
          <w:tcPr>
            <w:tcW w:w="1284" w:type="dxa"/>
          </w:tcPr>
          <w:p>
            <w:pPr>
              <w:pStyle w:val="TableParagraph"/>
              <w:spacing w:line="147" w:lineRule="exact" w:before="1"/>
              <w:ind w:right="428"/>
              <w:jc w:val="right"/>
              <w:rPr>
                <w:sz w:val="14"/>
              </w:rPr>
            </w:pPr>
            <w:r>
              <w:rPr>
                <w:sz w:val="14"/>
              </w:rPr>
              <w:t>4,007 .7</w:t>
            </w:r>
          </w:p>
        </w:tc>
        <w:tc>
          <w:tcPr>
            <w:tcW w:w="1249" w:type="dxa"/>
          </w:tcPr>
          <w:p>
            <w:pPr>
              <w:pStyle w:val="TableParagraph"/>
              <w:spacing w:line="147" w:lineRule="exact" w:before="1"/>
              <w:ind w:left="406" w:right="366"/>
              <w:jc w:val="center"/>
              <w:rPr>
                <w:sz w:val="14"/>
              </w:rPr>
            </w:pPr>
            <w:r>
              <w:rPr>
                <w:sz w:val="14"/>
              </w:rPr>
              <w:t>0 . 2 %</w:t>
            </w:r>
          </w:p>
        </w:tc>
      </w:tr>
      <w:tr>
        <w:trPr>
          <w:trHeight w:val="251" w:hRule="atLeast"/>
        </w:trPr>
        <w:tc>
          <w:tcPr>
            <w:tcW w:w="472" w:type="dxa"/>
          </w:tcPr>
          <w:p>
            <w:pPr>
              <w:pStyle w:val="TableParagraph"/>
              <w:rPr>
                <w:rFonts w:ascii="Times New Roman"/>
                <w:sz w:val="14"/>
              </w:rPr>
            </w:pPr>
          </w:p>
        </w:tc>
        <w:tc>
          <w:tcPr>
            <w:tcW w:w="5792" w:type="dxa"/>
          </w:tcPr>
          <w:p>
            <w:pPr>
              <w:pStyle w:val="TableParagraph"/>
              <w:spacing w:before="1"/>
              <w:ind w:left="435"/>
              <w:rPr>
                <w:sz w:val="14"/>
              </w:rPr>
            </w:pPr>
            <w:r>
              <w:rPr>
                <w:sz w:val="14"/>
              </w:rPr>
              <w:t>Establish and Operationalise Fish Testing Laboratory</w:t>
            </w:r>
          </w:p>
        </w:tc>
        <w:tc>
          <w:tcPr>
            <w:tcW w:w="1639" w:type="dxa"/>
          </w:tcPr>
          <w:p>
            <w:pPr>
              <w:pStyle w:val="TableParagraph"/>
              <w:spacing w:before="1"/>
              <w:ind w:right="525"/>
              <w:jc w:val="right"/>
              <w:rPr>
                <w:b/>
                <w:sz w:val="14"/>
              </w:rPr>
            </w:pPr>
            <w:r>
              <w:rPr>
                <w:b/>
                <w:sz w:val="14"/>
              </w:rPr>
              <w:t>3,069.6</w:t>
            </w:r>
          </w:p>
        </w:tc>
        <w:tc>
          <w:tcPr>
            <w:tcW w:w="1443" w:type="dxa"/>
          </w:tcPr>
          <w:p>
            <w:pPr>
              <w:pStyle w:val="TableParagraph"/>
              <w:spacing w:before="1"/>
              <w:ind w:left="492"/>
              <w:rPr>
                <w:sz w:val="14"/>
              </w:rPr>
            </w:pPr>
            <w:r>
              <w:rPr>
                <w:sz w:val="14"/>
              </w:rPr>
              <w:t>0 . 1 %</w:t>
            </w:r>
          </w:p>
        </w:tc>
        <w:tc>
          <w:tcPr>
            <w:tcW w:w="1622" w:type="dxa"/>
          </w:tcPr>
          <w:p>
            <w:pPr>
              <w:pStyle w:val="TableParagraph"/>
              <w:spacing w:before="1"/>
              <w:ind w:right="620"/>
              <w:jc w:val="right"/>
              <w:rPr>
                <w:sz w:val="14"/>
              </w:rPr>
            </w:pPr>
            <w:r>
              <w:rPr>
                <w:sz w:val="14"/>
              </w:rPr>
              <w:t>3,781 .2</w:t>
            </w:r>
          </w:p>
        </w:tc>
        <w:tc>
          <w:tcPr>
            <w:tcW w:w="1298" w:type="dxa"/>
          </w:tcPr>
          <w:p>
            <w:pPr>
              <w:pStyle w:val="TableParagraph"/>
              <w:spacing w:before="1"/>
              <w:ind w:left="432"/>
              <w:rPr>
                <w:sz w:val="14"/>
              </w:rPr>
            </w:pPr>
            <w:r>
              <w:rPr>
                <w:sz w:val="14"/>
              </w:rPr>
              <w:t>0 . 2 %</w:t>
            </w:r>
          </w:p>
        </w:tc>
        <w:tc>
          <w:tcPr>
            <w:tcW w:w="1284" w:type="dxa"/>
          </w:tcPr>
          <w:p>
            <w:pPr>
              <w:pStyle w:val="TableParagraph"/>
              <w:spacing w:before="1"/>
              <w:ind w:right="428"/>
              <w:jc w:val="right"/>
              <w:rPr>
                <w:sz w:val="14"/>
              </w:rPr>
            </w:pPr>
            <w:r>
              <w:rPr>
                <w:sz w:val="14"/>
              </w:rPr>
              <w:t>4,007 .7</w:t>
            </w:r>
          </w:p>
        </w:tc>
        <w:tc>
          <w:tcPr>
            <w:tcW w:w="1249" w:type="dxa"/>
          </w:tcPr>
          <w:p>
            <w:pPr>
              <w:pStyle w:val="TableParagraph"/>
              <w:spacing w:before="1"/>
              <w:ind w:left="406" w:right="366"/>
              <w:jc w:val="center"/>
              <w:rPr>
                <w:sz w:val="14"/>
              </w:rPr>
            </w:pPr>
            <w:r>
              <w:rPr>
                <w:sz w:val="14"/>
              </w:rPr>
              <w:t>0 . 2 %</w:t>
            </w:r>
          </w:p>
        </w:tc>
      </w:tr>
      <w:tr>
        <w:trPr>
          <w:trHeight w:val="252" w:hRule="atLeast"/>
        </w:trPr>
        <w:tc>
          <w:tcPr>
            <w:tcW w:w="472" w:type="dxa"/>
          </w:tcPr>
          <w:p>
            <w:pPr>
              <w:pStyle w:val="TableParagraph"/>
              <w:spacing w:line="147" w:lineRule="exact" w:before="85"/>
              <w:ind w:left="125"/>
              <w:rPr>
                <w:sz w:val="14"/>
              </w:rPr>
            </w:pPr>
            <w:r>
              <w:rPr>
                <w:sz w:val="14"/>
              </w:rPr>
              <w:t>403</w:t>
            </w:r>
          </w:p>
        </w:tc>
        <w:tc>
          <w:tcPr>
            <w:tcW w:w="5792" w:type="dxa"/>
          </w:tcPr>
          <w:p>
            <w:pPr>
              <w:pStyle w:val="TableParagraph"/>
              <w:spacing w:line="147" w:lineRule="exact" w:before="85"/>
              <w:ind w:left="95"/>
              <w:rPr>
                <w:sz w:val="14"/>
              </w:rPr>
            </w:pPr>
            <w:r>
              <w:rPr>
                <w:sz w:val="14"/>
              </w:rPr>
              <w:t>Ministry of Mines and Mineral Resources</w:t>
            </w:r>
          </w:p>
        </w:tc>
        <w:tc>
          <w:tcPr>
            <w:tcW w:w="1639" w:type="dxa"/>
          </w:tcPr>
          <w:p>
            <w:pPr>
              <w:pStyle w:val="TableParagraph"/>
              <w:spacing w:line="147" w:lineRule="exact" w:before="85"/>
              <w:ind w:right="525"/>
              <w:jc w:val="right"/>
              <w:rPr>
                <w:b/>
                <w:sz w:val="14"/>
              </w:rPr>
            </w:pPr>
            <w:r>
              <w:rPr>
                <w:b/>
                <w:sz w:val="14"/>
              </w:rPr>
              <w:t>3,372.3</w:t>
            </w:r>
          </w:p>
        </w:tc>
        <w:tc>
          <w:tcPr>
            <w:tcW w:w="1443" w:type="dxa"/>
          </w:tcPr>
          <w:p>
            <w:pPr>
              <w:pStyle w:val="TableParagraph"/>
              <w:spacing w:line="147" w:lineRule="exact" w:before="85"/>
              <w:ind w:left="492"/>
              <w:rPr>
                <w:sz w:val="14"/>
              </w:rPr>
            </w:pPr>
            <w:r>
              <w:rPr>
                <w:sz w:val="14"/>
              </w:rPr>
              <w:t>0 . 2 %</w:t>
            </w:r>
          </w:p>
        </w:tc>
        <w:tc>
          <w:tcPr>
            <w:tcW w:w="1622" w:type="dxa"/>
          </w:tcPr>
          <w:p>
            <w:pPr>
              <w:pStyle w:val="TableParagraph"/>
              <w:spacing w:line="147" w:lineRule="exact" w:before="85"/>
              <w:ind w:right="620"/>
              <w:jc w:val="right"/>
              <w:rPr>
                <w:sz w:val="14"/>
              </w:rPr>
            </w:pPr>
            <w:r>
              <w:rPr>
                <w:sz w:val="14"/>
              </w:rPr>
              <w:t>3,372 .3</w:t>
            </w:r>
          </w:p>
        </w:tc>
        <w:tc>
          <w:tcPr>
            <w:tcW w:w="1298" w:type="dxa"/>
          </w:tcPr>
          <w:p>
            <w:pPr>
              <w:pStyle w:val="TableParagraph"/>
              <w:spacing w:line="147" w:lineRule="exact" w:before="85"/>
              <w:ind w:left="432"/>
              <w:rPr>
                <w:sz w:val="14"/>
              </w:rPr>
            </w:pPr>
            <w:r>
              <w:rPr>
                <w:sz w:val="14"/>
              </w:rPr>
              <w:t>0 . 2 %</w:t>
            </w:r>
          </w:p>
        </w:tc>
        <w:tc>
          <w:tcPr>
            <w:tcW w:w="1284" w:type="dxa"/>
          </w:tcPr>
          <w:p>
            <w:pPr>
              <w:pStyle w:val="TableParagraph"/>
              <w:spacing w:line="147" w:lineRule="exact" w:before="85"/>
              <w:ind w:right="428"/>
              <w:jc w:val="right"/>
              <w:rPr>
                <w:sz w:val="14"/>
              </w:rPr>
            </w:pPr>
            <w:r>
              <w:rPr>
                <w:sz w:val="14"/>
              </w:rPr>
              <w:t>3,372 .3</w:t>
            </w:r>
          </w:p>
        </w:tc>
        <w:tc>
          <w:tcPr>
            <w:tcW w:w="1249" w:type="dxa"/>
          </w:tcPr>
          <w:p>
            <w:pPr>
              <w:pStyle w:val="TableParagraph"/>
              <w:spacing w:line="147" w:lineRule="exact" w:before="85"/>
              <w:ind w:left="406" w:right="366"/>
              <w:jc w:val="center"/>
              <w:rPr>
                <w:sz w:val="14"/>
              </w:rPr>
            </w:pPr>
            <w:r>
              <w:rPr>
                <w:sz w:val="14"/>
              </w:rPr>
              <w:t>0 . 2 %</w:t>
            </w:r>
          </w:p>
        </w:tc>
      </w:tr>
      <w:tr>
        <w:trPr>
          <w:trHeight w:val="167"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Administrative and Operating Costs</w:t>
            </w:r>
          </w:p>
        </w:tc>
        <w:tc>
          <w:tcPr>
            <w:tcW w:w="1639" w:type="dxa"/>
          </w:tcPr>
          <w:p>
            <w:pPr>
              <w:pStyle w:val="TableParagraph"/>
              <w:spacing w:line="147" w:lineRule="exact" w:before="1"/>
              <w:ind w:right="513"/>
              <w:jc w:val="right"/>
              <w:rPr>
                <w:b/>
                <w:sz w:val="14"/>
              </w:rPr>
            </w:pPr>
            <w:r>
              <w:rPr>
                <w:b/>
                <w:sz w:val="14"/>
              </w:rPr>
              <w:t>729.0</w:t>
            </w:r>
          </w:p>
        </w:tc>
        <w:tc>
          <w:tcPr>
            <w:tcW w:w="1443" w:type="dxa"/>
          </w:tcPr>
          <w:p>
            <w:pPr>
              <w:pStyle w:val="TableParagraph"/>
              <w:spacing w:line="147" w:lineRule="exact" w:before="1"/>
              <w:ind w:left="492"/>
              <w:rPr>
                <w:sz w:val="14"/>
              </w:rPr>
            </w:pPr>
            <w:r>
              <w:rPr>
                <w:sz w:val="14"/>
              </w:rPr>
              <w:t>0 . 0 %</w:t>
            </w:r>
          </w:p>
        </w:tc>
        <w:tc>
          <w:tcPr>
            <w:tcW w:w="1622" w:type="dxa"/>
          </w:tcPr>
          <w:p>
            <w:pPr>
              <w:pStyle w:val="TableParagraph"/>
              <w:spacing w:line="147" w:lineRule="exact" w:before="1"/>
              <w:ind w:right="618"/>
              <w:jc w:val="right"/>
              <w:rPr>
                <w:sz w:val="14"/>
              </w:rPr>
            </w:pPr>
            <w:r>
              <w:rPr>
                <w:sz w:val="14"/>
              </w:rPr>
              <w:t>898.0</w:t>
            </w:r>
          </w:p>
        </w:tc>
        <w:tc>
          <w:tcPr>
            <w:tcW w:w="1298" w:type="dxa"/>
          </w:tcPr>
          <w:p>
            <w:pPr>
              <w:pStyle w:val="TableParagraph"/>
              <w:spacing w:line="147" w:lineRule="exact" w:before="1"/>
              <w:ind w:left="432"/>
              <w:rPr>
                <w:sz w:val="14"/>
              </w:rPr>
            </w:pPr>
            <w:r>
              <w:rPr>
                <w:sz w:val="14"/>
              </w:rPr>
              <w:t>0 . 0 %</w:t>
            </w:r>
          </w:p>
        </w:tc>
        <w:tc>
          <w:tcPr>
            <w:tcW w:w="1284" w:type="dxa"/>
          </w:tcPr>
          <w:p>
            <w:pPr>
              <w:pStyle w:val="TableParagraph"/>
              <w:spacing w:line="147" w:lineRule="exact" w:before="1"/>
              <w:ind w:right="420"/>
              <w:jc w:val="right"/>
              <w:rPr>
                <w:sz w:val="14"/>
              </w:rPr>
            </w:pPr>
            <w:r>
              <w:rPr>
                <w:sz w:val="14"/>
              </w:rPr>
              <w:t>951.8</w:t>
            </w:r>
          </w:p>
        </w:tc>
        <w:tc>
          <w:tcPr>
            <w:tcW w:w="1249" w:type="dxa"/>
          </w:tcPr>
          <w:p>
            <w:pPr>
              <w:pStyle w:val="TableParagraph"/>
              <w:spacing w:line="147" w:lineRule="exact" w:before="1"/>
              <w:ind w:left="406" w:right="366"/>
              <w:jc w:val="center"/>
              <w:rPr>
                <w:sz w:val="14"/>
              </w:rPr>
            </w:pPr>
            <w:r>
              <w:rPr>
                <w:sz w:val="14"/>
              </w:rPr>
              <w:t>0 . 0 %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3"/>
              <w:rPr>
                <w:sz w:val="14"/>
              </w:rPr>
            </w:pPr>
            <w:r>
              <w:rPr>
                <w:sz w:val="14"/>
              </w:rPr>
              <w:t>Mines Division</w:t>
            </w:r>
          </w:p>
        </w:tc>
        <w:tc>
          <w:tcPr>
            <w:tcW w:w="1639" w:type="dxa"/>
          </w:tcPr>
          <w:p>
            <w:pPr>
              <w:pStyle w:val="TableParagraph"/>
              <w:spacing w:line="147" w:lineRule="exact" w:before="1"/>
              <w:ind w:right="525"/>
              <w:jc w:val="right"/>
              <w:rPr>
                <w:b/>
                <w:sz w:val="14"/>
              </w:rPr>
            </w:pPr>
            <w:r>
              <w:rPr>
                <w:b/>
                <w:sz w:val="14"/>
              </w:rPr>
              <w:t>2,643.2</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3,255 .9</w:t>
            </w:r>
          </w:p>
        </w:tc>
        <w:tc>
          <w:tcPr>
            <w:tcW w:w="1298" w:type="dxa"/>
          </w:tcPr>
          <w:p>
            <w:pPr>
              <w:pStyle w:val="TableParagraph"/>
              <w:spacing w:line="147" w:lineRule="exact" w:before="1"/>
              <w:ind w:left="432"/>
              <w:rPr>
                <w:sz w:val="14"/>
              </w:rPr>
            </w:pPr>
            <w:r>
              <w:rPr>
                <w:sz w:val="14"/>
              </w:rPr>
              <w:t>0 . 2 %</w:t>
            </w:r>
          </w:p>
        </w:tc>
        <w:tc>
          <w:tcPr>
            <w:tcW w:w="1284" w:type="dxa"/>
          </w:tcPr>
          <w:p>
            <w:pPr>
              <w:pStyle w:val="TableParagraph"/>
              <w:spacing w:line="147" w:lineRule="exact" w:before="1"/>
              <w:ind w:right="428"/>
              <w:jc w:val="right"/>
              <w:rPr>
                <w:sz w:val="14"/>
              </w:rPr>
            </w:pPr>
            <w:r>
              <w:rPr>
                <w:sz w:val="14"/>
              </w:rPr>
              <w:t>3,450 .9</w:t>
            </w:r>
          </w:p>
        </w:tc>
        <w:tc>
          <w:tcPr>
            <w:tcW w:w="1249" w:type="dxa"/>
          </w:tcPr>
          <w:p>
            <w:pPr>
              <w:pStyle w:val="TableParagraph"/>
              <w:spacing w:line="147" w:lineRule="exact" w:before="1"/>
              <w:ind w:left="406" w:right="366"/>
              <w:jc w:val="center"/>
              <w:rPr>
                <w:sz w:val="14"/>
              </w:rPr>
            </w:pPr>
            <w:r>
              <w:rPr>
                <w:sz w:val="14"/>
              </w:rPr>
              <w:t>0 . 2 %</w:t>
            </w:r>
          </w:p>
        </w:tc>
      </w:tr>
      <w:tr>
        <w:trPr>
          <w:trHeight w:val="167" w:hRule="atLeast"/>
        </w:trPr>
        <w:tc>
          <w:tcPr>
            <w:tcW w:w="472" w:type="dxa"/>
          </w:tcPr>
          <w:p>
            <w:pPr>
              <w:pStyle w:val="TableParagraph"/>
              <w:rPr>
                <w:rFonts w:ascii="Times New Roman"/>
                <w:sz w:val="10"/>
              </w:rPr>
            </w:pPr>
          </w:p>
        </w:tc>
        <w:tc>
          <w:tcPr>
            <w:tcW w:w="5792" w:type="dxa"/>
          </w:tcPr>
          <w:p>
            <w:pPr>
              <w:pStyle w:val="TableParagraph"/>
              <w:spacing w:line="147" w:lineRule="exact" w:before="1"/>
              <w:ind w:left="435"/>
              <w:rPr>
                <w:sz w:val="14"/>
              </w:rPr>
            </w:pPr>
            <w:r>
              <w:rPr>
                <w:sz w:val="14"/>
              </w:rPr>
              <w:t>Review the legal framework for mines and minerals</w:t>
            </w:r>
          </w:p>
        </w:tc>
        <w:tc>
          <w:tcPr>
            <w:tcW w:w="1639" w:type="dxa"/>
          </w:tcPr>
          <w:p>
            <w:pPr>
              <w:pStyle w:val="TableParagraph"/>
              <w:spacing w:line="147" w:lineRule="exact" w:before="1"/>
              <w:ind w:right="513"/>
              <w:jc w:val="right"/>
              <w:rPr>
                <w:b/>
                <w:sz w:val="14"/>
              </w:rPr>
            </w:pPr>
            <w:r>
              <w:rPr>
                <w:b/>
                <w:sz w:val="14"/>
              </w:rPr>
              <w:t>192.9</w:t>
            </w:r>
          </w:p>
        </w:tc>
        <w:tc>
          <w:tcPr>
            <w:tcW w:w="1443" w:type="dxa"/>
          </w:tcPr>
          <w:p>
            <w:pPr>
              <w:pStyle w:val="TableParagraph"/>
              <w:spacing w:line="147" w:lineRule="exact" w:before="1"/>
              <w:ind w:left="492"/>
              <w:rPr>
                <w:sz w:val="14"/>
              </w:rPr>
            </w:pPr>
            <w:r>
              <w:rPr>
                <w:sz w:val="14"/>
              </w:rPr>
              <w:t>0 . 0 %</w:t>
            </w:r>
          </w:p>
        </w:tc>
        <w:tc>
          <w:tcPr>
            <w:tcW w:w="1622" w:type="dxa"/>
          </w:tcPr>
          <w:p>
            <w:pPr>
              <w:pStyle w:val="TableParagraph"/>
              <w:spacing w:line="147" w:lineRule="exact" w:before="1"/>
              <w:ind w:right="618"/>
              <w:jc w:val="right"/>
              <w:rPr>
                <w:sz w:val="14"/>
              </w:rPr>
            </w:pPr>
            <w:r>
              <w:rPr>
                <w:sz w:val="14"/>
              </w:rPr>
              <w:t>237.6</w:t>
            </w:r>
          </w:p>
        </w:tc>
        <w:tc>
          <w:tcPr>
            <w:tcW w:w="1298" w:type="dxa"/>
          </w:tcPr>
          <w:p>
            <w:pPr>
              <w:pStyle w:val="TableParagraph"/>
              <w:spacing w:line="147" w:lineRule="exact" w:before="1"/>
              <w:ind w:left="432"/>
              <w:rPr>
                <w:sz w:val="14"/>
              </w:rPr>
            </w:pPr>
            <w:r>
              <w:rPr>
                <w:sz w:val="14"/>
              </w:rPr>
              <w:t>0 . 0 %</w:t>
            </w:r>
          </w:p>
        </w:tc>
        <w:tc>
          <w:tcPr>
            <w:tcW w:w="1284" w:type="dxa"/>
          </w:tcPr>
          <w:p>
            <w:pPr>
              <w:pStyle w:val="TableParagraph"/>
              <w:spacing w:line="147" w:lineRule="exact" w:before="1"/>
              <w:ind w:right="420"/>
              <w:jc w:val="right"/>
              <w:rPr>
                <w:sz w:val="14"/>
              </w:rPr>
            </w:pPr>
            <w:r>
              <w:rPr>
                <w:sz w:val="14"/>
              </w:rPr>
              <w:t>251.8</w:t>
            </w:r>
          </w:p>
        </w:tc>
        <w:tc>
          <w:tcPr>
            <w:tcW w:w="1249" w:type="dxa"/>
          </w:tcPr>
          <w:p>
            <w:pPr>
              <w:pStyle w:val="TableParagraph"/>
              <w:spacing w:line="147" w:lineRule="exact" w:before="1"/>
              <w:ind w:left="406" w:right="366"/>
              <w:jc w:val="center"/>
              <w:rPr>
                <w:sz w:val="14"/>
              </w:rPr>
            </w:pPr>
            <w:r>
              <w:rPr>
                <w:sz w:val="14"/>
              </w:rPr>
              <w:t>0 . 0 %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435"/>
              <w:rPr>
                <w:sz w:val="14"/>
              </w:rPr>
            </w:pPr>
            <w:r>
              <w:rPr>
                <w:sz w:val="14"/>
              </w:rPr>
              <w:t>Support to the National Minerals Agency</w:t>
            </w:r>
          </w:p>
        </w:tc>
        <w:tc>
          <w:tcPr>
            <w:tcW w:w="1639" w:type="dxa"/>
          </w:tcPr>
          <w:p>
            <w:pPr>
              <w:pStyle w:val="TableParagraph"/>
              <w:spacing w:line="147" w:lineRule="exact" w:before="1"/>
              <w:ind w:right="525"/>
              <w:jc w:val="right"/>
              <w:rPr>
                <w:b/>
                <w:sz w:val="14"/>
              </w:rPr>
            </w:pPr>
            <w:r>
              <w:rPr>
                <w:b/>
                <w:sz w:val="14"/>
              </w:rPr>
              <w:t>1,773.4</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2,184 .4</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2,315 .3</w:t>
            </w:r>
          </w:p>
        </w:tc>
        <w:tc>
          <w:tcPr>
            <w:tcW w:w="1249" w:type="dxa"/>
          </w:tcPr>
          <w:p>
            <w:pPr>
              <w:pStyle w:val="TableParagraph"/>
              <w:spacing w:line="147" w:lineRule="exact" w:before="1"/>
              <w:ind w:left="406" w:right="366"/>
              <w:jc w:val="center"/>
              <w:rPr>
                <w:sz w:val="14"/>
              </w:rPr>
            </w:pPr>
            <w:r>
              <w:rPr>
                <w:sz w:val="14"/>
              </w:rPr>
              <w:t>0 . 1 %</w:t>
            </w:r>
          </w:p>
        </w:tc>
      </w:tr>
      <w:tr>
        <w:trPr>
          <w:trHeight w:val="252" w:hRule="atLeast"/>
        </w:trPr>
        <w:tc>
          <w:tcPr>
            <w:tcW w:w="472" w:type="dxa"/>
          </w:tcPr>
          <w:p>
            <w:pPr>
              <w:pStyle w:val="TableParagraph"/>
              <w:rPr>
                <w:rFonts w:ascii="Times New Roman"/>
                <w:sz w:val="14"/>
              </w:rPr>
            </w:pPr>
          </w:p>
        </w:tc>
        <w:tc>
          <w:tcPr>
            <w:tcW w:w="5792" w:type="dxa"/>
          </w:tcPr>
          <w:p>
            <w:pPr>
              <w:pStyle w:val="TableParagraph"/>
              <w:spacing w:before="1"/>
              <w:ind w:left="435"/>
              <w:rPr>
                <w:sz w:val="14"/>
              </w:rPr>
            </w:pPr>
            <w:r>
              <w:rPr>
                <w:sz w:val="14"/>
              </w:rPr>
              <w:t>Support to Artisanal Miners and Small Scale Mining Enterpreneurs</w:t>
            </w:r>
          </w:p>
        </w:tc>
        <w:tc>
          <w:tcPr>
            <w:tcW w:w="1639" w:type="dxa"/>
          </w:tcPr>
          <w:p>
            <w:pPr>
              <w:pStyle w:val="TableParagraph"/>
              <w:spacing w:before="1"/>
              <w:ind w:right="513"/>
              <w:jc w:val="right"/>
              <w:rPr>
                <w:b/>
                <w:sz w:val="14"/>
              </w:rPr>
            </w:pPr>
            <w:r>
              <w:rPr>
                <w:b/>
                <w:sz w:val="14"/>
              </w:rPr>
              <w:t>677.0</w:t>
            </w:r>
          </w:p>
        </w:tc>
        <w:tc>
          <w:tcPr>
            <w:tcW w:w="1443" w:type="dxa"/>
          </w:tcPr>
          <w:p>
            <w:pPr>
              <w:pStyle w:val="TableParagraph"/>
              <w:spacing w:before="1"/>
              <w:ind w:left="492"/>
              <w:rPr>
                <w:sz w:val="14"/>
              </w:rPr>
            </w:pPr>
            <w:r>
              <w:rPr>
                <w:sz w:val="14"/>
              </w:rPr>
              <w:t>0 . 0 %</w:t>
            </w:r>
          </w:p>
        </w:tc>
        <w:tc>
          <w:tcPr>
            <w:tcW w:w="1622" w:type="dxa"/>
          </w:tcPr>
          <w:p>
            <w:pPr>
              <w:pStyle w:val="TableParagraph"/>
              <w:spacing w:before="1"/>
              <w:ind w:right="618"/>
              <w:jc w:val="right"/>
              <w:rPr>
                <w:sz w:val="14"/>
              </w:rPr>
            </w:pPr>
            <w:r>
              <w:rPr>
                <w:sz w:val="14"/>
              </w:rPr>
              <w:t>833.9</w:t>
            </w:r>
          </w:p>
        </w:tc>
        <w:tc>
          <w:tcPr>
            <w:tcW w:w="1298" w:type="dxa"/>
          </w:tcPr>
          <w:p>
            <w:pPr>
              <w:pStyle w:val="TableParagraph"/>
              <w:spacing w:before="1"/>
              <w:ind w:left="432"/>
              <w:rPr>
                <w:sz w:val="14"/>
              </w:rPr>
            </w:pPr>
            <w:r>
              <w:rPr>
                <w:sz w:val="14"/>
              </w:rPr>
              <w:t>0 . 0 %</w:t>
            </w:r>
          </w:p>
        </w:tc>
        <w:tc>
          <w:tcPr>
            <w:tcW w:w="1284" w:type="dxa"/>
          </w:tcPr>
          <w:p>
            <w:pPr>
              <w:pStyle w:val="TableParagraph"/>
              <w:spacing w:before="1"/>
              <w:ind w:right="420"/>
              <w:jc w:val="right"/>
              <w:rPr>
                <w:sz w:val="14"/>
              </w:rPr>
            </w:pPr>
            <w:r>
              <w:rPr>
                <w:sz w:val="14"/>
              </w:rPr>
              <w:t>883.8</w:t>
            </w:r>
          </w:p>
        </w:tc>
        <w:tc>
          <w:tcPr>
            <w:tcW w:w="1249" w:type="dxa"/>
          </w:tcPr>
          <w:p>
            <w:pPr>
              <w:pStyle w:val="TableParagraph"/>
              <w:spacing w:before="1"/>
              <w:ind w:left="406" w:right="366"/>
              <w:jc w:val="center"/>
              <w:rPr>
                <w:sz w:val="14"/>
              </w:rPr>
            </w:pPr>
            <w:r>
              <w:rPr>
                <w:sz w:val="14"/>
              </w:rPr>
              <w:t>0 . 0 %</w:t>
            </w:r>
          </w:p>
        </w:tc>
      </w:tr>
      <w:tr>
        <w:trPr>
          <w:trHeight w:val="251" w:hRule="atLeast"/>
        </w:trPr>
        <w:tc>
          <w:tcPr>
            <w:tcW w:w="472" w:type="dxa"/>
          </w:tcPr>
          <w:p>
            <w:pPr>
              <w:pStyle w:val="TableParagraph"/>
              <w:spacing w:line="147" w:lineRule="exact" w:before="85"/>
              <w:ind w:left="125"/>
              <w:rPr>
                <w:sz w:val="14"/>
              </w:rPr>
            </w:pPr>
            <w:r>
              <w:rPr>
                <w:sz w:val="14"/>
              </w:rPr>
              <w:t>404</w:t>
            </w:r>
          </w:p>
        </w:tc>
        <w:tc>
          <w:tcPr>
            <w:tcW w:w="5792" w:type="dxa"/>
          </w:tcPr>
          <w:p>
            <w:pPr>
              <w:pStyle w:val="TableParagraph"/>
              <w:spacing w:line="147" w:lineRule="exact" w:before="85"/>
              <w:ind w:left="95"/>
              <w:rPr>
                <w:sz w:val="14"/>
              </w:rPr>
            </w:pPr>
            <w:r>
              <w:rPr>
                <w:sz w:val="14"/>
              </w:rPr>
              <w:t>Ministry of Transport and Aviation</w:t>
            </w:r>
          </w:p>
        </w:tc>
        <w:tc>
          <w:tcPr>
            <w:tcW w:w="1639" w:type="dxa"/>
          </w:tcPr>
          <w:p>
            <w:pPr>
              <w:pStyle w:val="TableParagraph"/>
              <w:spacing w:line="147" w:lineRule="exact" w:before="85"/>
              <w:ind w:right="532"/>
              <w:jc w:val="right"/>
              <w:rPr>
                <w:b/>
                <w:sz w:val="14"/>
              </w:rPr>
            </w:pPr>
            <w:r>
              <w:rPr>
                <w:b/>
                <w:sz w:val="14"/>
              </w:rPr>
              <w:t>56,370.8</w:t>
            </w:r>
          </w:p>
        </w:tc>
        <w:tc>
          <w:tcPr>
            <w:tcW w:w="1443" w:type="dxa"/>
          </w:tcPr>
          <w:p>
            <w:pPr>
              <w:pStyle w:val="TableParagraph"/>
              <w:spacing w:line="147" w:lineRule="exact" w:before="85"/>
              <w:ind w:left="492"/>
              <w:rPr>
                <w:sz w:val="14"/>
              </w:rPr>
            </w:pPr>
            <w:r>
              <w:rPr>
                <w:sz w:val="14"/>
              </w:rPr>
              <w:t>2 . 7 %</w:t>
            </w:r>
          </w:p>
        </w:tc>
        <w:tc>
          <w:tcPr>
            <w:tcW w:w="1622" w:type="dxa"/>
          </w:tcPr>
          <w:p>
            <w:pPr>
              <w:pStyle w:val="TableParagraph"/>
              <w:spacing w:line="147" w:lineRule="exact" w:before="85"/>
              <w:ind w:right="629"/>
              <w:jc w:val="right"/>
              <w:rPr>
                <w:sz w:val="14"/>
              </w:rPr>
            </w:pPr>
            <w:r>
              <w:rPr>
                <w:sz w:val="14"/>
              </w:rPr>
              <w:t>39,392.3</w:t>
            </w:r>
          </w:p>
        </w:tc>
        <w:tc>
          <w:tcPr>
            <w:tcW w:w="1298" w:type="dxa"/>
          </w:tcPr>
          <w:p>
            <w:pPr>
              <w:pStyle w:val="TableParagraph"/>
              <w:spacing w:line="147" w:lineRule="exact" w:before="85"/>
              <w:ind w:left="432"/>
              <w:rPr>
                <w:sz w:val="14"/>
              </w:rPr>
            </w:pPr>
            <w:r>
              <w:rPr>
                <w:sz w:val="14"/>
              </w:rPr>
              <w:t>1 . 9 %</w:t>
            </w:r>
          </w:p>
        </w:tc>
        <w:tc>
          <w:tcPr>
            <w:tcW w:w="1284" w:type="dxa"/>
          </w:tcPr>
          <w:p>
            <w:pPr>
              <w:pStyle w:val="TableParagraph"/>
              <w:spacing w:line="147" w:lineRule="exact" w:before="85"/>
              <w:ind w:right="432"/>
              <w:jc w:val="right"/>
              <w:rPr>
                <w:sz w:val="14"/>
              </w:rPr>
            </w:pPr>
            <w:r>
              <w:rPr>
                <w:sz w:val="14"/>
              </w:rPr>
              <w:t>38,730.9</w:t>
            </w:r>
          </w:p>
        </w:tc>
        <w:tc>
          <w:tcPr>
            <w:tcW w:w="1249" w:type="dxa"/>
          </w:tcPr>
          <w:p>
            <w:pPr>
              <w:pStyle w:val="TableParagraph"/>
              <w:spacing w:line="147" w:lineRule="exact" w:before="85"/>
              <w:ind w:left="406" w:right="366"/>
              <w:jc w:val="center"/>
              <w:rPr>
                <w:sz w:val="14"/>
              </w:rPr>
            </w:pPr>
            <w:r>
              <w:rPr>
                <w:sz w:val="14"/>
              </w:rPr>
              <w:t>1 . 9 %</w:t>
            </w:r>
          </w:p>
        </w:tc>
      </w:tr>
      <w:tr>
        <w:trPr>
          <w:trHeight w:val="167"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Administrative and Operating Costs</w:t>
            </w:r>
          </w:p>
        </w:tc>
        <w:tc>
          <w:tcPr>
            <w:tcW w:w="1639" w:type="dxa"/>
          </w:tcPr>
          <w:p>
            <w:pPr>
              <w:pStyle w:val="TableParagraph"/>
              <w:spacing w:line="147" w:lineRule="exact" w:before="1"/>
              <w:ind w:right="525"/>
              <w:jc w:val="right"/>
              <w:rPr>
                <w:b/>
                <w:sz w:val="14"/>
              </w:rPr>
            </w:pPr>
            <w:r>
              <w:rPr>
                <w:b/>
                <w:sz w:val="14"/>
              </w:rPr>
              <w:t>2,279.6</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2,170 .2</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2,300 .2</w:t>
            </w:r>
          </w:p>
        </w:tc>
        <w:tc>
          <w:tcPr>
            <w:tcW w:w="1249" w:type="dxa"/>
          </w:tcPr>
          <w:p>
            <w:pPr>
              <w:pStyle w:val="TableParagraph"/>
              <w:spacing w:line="147" w:lineRule="exact" w:before="1"/>
              <w:ind w:left="406" w:right="366"/>
              <w:jc w:val="center"/>
              <w:rPr>
                <w:sz w:val="14"/>
              </w:rPr>
            </w:pPr>
            <w:r>
              <w:rPr>
                <w:sz w:val="14"/>
              </w:rPr>
              <w:t>0 . 1 %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Payment of outstanding Contracts on Procurement of Government Vehicles</w:t>
            </w:r>
          </w:p>
        </w:tc>
        <w:tc>
          <w:tcPr>
            <w:tcW w:w="1639" w:type="dxa"/>
          </w:tcPr>
          <w:p>
            <w:pPr>
              <w:pStyle w:val="TableParagraph"/>
              <w:spacing w:line="147" w:lineRule="exact" w:before="1"/>
              <w:ind w:right="532"/>
              <w:jc w:val="right"/>
              <w:rPr>
                <w:b/>
                <w:sz w:val="14"/>
              </w:rPr>
            </w:pPr>
            <w:r>
              <w:rPr>
                <w:b/>
                <w:sz w:val="14"/>
              </w:rPr>
              <w:t>53,739.0</w:t>
            </w:r>
          </w:p>
        </w:tc>
        <w:tc>
          <w:tcPr>
            <w:tcW w:w="1443" w:type="dxa"/>
          </w:tcPr>
          <w:p>
            <w:pPr>
              <w:pStyle w:val="TableParagraph"/>
              <w:spacing w:line="147" w:lineRule="exact" w:before="1"/>
              <w:ind w:left="492"/>
              <w:rPr>
                <w:sz w:val="14"/>
              </w:rPr>
            </w:pPr>
            <w:r>
              <w:rPr>
                <w:sz w:val="14"/>
              </w:rPr>
              <w:t>2 . 6 %</w:t>
            </w:r>
          </w:p>
        </w:tc>
        <w:tc>
          <w:tcPr>
            <w:tcW w:w="1622" w:type="dxa"/>
          </w:tcPr>
          <w:p>
            <w:pPr>
              <w:pStyle w:val="TableParagraph"/>
              <w:spacing w:line="147" w:lineRule="exact" w:before="1"/>
              <w:ind w:right="629"/>
              <w:jc w:val="right"/>
              <w:rPr>
                <w:sz w:val="14"/>
              </w:rPr>
            </w:pPr>
            <w:r>
              <w:rPr>
                <w:sz w:val="14"/>
              </w:rPr>
              <w:t>36,788.2</w:t>
            </w:r>
          </w:p>
        </w:tc>
        <w:tc>
          <w:tcPr>
            <w:tcW w:w="1298" w:type="dxa"/>
          </w:tcPr>
          <w:p>
            <w:pPr>
              <w:pStyle w:val="TableParagraph"/>
              <w:spacing w:line="147" w:lineRule="exact" w:before="1"/>
              <w:ind w:left="432"/>
              <w:rPr>
                <w:sz w:val="14"/>
              </w:rPr>
            </w:pPr>
            <w:r>
              <w:rPr>
                <w:sz w:val="14"/>
              </w:rPr>
              <w:t>1 . 8 %</w:t>
            </w:r>
          </w:p>
        </w:tc>
        <w:tc>
          <w:tcPr>
            <w:tcW w:w="1284" w:type="dxa"/>
          </w:tcPr>
          <w:p>
            <w:pPr>
              <w:pStyle w:val="TableParagraph"/>
              <w:spacing w:line="147" w:lineRule="exact" w:before="1"/>
              <w:ind w:right="432"/>
              <w:jc w:val="right"/>
              <w:rPr>
                <w:sz w:val="14"/>
              </w:rPr>
            </w:pPr>
            <w:r>
              <w:rPr>
                <w:sz w:val="14"/>
              </w:rPr>
              <w:t>35,970.9</w:t>
            </w:r>
          </w:p>
        </w:tc>
        <w:tc>
          <w:tcPr>
            <w:tcW w:w="1249" w:type="dxa"/>
          </w:tcPr>
          <w:p>
            <w:pPr>
              <w:pStyle w:val="TableParagraph"/>
              <w:spacing w:line="147" w:lineRule="exact" w:before="1"/>
              <w:ind w:left="406" w:right="366"/>
              <w:jc w:val="center"/>
              <w:rPr>
                <w:sz w:val="14"/>
              </w:rPr>
            </w:pPr>
            <w:r>
              <w:rPr>
                <w:sz w:val="14"/>
              </w:rPr>
              <w:t>1 . 7 %</w:t>
            </w:r>
          </w:p>
        </w:tc>
      </w:tr>
      <w:tr>
        <w:trPr>
          <w:trHeight w:val="251" w:hRule="atLeast"/>
        </w:trPr>
        <w:tc>
          <w:tcPr>
            <w:tcW w:w="472" w:type="dxa"/>
          </w:tcPr>
          <w:p>
            <w:pPr>
              <w:pStyle w:val="TableParagraph"/>
              <w:rPr>
                <w:rFonts w:ascii="Times New Roman"/>
                <w:sz w:val="14"/>
              </w:rPr>
            </w:pPr>
          </w:p>
        </w:tc>
        <w:tc>
          <w:tcPr>
            <w:tcW w:w="5792" w:type="dxa"/>
          </w:tcPr>
          <w:p>
            <w:pPr>
              <w:pStyle w:val="TableParagraph"/>
              <w:spacing w:before="1"/>
              <w:ind w:left="262"/>
              <w:rPr>
                <w:sz w:val="14"/>
              </w:rPr>
            </w:pPr>
            <w:r>
              <w:rPr>
                <w:sz w:val="14"/>
              </w:rPr>
              <w:t>Establish and opeationalise a Planning and Policy Unit</w:t>
            </w:r>
          </w:p>
        </w:tc>
        <w:tc>
          <w:tcPr>
            <w:tcW w:w="1639" w:type="dxa"/>
          </w:tcPr>
          <w:p>
            <w:pPr>
              <w:pStyle w:val="TableParagraph"/>
              <w:spacing w:before="1"/>
              <w:ind w:right="513"/>
              <w:jc w:val="right"/>
              <w:rPr>
                <w:b/>
                <w:sz w:val="14"/>
              </w:rPr>
            </w:pPr>
            <w:r>
              <w:rPr>
                <w:b/>
                <w:sz w:val="14"/>
              </w:rPr>
              <w:t>352.2</w:t>
            </w:r>
          </w:p>
        </w:tc>
        <w:tc>
          <w:tcPr>
            <w:tcW w:w="1443" w:type="dxa"/>
          </w:tcPr>
          <w:p>
            <w:pPr>
              <w:pStyle w:val="TableParagraph"/>
              <w:spacing w:before="1"/>
              <w:ind w:left="492"/>
              <w:rPr>
                <w:sz w:val="14"/>
              </w:rPr>
            </w:pPr>
            <w:r>
              <w:rPr>
                <w:sz w:val="14"/>
              </w:rPr>
              <w:t>0 . 0 %</w:t>
            </w:r>
          </w:p>
        </w:tc>
        <w:tc>
          <w:tcPr>
            <w:tcW w:w="1622" w:type="dxa"/>
          </w:tcPr>
          <w:p>
            <w:pPr>
              <w:pStyle w:val="TableParagraph"/>
              <w:spacing w:before="1"/>
              <w:ind w:right="618"/>
              <w:jc w:val="right"/>
              <w:rPr>
                <w:sz w:val="14"/>
              </w:rPr>
            </w:pPr>
            <w:r>
              <w:rPr>
                <w:sz w:val="14"/>
              </w:rPr>
              <w:t>433.8</w:t>
            </w:r>
          </w:p>
        </w:tc>
        <w:tc>
          <w:tcPr>
            <w:tcW w:w="1298" w:type="dxa"/>
          </w:tcPr>
          <w:p>
            <w:pPr>
              <w:pStyle w:val="TableParagraph"/>
              <w:spacing w:before="1"/>
              <w:ind w:left="432"/>
              <w:rPr>
                <w:sz w:val="14"/>
              </w:rPr>
            </w:pPr>
            <w:r>
              <w:rPr>
                <w:sz w:val="14"/>
              </w:rPr>
              <w:t>0 . 0 %</w:t>
            </w:r>
          </w:p>
        </w:tc>
        <w:tc>
          <w:tcPr>
            <w:tcW w:w="1284" w:type="dxa"/>
          </w:tcPr>
          <w:p>
            <w:pPr>
              <w:pStyle w:val="TableParagraph"/>
              <w:spacing w:before="1"/>
              <w:ind w:right="420"/>
              <w:jc w:val="right"/>
              <w:rPr>
                <w:sz w:val="14"/>
              </w:rPr>
            </w:pPr>
            <w:r>
              <w:rPr>
                <w:sz w:val="14"/>
              </w:rPr>
              <w:t>459.8</w:t>
            </w:r>
          </w:p>
        </w:tc>
        <w:tc>
          <w:tcPr>
            <w:tcW w:w="1249" w:type="dxa"/>
          </w:tcPr>
          <w:p>
            <w:pPr>
              <w:pStyle w:val="TableParagraph"/>
              <w:spacing w:before="1"/>
              <w:ind w:left="406" w:right="366"/>
              <w:jc w:val="center"/>
              <w:rPr>
                <w:sz w:val="14"/>
              </w:rPr>
            </w:pPr>
            <w:r>
              <w:rPr>
                <w:sz w:val="14"/>
              </w:rPr>
              <w:t>0 . 0 %</w:t>
            </w:r>
          </w:p>
        </w:tc>
      </w:tr>
      <w:tr>
        <w:trPr>
          <w:trHeight w:val="251" w:hRule="atLeast"/>
        </w:trPr>
        <w:tc>
          <w:tcPr>
            <w:tcW w:w="472" w:type="dxa"/>
          </w:tcPr>
          <w:p>
            <w:pPr>
              <w:pStyle w:val="TableParagraph"/>
              <w:spacing w:line="147" w:lineRule="exact" w:before="85"/>
              <w:ind w:left="125"/>
              <w:rPr>
                <w:sz w:val="14"/>
              </w:rPr>
            </w:pPr>
            <w:r>
              <w:rPr>
                <w:sz w:val="14"/>
              </w:rPr>
              <w:t>405</w:t>
            </w:r>
          </w:p>
        </w:tc>
        <w:tc>
          <w:tcPr>
            <w:tcW w:w="5792" w:type="dxa"/>
          </w:tcPr>
          <w:p>
            <w:pPr>
              <w:pStyle w:val="TableParagraph"/>
              <w:spacing w:line="147" w:lineRule="exact" w:before="85"/>
              <w:ind w:left="95"/>
              <w:rPr>
                <w:sz w:val="14"/>
              </w:rPr>
            </w:pPr>
            <w:r>
              <w:rPr>
                <w:sz w:val="14"/>
              </w:rPr>
              <w:t>Ministry of Tourism and Cultural Affairs</w:t>
            </w:r>
          </w:p>
        </w:tc>
        <w:tc>
          <w:tcPr>
            <w:tcW w:w="1639" w:type="dxa"/>
          </w:tcPr>
          <w:p>
            <w:pPr>
              <w:pStyle w:val="TableParagraph"/>
              <w:spacing w:line="147" w:lineRule="exact" w:before="85"/>
              <w:ind w:right="525"/>
              <w:jc w:val="right"/>
              <w:rPr>
                <w:b/>
                <w:sz w:val="14"/>
              </w:rPr>
            </w:pPr>
            <w:r>
              <w:rPr>
                <w:b/>
                <w:sz w:val="14"/>
              </w:rPr>
              <w:t>7,718.4</w:t>
            </w:r>
          </w:p>
        </w:tc>
        <w:tc>
          <w:tcPr>
            <w:tcW w:w="1443" w:type="dxa"/>
          </w:tcPr>
          <w:p>
            <w:pPr>
              <w:pStyle w:val="TableParagraph"/>
              <w:spacing w:line="147" w:lineRule="exact" w:before="85"/>
              <w:ind w:left="492"/>
              <w:rPr>
                <w:sz w:val="14"/>
              </w:rPr>
            </w:pPr>
            <w:r>
              <w:rPr>
                <w:sz w:val="14"/>
              </w:rPr>
              <w:t>0 . 4 %</w:t>
            </w:r>
          </w:p>
        </w:tc>
        <w:tc>
          <w:tcPr>
            <w:tcW w:w="1622" w:type="dxa"/>
          </w:tcPr>
          <w:p>
            <w:pPr>
              <w:pStyle w:val="TableParagraph"/>
              <w:spacing w:line="147" w:lineRule="exact" w:before="85"/>
              <w:ind w:right="620"/>
              <w:jc w:val="right"/>
              <w:rPr>
                <w:sz w:val="14"/>
              </w:rPr>
            </w:pPr>
            <w:r>
              <w:rPr>
                <w:sz w:val="14"/>
              </w:rPr>
              <w:t>9,507 .5</w:t>
            </w:r>
          </w:p>
        </w:tc>
        <w:tc>
          <w:tcPr>
            <w:tcW w:w="1298" w:type="dxa"/>
          </w:tcPr>
          <w:p>
            <w:pPr>
              <w:pStyle w:val="TableParagraph"/>
              <w:spacing w:line="147" w:lineRule="exact" w:before="85"/>
              <w:ind w:left="432"/>
              <w:rPr>
                <w:sz w:val="14"/>
              </w:rPr>
            </w:pPr>
            <w:r>
              <w:rPr>
                <w:sz w:val="14"/>
              </w:rPr>
              <w:t>0 . 5 %</w:t>
            </w:r>
          </w:p>
        </w:tc>
        <w:tc>
          <w:tcPr>
            <w:tcW w:w="1284" w:type="dxa"/>
          </w:tcPr>
          <w:p>
            <w:pPr>
              <w:pStyle w:val="TableParagraph"/>
              <w:spacing w:line="147" w:lineRule="exact" w:before="85"/>
              <w:ind w:right="432"/>
              <w:jc w:val="right"/>
              <w:rPr>
                <w:sz w:val="14"/>
              </w:rPr>
            </w:pPr>
            <w:r>
              <w:rPr>
                <w:sz w:val="14"/>
              </w:rPr>
              <w:t>10,077.0</w:t>
            </w:r>
          </w:p>
        </w:tc>
        <w:tc>
          <w:tcPr>
            <w:tcW w:w="1249" w:type="dxa"/>
          </w:tcPr>
          <w:p>
            <w:pPr>
              <w:pStyle w:val="TableParagraph"/>
              <w:spacing w:line="147" w:lineRule="exact" w:before="85"/>
              <w:ind w:left="406" w:right="366"/>
              <w:jc w:val="center"/>
              <w:rPr>
                <w:sz w:val="14"/>
              </w:rPr>
            </w:pPr>
            <w:r>
              <w:rPr>
                <w:sz w:val="14"/>
              </w:rPr>
              <w:t>0 . 5 %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National Tourist Board</w:t>
            </w:r>
          </w:p>
        </w:tc>
        <w:tc>
          <w:tcPr>
            <w:tcW w:w="1639" w:type="dxa"/>
          </w:tcPr>
          <w:p>
            <w:pPr>
              <w:pStyle w:val="TableParagraph"/>
              <w:spacing w:line="147" w:lineRule="exact" w:before="1"/>
              <w:ind w:right="525"/>
              <w:jc w:val="right"/>
              <w:rPr>
                <w:b/>
                <w:sz w:val="14"/>
              </w:rPr>
            </w:pPr>
            <w:r>
              <w:rPr>
                <w:b/>
                <w:sz w:val="14"/>
              </w:rPr>
              <w:t>4,226.4</w:t>
            </w:r>
          </w:p>
        </w:tc>
        <w:tc>
          <w:tcPr>
            <w:tcW w:w="1443" w:type="dxa"/>
          </w:tcPr>
          <w:p>
            <w:pPr>
              <w:pStyle w:val="TableParagraph"/>
              <w:spacing w:line="147" w:lineRule="exact" w:before="1"/>
              <w:ind w:left="492"/>
              <w:rPr>
                <w:sz w:val="14"/>
              </w:rPr>
            </w:pPr>
            <w:r>
              <w:rPr>
                <w:sz w:val="14"/>
              </w:rPr>
              <w:t>0 . 2 %</w:t>
            </w:r>
          </w:p>
        </w:tc>
        <w:tc>
          <w:tcPr>
            <w:tcW w:w="1622" w:type="dxa"/>
          </w:tcPr>
          <w:p>
            <w:pPr>
              <w:pStyle w:val="TableParagraph"/>
              <w:spacing w:line="147" w:lineRule="exact" w:before="1"/>
              <w:ind w:right="620"/>
              <w:jc w:val="right"/>
              <w:rPr>
                <w:sz w:val="14"/>
              </w:rPr>
            </w:pPr>
            <w:r>
              <w:rPr>
                <w:sz w:val="14"/>
              </w:rPr>
              <w:t>5,206 .0</w:t>
            </w:r>
          </w:p>
        </w:tc>
        <w:tc>
          <w:tcPr>
            <w:tcW w:w="1298" w:type="dxa"/>
          </w:tcPr>
          <w:p>
            <w:pPr>
              <w:pStyle w:val="TableParagraph"/>
              <w:spacing w:line="147" w:lineRule="exact" w:before="1"/>
              <w:ind w:left="432"/>
              <w:rPr>
                <w:sz w:val="14"/>
              </w:rPr>
            </w:pPr>
            <w:r>
              <w:rPr>
                <w:sz w:val="14"/>
              </w:rPr>
              <w:t>0 . 3 %</w:t>
            </w:r>
          </w:p>
        </w:tc>
        <w:tc>
          <w:tcPr>
            <w:tcW w:w="1284" w:type="dxa"/>
          </w:tcPr>
          <w:p>
            <w:pPr>
              <w:pStyle w:val="TableParagraph"/>
              <w:spacing w:line="147" w:lineRule="exact" w:before="1"/>
              <w:ind w:right="428"/>
              <w:jc w:val="right"/>
              <w:rPr>
                <w:sz w:val="14"/>
              </w:rPr>
            </w:pPr>
            <w:r>
              <w:rPr>
                <w:sz w:val="14"/>
              </w:rPr>
              <w:t>5,517 .9</w:t>
            </w:r>
          </w:p>
        </w:tc>
        <w:tc>
          <w:tcPr>
            <w:tcW w:w="1249" w:type="dxa"/>
          </w:tcPr>
          <w:p>
            <w:pPr>
              <w:pStyle w:val="TableParagraph"/>
              <w:spacing w:line="147" w:lineRule="exact" w:before="1"/>
              <w:ind w:left="406" w:right="366"/>
              <w:jc w:val="center"/>
              <w:rPr>
                <w:sz w:val="14"/>
              </w:rPr>
            </w:pPr>
            <w:r>
              <w:rPr>
                <w:sz w:val="14"/>
              </w:rPr>
              <w:t>0 . 3 %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435"/>
              <w:rPr>
                <w:sz w:val="14"/>
              </w:rPr>
            </w:pPr>
            <w:r>
              <w:rPr>
                <w:sz w:val="14"/>
              </w:rPr>
              <w:t>o/ w Development and Implementation of Tourism Marketing Strategy</w:t>
            </w:r>
          </w:p>
        </w:tc>
        <w:tc>
          <w:tcPr>
            <w:tcW w:w="1639" w:type="dxa"/>
          </w:tcPr>
          <w:p>
            <w:pPr>
              <w:pStyle w:val="TableParagraph"/>
              <w:spacing w:line="147" w:lineRule="exact" w:before="1"/>
              <w:ind w:right="525"/>
              <w:jc w:val="right"/>
              <w:rPr>
                <w:b/>
                <w:sz w:val="14"/>
              </w:rPr>
            </w:pPr>
            <w:r>
              <w:rPr>
                <w:b/>
                <w:sz w:val="14"/>
              </w:rPr>
              <w:t>1,405.9</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1,731 .8</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1,835 .5</w:t>
            </w:r>
          </w:p>
        </w:tc>
        <w:tc>
          <w:tcPr>
            <w:tcW w:w="1249" w:type="dxa"/>
          </w:tcPr>
          <w:p>
            <w:pPr>
              <w:pStyle w:val="TableParagraph"/>
              <w:spacing w:line="147" w:lineRule="exact" w:before="1"/>
              <w:ind w:left="406" w:right="366"/>
              <w:jc w:val="center"/>
              <w:rPr>
                <w:sz w:val="14"/>
              </w:rPr>
            </w:pPr>
            <w:r>
              <w:rPr>
                <w:sz w:val="14"/>
              </w:rPr>
              <w:t>0 . 1 %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3"/>
              <w:rPr>
                <w:sz w:val="14"/>
              </w:rPr>
            </w:pPr>
            <w:r>
              <w:rPr>
                <w:sz w:val="14"/>
              </w:rPr>
              <w:t>Monuments and Relics Commission</w:t>
            </w:r>
          </w:p>
        </w:tc>
        <w:tc>
          <w:tcPr>
            <w:tcW w:w="1639" w:type="dxa"/>
          </w:tcPr>
          <w:p>
            <w:pPr>
              <w:pStyle w:val="TableParagraph"/>
              <w:spacing w:line="147" w:lineRule="exact" w:before="1"/>
              <w:ind w:right="525"/>
              <w:jc w:val="right"/>
              <w:rPr>
                <w:b/>
                <w:sz w:val="14"/>
              </w:rPr>
            </w:pPr>
            <w:r>
              <w:rPr>
                <w:b/>
                <w:sz w:val="14"/>
              </w:rPr>
              <w:t>2,245.3</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2,765 .7</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2,931 .4</w:t>
            </w:r>
          </w:p>
        </w:tc>
        <w:tc>
          <w:tcPr>
            <w:tcW w:w="1249" w:type="dxa"/>
          </w:tcPr>
          <w:p>
            <w:pPr>
              <w:pStyle w:val="TableParagraph"/>
              <w:spacing w:line="147" w:lineRule="exact" w:before="1"/>
              <w:ind w:left="406" w:right="366"/>
              <w:jc w:val="center"/>
              <w:rPr>
                <w:sz w:val="14"/>
              </w:rPr>
            </w:pPr>
            <w:r>
              <w:rPr>
                <w:sz w:val="14"/>
              </w:rPr>
              <w:t>0 . 1 %</w:t>
            </w:r>
          </w:p>
        </w:tc>
      </w:tr>
      <w:tr>
        <w:trPr>
          <w:trHeight w:val="218" w:hRule="atLeast"/>
        </w:trPr>
        <w:tc>
          <w:tcPr>
            <w:tcW w:w="472" w:type="dxa"/>
          </w:tcPr>
          <w:p>
            <w:pPr>
              <w:pStyle w:val="TableParagraph"/>
              <w:rPr>
                <w:rFonts w:ascii="Times New Roman"/>
                <w:sz w:val="14"/>
              </w:rPr>
            </w:pPr>
          </w:p>
        </w:tc>
        <w:tc>
          <w:tcPr>
            <w:tcW w:w="5792" w:type="dxa"/>
          </w:tcPr>
          <w:p>
            <w:pPr>
              <w:pStyle w:val="TableParagraph"/>
              <w:spacing w:before="1"/>
              <w:ind w:left="262"/>
              <w:rPr>
                <w:sz w:val="14"/>
              </w:rPr>
            </w:pPr>
            <w:r>
              <w:rPr>
                <w:sz w:val="14"/>
              </w:rPr>
              <w:t>National and Railway Museums</w:t>
            </w:r>
          </w:p>
        </w:tc>
        <w:tc>
          <w:tcPr>
            <w:tcW w:w="1639" w:type="dxa"/>
          </w:tcPr>
          <w:p>
            <w:pPr>
              <w:pStyle w:val="TableParagraph"/>
              <w:spacing w:before="1"/>
              <w:ind w:right="525"/>
              <w:jc w:val="right"/>
              <w:rPr>
                <w:b/>
                <w:sz w:val="14"/>
              </w:rPr>
            </w:pPr>
            <w:r>
              <w:rPr>
                <w:b/>
                <w:sz w:val="14"/>
              </w:rPr>
              <w:t>1,246.8</w:t>
            </w:r>
          </w:p>
        </w:tc>
        <w:tc>
          <w:tcPr>
            <w:tcW w:w="1443" w:type="dxa"/>
          </w:tcPr>
          <w:p>
            <w:pPr>
              <w:pStyle w:val="TableParagraph"/>
              <w:spacing w:before="1"/>
              <w:ind w:left="492"/>
              <w:rPr>
                <w:sz w:val="14"/>
              </w:rPr>
            </w:pPr>
            <w:r>
              <w:rPr>
                <w:sz w:val="14"/>
              </w:rPr>
              <w:t>0 . 1 %</w:t>
            </w:r>
          </w:p>
        </w:tc>
        <w:tc>
          <w:tcPr>
            <w:tcW w:w="1622" w:type="dxa"/>
          </w:tcPr>
          <w:p>
            <w:pPr>
              <w:pStyle w:val="TableParagraph"/>
              <w:spacing w:before="1"/>
              <w:ind w:right="620"/>
              <w:jc w:val="right"/>
              <w:rPr>
                <w:sz w:val="14"/>
              </w:rPr>
            </w:pPr>
            <w:r>
              <w:rPr>
                <w:sz w:val="14"/>
              </w:rPr>
              <w:t>1,535 .8</w:t>
            </w:r>
          </w:p>
        </w:tc>
        <w:tc>
          <w:tcPr>
            <w:tcW w:w="1298" w:type="dxa"/>
          </w:tcPr>
          <w:p>
            <w:pPr>
              <w:pStyle w:val="TableParagraph"/>
              <w:spacing w:before="1"/>
              <w:ind w:left="432"/>
              <w:rPr>
                <w:sz w:val="14"/>
              </w:rPr>
            </w:pPr>
            <w:r>
              <w:rPr>
                <w:sz w:val="14"/>
              </w:rPr>
              <w:t>0 . 1 %</w:t>
            </w:r>
          </w:p>
        </w:tc>
        <w:tc>
          <w:tcPr>
            <w:tcW w:w="1284" w:type="dxa"/>
          </w:tcPr>
          <w:p>
            <w:pPr>
              <w:pStyle w:val="TableParagraph"/>
              <w:spacing w:before="1"/>
              <w:ind w:right="428"/>
              <w:jc w:val="right"/>
              <w:rPr>
                <w:sz w:val="14"/>
              </w:rPr>
            </w:pPr>
            <w:r>
              <w:rPr>
                <w:sz w:val="14"/>
              </w:rPr>
              <w:t>1,627 .8</w:t>
            </w:r>
          </w:p>
        </w:tc>
        <w:tc>
          <w:tcPr>
            <w:tcW w:w="1249" w:type="dxa"/>
          </w:tcPr>
          <w:p>
            <w:pPr>
              <w:pStyle w:val="TableParagraph"/>
              <w:spacing w:before="1"/>
              <w:ind w:left="406" w:right="366"/>
              <w:jc w:val="center"/>
              <w:rPr>
                <w:sz w:val="14"/>
              </w:rPr>
            </w:pPr>
            <w:r>
              <w:rPr>
                <w:sz w:val="14"/>
              </w:rPr>
              <w:t>0 . 1 %</w:t>
            </w:r>
          </w:p>
        </w:tc>
      </w:tr>
      <w:tr>
        <w:trPr>
          <w:trHeight w:val="218" w:hRule="atLeast"/>
        </w:trPr>
        <w:tc>
          <w:tcPr>
            <w:tcW w:w="472" w:type="dxa"/>
          </w:tcPr>
          <w:p>
            <w:pPr>
              <w:pStyle w:val="TableParagraph"/>
              <w:spacing w:line="147" w:lineRule="exact" w:before="51"/>
              <w:ind w:left="125"/>
              <w:rPr>
                <w:sz w:val="14"/>
              </w:rPr>
            </w:pPr>
            <w:r>
              <w:rPr>
                <w:sz w:val="14"/>
              </w:rPr>
              <w:t>406</w:t>
            </w:r>
          </w:p>
        </w:tc>
        <w:tc>
          <w:tcPr>
            <w:tcW w:w="5792" w:type="dxa"/>
          </w:tcPr>
          <w:p>
            <w:pPr>
              <w:pStyle w:val="TableParagraph"/>
              <w:spacing w:line="147" w:lineRule="exact" w:before="51"/>
              <w:ind w:left="95"/>
              <w:rPr>
                <w:sz w:val="14"/>
              </w:rPr>
            </w:pPr>
            <w:r>
              <w:rPr>
                <w:sz w:val="14"/>
              </w:rPr>
              <w:t>Ministry of Energy</w:t>
            </w:r>
          </w:p>
        </w:tc>
        <w:tc>
          <w:tcPr>
            <w:tcW w:w="1639" w:type="dxa"/>
          </w:tcPr>
          <w:p>
            <w:pPr>
              <w:pStyle w:val="TableParagraph"/>
              <w:spacing w:line="147" w:lineRule="exact" w:before="51"/>
              <w:ind w:right="534"/>
              <w:jc w:val="right"/>
              <w:rPr>
                <w:b/>
                <w:sz w:val="14"/>
              </w:rPr>
            </w:pPr>
            <w:r>
              <w:rPr>
                <w:b/>
                <w:sz w:val="14"/>
              </w:rPr>
              <w:t>127,537.2</w:t>
            </w:r>
          </w:p>
        </w:tc>
        <w:tc>
          <w:tcPr>
            <w:tcW w:w="1443" w:type="dxa"/>
          </w:tcPr>
          <w:p>
            <w:pPr>
              <w:pStyle w:val="TableParagraph"/>
              <w:spacing w:line="147" w:lineRule="exact" w:before="51"/>
              <w:ind w:left="492"/>
              <w:rPr>
                <w:sz w:val="14"/>
              </w:rPr>
            </w:pPr>
            <w:r>
              <w:rPr>
                <w:sz w:val="14"/>
              </w:rPr>
              <w:t>6 . 1 %</w:t>
            </w:r>
          </w:p>
        </w:tc>
        <w:tc>
          <w:tcPr>
            <w:tcW w:w="1622" w:type="dxa"/>
          </w:tcPr>
          <w:p>
            <w:pPr>
              <w:pStyle w:val="TableParagraph"/>
              <w:spacing w:line="147" w:lineRule="exact" w:before="51"/>
              <w:ind w:right="628"/>
              <w:jc w:val="right"/>
              <w:rPr>
                <w:sz w:val="14"/>
              </w:rPr>
            </w:pPr>
            <w:r>
              <w:rPr>
                <w:sz w:val="14"/>
              </w:rPr>
              <w:t>182,988.8</w:t>
            </w:r>
          </w:p>
        </w:tc>
        <w:tc>
          <w:tcPr>
            <w:tcW w:w="1298" w:type="dxa"/>
          </w:tcPr>
          <w:p>
            <w:pPr>
              <w:pStyle w:val="TableParagraph"/>
              <w:spacing w:line="147" w:lineRule="exact" w:before="51"/>
              <w:ind w:left="432"/>
              <w:rPr>
                <w:sz w:val="14"/>
              </w:rPr>
            </w:pPr>
            <w:r>
              <w:rPr>
                <w:sz w:val="14"/>
              </w:rPr>
              <w:t>8 . 8 %</w:t>
            </w:r>
          </w:p>
        </w:tc>
        <w:tc>
          <w:tcPr>
            <w:tcW w:w="1284" w:type="dxa"/>
          </w:tcPr>
          <w:p>
            <w:pPr>
              <w:pStyle w:val="TableParagraph"/>
              <w:spacing w:line="147" w:lineRule="exact" w:before="51"/>
              <w:ind w:right="435"/>
              <w:jc w:val="right"/>
              <w:rPr>
                <w:sz w:val="14"/>
              </w:rPr>
            </w:pPr>
            <w:r>
              <w:rPr>
                <w:sz w:val="14"/>
              </w:rPr>
              <w:t>110,187.9</w:t>
            </w:r>
          </w:p>
        </w:tc>
        <w:tc>
          <w:tcPr>
            <w:tcW w:w="1249" w:type="dxa"/>
          </w:tcPr>
          <w:p>
            <w:pPr>
              <w:pStyle w:val="TableParagraph"/>
              <w:spacing w:line="147" w:lineRule="exact" w:before="51"/>
              <w:ind w:left="406" w:right="366"/>
              <w:jc w:val="center"/>
              <w:rPr>
                <w:sz w:val="14"/>
              </w:rPr>
            </w:pPr>
            <w:r>
              <w:rPr>
                <w:sz w:val="14"/>
              </w:rPr>
              <w:t>5 . 3 %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Administrative and Operating Expenses</w:t>
            </w:r>
          </w:p>
        </w:tc>
        <w:tc>
          <w:tcPr>
            <w:tcW w:w="1639" w:type="dxa"/>
          </w:tcPr>
          <w:p>
            <w:pPr>
              <w:pStyle w:val="TableParagraph"/>
              <w:spacing w:line="147" w:lineRule="exact" w:before="1"/>
              <w:ind w:right="525"/>
              <w:jc w:val="right"/>
              <w:rPr>
                <w:b/>
                <w:sz w:val="14"/>
              </w:rPr>
            </w:pPr>
            <w:r>
              <w:rPr>
                <w:b/>
                <w:sz w:val="14"/>
              </w:rPr>
              <w:t>3,384.3</w:t>
            </w:r>
          </w:p>
        </w:tc>
        <w:tc>
          <w:tcPr>
            <w:tcW w:w="1443" w:type="dxa"/>
          </w:tcPr>
          <w:p>
            <w:pPr>
              <w:pStyle w:val="TableParagraph"/>
              <w:spacing w:line="147" w:lineRule="exact" w:before="1"/>
              <w:ind w:left="492"/>
              <w:rPr>
                <w:sz w:val="14"/>
              </w:rPr>
            </w:pPr>
            <w:r>
              <w:rPr>
                <w:sz w:val="14"/>
              </w:rPr>
              <w:t>0 . 2 %</w:t>
            </w:r>
          </w:p>
        </w:tc>
        <w:tc>
          <w:tcPr>
            <w:tcW w:w="1622" w:type="dxa"/>
          </w:tcPr>
          <w:p>
            <w:pPr>
              <w:pStyle w:val="TableParagraph"/>
              <w:spacing w:line="147" w:lineRule="exact" w:before="1"/>
              <w:ind w:right="620"/>
              <w:jc w:val="right"/>
              <w:rPr>
                <w:sz w:val="14"/>
              </w:rPr>
            </w:pPr>
            <w:r>
              <w:rPr>
                <w:sz w:val="14"/>
              </w:rPr>
              <w:t>3,751 .9</w:t>
            </w:r>
          </w:p>
        </w:tc>
        <w:tc>
          <w:tcPr>
            <w:tcW w:w="1298" w:type="dxa"/>
          </w:tcPr>
          <w:p>
            <w:pPr>
              <w:pStyle w:val="TableParagraph"/>
              <w:spacing w:line="147" w:lineRule="exact" w:before="1"/>
              <w:ind w:left="432"/>
              <w:rPr>
                <w:sz w:val="14"/>
              </w:rPr>
            </w:pPr>
            <w:r>
              <w:rPr>
                <w:sz w:val="14"/>
              </w:rPr>
              <w:t>0 . 2 %</w:t>
            </w:r>
          </w:p>
        </w:tc>
        <w:tc>
          <w:tcPr>
            <w:tcW w:w="1284" w:type="dxa"/>
          </w:tcPr>
          <w:p>
            <w:pPr>
              <w:pStyle w:val="TableParagraph"/>
              <w:spacing w:line="147" w:lineRule="exact" w:before="1"/>
              <w:ind w:right="428"/>
              <w:jc w:val="right"/>
              <w:rPr>
                <w:sz w:val="14"/>
              </w:rPr>
            </w:pPr>
            <w:r>
              <w:rPr>
                <w:sz w:val="14"/>
              </w:rPr>
              <w:t>3,976 .7</w:t>
            </w:r>
          </w:p>
        </w:tc>
        <w:tc>
          <w:tcPr>
            <w:tcW w:w="1249" w:type="dxa"/>
          </w:tcPr>
          <w:p>
            <w:pPr>
              <w:pStyle w:val="TableParagraph"/>
              <w:spacing w:line="147" w:lineRule="exact" w:before="1"/>
              <w:ind w:left="406" w:right="366"/>
              <w:jc w:val="center"/>
              <w:rPr>
                <w:sz w:val="14"/>
              </w:rPr>
            </w:pPr>
            <w:r>
              <w:rPr>
                <w:sz w:val="14"/>
              </w:rPr>
              <w:t>0 . 2 %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470"/>
              <w:rPr>
                <w:sz w:val="14"/>
              </w:rPr>
            </w:pPr>
            <w:r>
              <w:rPr>
                <w:sz w:val="14"/>
              </w:rPr>
              <w:t>Bumbuna Watershed Unit</w:t>
            </w:r>
          </w:p>
        </w:tc>
        <w:tc>
          <w:tcPr>
            <w:tcW w:w="1639" w:type="dxa"/>
          </w:tcPr>
          <w:p>
            <w:pPr>
              <w:pStyle w:val="TableParagraph"/>
              <w:spacing w:line="147" w:lineRule="exact" w:before="1"/>
              <w:ind w:right="513"/>
              <w:jc w:val="right"/>
              <w:rPr>
                <w:b/>
                <w:sz w:val="14"/>
              </w:rPr>
            </w:pPr>
            <w:r>
              <w:rPr>
                <w:b/>
                <w:sz w:val="14"/>
              </w:rPr>
              <w:t>783.2</w:t>
            </w:r>
          </w:p>
        </w:tc>
        <w:tc>
          <w:tcPr>
            <w:tcW w:w="1443" w:type="dxa"/>
          </w:tcPr>
          <w:p>
            <w:pPr>
              <w:pStyle w:val="TableParagraph"/>
              <w:spacing w:line="147" w:lineRule="exact" w:before="1"/>
              <w:ind w:left="492"/>
              <w:rPr>
                <w:sz w:val="14"/>
              </w:rPr>
            </w:pPr>
            <w:r>
              <w:rPr>
                <w:sz w:val="14"/>
              </w:rPr>
              <w:t>0 . 0 %</w:t>
            </w:r>
          </w:p>
        </w:tc>
        <w:tc>
          <w:tcPr>
            <w:tcW w:w="1622" w:type="dxa"/>
          </w:tcPr>
          <w:p>
            <w:pPr>
              <w:pStyle w:val="TableParagraph"/>
              <w:spacing w:line="147" w:lineRule="exact" w:before="1"/>
              <w:ind w:right="618"/>
              <w:jc w:val="right"/>
              <w:rPr>
                <w:sz w:val="14"/>
              </w:rPr>
            </w:pPr>
            <w:r>
              <w:rPr>
                <w:sz w:val="14"/>
              </w:rPr>
              <w:t>964.8</w:t>
            </w:r>
          </w:p>
        </w:tc>
        <w:tc>
          <w:tcPr>
            <w:tcW w:w="1298" w:type="dxa"/>
          </w:tcPr>
          <w:p>
            <w:pPr>
              <w:pStyle w:val="TableParagraph"/>
              <w:spacing w:line="147" w:lineRule="exact" w:before="1"/>
              <w:ind w:left="432"/>
              <w:rPr>
                <w:sz w:val="14"/>
              </w:rPr>
            </w:pPr>
            <w:r>
              <w:rPr>
                <w:sz w:val="14"/>
              </w:rPr>
              <w:t>0 . 0 %</w:t>
            </w:r>
          </w:p>
        </w:tc>
        <w:tc>
          <w:tcPr>
            <w:tcW w:w="1284" w:type="dxa"/>
          </w:tcPr>
          <w:p>
            <w:pPr>
              <w:pStyle w:val="TableParagraph"/>
              <w:spacing w:line="147" w:lineRule="exact" w:before="1"/>
              <w:ind w:right="428"/>
              <w:jc w:val="right"/>
              <w:rPr>
                <w:sz w:val="14"/>
              </w:rPr>
            </w:pPr>
            <w:r>
              <w:rPr>
                <w:sz w:val="14"/>
              </w:rPr>
              <w:t>1,022 .6</w:t>
            </w:r>
          </w:p>
        </w:tc>
        <w:tc>
          <w:tcPr>
            <w:tcW w:w="1249" w:type="dxa"/>
          </w:tcPr>
          <w:p>
            <w:pPr>
              <w:pStyle w:val="TableParagraph"/>
              <w:spacing w:line="147" w:lineRule="exact" w:before="1"/>
              <w:ind w:left="406" w:right="366"/>
              <w:jc w:val="center"/>
              <w:rPr>
                <w:sz w:val="14"/>
              </w:rPr>
            </w:pPr>
            <w:r>
              <w:rPr>
                <w:sz w:val="14"/>
              </w:rPr>
              <w:t>0 . 0 %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Energy Subsidies(Incl. Fuel)</w:t>
            </w:r>
          </w:p>
        </w:tc>
        <w:tc>
          <w:tcPr>
            <w:tcW w:w="1639" w:type="dxa"/>
          </w:tcPr>
          <w:p>
            <w:pPr>
              <w:pStyle w:val="TableParagraph"/>
              <w:spacing w:line="147" w:lineRule="exact" w:before="1"/>
              <w:ind w:right="539"/>
              <w:jc w:val="right"/>
              <w:rPr>
                <w:b/>
                <w:sz w:val="14"/>
              </w:rPr>
            </w:pPr>
            <w:r>
              <w:rPr>
                <w:b/>
                <w:sz w:val="14"/>
              </w:rPr>
              <w:t>124,152.9</w:t>
            </w:r>
          </w:p>
        </w:tc>
        <w:tc>
          <w:tcPr>
            <w:tcW w:w="1443" w:type="dxa"/>
          </w:tcPr>
          <w:p>
            <w:pPr>
              <w:pStyle w:val="TableParagraph"/>
              <w:spacing w:line="147" w:lineRule="exact" w:before="1"/>
              <w:ind w:left="492"/>
              <w:rPr>
                <w:sz w:val="14"/>
              </w:rPr>
            </w:pPr>
            <w:r>
              <w:rPr>
                <w:sz w:val="14"/>
              </w:rPr>
              <w:t>6 . 0 %</w:t>
            </w:r>
          </w:p>
        </w:tc>
        <w:tc>
          <w:tcPr>
            <w:tcW w:w="1622" w:type="dxa"/>
          </w:tcPr>
          <w:p>
            <w:pPr>
              <w:pStyle w:val="TableParagraph"/>
              <w:spacing w:line="147" w:lineRule="exact" w:before="1"/>
              <w:ind w:right="634"/>
              <w:jc w:val="right"/>
              <w:rPr>
                <w:sz w:val="14"/>
              </w:rPr>
            </w:pPr>
            <w:r>
              <w:rPr>
                <w:sz w:val="14"/>
              </w:rPr>
              <w:t>179,236.9</w:t>
            </w:r>
          </w:p>
        </w:tc>
        <w:tc>
          <w:tcPr>
            <w:tcW w:w="1298" w:type="dxa"/>
          </w:tcPr>
          <w:p>
            <w:pPr>
              <w:pStyle w:val="TableParagraph"/>
              <w:spacing w:line="147" w:lineRule="exact" w:before="1"/>
              <w:ind w:left="432"/>
              <w:rPr>
                <w:sz w:val="14"/>
              </w:rPr>
            </w:pPr>
            <w:r>
              <w:rPr>
                <w:sz w:val="14"/>
              </w:rPr>
              <w:t>8 . 6 %</w:t>
            </w:r>
          </w:p>
        </w:tc>
        <w:tc>
          <w:tcPr>
            <w:tcW w:w="1284" w:type="dxa"/>
          </w:tcPr>
          <w:p>
            <w:pPr>
              <w:pStyle w:val="TableParagraph"/>
              <w:spacing w:line="147" w:lineRule="exact" w:before="1"/>
              <w:ind w:right="437"/>
              <w:jc w:val="right"/>
              <w:rPr>
                <w:sz w:val="14"/>
              </w:rPr>
            </w:pPr>
            <w:r>
              <w:rPr>
                <w:sz w:val="14"/>
              </w:rPr>
              <w:t>106,211.2</w:t>
            </w:r>
          </w:p>
        </w:tc>
        <w:tc>
          <w:tcPr>
            <w:tcW w:w="1249" w:type="dxa"/>
          </w:tcPr>
          <w:p>
            <w:pPr>
              <w:pStyle w:val="TableParagraph"/>
              <w:spacing w:line="147" w:lineRule="exact" w:before="1"/>
              <w:ind w:left="406" w:right="366"/>
              <w:jc w:val="center"/>
              <w:rPr>
                <w:sz w:val="14"/>
              </w:rPr>
            </w:pPr>
            <w:r>
              <w:rPr>
                <w:sz w:val="14"/>
              </w:rPr>
              <w:t>5 . 1 %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435"/>
              <w:rPr>
                <w:i/>
                <w:sz w:val="14"/>
              </w:rPr>
            </w:pPr>
            <w:r>
              <w:rPr>
                <w:i/>
                <w:sz w:val="14"/>
              </w:rPr>
              <w:t>Energy Subsidies for IPPs</w:t>
            </w:r>
          </w:p>
        </w:tc>
        <w:tc>
          <w:tcPr>
            <w:tcW w:w="1639" w:type="dxa"/>
          </w:tcPr>
          <w:p>
            <w:pPr>
              <w:pStyle w:val="TableParagraph"/>
              <w:spacing w:line="147" w:lineRule="exact" w:before="1"/>
              <w:ind w:right="539"/>
              <w:jc w:val="right"/>
              <w:rPr>
                <w:b/>
                <w:sz w:val="14"/>
              </w:rPr>
            </w:pPr>
            <w:r>
              <w:rPr>
                <w:b/>
                <w:sz w:val="14"/>
              </w:rPr>
              <w:t>102,735.0</w:t>
            </w:r>
          </w:p>
        </w:tc>
        <w:tc>
          <w:tcPr>
            <w:tcW w:w="1443" w:type="dxa"/>
          </w:tcPr>
          <w:p>
            <w:pPr>
              <w:pStyle w:val="TableParagraph"/>
              <w:spacing w:line="147" w:lineRule="exact" w:before="1"/>
              <w:ind w:left="492"/>
              <w:rPr>
                <w:sz w:val="14"/>
              </w:rPr>
            </w:pPr>
            <w:r>
              <w:rPr>
                <w:sz w:val="14"/>
              </w:rPr>
              <w:t>4 . 9 %</w:t>
            </w:r>
          </w:p>
        </w:tc>
        <w:tc>
          <w:tcPr>
            <w:tcW w:w="1622" w:type="dxa"/>
          </w:tcPr>
          <w:p>
            <w:pPr>
              <w:pStyle w:val="TableParagraph"/>
              <w:spacing w:line="147" w:lineRule="exact" w:before="1"/>
              <w:ind w:right="634"/>
              <w:jc w:val="right"/>
              <w:rPr>
                <w:sz w:val="14"/>
              </w:rPr>
            </w:pPr>
            <w:r>
              <w:rPr>
                <w:sz w:val="14"/>
              </w:rPr>
              <w:t>156,748.1</w:t>
            </w:r>
          </w:p>
        </w:tc>
        <w:tc>
          <w:tcPr>
            <w:tcW w:w="1298" w:type="dxa"/>
          </w:tcPr>
          <w:p>
            <w:pPr>
              <w:pStyle w:val="TableParagraph"/>
              <w:spacing w:line="147" w:lineRule="exact" w:before="1"/>
              <w:ind w:left="432"/>
              <w:rPr>
                <w:sz w:val="14"/>
              </w:rPr>
            </w:pPr>
            <w:r>
              <w:rPr>
                <w:sz w:val="14"/>
              </w:rPr>
              <w:t>7 . 5 %</w:t>
            </w:r>
          </w:p>
        </w:tc>
        <w:tc>
          <w:tcPr>
            <w:tcW w:w="1284" w:type="dxa"/>
          </w:tcPr>
          <w:p>
            <w:pPr>
              <w:pStyle w:val="TableParagraph"/>
              <w:spacing w:line="147" w:lineRule="exact" w:before="1"/>
              <w:ind w:right="432"/>
              <w:jc w:val="right"/>
              <w:rPr>
                <w:sz w:val="14"/>
              </w:rPr>
            </w:pPr>
            <w:r>
              <w:rPr>
                <w:sz w:val="14"/>
              </w:rPr>
              <w:t>79,224.7</w:t>
            </w:r>
          </w:p>
        </w:tc>
        <w:tc>
          <w:tcPr>
            <w:tcW w:w="1249" w:type="dxa"/>
          </w:tcPr>
          <w:p>
            <w:pPr>
              <w:pStyle w:val="TableParagraph"/>
              <w:spacing w:line="147" w:lineRule="exact" w:before="1"/>
              <w:ind w:left="406" w:right="366"/>
              <w:jc w:val="center"/>
              <w:rPr>
                <w:sz w:val="14"/>
              </w:rPr>
            </w:pPr>
            <w:r>
              <w:rPr>
                <w:sz w:val="14"/>
              </w:rPr>
              <w:t>3 . 8 %</w:t>
            </w:r>
          </w:p>
        </w:tc>
      </w:tr>
      <w:tr>
        <w:trPr>
          <w:trHeight w:val="251" w:hRule="atLeast"/>
        </w:trPr>
        <w:tc>
          <w:tcPr>
            <w:tcW w:w="472" w:type="dxa"/>
          </w:tcPr>
          <w:p>
            <w:pPr>
              <w:pStyle w:val="TableParagraph"/>
              <w:rPr>
                <w:rFonts w:ascii="Times New Roman"/>
                <w:sz w:val="14"/>
              </w:rPr>
            </w:pPr>
          </w:p>
        </w:tc>
        <w:tc>
          <w:tcPr>
            <w:tcW w:w="5792" w:type="dxa"/>
          </w:tcPr>
          <w:p>
            <w:pPr>
              <w:pStyle w:val="TableParagraph"/>
              <w:spacing w:before="1"/>
              <w:ind w:left="435"/>
              <w:rPr>
                <w:i/>
                <w:sz w:val="14"/>
              </w:rPr>
            </w:pPr>
            <w:r>
              <w:rPr>
                <w:i/>
                <w:sz w:val="14"/>
              </w:rPr>
              <w:t>Other SOEs Loans and Structural Interventions</w:t>
            </w:r>
          </w:p>
        </w:tc>
        <w:tc>
          <w:tcPr>
            <w:tcW w:w="1639" w:type="dxa"/>
          </w:tcPr>
          <w:p>
            <w:pPr>
              <w:pStyle w:val="TableParagraph"/>
              <w:spacing w:before="1"/>
              <w:ind w:right="532"/>
              <w:jc w:val="right"/>
              <w:rPr>
                <w:b/>
                <w:sz w:val="14"/>
              </w:rPr>
            </w:pPr>
            <w:r>
              <w:rPr>
                <w:b/>
                <w:sz w:val="14"/>
              </w:rPr>
              <w:t>21,417.9</w:t>
            </w:r>
          </w:p>
        </w:tc>
        <w:tc>
          <w:tcPr>
            <w:tcW w:w="1443" w:type="dxa"/>
          </w:tcPr>
          <w:p>
            <w:pPr>
              <w:pStyle w:val="TableParagraph"/>
              <w:spacing w:before="1"/>
              <w:ind w:left="492"/>
              <w:rPr>
                <w:sz w:val="14"/>
              </w:rPr>
            </w:pPr>
            <w:r>
              <w:rPr>
                <w:sz w:val="14"/>
              </w:rPr>
              <w:t>1 . 0 %</w:t>
            </w:r>
          </w:p>
        </w:tc>
        <w:tc>
          <w:tcPr>
            <w:tcW w:w="1622" w:type="dxa"/>
          </w:tcPr>
          <w:p>
            <w:pPr>
              <w:pStyle w:val="TableParagraph"/>
              <w:spacing w:before="1"/>
              <w:ind w:right="629"/>
              <w:jc w:val="right"/>
              <w:rPr>
                <w:sz w:val="14"/>
              </w:rPr>
            </w:pPr>
            <w:r>
              <w:rPr>
                <w:sz w:val="14"/>
              </w:rPr>
              <w:t>22,488.8</w:t>
            </w:r>
          </w:p>
        </w:tc>
        <w:tc>
          <w:tcPr>
            <w:tcW w:w="1298" w:type="dxa"/>
          </w:tcPr>
          <w:p>
            <w:pPr>
              <w:pStyle w:val="TableParagraph"/>
              <w:spacing w:before="1"/>
              <w:ind w:left="432"/>
              <w:rPr>
                <w:sz w:val="14"/>
              </w:rPr>
            </w:pPr>
            <w:r>
              <w:rPr>
                <w:sz w:val="14"/>
              </w:rPr>
              <w:t>1 . 1 %</w:t>
            </w:r>
          </w:p>
        </w:tc>
        <w:tc>
          <w:tcPr>
            <w:tcW w:w="1284" w:type="dxa"/>
          </w:tcPr>
          <w:p>
            <w:pPr>
              <w:pStyle w:val="TableParagraph"/>
              <w:spacing w:before="1"/>
              <w:ind w:right="432"/>
              <w:jc w:val="right"/>
              <w:rPr>
                <w:sz w:val="14"/>
              </w:rPr>
            </w:pPr>
            <w:r>
              <w:rPr>
                <w:sz w:val="14"/>
              </w:rPr>
              <w:t>26,986.5</w:t>
            </w:r>
          </w:p>
        </w:tc>
        <w:tc>
          <w:tcPr>
            <w:tcW w:w="1249" w:type="dxa"/>
          </w:tcPr>
          <w:p>
            <w:pPr>
              <w:pStyle w:val="TableParagraph"/>
              <w:spacing w:before="1"/>
              <w:ind w:left="406" w:right="366"/>
              <w:jc w:val="center"/>
              <w:rPr>
                <w:sz w:val="14"/>
              </w:rPr>
            </w:pPr>
            <w:r>
              <w:rPr>
                <w:sz w:val="14"/>
              </w:rPr>
              <w:t>1 . 3 %</w:t>
            </w:r>
          </w:p>
        </w:tc>
      </w:tr>
      <w:tr>
        <w:trPr>
          <w:trHeight w:val="251" w:hRule="atLeast"/>
        </w:trPr>
        <w:tc>
          <w:tcPr>
            <w:tcW w:w="472" w:type="dxa"/>
          </w:tcPr>
          <w:p>
            <w:pPr>
              <w:pStyle w:val="TableParagraph"/>
              <w:spacing w:line="147" w:lineRule="exact" w:before="85"/>
              <w:ind w:left="125"/>
              <w:rPr>
                <w:sz w:val="14"/>
              </w:rPr>
            </w:pPr>
            <w:r>
              <w:rPr>
                <w:sz w:val="14"/>
              </w:rPr>
              <w:t>407</w:t>
            </w:r>
          </w:p>
        </w:tc>
        <w:tc>
          <w:tcPr>
            <w:tcW w:w="5792" w:type="dxa"/>
          </w:tcPr>
          <w:p>
            <w:pPr>
              <w:pStyle w:val="TableParagraph"/>
              <w:spacing w:line="147" w:lineRule="exact" w:before="85"/>
              <w:ind w:left="95"/>
              <w:rPr>
                <w:sz w:val="14"/>
              </w:rPr>
            </w:pPr>
            <w:r>
              <w:rPr>
                <w:sz w:val="14"/>
              </w:rPr>
              <w:t>Ministry of Labour and Social Security</w:t>
            </w:r>
          </w:p>
        </w:tc>
        <w:tc>
          <w:tcPr>
            <w:tcW w:w="1639" w:type="dxa"/>
          </w:tcPr>
          <w:p>
            <w:pPr>
              <w:pStyle w:val="TableParagraph"/>
              <w:spacing w:line="147" w:lineRule="exact" w:before="85"/>
              <w:ind w:right="525"/>
              <w:jc w:val="right"/>
              <w:rPr>
                <w:b/>
                <w:sz w:val="14"/>
              </w:rPr>
            </w:pPr>
            <w:r>
              <w:rPr>
                <w:b/>
                <w:sz w:val="14"/>
              </w:rPr>
              <w:t>4,432.4</w:t>
            </w:r>
          </w:p>
        </w:tc>
        <w:tc>
          <w:tcPr>
            <w:tcW w:w="1443" w:type="dxa"/>
          </w:tcPr>
          <w:p>
            <w:pPr>
              <w:pStyle w:val="TableParagraph"/>
              <w:spacing w:line="147" w:lineRule="exact" w:before="85"/>
              <w:ind w:left="492"/>
              <w:rPr>
                <w:sz w:val="14"/>
              </w:rPr>
            </w:pPr>
            <w:r>
              <w:rPr>
                <w:sz w:val="14"/>
              </w:rPr>
              <w:t>0 . 2 %</w:t>
            </w:r>
          </w:p>
        </w:tc>
        <w:tc>
          <w:tcPr>
            <w:tcW w:w="1622" w:type="dxa"/>
          </w:tcPr>
          <w:p>
            <w:pPr>
              <w:pStyle w:val="TableParagraph"/>
              <w:spacing w:line="147" w:lineRule="exact" w:before="85"/>
              <w:ind w:right="620"/>
              <w:jc w:val="right"/>
              <w:rPr>
                <w:sz w:val="14"/>
              </w:rPr>
            </w:pPr>
            <w:r>
              <w:rPr>
                <w:sz w:val="14"/>
              </w:rPr>
              <w:t>5,459 .7</w:t>
            </w:r>
          </w:p>
        </w:tc>
        <w:tc>
          <w:tcPr>
            <w:tcW w:w="1298" w:type="dxa"/>
          </w:tcPr>
          <w:p>
            <w:pPr>
              <w:pStyle w:val="TableParagraph"/>
              <w:spacing w:line="147" w:lineRule="exact" w:before="85"/>
              <w:ind w:left="432"/>
              <w:rPr>
                <w:sz w:val="14"/>
              </w:rPr>
            </w:pPr>
            <w:r>
              <w:rPr>
                <w:sz w:val="14"/>
              </w:rPr>
              <w:t>0 . 3 %</w:t>
            </w:r>
          </w:p>
        </w:tc>
        <w:tc>
          <w:tcPr>
            <w:tcW w:w="1284" w:type="dxa"/>
          </w:tcPr>
          <w:p>
            <w:pPr>
              <w:pStyle w:val="TableParagraph"/>
              <w:spacing w:line="147" w:lineRule="exact" w:before="85"/>
              <w:ind w:right="428"/>
              <w:jc w:val="right"/>
              <w:rPr>
                <w:sz w:val="14"/>
              </w:rPr>
            </w:pPr>
            <w:r>
              <w:rPr>
                <w:sz w:val="14"/>
              </w:rPr>
              <w:t>5,786 .8</w:t>
            </w:r>
          </w:p>
        </w:tc>
        <w:tc>
          <w:tcPr>
            <w:tcW w:w="1249" w:type="dxa"/>
          </w:tcPr>
          <w:p>
            <w:pPr>
              <w:pStyle w:val="TableParagraph"/>
              <w:spacing w:line="147" w:lineRule="exact" w:before="85"/>
              <w:ind w:left="406" w:right="366"/>
              <w:jc w:val="center"/>
              <w:rPr>
                <w:sz w:val="14"/>
              </w:rPr>
            </w:pPr>
            <w:r>
              <w:rPr>
                <w:sz w:val="14"/>
              </w:rPr>
              <w:t>0 . 3 %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Administrative and Operating Costs</w:t>
            </w:r>
          </w:p>
        </w:tc>
        <w:tc>
          <w:tcPr>
            <w:tcW w:w="1639" w:type="dxa"/>
          </w:tcPr>
          <w:p>
            <w:pPr>
              <w:pStyle w:val="TableParagraph"/>
              <w:spacing w:line="147" w:lineRule="exact" w:before="1"/>
              <w:ind w:right="513"/>
              <w:jc w:val="right"/>
              <w:rPr>
                <w:b/>
                <w:sz w:val="14"/>
              </w:rPr>
            </w:pPr>
            <w:r>
              <w:rPr>
                <w:b/>
                <w:sz w:val="14"/>
              </w:rPr>
              <w:t>832.3</w:t>
            </w:r>
          </w:p>
        </w:tc>
        <w:tc>
          <w:tcPr>
            <w:tcW w:w="1443" w:type="dxa"/>
          </w:tcPr>
          <w:p>
            <w:pPr>
              <w:pStyle w:val="TableParagraph"/>
              <w:spacing w:line="147" w:lineRule="exact" w:before="1"/>
              <w:ind w:left="492"/>
              <w:rPr>
                <w:sz w:val="14"/>
              </w:rPr>
            </w:pPr>
            <w:r>
              <w:rPr>
                <w:sz w:val="14"/>
              </w:rPr>
              <w:t>0 . 0 %</w:t>
            </w:r>
          </w:p>
        </w:tc>
        <w:tc>
          <w:tcPr>
            <w:tcW w:w="1622" w:type="dxa"/>
          </w:tcPr>
          <w:p>
            <w:pPr>
              <w:pStyle w:val="TableParagraph"/>
              <w:spacing w:line="147" w:lineRule="exact" w:before="1"/>
              <w:ind w:right="620"/>
              <w:jc w:val="right"/>
              <w:rPr>
                <w:sz w:val="14"/>
              </w:rPr>
            </w:pPr>
            <w:r>
              <w:rPr>
                <w:sz w:val="14"/>
              </w:rPr>
              <w:t>1,025 .2</w:t>
            </w:r>
          </w:p>
        </w:tc>
        <w:tc>
          <w:tcPr>
            <w:tcW w:w="1298" w:type="dxa"/>
          </w:tcPr>
          <w:p>
            <w:pPr>
              <w:pStyle w:val="TableParagraph"/>
              <w:spacing w:line="147" w:lineRule="exact" w:before="1"/>
              <w:ind w:left="432"/>
              <w:rPr>
                <w:sz w:val="14"/>
              </w:rPr>
            </w:pPr>
            <w:r>
              <w:rPr>
                <w:sz w:val="14"/>
              </w:rPr>
              <w:t>0 . 0 %</w:t>
            </w:r>
          </w:p>
        </w:tc>
        <w:tc>
          <w:tcPr>
            <w:tcW w:w="1284" w:type="dxa"/>
          </w:tcPr>
          <w:p>
            <w:pPr>
              <w:pStyle w:val="TableParagraph"/>
              <w:spacing w:line="147" w:lineRule="exact" w:before="1"/>
              <w:ind w:right="428"/>
              <w:jc w:val="right"/>
              <w:rPr>
                <w:sz w:val="14"/>
              </w:rPr>
            </w:pPr>
            <w:r>
              <w:rPr>
                <w:sz w:val="14"/>
              </w:rPr>
              <w:t>1,086 .6</w:t>
            </w:r>
          </w:p>
        </w:tc>
        <w:tc>
          <w:tcPr>
            <w:tcW w:w="1249" w:type="dxa"/>
          </w:tcPr>
          <w:p>
            <w:pPr>
              <w:pStyle w:val="TableParagraph"/>
              <w:spacing w:line="147" w:lineRule="exact" w:before="1"/>
              <w:ind w:left="406" w:right="366"/>
              <w:jc w:val="center"/>
              <w:rPr>
                <w:sz w:val="14"/>
              </w:rPr>
            </w:pPr>
            <w:r>
              <w:rPr>
                <w:sz w:val="14"/>
              </w:rPr>
              <w:t>0 . 1 %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Strengthening the legal and Institutional Framework for Labour Administration</w:t>
            </w:r>
          </w:p>
        </w:tc>
        <w:tc>
          <w:tcPr>
            <w:tcW w:w="1639" w:type="dxa"/>
          </w:tcPr>
          <w:p>
            <w:pPr>
              <w:pStyle w:val="TableParagraph"/>
              <w:spacing w:line="147" w:lineRule="exact" w:before="1"/>
              <w:ind w:right="525"/>
              <w:jc w:val="right"/>
              <w:rPr>
                <w:b/>
                <w:sz w:val="14"/>
              </w:rPr>
            </w:pPr>
            <w:r>
              <w:rPr>
                <w:b/>
                <w:sz w:val="14"/>
              </w:rPr>
              <w:t>1,905.9</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2,347 .6</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2,488 .2</w:t>
            </w:r>
          </w:p>
        </w:tc>
        <w:tc>
          <w:tcPr>
            <w:tcW w:w="1249" w:type="dxa"/>
          </w:tcPr>
          <w:p>
            <w:pPr>
              <w:pStyle w:val="TableParagraph"/>
              <w:spacing w:line="147" w:lineRule="exact" w:before="1"/>
              <w:ind w:left="406" w:right="366"/>
              <w:jc w:val="center"/>
              <w:rPr>
                <w:sz w:val="14"/>
              </w:rPr>
            </w:pPr>
            <w:r>
              <w:rPr>
                <w:sz w:val="14"/>
              </w:rPr>
              <w:t>0 . 1 %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Social Protection Programmes</w:t>
            </w:r>
          </w:p>
        </w:tc>
        <w:tc>
          <w:tcPr>
            <w:tcW w:w="1639" w:type="dxa"/>
          </w:tcPr>
          <w:p>
            <w:pPr>
              <w:pStyle w:val="TableParagraph"/>
              <w:spacing w:line="147" w:lineRule="exact" w:before="1"/>
              <w:ind w:right="525"/>
              <w:jc w:val="right"/>
              <w:rPr>
                <w:b/>
                <w:sz w:val="14"/>
              </w:rPr>
            </w:pPr>
            <w:r>
              <w:rPr>
                <w:b/>
                <w:sz w:val="14"/>
              </w:rPr>
              <w:t>1,694.2</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2,086 .9</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2,211 .9</w:t>
            </w:r>
          </w:p>
        </w:tc>
        <w:tc>
          <w:tcPr>
            <w:tcW w:w="1249" w:type="dxa"/>
          </w:tcPr>
          <w:p>
            <w:pPr>
              <w:pStyle w:val="TableParagraph"/>
              <w:spacing w:line="147" w:lineRule="exact" w:before="1"/>
              <w:ind w:left="406" w:right="366"/>
              <w:jc w:val="center"/>
              <w:rPr>
                <w:sz w:val="14"/>
              </w:rPr>
            </w:pPr>
            <w:r>
              <w:rPr>
                <w:sz w:val="14"/>
              </w:rPr>
              <w:t>0 . 1 %</w:t>
            </w:r>
          </w:p>
        </w:tc>
      </w:tr>
      <w:tr>
        <w:trPr>
          <w:trHeight w:val="206" w:hRule="atLeast"/>
        </w:trPr>
        <w:tc>
          <w:tcPr>
            <w:tcW w:w="472" w:type="dxa"/>
          </w:tcPr>
          <w:p>
            <w:pPr>
              <w:pStyle w:val="TableParagraph"/>
              <w:rPr>
                <w:rFonts w:ascii="Times New Roman"/>
                <w:sz w:val="14"/>
              </w:rPr>
            </w:pPr>
          </w:p>
        </w:tc>
        <w:tc>
          <w:tcPr>
            <w:tcW w:w="5792" w:type="dxa"/>
          </w:tcPr>
          <w:p>
            <w:pPr>
              <w:pStyle w:val="TableParagraph"/>
              <w:spacing w:before="1"/>
              <w:ind w:left="435"/>
              <w:rPr>
                <w:sz w:val="14"/>
              </w:rPr>
            </w:pPr>
            <w:r>
              <w:rPr>
                <w:sz w:val="14"/>
              </w:rPr>
              <w:t>o/ w: Cash Transfers to the Aged and Vulnerable Persons</w:t>
            </w:r>
          </w:p>
        </w:tc>
        <w:tc>
          <w:tcPr>
            <w:tcW w:w="1639" w:type="dxa"/>
          </w:tcPr>
          <w:p>
            <w:pPr>
              <w:pStyle w:val="TableParagraph"/>
              <w:spacing w:before="1"/>
              <w:ind w:right="525"/>
              <w:jc w:val="right"/>
              <w:rPr>
                <w:b/>
                <w:sz w:val="14"/>
              </w:rPr>
            </w:pPr>
            <w:r>
              <w:rPr>
                <w:b/>
                <w:sz w:val="14"/>
              </w:rPr>
              <w:t>1,694.2</w:t>
            </w:r>
          </w:p>
        </w:tc>
        <w:tc>
          <w:tcPr>
            <w:tcW w:w="1443" w:type="dxa"/>
          </w:tcPr>
          <w:p>
            <w:pPr>
              <w:pStyle w:val="TableParagraph"/>
              <w:spacing w:before="1"/>
              <w:ind w:left="492"/>
              <w:rPr>
                <w:sz w:val="14"/>
              </w:rPr>
            </w:pPr>
            <w:r>
              <w:rPr>
                <w:sz w:val="14"/>
              </w:rPr>
              <w:t>0 . 1 %</w:t>
            </w:r>
          </w:p>
        </w:tc>
        <w:tc>
          <w:tcPr>
            <w:tcW w:w="1622" w:type="dxa"/>
          </w:tcPr>
          <w:p>
            <w:pPr>
              <w:pStyle w:val="TableParagraph"/>
              <w:spacing w:before="1"/>
              <w:ind w:right="620"/>
              <w:jc w:val="right"/>
              <w:rPr>
                <w:sz w:val="14"/>
              </w:rPr>
            </w:pPr>
            <w:r>
              <w:rPr>
                <w:sz w:val="14"/>
              </w:rPr>
              <w:t>2,086 .9</w:t>
            </w:r>
          </w:p>
        </w:tc>
        <w:tc>
          <w:tcPr>
            <w:tcW w:w="1298" w:type="dxa"/>
          </w:tcPr>
          <w:p>
            <w:pPr>
              <w:pStyle w:val="TableParagraph"/>
              <w:spacing w:before="1"/>
              <w:ind w:left="432"/>
              <w:rPr>
                <w:sz w:val="14"/>
              </w:rPr>
            </w:pPr>
            <w:r>
              <w:rPr>
                <w:sz w:val="14"/>
              </w:rPr>
              <w:t>0 . 1 %</w:t>
            </w:r>
          </w:p>
        </w:tc>
        <w:tc>
          <w:tcPr>
            <w:tcW w:w="1284" w:type="dxa"/>
          </w:tcPr>
          <w:p>
            <w:pPr>
              <w:pStyle w:val="TableParagraph"/>
              <w:spacing w:before="1"/>
              <w:ind w:right="428"/>
              <w:jc w:val="right"/>
              <w:rPr>
                <w:sz w:val="14"/>
              </w:rPr>
            </w:pPr>
            <w:r>
              <w:rPr>
                <w:sz w:val="14"/>
              </w:rPr>
              <w:t>2,211 .9</w:t>
            </w:r>
          </w:p>
        </w:tc>
        <w:tc>
          <w:tcPr>
            <w:tcW w:w="1249" w:type="dxa"/>
          </w:tcPr>
          <w:p>
            <w:pPr>
              <w:pStyle w:val="TableParagraph"/>
              <w:spacing w:before="1"/>
              <w:ind w:left="406" w:right="366"/>
              <w:jc w:val="center"/>
              <w:rPr>
                <w:sz w:val="14"/>
              </w:rPr>
            </w:pPr>
            <w:r>
              <w:rPr>
                <w:sz w:val="14"/>
              </w:rPr>
              <w:t>0 . 1 %</w:t>
            </w:r>
          </w:p>
        </w:tc>
      </w:tr>
      <w:tr>
        <w:trPr>
          <w:trHeight w:val="206" w:hRule="atLeast"/>
        </w:trPr>
        <w:tc>
          <w:tcPr>
            <w:tcW w:w="472" w:type="dxa"/>
          </w:tcPr>
          <w:p>
            <w:pPr>
              <w:pStyle w:val="TableParagraph"/>
              <w:spacing w:line="147" w:lineRule="exact" w:before="39"/>
              <w:ind w:left="125"/>
              <w:rPr>
                <w:sz w:val="14"/>
              </w:rPr>
            </w:pPr>
            <w:r>
              <w:rPr>
                <w:sz w:val="14"/>
              </w:rPr>
              <w:t>408</w:t>
            </w:r>
          </w:p>
        </w:tc>
        <w:tc>
          <w:tcPr>
            <w:tcW w:w="5792" w:type="dxa"/>
          </w:tcPr>
          <w:p>
            <w:pPr>
              <w:pStyle w:val="TableParagraph"/>
              <w:spacing w:line="147" w:lineRule="exact" w:before="39"/>
              <w:ind w:left="95"/>
              <w:rPr>
                <w:sz w:val="14"/>
              </w:rPr>
            </w:pPr>
            <w:r>
              <w:rPr>
                <w:sz w:val="14"/>
              </w:rPr>
              <w:t>Ministry of Works and Public Assests</w:t>
            </w:r>
          </w:p>
        </w:tc>
        <w:tc>
          <w:tcPr>
            <w:tcW w:w="1639" w:type="dxa"/>
          </w:tcPr>
          <w:p>
            <w:pPr>
              <w:pStyle w:val="TableParagraph"/>
              <w:spacing w:line="147" w:lineRule="exact" w:before="39"/>
              <w:ind w:right="532"/>
              <w:jc w:val="right"/>
              <w:rPr>
                <w:b/>
                <w:sz w:val="14"/>
              </w:rPr>
            </w:pPr>
            <w:r>
              <w:rPr>
                <w:b/>
                <w:sz w:val="14"/>
              </w:rPr>
              <w:t>10,904.9</w:t>
            </w:r>
          </w:p>
        </w:tc>
        <w:tc>
          <w:tcPr>
            <w:tcW w:w="1443" w:type="dxa"/>
          </w:tcPr>
          <w:p>
            <w:pPr>
              <w:pStyle w:val="TableParagraph"/>
              <w:spacing w:line="147" w:lineRule="exact" w:before="39"/>
              <w:ind w:left="492"/>
              <w:rPr>
                <w:sz w:val="14"/>
              </w:rPr>
            </w:pPr>
            <w:r>
              <w:rPr>
                <w:sz w:val="14"/>
              </w:rPr>
              <w:t>0 . 5 %</w:t>
            </w:r>
          </w:p>
        </w:tc>
        <w:tc>
          <w:tcPr>
            <w:tcW w:w="1622" w:type="dxa"/>
          </w:tcPr>
          <w:p>
            <w:pPr>
              <w:pStyle w:val="TableParagraph"/>
              <w:spacing w:line="147" w:lineRule="exact" w:before="39"/>
              <w:ind w:right="629"/>
              <w:jc w:val="right"/>
              <w:rPr>
                <w:sz w:val="14"/>
              </w:rPr>
            </w:pPr>
            <w:r>
              <w:rPr>
                <w:sz w:val="14"/>
              </w:rPr>
              <w:t>13,432.6</w:t>
            </w:r>
          </w:p>
        </w:tc>
        <w:tc>
          <w:tcPr>
            <w:tcW w:w="1298" w:type="dxa"/>
          </w:tcPr>
          <w:p>
            <w:pPr>
              <w:pStyle w:val="TableParagraph"/>
              <w:spacing w:line="147" w:lineRule="exact" w:before="39"/>
              <w:ind w:left="432"/>
              <w:rPr>
                <w:sz w:val="14"/>
              </w:rPr>
            </w:pPr>
            <w:r>
              <w:rPr>
                <w:sz w:val="14"/>
              </w:rPr>
              <w:t>0 . 6 %</w:t>
            </w:r>
          </w:p>
        </w:tc>
        <w:tc>
          <w:tcPr>
            <w:tcW w:w="1284" w:type="dxa"/>
          </w:tcPr>
          <w:p>
            <w:pPr>
              <w:pStyle w:val="TableParagraph"/>
              <w:spacing w:line="147" w:lineRule="exact" w:before="39"/>
              <w:ind w:right="432"/>
              <w:jc w:val="right"/>
              <w:rPr>
                <w:sz w:val="14"/>
              </w:rPr>
            </w:pPr>
            <w:r>
              <w:rPr>
                <w:sz w:val="14"/>
              </w:rPr>
              <w:t>14,237.2</w:t>
            </w:r>
          </w:p>
        </w:tc>
        <w:tc>
          <w:tcPr>
            <w:tcW w:w="1249" w:type="dxa"/>
          </w:tcPr>
          <w:p>
            <w:pPr>
              <w:pStyle w:val="TableParagraph"/>
              <w:spacing w:line="147" w:lineRule="exact" w:before="39"/>
              <w:ind w:left="406" w:right="366"/>
              <w:jc w:val="center"/>
              <w:rPr>
                <w:sz w:val="14"/>
              </w:rPr>
            </w:pPr>
            <w:r>
              <w:rPr>
                <w:sz w:val="14"/>
              </w:rPr>
              <w:t>0 . 7 %</w:t>
            </w:r>
          </w:p>
        </w:tc>
      </w:tr>
      <w:tr>
        <w:trPr>
          <w:trHeight w:val="168" w:hRule="atLeast"/>
        </w:trPr>
        <w:tc>
          <w:tcPr>
            <w:tcW w:w="472" w:type="dxa"/>
          </w:tcPr>
          <w:p>
            <w:pPr>
              <w:pStyle w:val="TableParagraph"/>
              <w:rPr>
                <w:rFonts w:ascii="Times New Roman"/>
                <w:sz w:val="10"/>
              </w:rPr>
            </w:pPr>
          </w:p>
        </w:tc>
        <w:tc>
          <w:tcPr>
            <w:tcW w:w="5792" w:type="dxa"/>
          </w:tcPr>
          <w:p>
            <w:pPr>
              <w:pStyle w:val="TableParagraph"/>
              <w:spacing w:line="147" w:lineRule="exact" w:before="1"/>
              <w:ind w:left="262"/>
              <w:rPr>
                <w:sz w:val="14"/>
              </w:rPr>
            </w:pPr>
            <w:r>
              <w:rPr>
                <w:sz w:val="14"/>
              </w:rPr>
              <w:t>Administrative and Operating Costs</w:t>
            </w:r>
          </w:p>
        </w:tc>
        <w:tc>
          <w:tcPr>
            <w:tcW w:w="1639" w:type="dxa"/>
          </w:tcPr>
          <w:p>
            <w:pPr>
              <w:pStyle w:val="TableParagraph"/>
              <w:spacing w:line="147" w:lineRule="exact" w:before="1"/>
              <w:ind w:right="525"/>
              <w:jc w:val="right"/>
              <w:rPr>
                <w:b/>
                <w:sz w:val="14"/>
              </w:rPr>
            </w:pPr>
            <w:r>
              <w:rPr>
                <w:b/>
                <w:sz w:val="14"/>
              </w:rPr>
              <w:t>2,125.5</w:t>
            </w:r>
          </w:p>
        </w:tc>
        <w:tc>
          <w:tcPr>
            <w:tcW w:w="1443" w:type="dxa"/>
          </w:tcPr>
          <w:p>
            <w:pPr>
              <w:pStyle w:val="TableParagraph"/>
              <w:spacing w:line="147" w:lineRule="exact" w:before="1"/>
              <w:ind w:left="492"/>
              <w:rPr>
                <w:sz w:val="14"/>
              </w:rPr>
            </w:pPr>
            <w:r>
              <w:rPr>
                <w:sz w:val="14"/>
              </w:rPr>
              <w:t>0 . 1 %</w:t>
            </w:r>
          </w:p>
        </w:tc>
        <w:tc>
          <w:tcPr>
            <w:tcW w:w="1622" w:type="dxa"/>
          </w:tcPr>
          <w:p>
            <w:pPr>
              <w:pStyle w:val="TableParagraph"/>
              <w:spacing w:line="147" w:lineRule="exact" w:before="1"/>
              <w:ind w:right="620"/>
              <w:jc w:val="right"/>
              <w:rPr>
                <w:sz w:val="14"/>
              </w:rPr>
            </w:pPr>
            <w:r>
              <w:rPr>
                <w:sz w:val="14"/>
              </w:rPr>
              <w:t>2,618 .2</w:t>
            </w:r>
          </w:p>
        </w:tc>
        <w:tc>
          <w:tcPr>
            <w:tcW w:w="1298" w:type="dxa"/>
          </w:tcPr>
          <w:p>
            <w:pPr>
              <w:pStyle w:val="TableParagraph"/>
              <w:spacing w:line="147" w:lineRule="exact" w:before="1"/>
              <w:ind w:left="432"/>
              <w:rPr>
                <w:sz w:val="14"/>
              </w:rPr>
            </w:pPr>
            <w:r>
              <w:rPr>
                <w:sz w:val="14"/>
              </w:rPr>
              <w:t>0 . 1 %</w:t>
            </w:r>
          </w:p>
        </w:tc>
        <w:tc>
          <w:tcPr>
            <w:tcW w:w="1284" w:type="dxa"/>
          </w:tcPr>
          <w:p>
            <w:pPr>
              <w:pStyle w:val="TableParagraph"/>
              <w:spacing w:line="147" w:lineRule="exact" w:before="1"/>
              <w:ind w:right="428"/>
              <w:jc w:val="right"/>
              <w:rPr>
                <w:sz w:val="14"/>
              </w:rPr>
            </w:pPr>
            <w:r>
              <w:rPr>
                <w:sz w:val="14"/>
              </w:rPr>
              <w:t>2,775 .0</w:t>
            </w:r>
          </w:p>
        </w:tc>
        <w:tc>
          <w:tcPr>
            <w:tcW w:w="1249" w:type="dxa"/>
          </w:tcPr>
          <w:p>
            <w:pPr>
              <w:pStyle w:val="TableParagraph"/>
              <w:spacing w:line="147" w:lineRule="exact" w:before="1"/>
              <w:ind w:left="406" w:right="366"/>
              <w:jc w:val="center"/>
              <w:rPr>
                <w:sz w:val="14"/>
              </w:rPr>
            </w:pPr>
            <w:r>
              <w:rPr>
                <w:sz w:val="14"/>
              </w:rPr>
              <w:t>0 . 1 %</w:t>
            </w:r>
          </w:p>
        </w:tc>
      </w:tr>
      <w:tr>
        <w:trPr>
          <w:trHeight w:val="196" w:hRule="atLeast"/>
        </w:trPr>
        <w:tc>
          <w:tcPr>
            <w:tcW w:w="472" w:type="dxa"/>
          </w:tcPr>
          <w:p>
            <w:pPr>
              <w:pStyle w:val="TableParagraph"/>
              <w:rPr>
                <w:rFonts w:ascii="Times New Roman"/>
                <w:sz w:val="12"/>
              </w:rPr>
            </w:pPr>
          </w:p>
        </w:tc>
        <w:tc>
          <w:tcPr>
            <w:tcW w:w="5792" w:type="dxa"/>
          </w:tcPr>
          <w:p>
            <w:pPr>
              <w:pStyle w:val="TableParagraph"/>
              <w:spacing w:before="1"/>
              <w:ind w:left="262"/>
              <w:rPr>
                <w:sz w:val="14"/>
              </w:rPr>
            </w:pPr>
            <w:r>
              <w:rPr>
                <w:sz w:val="14"/>
              </w:rPr>
              <w:t>Architectural, Design, Construction and Maint, Div.</w:t>
            </w:r>
          </w:p>
        </w:tc>
        <w:tc>
          <w:tcPr>
            <w:tcW w:w="1639" w:type="dxa"/>
          </w:tcPr>
          <w:p>
            <w:pPr>
              <w:pStyle w:val="TableParagraph"/>
              <w:spacing w:before="1"/>
              <w:ind w:right="525"/>
              <w:jc w:val="right"/>
              <w:rPr>
                <w:b/>
                <w:sz w:val="14"/>
              </w:rPr>
            </w:pPr>
            <w:r>
              <w:rPr>
                <w:b/>
                <w:sz w:val="14"/>
              </w:rPr>
              <w:t>4,203.7</w:t>
            </w:r>
          </w:p>
        </w:tc>
        <w:tc>
          <w:tcPr>
            <w:tcW w:w="1443" w:type="dxa"/>
          </w:tcPr>
          <w:p>
            <w:pPr>
              <w:pStyle w:val="TableParagraph"/>
              <w:spacing w:before="1"/>
              <w:ind w:left="492"/>
              <w:rPr>
                <w:sz w:val="14"/>
              </w:rPr>
            </w:pPr>
            <w:r>
              <w:rPr>
                <w:sz w:val="14"/>
              </w:rPr>
              <w:t>0 . 2 %</w:t>
            </w:r>
          </w:p>
        </w:tc>
        <w:tc>
          <w:tcPr>
            <w:tcW w:w="1622" w:type="dxa"/>
          </w:tcPr>
          <w:p>
            <w:pPr>
              <w:pStyle w:val="TableParagraph"/>
              <w:spacing w:before="1"/>
              <w:ind w:right="620"/>
              <w:jc w:val="right"/>
              <w:rPr>
                <w:sz w:val="14"/>
              </w:rPr>
            </w:pPr>
            <w:r>
              <w:rPr>
                <w:sz w:val="14"/>
              </w:rPr>
              <w:t>5,178 .0</w:t>
            </w:r>
          </w:p>
        </w:tc>
        <w:tc>
          <w:tcPr>
            <w:tcW w:w="1298" w:type="dxa"/>
          </w:tcPr>
          <w:p>
            <w:pPr>
              <w:pStyle w:val="TableParagraph"/>
              <w:spacing w:before="1"/>
              <w:ind w:left="432"/>
              <w:rPr>
                <w:sz w:val="14"/>
              </w:rPr>
            </w:pPr>
            <w:r>
              <w:rPr>
                <w:sz w:val="14"/>
              </w:rPr>
              <w:t>0 . 2 %</w:t>
            </w:r>
          </w:p>
        </w:tc>
        <w:tc>
          <w:tcPr>
            <w:tcW w:w="1284" w:type="dxa"/>
          </w:tcPr>
          <w:p>
            <w:pPr>
              <w:pStyle w:val="TableParagraph"/>
              <w:spacing w:before="1"/>
              <w:ind w:right="428"/>
              <w:jc w:val="right"/>
              <w:rPr>
                <w:sz w:val="14"/>
              </w:rPr>
            </w:pPr>
            <w:r>
              <w:rPr>
                <w:sz w:val="14"/>
              </w:rPr>
              <w:t>5,488 .2</w:t>
            </w:r>
          </w:p>
        </w:tc>
        <w:tc>
          <w:tcPr>
            <w:tcW w:w="1249" w:type="dxa"/>
          </w:tcPr>
          <w:p>
            <w:pPr>
              <w:pStyle w:val="TableParagraph"/>
              <w:spacing w:before="1"/>
              <w:ind w:left="406" w:right="366"/>
              <w:jc w:val="center"/>
              <w:rPr>
                <w:sz w:val="14"/>
              </w:rPr>
            </w:pPr>
            <w:r>
              <w:rPr>
                <w:sz w:val="14"/>
              </w:rPr>
              <w:t>0 . 3 %</w:t>
            </w:r>
          </w:p>
        </w:tc>
      </w:tr>
    </w:tbl>
    <w:p>
      <w:pPr>
        <w:spacing w:after="0"/>
        <w:jc w:val="center"/>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88.029999pt;width:14.35pt;height:16.3500pt;mso-position-horizontal-relative:page;mso-position-vertical-relative:page;z-index:1384" type="#_x0000_t202" filled="false" stroked="false">
            <v:textbox inset="0,0,0,0" style="layout-flow:vertical">
              <w:txbxContent>
                <w:p>
                  <w:pPr>
                    <w:spacing w:before="13"/>
                    <w:ind w:left="20" w:right="0" w:firstLine="0"/>
                    <w:jc w:val="left"/>
                    <w:rPr>
                      <w:rFonts w:ascii="Arial"/>
                      <w:sz w:val="22"/>
                    </w:rPr>
                  </w:pPr>
                  <w:r>
                    <w:rPr>
                      <w:rFonts w:ascii="Arial"/>
                      <w:sz w:val="22"/>
                    </w:rPr>
                    <w:t>xiv</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345"/>
        <w:gridCol w:w="2085"/>
        <w:gridCol w:w="1442"/>
        <w:gridCol w:w="1621"/>
        <w:gridCol w:w="1297"/>
        <w:gridCol w:w="1283"/>
        <w:gridCol w:w="1248"/>
      </w:tblGrid>
      <w:tr>
        <w:trPr>
          <w:trHeight w:val="568" w:hRule="atLeast"/>
        </w:trPr>
        <w:tc>
          <w:tcPr>
            <w:tcW w:w="5816" w:type="dxa"/>
            <w:gridSpan w:val="2"/>
            <w:tcBorders>
              <w:bottom w:val="single" w:sz="4" w:space="0" w:color="000000"/>
            </w:tcBorders>
          </w:tcPr>
          <w:p>
            <w:pPr>
              <w:pStyle w:val="TableParagraph"/>
              <w:rPr>
                <w:rFonts w:ascii="Times New Roman"/>
                <w:sz w:val="14"/>
              </w:rPr>
            </w:pPr>
          </w:p>
        </w:tc>
        <w:tc>
          <w:tcPr>
            <w:tcW w:w="2085" w:type="dxa"/>
            <w:tcBorders>
              <w:bottom w:val="single" w:sz="4" w:space="0" w:color="000000"/>
            </w:tcBorders>
          </w:tcPr>
          <w:p>
            <w:pPr>
              <w:pStyle w:val="TableParagraph"/>
              <w:spacing w:before="29"/>
              <w:ind w:left="1076" w:right="361"/>
              <w:jc w:val="center"/>
              <w:rPr>
                <w:b/>
                <w:sz w:val="14"/>
              </w:rPr>
            </w:pPr>
            <w:r>
              <w:rPr>
                <w:b/>
                <w:spacing w:val="2"/>
                <w:sz w:val="14"/>
              </w:rPr>
              <w:t>FY</w:t>
            </w:r>
            <w:r>
              <w:rPr>
                <w:b/>
                <w:spacing w:val="6"/>
                <w:sz w:val="14"/>
              </w:rPr>
              <w:t> </w:t>
            </w:r>
            <w:r>
              <w:rPr>
                <w:b/>
                <w:spacing w:val="4"/>
                <w:sz w:val="14"/>
              </w:rPr>
              <w:t>2020</w:t>
            </w:r>
          </w:p>
          <w:p>
            <w:pPr>
              <w:pStyle w:val="TableParagraph"/>
              <w:spacing w:before="17"/>
              <w:ind w:left="1102" w:right="263"/>
              <w:jc w:val="center"/>
              <w:rPr>
                <w:b/>
                <w:sz w:val="14"/>
              </w:rPr>
            </w:pPr>
            <w:r>
              <w:rPr>
                <w:b/>
                <w:sz w:val="14"/>
              </w:rPr>
              <w:t>Budget</w:t>
            </w:r>
          </w:p>
        </w:tc>
        <w:tc>
          <w:tcPr>
            <w:tcW w:w="1442" w:type="dxa"/>
            <w:tcBorders>
              <w:bottom w:val="single" w:sz="4" w:space="0" w:color="000000"/>
            </w:tcBorders>
          </w:tcPr>
          <w:p>
            <w:pPr>
              <w:pStyle w:val="TableParagraph"/>
              <w:spacing w:line="264" w:lineRule="auto" w:before="29"/>
              <w:ind w:left="388" w:right="95" w:firstLine="91"/>
              <w:rPr>
                <w:sz w:val="14"/>
              </w:rPr>
            </w:pPr>
            <w:r>
              <w:rPr>
                <w:sz w:val="14"/>
              </w:rPr>
              <w:t>% of Total Non Int/ Sal</w:t>
            </w:r>
          </w:p>
        </w:tc>
        <w:tc>
          <w:tcPr>
            <w:tcW w:w="1621" w:type="dxa"/>
            <w:tcBorders>
              <w:bottom w:val="single" w:sz="4" w:space="0" w:color="000000"/>
            </w:tcBorders>
          </w:tcPr>
          <w:p>
            <w:pPr>
              <w:pStyle w:val="TableParagraph"/>
              <w:spacing w:before="29"/>
              <w:ind w:left="670"/>
              <w:rPr>
                <w:sz w:val="14"/>
              </w:rPr>
            </w:pPr>
            <w:r>
              <w:rPr>
                <w:sz w:val="14"/>
              </w:rPr>
              <w:t>FY</w:t>
            </w:r>
            <w:r>
              <w:rPr>
                <w:spacing w:val="17"/>
                <w:sz w:val="14"/>
              </w:rPr>
              <w:t> </w:t>
            </w:r>
            <w:r>
              <w:rPr>
                <w:spacing w:val="4"/>
                <w:sz w:val="14"/>
              </w:rPr>
              <w:t>2021</w:t>
            </w:r>
          </w:p>
          <w:p>
            <w:pPr>
              <w:pStyle w:val="TableParagraph"/>
              <w:spacing w:before="17"/>
              <w:ind w:left="598"/>
              <w:rPr>
                <w:sz w:val="14"/>
              </w:rPr>
            </w:pPr>
            <w:r>
              <w:rPr>
                <w:spacing w:val="3"/>
                <w:sz w:val="14"/>
              </w:rPr>
              <w:t>Indicative</w:t>
            </w:r>
          </w:p>
        </w:tc>
        <w:tc>
          <w:tcPr>
            <w:tcW w:w="1297" w:type="dxa"/>
            <w:tcBorders>
              <w:bottom w:val="single" w:sz="4" w:space="0" w:color="000000"/>
            </w:tcBorders>
          </w:tcPr>
          <w:p>
            <w:pPr>
              <w:pStyle w:val="TableParagraph"/>
              <w:spacing w:line="249" w:lineRule="auto" w:before="29"/>
              <w:ind w:left="388" w:right="152" w:firstLine="86"/>
              <w:jc w:val="both"/>
              <w:rPr>
                <w:sz w:val="14"/>
              </w:rPr>
            </w:pPr>
            <w:r>
              <w:rPr>
                <w:sz w:val="14"/>
              </w:rPr>
              <w:t>% of Total Non Int/ Sal Recurr Exp</w:t>
            </w:r>
          </w:p>
        </w:tc>
        <w:tc>
          <w:tcPr>
            <w:tcW w:w="1283" w:type="dxa"/>
            <w:tcBorders>
              <w:bottom w:val="single" w:sz="4" w:space="0" w:color="000000"/>
            </w:tcBorders>
          </w:tcPr>
          <w:p>
            <w:pPr>
              <w:pStyle w:val="TableParagraph"/>
              <w:spacing w:before="29"/>
              <w:ind w:left="531"/>
              <w:rPr>
                <w:sz w:val="14"/>
              </w:rPr>
            </w:pPr>
            <w:r>
              <w:rPr>
                <w:sz w:val="14"/>
              </w:rPr>
              <w:t>FY</w:t>
            </w:r>
            <w:r>
              <w:rPr>
                <w:spacing w:val="17"/>
                <w:sz w:val="14"/>
              </w:rPr>
              <w:t> </w:t>
            </w:r>
            <w:r>
              <w:rPr>
                <w:spacing w:val="4"/>
                <w:sz w:val="14"/>
              </w:rPr>
              <w:t>2022</w:t>
            </w:r>
          </w:p>
          <w:p>
            <w:pPr>
              <w:pStyle w:val="TableParagraph"/>
              <w:spacing w:before="17"/>
              <w:ind w:left="459"/>
              <w:rPr>
                <w:sz w:val="14"/>
              </w:rPr>
            </w:pPr>
            <w:r>
              <w:rPr>
                <w:spacing w:val="3"/>
                <w:sz w:val="14"/>
              </w:rPr>
              <w:t>Indicative</w:t>
            </w:r>
          </w:p>
        </w:tc>
        <w:tc>
          <w:tcPr>
            <w:tcW w:w="1248" w:type="dxa"/>
            <w:tcBorders>
              <w:bottom w:val="single" w:sz="4" w:space="0" w:color="000000"/>
            </w:tcBorders>
          </w:tcPr>
          <w:p>
            <w:pPr>
              <w:pStyle w:val="TableParagraph"/>
              <w:spacing w:line="249" w:lineRule="auto" w:before="29"/>
              <w:ind w:left="188" w:right="302" w:firstLine="86"/>
              <w:jc w:val="both"/>
              <w:rPr>
                <w:sz w:val="14"/>
              </w:rPr>
            </w:pPr>
            <w:r>
              <w:rPr>
                <w:sz w:val="14"/>
              </w:rPr>
              <w:t>% of Total Non Int/ Sal Recurr Exp</w:t>
            </w:r>
          </w:p>
        </w:tc>
      </w:tr>
      <w:tr>
        <w:trPr>
          <w:trHeight w:val="213" w:hRule="atLeast"/>
        </w:trPr>
        <w:tc>
          <w:tcPr>
            <w:tcW w:w="471" w:type="dxa"/>
            <w:tcBorders>
              <w:top w:val="single" w:sz="4" w:space="0" w:color="000000"/>
            </w:tcBorders>
          </w:tcPr>
          <w:p>
            <w:pPr>
              <w:pStyle w:val="TableParagraph"/>
              <w:rPr>
                <w:rFonts w:ascii="Times New Roman"/>
                <w:sz w:val="14"/>
              </w:rPr>
            </w:pPr>
          </w:p>
        </w:tc>
        <w:tc>
          <w:tcPr>
            <w:tcW w:w="5345" w:type="dxa"/>
            <w:tcBorders>
              <w:top w:val="single" w:sz="4" w:space="0" w:color="000000"/>
            </w:tcBorders>
          </w:tcPr>
          <w:p>
            <w:pPr>
              <w:pStyle w:val="TableParagraph"/>
              <w:spacing w:line="147" w:lineRule="exact" w:before="46"/>
              <w:ind w:left="431"/>
              <w:rPr>
                <w:sz w:val="14"/>
              </w:rPr>
            </w:pPr>
            <w:r>
              <w:rPr>
                <w:i/>
                <w:sz w:val="14"/>
              </w:rPr>
              <w:t>of which: </w:t>
            </w:r>
            <w:r>
              <w:rPr>
                <w:sz w:val="14"/>
              </w:rPr>
              <w:t>Repairs and Maintenance of Government Buildings</w:t>
            </w:r>
          </w:p>
        </w:tc>
        <w:tc>
          <w:tcPr>
            <w:tcW w:w="2085" w:type="dxa"/>
            <w:tcBorders>
              <w:top w:val="single" w:sz="4" w:space="0" w:color="000000"/>
            </w:tcBorders>
          </w:tcPr>
          <w:p>
            <w:pPr>
              <w:pStyle w:val="TableParagraph"/>
              <w:spacing w:line="147" w:lineRule="exact" w:before="46"/>
              <w:ind w:right="528"/>
              <w:jc w:val="right"/>
              <w:rPr>
                <w:b/>
                <w:sz w:val="14"/>
              </w:rPr>
            </w:pPr>
            <w:r>
              <w:rPr>
                <w:b/>
                <w:sz w:val="14"/>
              </w:rPr>
              <w:t>4,203.7</w:t>
            </w:r>
          </w:p>
        </w:tc>
        <w:tc>
          <w:tcPr>
            <w:tcW w:w="1442" w:type="dxa"/>
            <w:tcBorders>
              <w:top w:val="single" w:sz="4" w:space="0" w:color="000000"/>
            </w:tcBorders>
          </w:tcPr>
          <w:p>
            <w:pPr>
              <w:pStyle w:val="TableParagraph"/>
              <w:spacing w:line="147" w:lineRule="exact" w:before="46"/>
              <w:ind w:left="494"/>
              <w:rPr>
                <w:sz w:val="14"/>
              </w:rPr>
            </w:pPr>
            <w:r>
              <w:rPr>
                <w:sz w:val="14"/>
              </w:rPr>
              <w:t>0 . 2 %</w:t>
            </w:r>
          </w:p>
        </w:tc>
        <w:tc>
          <w:tcPr>
            <w:tcW w:w="1621" w:type="dxa"/>
            <w:tcBorders>
              <w:top w:val="single" w:sz="4" w:space="0" w:color="000000"/>
            </w:tcBorders>
          </w:tcPr>
          <w:p>
            <w:pPr>
              <w:pStyle w:val="TableParagraph"/>
              <w:spacing w:line="147" w:lineRule="exact" w:before="46"/>
              <w:ind w:right="621"/>
              <w:jc w:val="right"/>
              <w:rPr>
                <w:sz w:val="14"/>
              </w:rPr>
            </w:pPr>
            <w:r>
              <w:rPr>
                <w:sz w:val="14"/>
              </w:rPr>
              <w:t>5,178 .0</w:t>
            </w:r>
          </w:p>
        </w:tc>
        <w:tc>
          <w:tcPr>
            <w:tcW w:w="1297" w:type="dxa"/>
            <w:tcBorders>
              <w:top w:val="single" w:sz="4" w:space="0" w:color="000000"/>
            </w:tcBorders>
          </w:tcPr>
          <w:p>
            <w:pPr>
              <w:pStyle w:val="TableParagraph"/>
              <w:spacing w:line="147" w:lineRule="exact" w:before="46"/>
              <w:ind w:left="436"/>
              <w:rPr>
                <w:sz w:val="14"/>
              </w:rPr>
            </w:pPr>
            <w:r>
              <w:rPr>
                <w:sz w:val="14"/>
              </w:rPr>
              <w:t>0 . 2 %</w:t>
            </w:r>
          </w:p>
        </w:tc>
        <w:tc>
          <w:tcPr>
            <w:tcW w:w="1283" w:type="dxa"/>
            <w:tcBorders>
              <w:top w:val="single" w:sz="4" w:space="0" w:color="000000"/>
            </w:tcBorders>
          </w:tcPr>
          <w:p>
            <w:pPr>
              <w:pStyle w:val="TableParagraph"/>
              <w:spacing w:line="147" w:lineRule="exact" w:before="46"/>
              <w:ind w:right="422"/>
              <w:jc w:val="right"/>
              <w:rPr>
                <w:sz w:val="14"/>
              </w:rPr>
            </w:pPr>
            <w:r>
              <w:rPr>
                <w:sz w:val="14"/>
              </w:rPr>
              <w:t>5,488 .2</w:t>
            </w:r>
          </w:p>
        </w:tc>
        <w:tc>
          <w:tcPr>
            <w:tcW w:w="1248" w:type="dxa"/>
            <w:tcBorders>
              <w:top w:val="single" w:sz="4" w:space="0" w:color="000000"/>
            </w:tcBorders>
          </w:tcPr>
          <w:p>
            <w:pPr>
              <w:pStyle w:val="TableParagraph"/>
              <w:spacing w:line="147" w:lineRule="exact" w:before="46"/>
              <w:ind w:left="410" w:right="357"/>
              <w:jc w:val="center"/>
              <w:rPr>
                <w:sz w:val="14"/>
              </w:rPr>
            </w:pPr>
            <w:r>
              <w:rPr>
                <w:sz w:val="14"/>
              </w:rPr>
              <w:t>0 . 3 %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Civil Engineering Works Division</w:t>
            </w:r>
          </w:p>
        </w:tc>
        <w:tc>
          <w:tcPr>
            <w:tcW w:w="2085" w:type="dxa"/>
          </w:tcPr>
          <w:p>
            <w:pPr>
              <w:pStyle w:val="TableParagraph"/>
              <w:spacing w:line="147" w:lineRule="exact" w:before="1"/>
              <w:ind w:right="511"/>
              <w:jc w:val="right"/>
              <w:rPr>
                <w:b/>
                <w:sz w:val="14"/>
              </w:rPr>
            </w:pPr>
            <w:r>
              <w:rPr>
                <w:b/>
                <w:sz w:val="14"/>
              </w:rPr>
              <w:t>473.4</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14"/>
              <w:jc w:val="right"/>
              <w:rPr>
                <w:sz w:val="14"/>
              </w:rPr>
            </w:pPr>
            <w:r>
              <w:rPr>
                <w:sz w:val="14"/>
              </w:rPr>
              <w:t>583.1</w:t>
            </w:r>
          </w:p>
        </w:tc>
        <w:tc>
          <w:tcPr>
            <w:tcW w:w="1297" w:type="dxa"/>
          </w:tcPr>
          <w:p>
            <w:pPr>
              <w:pStyle w:val="TableParagraph"/>
              <w:spacing w:line="147" w:lineRule="exact" w:before="1"/>
              <w:ind w:left="436"/>
              <w:rPr>
                <w:sz w:val="14"/>
              </w:rPr>
            </w:pPr>
            <w:r>
              <w:rPr>
                <w:sz w:val="14"/>
              </w:rPr>
              <w:t>0 . 0 %</w:t>
            </w:r>
          </w:p>
        </w:tc>
        <w:tc>
          <w:tcPr>
            <w:tcW w:w="1283" w:type="dxa"/>
          </w:tcPr>
          <w:p>
            <w:pPr>
              <w:pStyle w:val="TableParagraph"/>
              <w:spacing w:line="147" w:lineRule="exact" w:before="1"/>
              <w:ind w:right="419"/>
              <w:jc w:val="right"/>
              <w:rPr>
                <w:sz w:val="14"/>
              </w:rPr>
            </w:pPr>
            <w:r>
              <w:rPr>
                <w:sz w:val="14"/>
              </w:rPr>
              <w:t>618.0</w:t>
            </w:r>
          </w:p>
        </w:tc>
        <w:tc>
          <w:tcPr>
            <w:tcW w:w="1248" w:type="dxa"/>
          </w:tcPr>
          <w:p>
            <w:pPr>
              <w:pStyle w:val="TableParagraph"/>
              <w:spacing w:line="147" w:lineRule="exact" w:before="1"/>
              <w:ind w:left="410" w:right="357"/>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4"/>
              <w:rPr>
                <w:sz w:val="14"/>
              </w:rPr>
            </w:pPr>
            <w:r>
              <w:rPr>
                <w:sz w:val="14"/>
              </w:rPr>
              <w:t>Mechanical Division</w:t>
            </w:r>
          </w:p>
        </w:tc>
        <w:tc>
          <w:tcPr>
            <w:tcW w:w="2085" w:type="dxa"/>
          </w:tcPr>
          <w:p>
            <w:pPr>
              <w:pStyle w:val="TableParagraph"/>
              <w:spacing w:line="147" w:lineRule="exact" w:before="1"/>
              <w:ind w:right="511"/>
              <w:jc w:val="right"/>
              <w:rPr>
                <w:b/>
                <w:sz w:val="14"/>
              </w:rPr>
            </w:pPr>
            <w:r>
              <w:rPr>
                <w:b/>
                <w:sz w:val="14"/>
              </w:rPr>
              <w:t>437.2</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14"/>
              <w:jc w:val="right"/>
              <w:rPr>
                <w:sz w:val="14"/>
              </w:rPr>
            </w:pPr>
            <w:r>
              <w:rPr>
                <w:sz w:val="14"/>
              </w:rPr>
              <w:t>538.6</w:t>
            </w:r>
          </w:p>
        </w:tc>
        <w:tc>
          <w:tcPr>
            <w:tcW w:w="1297" w:type="dxa"/>
          </w:tcPr>
          <w:p>
            <w:pPr>
              <w:pStyle w:val="TableParagraph"/>
              <w:spacing w:line="147" w:lineRule="exact" w:before="1"/>
              <w:ind w:left="436"/>
              <w:rPr>
                <w:sz w:val="14"/>
              </w:rPr>
            </w:pPr>
            <w:r>
              <w:rPr>
                <w:sz w:val="14"/>
              </w:rPr>
              <w:t>0 . 0 %</w:t>
            </w:r>
          </w:p>
        </w:tc>
        <w:tc>
          <w:tcPr>
            <w:tcW w:w="1283" w:type="dxa"/>
          </w:tcPr>
          <w:p>
            <w:pPr>
              <w:pStyle w:val="TableParagraph"/>
              <w:spacing w:line="147" w:lineRule="exact" w:before="1"/>
              <w:ind w:right="419"/>
              <w:jc w:val="right"/>
              <w:rPr>
                <w:sz w:val="14"/>
              </w:rPr>
            </w:pPr>
            <w:r>
              <w:rPr>
                <w:sz w:val="14"/>
              </w:rPr>
              <w:t>570.8</w:t>
            </w:r>
          </w:p>
        </w:tc>
        <w:tc>
          <w:tcPr>
            <w:tcW w:w="1248" w:type="dxa"/>
          </w:tcPr>
          <w:p>
            <w:pPr>
              <w:pStyle w:val="TableParagraph"/>
              <w:spacing w:line="147" w:lineRule="exact" w:before="1"/>
              <w:ind w:left="410" w:right="357"/>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Public Assets Division</w:t>
            </w:r>
          </w:p>
        </w:tc>
        <w:tc>
          <w:tcPr>
            <w:tcW w:w="2085" w:type="dxa"/>
          </w:tcPr>
          <w:p>
            <w:pPr>
              <w:pStyle w:val="TableParagraph"/>
              <w:spacing w:line="147" w:lineRule="exact" w:before="1"/>
              <w:ind w:right="528"/>
              <w:jc w:val="right"/>
              <w:rPr>
                <w:b/>
                <w:sz w:val="14"/>
              </w:rPr>
            </w:pPr>
            <w:r>
              <w:rPr>
                <w:b/>
                <w:sz w:val="14"/>
              </w:rPr>
              <w:t>3,238.7</w:t>
            </w:r>
          </w:p>
        </w:tc>
        <w:tc>
          <w:tcPr>
            <w:tcW w:w="1442" w:type="dxa"/>
          </w:tcPr>
          <w:p>
            <w:pPr>
              <w:pStyle w:val="TableParagraph"/>
              <w:spacing w:line="147" w:lineRule="exact" w:before="1"/>
              <w:ind w:left="494"/>
              <w:rPr>
                <w:sz w:val="14"/>
              </w:rPr>
            </w:pPr>
            <w:r>
              <w:rPr>
                <w:sz w:val="14"/>
              </w:rPr>
              <w:t>0 . 2 %</w:t>
            </w:r>
          </w:p>
        </w:tc>
        <w:tc>
          <w:tcPr>
            <w:tcW w:w="1621" w:type="dxa"/>
          </w:tcPr>
          <w:p>
            <w:pPr>
              <w:pStyle w:val="TableParagraph"/>
              <w:spacing w:line="147" w:lineRule="exact" w:before="1"/>
              <w:ind w:right="621"/>
              <w:jc w:val="right"/>
              <w:rPr>
                <w:sz w:val="14"/>
              </w:rPr>
            </w:pPr>
            <w:r>
              <w:rPr>
                <w:sz w:val="14"/>
              </w:rPr>
              <w:t>3,989 .5</w:t>
            </w:r>
          </w:p>
        </w:tc>
        <w:tc>
          <w:tcPr>
            <w:tcW w:w="1297" w:type="dxa"/>
          </w:tcPr>
          <w:p>
            <w:pPr>
              <w:pStyle w:val="TableParagraph"/>
              <w:spacing w:line="147" w:lineRule="exact" w:before="1"/>
              <w:ind w:left="436"/>
              <w:rPr>
                <w:sz w:val="14"/>
              </w:rPr>
            </w:pPr>
            <w:r>
              <w:rPr>
                <w:sz w:val="14"/>
              </w:rPr>
              <w:t>0 . 2 %</w:t>
            </w:r>
          </w:p>
        </w:tc>
        <w:tc>
          <w:tcPr>
            <w:tcW w:w="1283" w:type="dxa"/>
          </w:tcPr>
          <w:p>
            <w:pPr>
              <w:pStyle w:val="TableParagraph"/>
              <w:spacing w:line="147" w:lineRule="exact" w:before="1"/>
              <w:ind w:right="422"/>
              <w:jc w:val="right"/>
              <w:rPr>
                <w:sz w:val="14"/>
              </w:rPr>
            </w:pPr>
            <w:r>
              <w:rPr>
                <w:sz w:val="14"/>
              </w:rPr>
              <w:t>4,228 .4</w:t>
            </w:r>
          </w:p>
        </w:tc>
        <w:tc>
          <w:tcPr>
            <w:tcW w:w="1248" w:type="dxa"/>
          </w:tcPr>
          <w:p>
            <w:pPr>
              <w:pStyle w:val="TableParagraph"/>
              <w:spacing w:line="147" w:lineRule="exact" w:before="1"/>
              <w:ind w:left="410" w:right="357"/>
              <w:jc w:val="center"/>
              <w:rPr>
                <w:sz w:val="14"/>
              </w:rPr>
            </w:pPr>
            <w:r>
              <w:rPr>
                <w:sz w:val="14"/>
              </w:rPr>
              <w:t>0 . 2 %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i/>
                <w:sz w:val="14"/>
              </w:rPr>
              <w:t>of which: </w:t>
            </w:r>
            <w:r>
              <w:rPr>
                <w:sz w:val="14"/>
              </w:rPr>
              <w:t>Rent and Rates</w:t>
            </w:r>
          </w:p>
        </w:tc>
        <w:tc>
          <w:tcPr>
            <w:tcW w:w="2085" w:type="dxa"/>
          </w:tcPr>
          <w:p>
            <w:pPr>
              <w:pStyle w:val="TableParagraph"/>
              <w:spacing w:line="147" w:lineRule="exact" w:before="1"/>
              <w:ind w:right="528"/>
              <w:jc w:val="right"/>
              <w:rPr>
                <w:b/>
                <w:sz w:val="14"/>
              </w:rPr>
            </w:pPr>
            <w:r>
              <w:rPr>
                <w:b/>
                <w:sz w:val="14"/>
              </w:rPr>
              <w:t>2,833.1</w:t>
            </w:r>
          </w:p>
        </w:tc>
        <w:tc>
          <w:tcPr>
            <w:tcW w:w="1442" w:type="dxa"/>
          </w:tcPr>
          <w:p>
            <w:pPr>
              <w:pStyle w:val="TableParagraph"/>
              <w:spacing w:line="147" w:lineRule="exact" w:before="1"/>
              <w:ind w:left="494"/>
              <w:rPr>
                <w:sz w:val="14"/>
              </w:rPr>
            </w:pPr>
            <w:r>
              <w:rPr>
                <w:sz w:val="14"/>
              </w:rPr>
              <w:t>0 . 1 %</w:t>
            </w:r>
          </w:p>
        </w:tc>
        <w:tc>
          <w:tcPr>
            <w:tcW w:w="1621" w:type="dxa"/>
          </w:tcPr>
          <w:p>
            <w:pPr>
              <w:pStyle w:val="TableParagraph"/>
              <w:spacing w:line="147" w:lineRule="exact" w:before="1"/>
              <w:ind w:right="621"/>
              <w:jc w:val="right"/>
              <w:rPr>
                <w:sz w:val="14"/>
              </w:rPr>
            </w:pPr>
            <w:r>
              <w:rPr>
                <w:sz w:val="14"/>
              </w:rPr>
              <w:t>3,489 .8</w:t>
            </w:r>
          </w:p>
        </w:tc>
        <w:tc>
          <w:tcPr>
            <w:tcW w:w="1297" w:type="dxa"/>
          </w:tcPr>
          <w:p>
            <w:pPr>
              <w:pStyle w:val="TableParagraph"/>
              <w:spacing w:line="147" w:lineRule="exact" w:before="1"/>
              <w:ind w:left="436"/>
              <w:rPr>
                <w:sz w:val="14"/>
              </w:rPr>
            </w:pPr>
            <w:r>
              <w:rPr>
                <w:sz w:val="14"/>
              </w:rPr>
              <w:t>0 . 2 %</w:t>
            </w:r>
          </w:p>
        </w:tc>
        <w:tc>
          <w:tcPr>
            <w:tcW w:w="1283" w:type="dxa"/>
          </w:tcPr>
          <w:p>
            <w:pPr>
              <w:pStyle w:val="TableParagraph"/>
              <w:spacing w:line="147" w:lineRule="exact" w:before="1"/>
              <w:ind w:right="422"/>
              <w:jc w:val="right"/>
              <w:rPr>
                <w:sz w:val="14"/>
              </w:rPr>
            </w:pPr>
            <w:r>
              <w:rPr>
                <w:sz w:val="14"/>
              </w:rPr>
              <w:t>3,698 .9</w:t>
            </w:r>
          </w:p>
        </w:tc>
        <w:tc>
          <w:tcPr>
            <w:tcW w:w="1248" w:type="dxa"/>
          </w:tcPr>
          <w:p>
            <w:pPr>
              <w:pStyle w:val="TableParagraph"/>
              <w:spacing w:line="147" w:lineRule="exact" w:before="1"/>
              <w:ind w:left="410" w:right="357"/>
              <w:jc w:val="center"/>
              <w:rPr>
                <w:sz w:val="14"/>
              </w:rPr>
            </w:pPr>
            <w:r>
              <w:rPr>
                <w:sz w:val="14"/>
              </w:rPr>
              <w:t>0 . 2 %</w:t>
            </w:r>
          </w:p>
        </w:tc>
      </w:tr>
      <w:tr>
        <w:trPr>
          <w:trHeight w:val="252" w:hRule="atLeast"/>
        </w:trPr>
        <w:tc>
          <w:tcPr>
            <w:tcW w:w="471" w:type="dxa"/>
          </w:tcPr>
          <w:p>
            <w:pPr>
              <w:pStyle w:val="TableParagraph"/>
              <w:rPr>
                <w:rFonts w:ascii="Times New Roman"/>
                <w:sz w:val="14"/>
              </w:rPr>
            </w:pPr>
          </w:p>
        </w:tc>
        <w:tc>
          <w:tcPr>
            <w:tcW w:w="5345" w:type="dxa"/>
          </w:tcPr>
          <w:p>
            <w:pPr>
              <w:pStyle w:val="TableParagraph"/>
              <w:spacing w:before="1"/>
              <w:ind w:left="263"/>
              <w:rPr>
                <w:sz w:val="14"/>
              </w:rPr>
            </w:pPr>
            <w:r>
              <w:rPr>
                <w:sz w:val="14"/>
              </w:rPr>
              <w:t>Works Project Implementation and Monitoring Unit</w:t>
            </w:r>
          </w:p>
        </w:tc>
        <w:tc>
          <w:tcPr>
            <w:tcW w:w="2085" w:type="dxa"/>
          </w:tcPr>
          <w:p>
            <w:pPr>
              <w:pStyle w:val="TableParagraph"/>
              <w:spacing w:before="1"/>
              <w:ind w:right="511"/>
              <w:jc w:val="right"/>
              <w:rPr>
                <w:b/>
                <w:sz w:val="14"/>
              </w:rPr>
            </w:pPr>
            <w:r>
              <w:rPr>
                <w:b/>
                <w:sz w:val="14"/>
              </w:rPr>
              <w:t>426.5</w:t>
            </w:r>
          </w:p>
        </w:tc>
        <w:tc>
          <w:tcPr>
            <w:tcW w:w="1442" w:type="dxa"/>
          </w:tcPr>
          <w:p>
            <w:pPr>
              <w:pStyle w:val="TableParagraph"/>
              <w:spacing w:before="1"/>
              <w:ind w:left="494"/>
              <w:rPr>
                <w:sz w:val="14"/>
              </w:rPr>
            </w:pPr>
            <w:r>
              <w:rPr>
                <w:sz w:val="14"/>
              </w:rPr>
              <w:t>0 . 0 %</w:t>
            </w:r>
          </w:p>
        </w:tc>
        <w:tc>
          <w:tcPr>
            <w:tcW w:w="1621" w:type="dxa"/>
          </w:tcPr>
          <w:p>
            <w:pPr>
              <w:pStyle w:val="TableParagraph"/>
              <w:spacing w:before="1"/>
              <w:ind w:right="614"/>
              <w:jc w:val="right"/>
              <w:rPr>
                <w:sz w:val="14"/>
              </w:rPr>
            </w:pPr>
            <w:r>
              <w:rPr>
                <w:sz w:val="14"/>
              </w:rPr>
              <w:t>525.3</w:t>
            </w:r>
          </w:p>
        </w:tc>
        <w:tc>
          <w:tcPr>
            <w:tcW w:w="1297" w:type="dxa"/>
          </w:tcPr>
          <w:p>
            <w:pPr>
              <w:pStyle w:val="TableParagraph"/>
              <w:spacing w:before="1"/>
              <w:ind w:left="436"/>
              <w:rPr>
                <w:sz w:val="14"/>
              </w:rPr>
            </w:pPr>
            <w:r>
              <w:rPr>
                <w:sz w:val="14"/>
              </w:rPr>
              <w:t>0 . 0 %</w:t>
            </w:r>
          </w:p>
        </w:tc>
        <w:tc>
          <w:tcPr>
            <w:tcW w:w="1283" w:type="dxa"/>
          </w:tcPr>
          <w:p>
            <w:pPr>
              <w:pStyle w:val="TableParagraph"/>
              <w:spacing w:before="1"/>
              <w:ind w:right="419"/>
              <w:jc w:val="right"/>
              <w:rPr>
                <w:sz w:val="14"/>
              </w:rPr>
            </w:pPr>
            <w:r>
              <w:rPr>
                <w:sz w:val="14"/>
              </w:rPr>
              <w:t>556.8</w:t>
            </w:r>
          </w:p>
        </w:tc>
        <w:tc>
          <w:tcPr>
            <w:tcW w:w="1248" w:type="dxa"/>
          </w:tcPr>
          <w:p>
            <w:pPr>
              <w:pStyle w:val="TableParagraph"/>
              <w:spacing w:before="1"/>
              <w:ind w:left="410" w:right="357"/>
              <w:jc w:val="center"/>
              <w:rPr>
                <w:sz w:val="14"/>
              </w:rPr>
            </w:pPr>
            <w:r>
              <w:rPr>
                <w:sz w:val="14"/>
              </w:rPr>
              <w:t>0 . 0 %</w:t>
            </w:r>
          </w:p>
        </w:tc>
      </w:tr>
      <w:tr>
        <w:trPr>
          <w:trHeight w:val="252" w:hRule="atLeast"/>
        </w:trPr>
        <w:tc>
          <w:tcPr>
            <w:tcW w:w="471" w:type="dxa"/>
          </w:tcPr>
          <w:p>
            <w:pPr>
              <w:pStyle w:val="TableParagraph"/>
              <w:spacing w:line="147" w:lineRule="exact" w:before="85"/>
              <w:ind w:left="125"/>
              <w:rPr>
                <w:sz w:val="14"/>
              </w:rPr>
            </w:pPr>
            <w:r>
              <w:rPr>
                <w:sz w:val="14"/>
              </w:rPr>
              <w:t>409</w:t>
            </w:r>
          </w:p>
        </w:tc>
        <w:tc>
          <w:tcPr>
            <w:tcW w:w="5345" w:type="dxa"/>
          </w:tcPr>
          <w:p>
            <w:pPr>
              <w:pStyle w:val="TableParagraph"/>
              <w:spacing w:line="147" w:lineRule="exact" w:before="85"/>
              <w:ind w:left="96"/>
              <w:rPr>
                <w:sz w:val="14"/>
              </w:rPr>
            </w:pPr>
            <w:r>
              <w:rPr>
                <w:sz w:val="14"/>
              </w:rPr>
              <w:t>Ministry of Trade and Industry</w:t>
            </w:r>
          </w:p>
        </w:tc>
        <w:tc>
          <w:tcPr>
            <w:tcW w:w="2085" w:type="dxa"/>
          </w:tcPr>
          <w:p>
            <w:pPr>
              <w:pStyle w:val="TableParagraph"/>
              <w:spacing w:line="147" w:lineRule="exact" w:before="85"/>
              <w:ind w:right="530"/>
              <w:jc w:val="right"/>
              <w:rPr>
                <w:b/>
                <w:sz w:val="14"/>
              </w:rPr>
            </w:pPr>
            <w:r>
              <w:rPr>
                <w:b/>
                <w:sz w:val="14"/>
              </w:rPr>
              <w:t>14,795.1</w:t>
            </w:r>
          </w:p>
        </w:tc>
        <w:tc>
          <w:tcPr>
            <w:tcW w:w="1442" w:type="dxa"/>
          </w:tcPr>
          <w:p>
            <w:pPr>
              <w:pStyle w:val="TableParagraph"/>
              <w:spacing w:line="147" w:lineRule="exact" w:before="85"/>
              <w:ind w:left="494"/>
              <w:rPr>
                <w:sz w:val="14"/>
              </w:rPr>
            </w:pPr>
            <w:r>
              <w:rPr>
                <w:sz w:val="14"/>
              </w:rPr>
              <w:t>0 . 7 %</w:t>
            </w:r>
          </w:p>
        </w:tc>
        <w:tc>
          <w:tcPr>
            <w:tcW w:w="1621" w:type="dxa"/>
          </w:tcPr>
          <w:p>
            <w:pPr>
              <w:pStyle w:val="TableParagraph"/>
              <w:spacing w:line="147" w:lineRule="exact" w:before="85"/>
              <w:ind w:right="625"/>
              <w:jc w:val="right"/>
              <w:rPr>
                <w:sz w:val="14"/>
              </w:rPr>
            </w:pPr>
            <w:r>
              <w:rPr>
                <w:sz w:val="14"/>
              </w:rPr>
              <w:t>16,440.1</w:t>
            </w:r>
          </w:p>
        </w:tc>
        <w:tc>
          <w:tcPr>
            <w:tcW w:w="1297" w:type="dxa"/>
          </w:tcPr>
          <w:p>
            <w:pPr>
              <w:pStyle w:val="TableParagraph"/>
              <w:spacing w:line="147" w:lineRule="exact" w:before="85"/>
              <w:ind w:left="436"/>
              <w:rPr>
                <w:sz w:val="14"/>
              </w:rPr>
            </w:pPr>
            <w:r>
              <w:rPr>
                <w:sz w:val="14"/>
              </w:rPr>
              <w:t>0 . 8 %</w:t>
            </w:r>
          </w:p>
        </w:tc>
        <w:tc>
          <w:tcPr>
            <w:tcW w:w="1283" w:type="dxa"/>
          </w:tcPr>
          <w:p>
            <w:pPr>
              <w:pStyle w:val="TableParagraph"/>
              <w:spacing w:line="147" w:lineRule="exact" w:before="85"/>
              <w:ind w:right="431"/>
              <w:jc w:val="right"/>
              <w:rPr>
                <w:sz w:val="14"/>
              </w:rPr>
            </w:pPr>
            <w:r>
              <w:rPr>
                <w:sz w:val="14"/>
              </w:rPr>
              <w:t>17,424.9</w:t>
            </w:r>
          </w:p>
        </w:tc>
        <w:tc>
          <w:tcPr>
            <w:tcW w:w="1248" w:type="dxa"/>
          </w:tcPr>
          <w:p>
            <w:pPr>
              <w:pStyle w:val="TableParagraph"/>
              <w:spacing w:line="147" w:lineRule="exact" w:before="85"/>
              <w:ind w:left="410" w:right="357"/>
              <w:jc w:val="center"/>
              <w:rPr>
                <w:sz w:val="14"/>
              </w:rPr>
            </w:pPr>
            <w:r>
              <w:rPr>
                <w:sz w:val="14"/>
              </w:rPr>
              <w:t>0 . 8 %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Administrative and Operating Costs</w:t>
            </w:r>
          </w:p>
        </w:tc>
        <w:tc>
          <w:tcPr>
            <w:tcW w:w="2085" w:type="dxa"/>
          </w:tcPr>
          <w:p>
            <w:pPr>
              <w:pStyle w:val="TableParagraph"/>
              <w:spacing w:line="147" w:lineRule="exact" w:before="1"/>
              <w:ind w:right="528"/>
              <w:jc w:val="right"/>
              <w:rPr>
                <w:b/>
                <w:sz w:val="14"/>
              </w:rPr>
            </w:pPr>
            <w:r>
              <w:rPr>
                <w:b/>
                <w:sz w:val="14"/>
              </w:rPr>
              <w:t>2,272.1</w:t>
            </w:r>
          </w:p>
        </w:tc>
        <w:tc>
          <w:tcPr>
            <w:tcW w:w="1442" w:type="dxa"/>
          </w:tcPr>
          <w:p>
            <w:pPr>
              <w:pStyle w:val="TableParagraph"/>
              <w:spacing w:line="147" w:lineRule="exact" w:before="1"/>
              <w:ind w:left="494"/>
              <w:rPr>
                <w:sz w:val="14"/>
              </w:rPr>
            </w:pPr>
            <w:r>
              <w:rPr>
                <w:sz w:val="14"/>
              </w:rPr>
              <w:t>0 . 1 %</w:t>
            </w:r>
          </w:p>
        </w:tc>
        <w:tc>
          <w:tcPr>
            <w:tcW w:w="1621" w:type="dxa"/>
          </w:tcPr>
          <w:p>
            <w:pPr>
              <w:pStyle w:val="TableParagraph"/>
              <w:spacing w:line="147" w:lineRule="exact" w:before="1"/>
              <w:ind w:right="621"/>
              <w:jc w:val="right"/>
              <w:rPr>
                <w:sz w:val="14"/>
              </w:rPr>
            </w:pPr>
            <w:r>
              <w:rPr>
                <w:sz w:val="14"/>
              </w:rPr>
              <w:t>2,675 .3</w:t>
            </w:r>
          </w:p>
        </w:tc>
        <w:tc>
          <w:tcPr>
            <w:tcW w:w="1297" w:type="dxa"/>
          </w:tcPr>
          <w:p>
            <w:pPr>
              <w:pStyle w:val="TableParagraph"/>
              <w:spacing w:line="147" w:lineRule="exact" w:before="1"/>
              <w:ind w:left="436"/>
              <w:rPr>
                <w:sz w:val="14"/>
              </w:rPr>
            </w:pPr>
            <w:r>
              <w:rPr>
                <w:sz w:val="14"/>
              </w:rPr>
              <w:t>0 . 1 %</w:t>
            </w:r>
          </w:p>
        </w:tc>
        <w:tc>
          <w:tcPr>
            <w:tcW w:w="1283" w:type="dxa"/>
          </w:tcPr>
          <w:p>
            <w:pPr>
              <w:pStyle w:val="TableParagraph"/>
              <w:spacing w:line="147" w:lineRule="exact" w:before="1"/>
              <w:ind w:right="422"/>
              <w:jc w:val="right"/>
              <w:rPr>
                <w:sz w:val="14"/>
              </w:rPr>
            </w:pPr>
            <w:r>
              <w:rPr>
                <w:sz w:val="14"/>
              </w:rPr>
              <w:t>2,835 .6</w:t>
            </w:r>
          </w:p>
        </w:tc>
        <w:tc>
          <w:tcPr>
            <w:tcW w:w="1248" w:type="dxa"/>
          </w:tcPr>
          <w:p>
            <w:pPr>
              <w:pStyle w:val="TableParagraph"/>
              <w:spacing w:line="147" w:lineRule="exact" w:before="1"/>
              <w:ind w:left="410" w:right="357"/>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Export Development</w:t>
            </w:r>
          </w:p>
        </w:tc>
        <w:tc>
          <w:tcPr>
            <w:tcW w:w="2085" w:type="dxa"/>
          </w:tcPr>
          <w:p>
            <w:pPr>
              <w:pStyle w:val="TableParagraph"/>
              <w:spacing w:line="147" w:lineRule="exact" w:before="1"/>
              <w:ind w:right="530"/>
              <w:jc w:val="right"/>
              <w:rPr>
                <w:b/>
                <w:sz w:val="14"/>
              </w:rPr>
            </w:pPr>
            <w:r>
              <w:rPr>
                <w:b/>
                <w:sz w:val="14"/>
              </w:rPr>
              <w:t>12,523.0</w:t>
            </w:r>
          </w:p>
        </w:tc>
        <w:tc>
          <w:tcPr>
            <w:tcW w:w="1442" w:type="dxa"/>
          </w:tcPr>
          <w:p>
            <w:pPr>
              <w:pStyle w:val="TableParagraph"/>
              <w:spacing w:line="147" w:lineRule="exact" w:before="1"/>
              <w:ind w:left="494"/>
              <w:rPr>
                <w:sz w:val="14"/>
              </w:rPr>
            </w:pPr>
            <w:r>
              <w:rPr>
                <w:sz w:val="14"/>
              </w:rPr>
              <w:t>0 . 6 %</w:t>
            </w:r>
          </w:p>
        </w:tc>
        <w:tc>
          <w:tcPr>
            <w:tcW w:w="1621" w:type="dxa"/>
          </w:tcPr>
          <w:p>
            <w:pPr>
              <w:pStyle w:val="TableParagraph"/>
              <w:spacing w:line="147" w:lineRule="exact" w:before="1"/>
              <w:ind w:right="625"/>
              <w:jc w:val="right"/>
              <w:rPr>
                <w:sz w:val="14"/>
              </w:rPr>
            </w:pPr>
            <w:r>
              <w:rPr>
                <w:sz w:val="14"/>
              </w:rPr>
              <w:t>13,764.8</w:t>
            </w:r>
          </w:p>
        </w:tc>
        <w:tc>
          <w:tcPr>
            <w:tcW w:w="1297" w:type="dxa"/>
          </w:tcPr>
          <w:p>
            <w:pPr>
              <w:pStyle w:val="TableParagraph"/>
              <w:spacing w:line="147" w:lineRule="exact" w:before="1"/>
              <w:ind w:left="436"/>
              <w:rPr>
                <w:sz w:val="14"/>
              </w:rPr>
            </w:pPr>
            <w:r>
              <w:rPr>
                <w:sz w:val="14"/>
              </w:rPr>
              <w:t>0 . 7 %</w:t>
            </w:r>
          </w:p>
        </w:tc>
        <w:tc>
          <w:tcPr>
            <w:tcW w:w="1283" w:type="dxa"/>
          </w:tcPr>
          <w:p>
            <w:pPr>
              <w:pStyle w:val="TableParagraph"/>
              <w:spacing w:line="147" w:lineRule="exact" w:before="1"/>
              <w:ind w:right="431"/>
              <w:jc w:val="right"/>
              <w:rPr>
                <w:sz w:val="14"/>
              </w:rPr>
            </w:pPr>
            <w:r>
              <w:rPr>
                <w:sz w:val="14"/>
              </w:rPr>
              <w:t>14,589.3</w:t>
            </w:r>
          </w:p>
        </w:tc>
        <w:tc>
          <w:tcPr>
            <w:tcW w:w="1248" w:type="dxa"/>
          </w:tcPr>
          <w:p>
            <w:pPr>
              <w:pStyle w:val="TableParagraph"/>
              <w:spacing w:line="147" w:lineRule="exact" w:before="1"/>
              <w:ind w:left="410" w:right="357"/>
              <w:jc w:val="center"/>
              <w:rPr>
                <w:sz w:val="14"/>
              </w:rPr>
            </w:pPr>
            <w:r>
              <w:rPr>
                <w:sz w:val="14"/>
              </w:rPr>
              <w:t>0 . 7 %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Sierra Leone Standards Bureau</w:t>
            </w:r>
          </w:p>
        </w:tc>
        <w:tc>
          <w:tcPr>
            <w:tcW w:w="2085" w:type="dxa"/>
          </w:tcPr>
          <w:p>
            <w:pPr>
              <w:pStyle w:val="TableParagraph"/>
              <w:spacing w:line="147" w:lineRule="exact" w:before="1"/>
              <w:ind w:right="528"/>
              <w:jc w:val="right"/>
              <w:rPr>
                <w:b/>
                <w:sz w:val="14"/>
              </w:rPr>
            </w:pPr>
            <w:r>
              <w:rPr>
                <w:b/>
                <w:sz w:val="14"/>
              </w:rPr>
              <w:t>3,724.2</w:t>
            </w:r>
          </w:p>
        </w:tc>
        <w:tc>
          <w:tcPr>
            <w:tcW w:w="1442" w:type="dxa"/>
          </w:tcPr>
          <w:p>
            <w:pPr>
              <w:pStyle w:val="TableParagraph"/>
              <w:spacing w:line="147" w:lineRule="exact" w:before="1"/>
              <w:ind w:left="494"/>
              <w:rPr>
                <w:sz w:val="14"/>
              </w:rPr>
            </w:pPr>
            <w:r>
              <w:rPr>
                <w:sz w:val="14"/>
              </w:rPr>
              <w:t>0 . 2 %</w:t>
            </w:r>
          </w:p>
        </w:tc>
        <w:tc>
          <w:tcPr>
            <w:tcW w:w="1621" w:type="dxa"/>
          </w:tcPr>
          <w:p>
            <w:pPr>
              <w:pStyle w:val="TableParagraph"/>
              <w:spacing w:line="147" w:lineRule="exact" w:before="1"/>
              <w:ind w:right="621"/>
              <w:jc w:val="right"/>
              <w:rPr>
                <w:sz w:val="14"/>
              </w:rPr>
            </w:pPr>
            <w:r>
              <w:rPr>
                <w:sz w:val="14"/>
              </w:rPr>
              <w:t>4,182 .2</w:t>
            </w:r>
          </w:p>
        </w:tc>
        <w:tc>
          <w:tcPr>
            <w:tcW w:w="1297" w:type="dxa"/>
          </w:tcPr>
          <w:p>
            <w:pPr>
              <w:pStyle w:val="TableParagraph"/>
              <w:spacing w:line="147" w:lineRule="exact" w:before="1"/>
              <w:ind w:left="436"/>
              <w:rPr>
                <w:sz w:val="14"/>
              </w:rPr>
            </w:pPr>
            <w:r>
              <w:rPr>
                <w:sz w:val="14"/>
              </w:rPr>
              <w:t>0 . 2 %</w:t>
            </w:r>
          </w:p>
        </w:tc>
        <w:tc>
          <w:tcPr>
            <w:tcW w:w="1283" w:type="dxa"/>
          </w:tcPr>
          <w:p>
            <w:pPr>
              <w:pStyle w:val="TableParagraph"/>
              <w:spacing w:line="147" w:lineRule="exact" w:before="1"/>
              <w:ind w:right="422"/>
              <w:jc w:val="right"/>
              <w:rPr>
                <w:sz w:val="14"/>
              </w:rPr>
            </w:pPr>
            <w:r>
              <w:rPr>
                <w:sz w:val="14"/>
              </w:rPr>
              <w:t>4,432 .7</w:t>
            </w:r>
          </w:p>
        </w:tc>
        <w:tc>
          <w:tcPr>
            <w:tcW w:w="1248" w:type="dxa"/>
          </w:tcPr>
          <w:p>
            <w:pPr>
              <w:pStyle w:val="TableParagraph"/>
              <w:spacing w:line="147" w:lineRule="exact" w:before="1"/>
              <w:ind w:left="410" w:right="357"/>
              <w:jc w:val="center"/>
              <w:rPr>
                <w:sz w:val="14"/>
              </w:rPr>
            </w:pPr>
            <w:r>
              <w:rPr>
                <w:sz w:val="14"/>
              </w:rPr>
              <w:t>0 . 2 %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Sierra Leone Investment and Export Promotion Agency</w:t>
            </w:r>
          </w:p>
        </w:tc>
        <w:tc>
          <w:tcPr>
            <w:tcW w:w="2085" w:type="dxa"/>
          </w:tcPr>
          <w:p>
            <w:pPr>
              <w:pStyle w:val="TableParagraph"/>
              <w:spacing w:line="147" w:lineRule="exact" w:before="1"/>
              <w:ind w:right="528"/>
              <w:jc w:val="right"/>
              <w:rPr>
                <w:b/>
                <w:sz w:val="14"/>
              </w:rPr>
            </w:pPr>
            <w:r>
              <w:rPr>
                <w:b/>
                <w:sz w:val="14"/>
              </w:rPr>
              <w:t>5,033.2</w:t>
            </w:r>
          </w:p>
        </w:tc>
        <w:tc>
          <w:tcPr>
            <w:tcW w:w="1442" w:type="dxa"/>
          </w:tcPr>
          <w:p>
            <w:pPr>
              <w:pStyle w:val="TableParagraph"/>
              <w:spacing w:line="147" w:lineRule="exact" w:before="1"/>
              <w:ind w:left="494"/>
              <w:rPr>
                <w:sz w:val="14"/>
              </w:rPr>
            </w:pPr>
            <w:r>
              <w:rPr>
                <w:sz w:val="14"/>
              </w:rPr>
              <w:t>0 . 2 %</w:t>
            </w:r>
          </w:p>
        </w:tc>
        <w:tc>
          <w:tcPr>
            <w:tcW w:w="1621" w:type="dxa"/>
          </w:tcPr>
          <w:p>
            <w:pPr>
              <w:pStyle w:val="TableParagraph"/>
              <w:spacing w:line="147" w:lineRule="exact" w:before="1"/>
              <w:ind w:right="621"/>
              <w:jc w:val="right"/>
              <w:rPr>
                <w:sz w:val="14"/>
              </w:rPr>
            </w:pPr>
            <w:r>
              <w:rPr>
                <w:sz w:val="14"/>
              </w:rPr>
              <w:t>4,944 .2</w:t>
            </w:r>
          </w:p>
        </w:tc>
        <w:tc>
          <w:tcPr>
            <w:tcW w:w="1297" w:type="dxa"/>
          </w:tcPr>
          <w:p>
            <w:pPr>
              <w:pStyle w:val="TableParagraph"/>
              <w:spacing w:line="147" w:lineRule="exact" w:before="1"/>
              <w:ind w:left="436"/>
              <w:rPr>
                <w:sz w:val="14"/>
              </w:rPr>
            </w:pPr>
            <w:r>
              <w:rPr>
                <w:sz w:val="14"/>
              </w:rPr>
              <w:t>0 . 2 %</w:t>
            </w:r>
          </w:p>
        </w:tc>
        <w:tc>
          <w:tcPr>
            <w:tcW w:w="1283" w:type="dxa"/>
          </w:tcPr>
          <w:p>
            <w:pPr>
              <w:pStyle w:val="TableParagraph"/>
              <w:spacing w:line="147" w:lineRule="exact" w:before="1"/>
              <w:ind w:right="422"/>
              <w:jc w:val="right"/>
              <w:rPr>
                <w:sz w:val="14"/>
              </w:rPr>
            </w:pPr>
            <w:r>
              <w:rPr>
                <w:sz w:val="14"/>
              </w:rPr>
              <w:t>5,240 .4</w:t>
            </w:r>
          </w:p>
        </w:tc>
        <w:tc>
          <w:tcPr>
            <w:tcW w:w="1248" w:type="dxa"/>
          </w:tcPr>
          <w:p>
            <w:pPr>
              <w:pStyle w:val="TableParagraph"/>
              <w:spacing w:line="147" w:lineRule="exact" w:before="1"/>
              <w:ind w:left="410" w:right="357"/>
              <w:jc w:val="center"/>
              <w:rPr>
                <w:sz w:val="14"/>
              </w:rPr>
            </w:pPr>
            <w:r>
              <w:rPr>
                <w:sz w:val="14"/>
              </w:rPr>
              <w:t>0 . 3 %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2"/>
              <w:rPr>
                <w:sz w:val="14"/>
              </w:rPr>
            </w:pPr>
            <w:r>
              <w:rPr>
                <w:sz w:val="14"/>
              </w:rPr>
              <w:t>Department of Co-operatives</w:t>
            </w:r>
          </w:p>
        </w:tc>
        <w:tc>
          <w:tcPr>
            <w:tcW w:w="2085" w:type="dxa"/>
          </w:tcPr>
          <w:p>
            <w:pPr>
              <w:pStyle w:val="TableParagraph"/>
              <w:spacing w:line="147" w:lineRule="exact" w:before="1"/>
              <w:ind w:right="511"/>
              <w:jc w:val="right"/>
              <w:rPr>
                <w:b/>
                <w:sz w:val="14"/>
              </w:rPr>
            </w:pPr>
            <w:r>
              <w:rPr>
                <w:b/>
                <w:sz w:val="14"/>
              </w:rPr>
              <w:t>963.6</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21"/>
              <w:jc w:val="right"/>
              <w:rPr>
                <w:sz w:val="14"/>
              </w:rPr>
            </w:pPr>
            <w:r>
              <w:rPr>
                <w:sz w:val="14"/>
              </w:rPr>
              <w:t>1,187 .0</w:t>
            </w:r>
          </w:p>
        </w:tc>
        <w:tc>
          <w:tcPr>
            <w:tcW w:w="1297" w:type="dxa"/>
          </w:tcPr>
          <w:p>
            <w:pPr>
              <w:pStyle w:val="TableParagraph"/>
              <w:spacing w:line="147" w:lineRule="exact" w:before="1"/>
              <w:ind w:left="436"/>
              <w:rPr>
                <w:sz w:val="14"/>
              </w:rPr>
            </w:pPr>
            <w:r>
              <w:rPr>
                <w:sz w:val="14"/>
              </w:rPr>
              <w:t>0 . 1 %</w:t>
            </w:r>
          </w:p>
        </w:tc>
        <w:tc>
          <w:tcPr>
            <w:tcW w:w="1283" w:type="dxa"/>
          </w:tcPr>
          <w:p>
            <w:pPr>
              <w:pStyle w:val="TableParagraph"/>
              <w:spacing w:line="147" w:lineRule="exact" w:before="1"/>
              <w:ind w:right="422"/>
              <w:jc w:val="right"/>
              <w:rPr>
                <w:sz w:val="14"/>
              </w:rPr>
            </w:pPr>
            <w:r>
              <w:rPr>
                <w:sz w:val="14"/>
              </w:rPr>
              <w:t>1,258 .1</w:t>
            </w:r>
          </w:p>
        </w:tc>
        <w:tc>
          <w:tcPr>
            <w:tcW w:w="1248" w:type="dxa"/>
          </w:tcPr>
          <w:p>
            <w:pPr>
              <w:pStyle w:val="TableParagraph"/>
              <w:spacing w:line="147" w:lineRule="exact" w:before="1"/>
              <w:ind w:left="410" w:right="357"/>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Support to Sierra Leone Produce Marketing Company</w:t>
            </w:r>
          </w:p>
        </w:tc>
        <w:tc>
          <w:tcPr>
            <w:tcW w:w="2085" w:type="dxa"/>
          </w:tcPr>
          <w:p>
            <w:pPr>
              <w:pStyle w:val="TableParagraph"/>
              <w:spacing w:line="147" w:lineRule="exact" w:before="1"/>
              <w:ind w:right="528"/>
              <w:jc w:val="right"/>
              <w:rPr>
                <w:b/>
                <w:sz w:val="14"/>
              </w:rPr>
            </w:pPr>
            <w:r>
              <w:rPr>
                <w:b/>
                <w:sz w:val="14"/>
              </w:rPr>
              <w:t>1,350.1</w:t>
            </w:r>
          </w:p>
        </w:tc>
        <w:tc>
          <w:tcPr>
            <w:tcW w:w="1442" w:type="dxa"/>
          </w:tcPr>
          <w:p>
            <w:pPr>
              <w:pStyle w:val="TableParagraph"/>
              <w:spacing w:line="147" w:lineRule="exact" w:before="1"/>
              <w:ind w:left="494"/>
              <w:rPr>
                <w:sz w:val="14"/>
              </w:rPr>
            </w:pPr>
            <w:r>
              <w:rPr>
                <w:sz w:val="14"/>
              </w:rPr>
              <w:t>0 . 1 %</w:t>
            </w:r>
          </w:p>
        </w:tc>
        <w:tc>
          <w:tcPr>
            <w:tcW w:w="1621" w:type="dxa"/>
          </w:tcPr>
          <w:p>
            <w:pPr>
              <w:pStyle w:val="TableParagraph"/>
              <w:spacing w:line="147" w:lineRule="exact" w:before="1"/>
              <w:ind w:right="621"/>
              <w:jc w:val="right"/>
              <w:rPr>
                <w:sz w:val="14"/>
              </w:rPr>
            </w:pPr>
            <w:r>
              <w:rPr>
                <w:sz w:val="14"/>
              </w:rPr>
              <w:t>1,663 .0</w:t>
            </w:r>
          </w:p>
        </w:tc>
        <w:tc>
          <w:tcPr>
            <w:tcW w:w="1297" w:type="dxa"/>
          </w:tcPr>
          <w:p>
            <w:pPr>
              <w:pStyle w:val="TableParagraph"/>
              <w:spacing w:line="147" w:lineRule="exact" w:before="1"/>
              <w:ind w:left="436"/>
              <w:rPr>
                <w:sz w:val="14"/>
              </w:rPr>
            </w:pPr>
            <w:r>
              <w:rPr>
                <w:sz w:val="14"/>
              </w:rPr>
              <w:t>0 . 1 %</w:t>
            </w:r>
          </w:p>
        </w:tc>
        <w:tc>
          <w:tcPr>
            <w:tcW w:w="1283" w:type="dxa"/>
          </w:tcPr>
          <w:p>
            <w:pPr>
              <w:pStyle w:val="TableParagraph"/>
              <w:spacing w:line="147" w:lineRule="exact" w:before="1"/>
              <w:ind w:right="422"/>
              <w:jc w:val="right"/>
              <w:rPr>
                <w:sz w:val="14"/>
              </w:rPr>
            </w:pPr>
            <w:r>
              <w:rPr>
                <w:sz w:val="14"/>
              </w:rPr>
              <w:t>1,762 .6</w:t>
            </w:r>
          </w:p>
        </w:tc>
        <w:tc>
          <w:tcPr>
            <w:tcW w:w="1248" w:type="dxa"/>
          </w:tcPr>
          <w:p>
            <w:pPr>
              <w:pStyle w:val="TableParagraph"/>
              <w:spacing w:line="147" w:lineRule="exact" w:before="1"/>
              <w:ind w:left="410" w:right="357"/>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Commodities Monitoring and Marketing Unit</w:t>
            </w:r>
          </w:p>
        </w:tc>
        <w:tc>
          <w:tcPr>
            <w:tcW w:w="2085" w:type="dxa"/>
          </w:tcPr>
          <w:p>
            <w:pPr>
              <w:pStyle w:val="TableParagraph"/>
              <w:spacing w:line="147" w:lineRule="exact" w:before="1"/>
              <w:ind w:right="511"/>
              <w:jc w:val="right"/>
              <w:rPr>
                <w:b/>
                <w:sz w:val="14"/>
              </w:rPr>
            </w:pPr>
            <w:r>
              <w:rPr>
                <w:b/>
                <w:sz w:val="14"/>
              </w:rPr>
              <w:t>353.1</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14"/>
              <w:jc w:val="right"/>
              <w:rPr>
                <w:sz w:val="14"/>
              </w:rPr>
            </w:pPr>
            <w:r>
              <w:rPr>
                <w:sz w:val="14"/>
              </w:rPr>
              <w:t>435.0</w:t>
            </w:r>
          </w:p>
        </w:tc>
        <w:tc>
          <w:tcPr>
            <w:tcW w:w="1297" w:type="dxa"/>
          </w:tcPr>
          <w:p>
            <w:pPr>
              <w:pStyle w:val="TableParagraph"/>
              <w:spacing w:line="147" w:lineRule="exact" w:before="1"/>
              <w:ind w:left="436"/>
              <w:rPr>
                <w:sz w:val="14"/>
              </w:rPr>
            </w:pPr>
            <w:r>
              <w:rPr>
                <w:sz w:val="14"/>
              </w:rPr>
              <w:t>0 . 0 %</w:t>
            </w:r>
          </w:p>
        </w:tc>
        <w:tc>
          <w:tcPr>
            <w:tcW w:w="1283" w:type="dxa"/>
          </w:tcPr>
          <w:p>
            <w:pPr>
              <w:pStyle w:val="TableParagraph"/>
              <w:spacing w:line="147" w:lineRule="exact" w:before="1"/>
              <w:ind w:right="419"/>
              <w:jc w:val="right"/>
              <w:rPr>
                <w:sz w:val="14"/>
              </w:rPr>
            </w:pPr>
            <w:r>
              <w:rPr>
                <w:sz w:val="14"/>
              </w:rPr>
              <w:t>461.0</w:t>
            </w:r>
          </w:p>
        </w:tc>
        <w:tc>
          <w:tcPr>
            <w:tcW w:w="1248" w:type="dxa"/>
          </w:tcPr>
          <w:p>
            <w:pPr>
              <w:pStyle w:val="TableParagraph"/>
              <w:spacing w:line="147" w:lineRule="exact" w:before="1"/>
              <w:ind w:left="410" w:right="357"/>
              <w:jc w:val="center"/>
              <w:rPr>
                <w:sz w:val="14"/>
              </w:rPr>
            </w:pPr>
            <w:r>
              <w:rPr>
                <w:sz w:val="14"/>
              </w:rPr>
              <w:t>0 . 0 %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Sierra Leone Business Forum</w:t>
            </w:r>
          </w:p>
        </w:tc>
        <w:tc>
          <w:tcPr>
            <w:tcW w:w="2085" w:type="dxa"/>
          </w:tcPr>
          <w:p>
            <w:pPr>
              <w:pStyle w:val="TableParagraph"/>
              <w:spacing w:line="147" w:lineRule="exact" w:before="1"/>
              <w:ind w:right="511"/>
              <w:jc w:val="right"/>
              <w:rPr>
                <w:b/>
                <w:sz w:val="14"/>
              </w:rPr>
            </w:pPr>
            <w:r>
              <w:rPr>
                <w:b/>
                <w:sz w:val="14"/>
              </w:rPr>
              <w:t>403.7</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14"/>
              <w:jc w:val="right"/>
              <w:rPr>
                <w:sz w:val="14"/>
              </w:rPr>
            </w:pPr>
            <w:r>
              <w:rPr>
                <w:sz w:val="14"/>
              </w:rPr>
              <w:t>497.2</w:t>
            </w:r>
          </w:p>
        </w:tc>
        <w:tc>
          <w:tcPr>
            <w:tcW w:w="1297" w:type="dxa"/>
          </w:tcPr>
          <w:p>
            <w:pPr>
              <w:pStyle w:val="TableParagraph"/>
              <w:spacing w:line="147" w:lineRule="exact" w:before="1"/>
              <w:ind w:left="436"/>
              <w:rPr>
                <w:sz w:val="14"/>
              </w:rPr>
            </w:pPr>
            <w:r>
              <w:rPr>
                <w:sz w:val="14"/>
              </w:rPr>
              <w:t>0 . 0 %</w:t>
            </w:r>
          </w:p>
        </w:tc>
        <w:tc>
          <w:tcPr>
            <w:tcW w:w="1283" w:type="dxa"/>
          </w:tcPr>
          <w:p>
            <w:pPr>
              <w:pStyle w:val="TableParagraph"/>
              <w:spacing w:line="147" w:lineRule="exact" w:before="1"/>
              <w:ind w:right="419"/>
              <w:jc w:val="right"/>
              <w:rPr>
                <w:sz w:val="14"/>
              </w:rPr>
            </w:pPr>
            <w:r>
              <w:rPr>
                <w:sz w:val="14"/>
              </w:rPr>
              <w:t>527.0</w:t>
            </w:r>
          </w:p>
        </w:tc>
        <w:tc>
          <w:tcPr>
            <w:tcW w:w="1248" w:type="dxa"/>
          </w:tcPr>
          <w:p>
            <w:pPr>
              <w:pStyle w:val="TableParagraph"/>
              <w:spacing w:line="147" w:lineRule="exact" w:before="1"/>
              <w:ind w:left="410" w:right="357"/>
              <w:jc w:val="center"/>
              <w:rPr>
                <w:sz w:val="14"/>
              </w:rPr>
            </w:pPr>
            <w:r>
              <w:rPr>
                <w:sz w:val="14"/>
              </w:rPr>
              <w:t>0 . 0 %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Coordination of Doing Business Reforms Unit</w:t>
            </w:r>
          </w:p>
        </w:tc>
        <w:tc>
          <w:tcPr>
            <w:tcW w:w="2085" w:type="dxa"/>
          </w:tcPr>
          <w:p>
            <w:pPr>
              <w:pStyle w:val="TableParagraph"/>
              <w:spacing w:line="147" w:lineRule="exact" w:before="1"/>
              <w:ind w:right="511"/>
              <w:jc w:val="right"/>
              <w:rPr>
                <w:b/>
                <w:sz w:val="14"/>
              </w:rPr>
            </w:pPr>
            <w:r>
              <w:rPr>
                <w:b/>
                <w:sz w:val="14"/>
              </w:rPr>
              <w:t>311.6</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14"/>
              <w:jc w:val="right"/>
              <w:rPr>
                <w:sz w:val="14"/>
              </w:rPr>
            </w:pPr>
            <w:r>
              <w:rPr>
                <w:sz w:val="14"/>
              </w:rPr>
              <w:t>383.8</w:t>
            </w:r>
          </w:p>
        </w:tc>
        <w:tc>
          <w:tcPr>
            <w:tcW w:w="1297" w:type="dxa"/>
          </w:tcPr>
          <w:p>
            <w:pPr>
              <w:pStyle w:val="TableParagraph"/>
              <w:spacing w:line="147" w:lineRule="exact" w:before="1"/>
              <w:ind w:left="436"/>
              <w:rPr>
                <w:sz w:val="14"/>
              </w:rPr>
            </w:pPr>
            <w:r>
              <w:rPr>
                <w:sz w:val="14"/>
              </w:rPr>
              <w:t>0 . 0 %</w:t>
            </w:r>
          </w:p>
        </w:tc>
        <w:tc>
          <w:tcPr>
            <w:tcW w:w="1283" w:type="dxa"/>
          </w:tcPr>
          <w:p>
            <w:pPr>
              <w:pStyle w:val="TableParagraph"/>
              <w:spacing w:line="147" w:lineRule="exact" w:before="1"/>
              <w:ind w:right="419"/>
              <w:jc w:val="right"/>
              <w:rPr>
                <w:sz w:val="14"/>
              </w:rPr>
            </w:pPr>
            <w:r>
              <w:rPr>
                <w:sz w:val="14"/>
              </w:rPr>
              <w:t>406.8</w:t>
            </w:r>
          </w:p>
        </w:tc>
        <w:tc>
          <w:tcPr>
            <w:tcW w:w="1248" w:type="dxa"/>
          </w:tcPr>
          <w:p>
            <w:pPr>
              <w:pStyle w:val="TableParagraph"/>
              <w:spacing w:line="147" w:lineRule="exact" w:before="1"/>
              <w:ind w:left="410" w:right="357"/>
              <w:jc w:val="center"/>
              <w:rPr>
                <w:sz w:val="14"/>
              </w:rPr>
            </w:pPr>
            <w:r>
              <w:rPr>
                <w:sz w:val="14"/>
              </w:rPr>
              <w:t>0 . 0 %</w:t>
            </w:r>
          </w:p>
        </w:tc>
      </w:tr>
      <w:tr>
        <w:trPr>
          <w:trHeight w:val="251" w:hRule="atLeast"/>
        </w:trPr>
        <w:tc>
          <w:tcPr>
            <w:tcW w:w="471" w:type="dxa"/>
          </w:tcPr>
          <w:p>
            <w:pPr>
              <w:pStyle w:val="TableParagraph"/>
              <w:rPr>
                <w:rFonts w:ascii="Times New Roman"/>
                <w:sz w:val="14"/>
              </w:rPr>
            </w:pPr>
          </w:p>
        </w:tc>
        <w:tc>
          <w:tcPr>
            <w:tcW w:w="5345" w:type="dxa"/>
          </w:tcPr>
          <w:p>
            <w:pPr>
              <w:pStyle w:val="TableParagraph"/>
              <w:spacing w:before="1"/>
              <w:ind w:left="432"/>
              <w:rPr>
                <w:sz w:val="14"/>
              </w:rPr>
            </w:pPr>
            <w:r>
              <w:rPr>
                <w:sz w:val="14"/>
              </w:rPr>
              <w:t>Industrial Planning and Development</w:t>
            </w:r>
          </w:p>
        </w:tc>
        <w:tc>
          <w:tcPr>
            <w:tcW w:w="2085" w:type="dxa"/>
          </w:tcPr>
          <w:p>
            <w:pPr>
              <w:pStyle w:val="TableParagraph"/>
              <w:spacing w:before="1"/>
              <w:ind w:right="511"/>
              <w:jc w:val="right"/>
              <w:rPr>
                <w:b/>
                <w:sz w:val="14"/>
              </w:rPr>
            </w:pPr>
            <w:r>
              <w:rPr>
                <w:b/>
                <w:sz w:val="14"/>
              </w:rPr>
              <w:t>383.4</w:t>
            </w:r>
          </w:p>
        </w:tc>
        <w:tc>
          <w:tcPr>
            <w:tcW w:w="1442" w:type="dxa"/>
          </w:tcPr>
          <w:p>
            <w:pPr>
              <w:pStyle w:val="TableParagraph"/>
              <w:spacing w:before="1"/>
              <w:ind w:left="494"/>
              <w:rPr>
                <w:sz w:val="14"/>
              </w:rPr>
            </w:pPr>
            <w:r>
              <w:rPr>
                <w:sz w:val="14"/>
              </w:rPr>
              <w:t>0 . 0 %</w:t>
            </w:r>
          </w:p>
        </w:tc>
        <w:tc>
          <w:tcPr>
            <w:tcW w:w="1621" w:type="dxa"/>
          </w:tcPr>
          <w:p>
            <w:pPr>
              <w:pStyle w:val="TableParagraph"/>
              <w:spacing w:before="1"/>
              <w:ind w:right="614"/>
              <w:jc w:val="right"/>
              <w:rPr>
                <w:sz w:val="14"/>
              </w:rPr>
            </w:pPr>
            <w:r>
              <w:rPr>
                <w:sz w:val="14"/>
              </w:rPr>
              <w:t>472.3</w:t>
            </w:r>
          </w:p>
        </w:tc>
        <w:tc>
          <w:tcPr>
            <w:tcW w:w="1297" w:type="dxa"/>
          </w:tcPr>
          <w:p>
            <w:pPr>
              <w:pStyle w:val="TableParagraph"/>
              <w:spacing w:before="1"/>
              <w:ind w:left="436"/>
              <w:rPr>
                <w:sz w:val="14"/>
              </w:rPr>
            </w:pPr>
            <w:r>
              <w:rPr>
                <w:sz w:val="14"/>
              </w:rPr>
              <w:t>0 . 0 %</w:t>
            </w:r>
          </w:p>
        </w:tc>
        <w:tc>
          <w:tcPr>
            <w:tcW w:w="1283" w:type="dxa"/>
          </w:tcPr>
          <w:p>
            <w:pPr>
              <w:pStyle w:val="TableParagraph"/>
              <w:spacing w:before="1"/>
              <w:ind w:right="419"/>
              <w:jc w:val="right"/>
              <w:rPr>
                <w:sz w:val="14"/>
              </w:rPr>
            </w:pPr>
            <w:r>
              <w:rPr>
                <w:sz w:val="14"/>
              </w:rPr>
              <w:t>500.6</w:t>
            </w:r>
          </w:p>
        </w:tc>
        <w:tc>
          <w:tcPr>
            <w:tcW w:w="1248" w:type="dxa"/>
          </w:tcPr>
          <w:p>
            <w:pPr>
              <w:pStyle w:val="TableParagraph"/>
              <w:spacing w:before="1"/>
              <w:ind w:left="410" w:right="357"/>
              <w:jc w:val="center"/>
              <w:rPr>
                <w:sz w:val="14"/>
              </w:rPr>
            </w:pPr>
            <w:r>
              <w:rPr>
                <w:sz w:val="14"/>
              </w:rPr>
              <w:t>0 . 0 %</w:t>
            </w:r>
          </w:p>
        </w:tc>
      </w:tr>
      <w:tr>
        <w:trPr>
          <w:trHeight w:val="251" w:hRule="atLeast"/>
        </w:trPr>
        <w:tc>
          <w:tcPr>
            <w:tcW w:w="471" w:type="dxa"/>
          </w:tcPr>
          <w:p>
            <w:pPr>
              <w:pStyle w:val="TableParagraph"/>
              <w:spacing w:line="147" w:lineRule="exact" w:before="85"/>
              <w:ind w:left="125"/>
              <w:rPr>
                <w:sz w:val="14"/>
              </w:rPr>
            </w:pPr>
            <w:r>
              <w:rPr>
                <w:sz w:val="14"/>
              </w:rPr>
              <w:t>410</w:t>
            </w:r>
          </w:p>
        </w:tc>
        <w:tc>
          <w:tcPr>
            <w:tcW w:w="5345" w:type="dxa"/>
          </w:tcPr>
          <w:p>
            <w:pPr>
              <w:pStyle w:val="TableParagraph"/>
              <w:spacing w:line="147" w:lineRule="exact" w:before="85"/>
              <w:ind w:left="95"/>
              <w:rPr>
                <w:sz w:val="14"/>
              </w:rPr>
            </w:pPr>
            <w:r>
              <w:rPr>
                <w:sz w:val="14"/>
              </w:rPr>
              <w:t>National Protected Area Authority</w:t>
            </w:r>
          </w:p>
        </w:tc>
        <w:tc>
          <w:tcPr>
            <w:tcW w:w="2085" w:type="dxa"/>
          </w:tcPr>
          <w:p>
            <w:pPr>
              <w:pStyle w:val="TableParagraph"/>
              <w:spacing w:line="147" w:lineRule="exact" w:before="85"/>
              <w:ind w:right="528"/>
              <w:jc w:val="right"/>
              <w:rPr>
                <w:b/>
                <w:sz w:val="14"/>
              </w:rPr>
            </w:pPr>
            <w:r>
              <w:rPr>
                <w:b/>
                <w:sz w:val="14"/>
              </w:rPr>
              <w:t>1,516.8</w:t>
            </w:r>
          </w:p>
        </w:tc>
        <w:tc>
          <w:tcPr>
            <w:tcW w:w="1442" w:type="dxa"/>
          </w:tcPr>
          <w:p>
            <w:pPr>
              <w:pStyle w:val="TableParagraph"/>
              <w:spacing w:line="147" w:lineRule="exact" w:before="85"/>
              <w:ind w:left="494"/>
              <w:rPr>
                <w:sz w:val="14"/>
              </w:rPr>
            </w:pPr>
            <w:r>
              <w:rPr>
                <w:sz w:val="14"/>
              </w:rPr>
              <w:t>0 . 1 %</w:t>
            </w:r>
          </w:p>
        </w:tc>
        <w:tc>
          <w:tcPr>
            <w:tcW w:w="1621" w:type="dxa"/>
          </w:tcPr>
          <w:p>
            <w:pPr>
              <w:pStyle w:val="TableParagraph"/>
              <w:spacing w:line="147" w:lineRule="exact" w:before="85"/>
              <w:ind w:right="621"/>
              <w:jc w:val="right"/>
              <w:rPr>
                <w:sz w:val="14"/>
              </w:rPr>
            </w:pPr>
            <w:r>
              <w:rPr>
                <w:sz w:val="14"/>
              </w:rPr>
              <w:t>1,868 .3</w:t>
            </w:r>
          </w:p>
        </w:tc>
        <w:tc>
          <w:tcPr>
            <w:tcW w:w="1297" w:type="dxa"/>
          </w:tcPr>
          <w:p>
            <w:pPr>
              <w:pStyle w:val="TableParagraph"/>
              <w:spacing w:line="147" w:lineRule="exact" w:before="85"/>
              <w:ind w:left="436"/>
              <w:rPr>
                <w:sz w:val="14"/>
              </w:rPr>
            </w:pPr>
            <w:r>
              <w:rPr>
                <w:sz w:val="14"/>
              </w:rPr>
              <w:t>0 . 1 %</w:t>
            </w:r>
          </w:p>
        </w:tc>
        <w:tc>
          <w:tcPr>
            <w:tcW w:w="1283" w:type="dxa"/>
          </w:tcPr>
          <w:p>
            <w:pPr>
              <w:pStyle w:val="TableParagraph"/>
              <w:spacing w:line="147" w:lineRule="exact" w:before="85"/>
              <w:ind w:right="422"/>
              <w:jc w:val="right"/>
              <w:rPr>
                <w:sz w:val="14"/>
              </w:rPr>
            </w:pPr>
            <w:r>
              <w:rPr>
                <w:sz w:val="14"/>
              </w:rPr>
              <w:t>1,980 .3</w:t>
            </w:r>
          </w:p>
        </w:tc>
        <w:tc>
          <w:tcPr>
            <w:tcW w:w="1248" w:type="dxa"/>
          </w:tcPr>
          <w:p>
            <w:pPr>
              <w:pStyle w:val="TableParagraph"/>
              <w:spacing w:line="147" w:lineRule="exact" w:before="85"/>
              <w:ind w:left="410" w:right="357"/>
              <w:jc w:val="center"/>
              <w:rPr>
                <w:sz w:val="14"/>
              </w:rPr>
            </w:pPr>
            <w:r>
              <w:rPr>
                <w:sz w:val="14"/>
              </w:rPr>
              <w:t>0 . 1 %</w:t>
            </w:r>
          </w:p>
        </w:tc>
      </w:tr>
      <w:tr>
        <w:trPr>
          <w:trHeight w:val="252" w:hRule="atLeast"/>
        </w:trPr>
        <w:tc>
          <w:tcPr>
            <w:tcW w:w="471" w:type="dxa"/>
          </w:tcPr>
          <w:p>
            <w:pPr>
              <w:pStyle w:val="TableParagraph"/>
              <w:rPr>
                <w:rFonts w:ascii="Times New Roman"/>
                <w:sz w:val="14"/>
              </w:rPr>
            </w:pPr>
          </w:p>
        </w:tc>
        <w:tc>
          <w:tcPr>
            <w:tcW w:w="5345" w:type="dxa"/>
          </w:tcPr>
          <w:p>
            <w:pPr>
              <w:pStyle w:val="TableParagraph"/>
              <w:spacing w:before="1"/>
              <w:ind w:left="263"/>
              <w:rPr>
                <w:sz w:val="14"/>
              </w:rPr>
            </w:pPr>
            <w:r>
              <w:rPr>
                <w:sz w:val="14"/>
              </w:rPr>
              <w:t>o/ w: Conservation Trust Fund Agency</w:t>
            </w:r>
          </w:p>
        </w:tc>
        <w:tc>
          <w:tcPr>
            <w:tcW w:w="2085" w:type="dxa"/>
          </w:tcPr>
          <w:p>
            <w:pPr>
              <w:pStyle w:val="TableParagraph"/>
              <w:spacing w:before="1"/>
              <w:ind w:right="511"/>
              <w:jc w:val="right"/>
              <w:rPr>
                <w:b/>
                <w:sz w:val="14"/>
              </w:rPr>
            </w:pPr>
            <w:r>
              <w:rPr>
                <w:b/>
                <w:sz w:val="14"/>
              </w:rPr>
              <w:t>407.8</w:t>
            </w:r>
          </w:p>
        </w:tc>
        <w:tc>
          <w:tcPr>
            <w:tcW w:w="1442" w:type="dxa"/>
          </w:tcPr>
          <w:p>
            <w:pPr>
              <w:pStyle w:val="TableParagraph"/>
              <w:spacing w:before="1"/>
              <w:ind w:left="494"/>
              <w:rPr>
                <w:sz w:val="14"/>
              </w:rPr>
            </w:pPr>
            <w:r>
              <w:rPr>
                <w:sz w:val="14"/>
              </w:rPr>
              <w:t>0 . 0 %</w:t>
            </w:r>
          </w:p>
        </w:tc>
        <w:tc>
          <w:tcPr>
            <w:tcW w:w="1621" w:type="dxa"/>
          </w:tcPr>
          <w:p>
            <w:pPr>
              <w:pStyle w:val="TableParagraph"/>
              <w:spacing w:before="1"/>
              <w:ind w:right="614"/>
              <w:jc w:val="right"/>
              <w:rPr>
                <w:sz w:val="14"/>
              </w:rPr>
            </w:pPr>
            <w:r>
              <w:rPr>
                <w:sz w:val="14"/>
              </w:rPr>
              <w:t>502.4</w:t>
            </w:r>
          </w:p>
        </w:tc>
        <w:tc>
          <w:tcPr>
            <w:tcW w:w="1297" w:type="dxa"/>
          </w:tcPr>
          <w:p>
            <w:pPr>
              <w:pStyle w:val="TableParagraph"/>
              <w:spacing w:before="1"/>
              <w:ind w:left="436"/>
              <w:rPr>
                <w:sz w:val="14"/>
              </w:rPr>
            </w:pPr>
            <w:r>
              <w:rPr>
                <w:sz w:val="14"/>
              </w:rPr>
              <w:t>0 . 0 %</w:t>
            </w:r>
          </w:p>
        </w:tc>
        <w:tc>
          <w:tcPr>
            <w:tcW w:w="1283" w:type="dxa"/>
          </w:tcPr>
          <w:p>
            <w:pPr>
              <w:pStyle w:val="TableParagraph"/>
              <w:spacing w:before="1"/>
              <w:ind w:right="419"/>
              <w:jc w:val="right"/>
              <w:rPr>
                <w:sz w:val="14"/>
              </w:rPr>
            </w:pPr>
            <w:r>
              <w:rPr>
                <w:sz w:val="14"/>
              </w:rPr>
              <w:t>532.4</w:t>
            </w:r>
          </w:p>
        </w:tc>
        <w:tc>
          <w:tcPr>
            <w:tcW w:w="1248" w:type="dxa"/>
          </w:tcPr>
          <w:p>
            <w:pPr>
              <w:pStyle w:val="TableParagraph"/>
              <w:spacing w:before="1"/>
              <w:ind w:left="410" w:right="357"/>
              <w:jc w:val="center"/>
              <w:rPr>
                <w:sz w:val="14"/>
              </w:rPr>
            </w:pPr>
            <w:r>
              <w:rPr>
                <w:sz w:val="14"/>
              </w:rPr>
              <w:t>0 . 0 %</w:t>
            </w:r>
          </w:p>
        </w:tc>
      </w:tr>
      <w:tr>
        <w:trPr>
          <w:trHeight w:val="251" w:hRule="atLeast"/>
        </w:trPr>
        <w:tc>
          <w:tcPr>
            <w:tcW w:w="471" w:type="dxa"/>
          </w:tcPr>
          <w:p>
            <w:pPr>
              <w:pStyle w:val="TableParagraph"/>
              <w:spacing w:line="147" w:lineRule="exact" w:before="85"/>
              <w:ind w:left="125"/>
              <w:rPr>
                <w:sz w:val="14"/>
              </w:rPr>
            </w:pPr>
            <w:r>
              <w:rPr>
                <w:sz w:val="14"/>
              </w:rPr>
              <w:t>411</w:t>
            </w:r>
          </w:p>
        </w:tc>
        <w:tc>
          <w:tcPr>
            <w:tcW w:w="5345" w:type="dxa"/>
          </w:tcPr>
          <w:p>
            <w:pPr>
              <w:pStyle w:val="TableParagraph"/>
              <w:spacing w:line="147" w:lineRule="exact" w:before="85"/>
              <w:ind w:left="95"/>
              <w:rPr>
                <w:sz w:val="14"/>
              </w:rPr>
            </w:pPr>
            <w:r>
              <w:rPr>
                <w:sz w:val="14"/>
              </w:rPr>
              <w:t>Road Maintenance Fund</w:t>
            </w:r>
          </w:p>
        </w:tc>
        <w:tc>
          <w:tcPr>
            <w:tcW w:w="2085" w:type="dxa"/>
          </w:tcPr>
          <w:p>
            <w:pPr>
              <w:pStyle w:val="TableParagraph"/>
              <w:spacing w:line="147" w:lineRule="exact" w:before="85"/>
              <w:ind w:right="537"/>
              <w:jc w:val="right"/>
              <w:rPr>
                <w:b/>
                <w:sz w:val="14"/>
              </w:rPr>
            </w:pPr>
            <w:r>
              <w:rPr>
                <w:b/>
                <w:sz w:val="14"/>
              </w:rPr>
              <w:t>124,829.0</w:t>
            </w:r>
          </w:p>
        </w:tc>
        <w:tc>
          <w:tcPr>
            <w:tcW w:w="1442" w:type="dxa"/>
          </w:tcPr>
          <w:p>
            <w:pPr>
              <w:pStyle w:val="TableParagraph"/>
              <w:spacing w:line="147" w:lineRule="exact" w:before="85"/>
              <w:ind w:left="494"/>
              <w:rPr>
                <w:sz w:val="14"/>
              </w:rPr>
            </w:pPr>
            <w:r>
              <w:rPr>
                <w:sz w:val="14"/>
              </w:rPr>
              <w:t>6 . 0 %</w:t>
            </w:r>
          </w:p>
        </w:tc>
        <w:tc>
          <w:tcPr>
            <w:tcW w:w="1621" w:type="dxa"/>
          </w:tcPr>
          <w:p>
            <w:pPr>
              <w:pStyle w:val="TableParagraph"/>
              <w:spacing w:line="147" w:lineRule="exact" w:before="85"/>
              <w:ind w:right="630"/>
              <w:jc w:val="right"/>
              <w:rPr>
                <w:sz w:val="14"/>
              </w:rPr>
            </w:pPr>
            <w:r>
              <w:rPr>
                <w:sz w:val="14"/>
              </w:rPr>
              <w:t>145,368.6</w:t>
            </w:r>
          </w:p>
        </w:tc>
        <w:tc>
          <w:tcPr>
            <w:tcW w:w="1297" w:type="dxa"/>
          </w:tcPr>
          <w:p>
            <w:pPr>
              <w:pStyle w:val="TableParagraph"/>
              <w:spacing w:line="147" w:lineRule="exact" w:before="85"/>
              <w:ind w:left="436"/>
              <w:rPr>
                <w:sz w:val="14"/>
              </w:rPr>
            </w:pPr>
            <w:r>
              <w:rPr>
                <w:sz w:val="14"/>
              </w:rPr>
              <w:t>7 . 0 %</w:t>
            </w:r>
          </w:p>
        </w:tc>
        <w:tc>
          <w:tcPr>
            <w:tcW w:w="1283" w:type="dxa"/>
          </w:tcPr>
          <w:p>
            <w:pPr>
              <w:pStyle w:val="TableParagraph"/>
              <w:spacing w:line="147" w:lineRule="exact" w:before="85"/>
              <w:ind w:right="431"/>
              <w:jc w:val="right"/>
              <w:rPr>
                <w:sz w:val="14"/>
              </w:rPr>
            </w:pPr>
            <w:r>
              <w:rPr>
                <w:sz w:val="14"/>
              </w:rPr>
              <w:t>174,442.3</w:t>
            </w:r>
          </w:p>
        </w:tc>
        <w:tc>
          <w:tcPr>
            <w:tcW w:w="1248" w:type="dxa"/>
          </w:tcPr>
          <w:p>
            <w:pPr>
              <w:pStyle w:val="TableParagraph"/>
              <w:spacing w:line="147" w:lineRule="exact" w:before="85"/>
              <w:ind w:left="410" w:right="357"/>
              <w:jc w:val="center"/>
              <w:rPr>
                <w:sz w:val="14"/>
              </w:rPr>
            </w:pPr>
            <w:r>
              <w:rPr>
                <w:sz w:val="14"/>
              </w:rPr>
              <w:t>8 . 4 %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Road Maintenance Fund Administration</w:t>
            </w:r>
          </w:p>
        </w:tc>
        <w:tc>
          <w:tcPr>
            <w:tcW w:w="2085" w:type="dxa"/>
          </w:tcPr>
          <w:p>
            <w:pPr>
              <w:pStyle w:val="TableParagraph"/>
              <w:spacing w:line="147" w:lineRule="exact" w:before="1"/>
              <w:ind w:right="530"/>
              <w:jc w:val="right"/>
              <w:rPr>
                <w:b/>
                <w:sz w:val="14"/>
              </w:rPr>
            </w:pPr>
            <w:r>
              <w:rPr>
                <w:b/>
                <w:sz w:val="14"/>
              </w:rPr>
              <w:t>16,210.7</w:t>
            </w:r>
          </w:p>
        </w:tc>
        <w:tc>
          <w:tcPr>
            <w:tcW w:w="1442" w:type="dxa"/>
          </w:tcPr>
          <w:p>
            <w:pPr>
              <w:pStyle w:val="TableParagraph"/>
              <w:spacing w:line="147" w:lineRule="exact" w:before="1"/>
              <w:ind w:left="494"/>
              <w:rPr>
                <w:sz w:val="14"/>
              </w:rPr>
            </w:pPr>
            <w:r>
              <w:rPr>
                <w:sz w:val="14"/>
              </w:rPr>
              <w:t>0 . 8 %</w:t>
            </w:r>
          </w:p>
        </w:tc>
        <w:tc>
          <w:tcPr>
            <w:tcW w:w="1621" w:type="dxa"/>
          </w:tcPr>
          <w:p>
            <w:pPr>
              <w:pStyle w:val="TableParagraph"/>
              <w:spacing w:line="147" w:lineRule="exact" w:before="1"/>
              <w:ind w:right="625"/>
              <w:jc w:val="right"/>
              <w:rPr>
                <w:sz w:val="14"/>
              </w:rPr>
            </w:pPr>
            <w:r>
              <w:rPr>
                <w:sz w:val="14"/>
              </w:rPr>
              <w:t>17,656.7</w:t>
            </w:r>
          </w:p>
        </w:tc>
        <w:tc>
          <w:tcPr>
            <w:tcW w:w="1297" w:type="dxa"/>
          </w:tcPr>
          <w:p>
            <w:pPr>
              <w:pStyle w:val="TableParagraph"/>
              <w:spacing w:line="147" w:lineRule="exact" w:before="1"/>
              <w:ind w:left="436"/>
              <w:rPr>
                <w:sz w:val="14"/>
              </w:rPr>
            </w:pPr>
            <w:r>
              <w:rPr>
                <w:sz w:val="14"/>
              </w:rPr>
              <w:t>0 . 8 %</w:t>
            </w:r>
          </w:p>
        </w:tc>
        <w:tc>
          <w:tcPr>
            <w:tcW w:w="1283" w:type="dxa"/>
          </w:tcPr>
          <w:p>
            <w:pPr>
              <w:pStyle w:val="TableParagraph"/>
              <w:spacing w:line="147" w:lineRule="exact" w:before="1"/>
              <w:ind w:right="431"/>
              <w:jc w:val="right"/>
              <w:rPr>
                <w:sz w:val="14"/>
              </w:rPr>
            </w:pPr>
            <w:r>
              <w:rPr>
                <w:sz w:val="14"/>
              </w:rPr>
              <w:t>20,725.5</w:t>
            </w:r>
          </w:p>
        </w:tc>
        <w:tc>
          <w:tcPr>
            <w:tcW w:w="1248" w:type="dxa"/>
          </w:tcPr>
          <w:p>
            <w:pPr>
              <w:pStyle w:val="TableParagraph"/>
              <w:spacing w:line="147" w:lineRule="exact" w:before="1"/>
              <w:ind w:left="410" w:right="357"/>
              <w:jc w:val="center"/>
              <w:rPr>
                <w:sz w:val="14"/>
              </w:rPr>
            </w:pPr>
            <w:r>
              <w:rPr>
                <w:sz w:val="14"/>
              </w:rPr>
              <w:t>1 . 0 %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Sierra Leone Roads Authority</w:t>
            </w:r>
          </w:p>
        </w:tc>
        <w:tc>
          <w:tcPr>
            <w:tcW w:w="2085" w:type="dxa"/>
          </w:tcPr>
          <w:p>
            <w:pPr>
              <w:pStyle w:val="TableParagraph"/>
              <w:spacing w:line="147" w:lineRule="exact" w:before="1"/>
              <w:ind w:right="528"/>
              <w:jc w:val="right"/>
              <w:rPr>
                <w:b/>
                <w:sz w:val="14"/>
              </w:rPr>
            </w:pPr>
            <w:r>
              <w:rPr>
                <w:b/>
                <w:sz w:val="14"/>
              </w:rPr>
              <w:t>8,555.7</w:t>
            </w:r>
          </w:p>
        </w:tc>
        <w:tc>
          <w:tcPr>
            <w:tcW w:w="1442" w:type="dxa"/>
          </w:tcPr>
          <w:p>
            <w:pPr>
              <w:pStyle w:val="TableParagraph"/>
              <w:spacing w:line="147" w:lineRule="exact" w:before="1"/>
              <w:ind w:left="494"/>
              <w:rPr>
                <w:sz w:val="14"/>
              </w:rPr>
            </w:pPr>
            <w:r>
              <w:rPr>
                <w:sz w:val="14"/>
              </w:rPr>
              <w:t>0 . 4 %</w:t>
            </w:r>
          </w:p>
        </w:tc>
        <w:tc>
          <w:tcPr>
            <w:tcW w:w="1621" w:type="dxa"/>
          </w:tcPr>
          <w:p>
            <w:pPr>
              <w:pStyle w:val="TableParagraph"/>
              <w:spacing w:line="147" w:lineRule="exact" w:before="1"/>
              <w:ind w:right="621"/>
              <w:jc w:val="right"/>
              <w:rPr>
                <w:sz w:val="14"/>
              </w:rPr>
            </w:pPr>
            <w:r>
              <w:rPr>
                <w:sz w:val="14"/>
              </w:rPr>
              <w:t>9,318 .9</w:t>
            </w:r>
          </w:p>
        </w:tc>
        <w:tc>
          <w:tcPr>
            <w:tcW w:w="1297" w:type="dxa"/>
          </w:tcPr>
          <w:p>
            <w:pPr>
              <w:pStyle w:val="TableParagraph"/>
              <w:spacing w:line="147" w:lineRule="exact" w:before="1"/>
              <w:ind w:left="436"/>
              <w:rPr>
                <w:sz w:val="14"/>
              </w:rPr>
            </w:pPr>
            <w:r>
              <w:rPr>
                <w:sz w:val="14"/>
              </w:rPr>
              <w:t>0 . 4 %</w:t>
            </w:r>
          </w:p>
        </w:tc>
        <w:tc>
          <w:tcPr>
            <w:tcW w:w="1283" w:type="dxa"/>
          </w:tcPr>
          <w:p>
            <w:pPr>
              <w:pStyle w:val="TableParagraph"/>
              <w:spacing w:line="147" w:lineRule="exact" w:before="1"/>
              <w:ind w:right="431"/>
              <w:jc w:val="right"/>
              <w:rPr>
                <w:sz w:val="14"/>
              </w:rPr>
            </w:pPr>
            <w:r>
              <w:rPr>
                <w:sz w:val="14"/>
              </w:rPr>
              <w:t>10,938.5</w:t>
            </w:r>
          </w:p>
        </w:tc>
        <w:tc>
          <w:tcPr>
            <w:tcW w:w="1248" w:type="dxa"/>
          </w:tcPr>
          <w:p>
            <w:pPr>
              <w:pStyle w:val="TableParagraph"/>
              <w:spacing w:line="147" w:lineRule="exact" w:before="1"/>
              <w:ind w:left="410" w:right="357"/>
              <w:jc w:val="center"/>
              <w:rPr>
                <w:sz w:val="14"/>
              </w:rPr>
            </w:pPr>
            <w:r>
              <w:rPr>
                <w:sz w:val="14"/>
              </w:rPr>
              <w:t>0 . 5 %</w:t>
            </w:r>
          </w:p>
        </w:tc>
      </w:tr>
      <w:tr>
        <w:trPr>
          <w:trHeight w:val="252" w:hRule="atLeast"/>
        </w:trPr>
        <w:tc>
          <w:tcPr>
            <w:tcW w:w="471" w:type="dxa"/>
          </w:tcPr>
          <w:p>
            <w:pPr>
              <w:pStyle w:val="TableParagraph"/>
              <w:rPr>
                <w:rFonts w:ascii="Times New Roman"/>
                <w:sz w:val="14"/>
              </w:rPr>
            </w:pPr>
          </w:p>
        </w:tc>
        <w:tc>
          <w:tcPr>
            <w:tcW w:w="5345" w:type="dxa"/>
          </w:tcPr>
          <w:p>
            <w:pPr>
              <w:pStyle w:val="TableParagraph"/>
              <w:spacing w:before="1"/>
              <w:ind w:left="263"/>
              <w:rPr>
                <w:sz w:val="14"/>
              </w:rPr>
            </w:pPr>
            <w:r>
              <w:rPr>
                <w:sz w:val="14"/>
              </w:rPr>
              <w:t>Road Maintenance Activities</w:t>
            </w:r>
          </w:p>
        </w:tc>
        <w:tc>
          <w:tcPr>
            <w:tcW w:w="2085" w:type="dxa"/>
          </w:tcPr>
          <w:p>
            <w:pPr>
              <w:pStyle w:val="TableParagraph"/>
              <w:spacing w:before="1"/>
              <w:ind w:right="537"/>
              <w:jc w:val="right"/>
              <w:rPr>
                <w:b/>
                <w:sz w:val="14"/>
              </w:rPr>
            </w:pPr>
            <w:r>
              <w:rPr>
                <w:b/>
                <w:sz w:val="14"/>
              </w:rPr>
              <w:t>100,062.6</w:t>
            </w:r>
          </w:p>
        </w:tc>
        <w:tc>
          <w:tcPr>
            <w:tcW w:w="1442" w:type="dxa"/>
          </w:tcPr>
          <w:p>
            <w:pPr>
              <w:pStyle w:val="TableParagraph"/>
              <w:spacing w:before="1"/>
              <w:ind w:left="494"/>
              <w:rPr>
                <w:sz w:val="14"/>
              </w:rPr>
            </w:pPr>
            <w:r>
              <w:rPr>
                <w:sz w:val="14"/>
              </w:rPr>
              <w:t>4 . 8 %</w:t>
            </w:r>
          </w:p>
        </w:tc>
        <w:tc>
          <w:tcPr>
            <w:tcW w:w="1621" w:type="dxa"/>
          </w:tcPr>
          <w:p>
            <w:pPr>
              <w:pStyle w:val="TableParagraph"/>
              <w:spacing w:before="1"/>
              <w:ind w:right="630"/>
              <w:jc w:val="right"/>
              <w:rPr>
                <w:sz w:val="14"/>
              </w:rPr>
            </w:pPr>
            <w:r>
              <w:rPr>
                <w:sz w:val="14"/>
              </w:rPr>
              <w:t>118,393.0</w:t>
            </w:r>
          </w:p>
        </w:tc>
        <w:tc>
          <w:tcPr>
            <w:tcW w:w="1297" w:type="dxa"/>
          </w:tcPr>
          <w:p>
            <w:pPr>
              <w:pStyle w:val="TableParagraph"/>
              <w:spacing w:before="1"/>
              <w:ind w:left="436"/>
              <w:rPr>
                <w:sz w:val="14"/>
              </w:rPr>
            </w:pPr>
            <w:r>
              <w:rPr>
                <w:sz w:val="14"/>
              </w:rPr>
              <w:t>5 . 7 %</w:t>
            </w:r>
          </w:p>
        </w:tc>
        <w:tc>
          <w:tcPr>
            <w:tcW w:w="1283" w:type="dxa"/>
          </w:tcPr>
          <w:p>
            <w:pPr>
              <w:pStyle w:val="TableParagraph"/>
              <w:spacing w:before="1"/>
              <w:ind w:right="431"/>
              <w:jc w:val="right"/>
              <w:rPr>
                <w:sz w:val="14"/>
              </w:rPr>
            </w:pPr>
            <w:r>
              <w:rPr>
                <w:sz w:val="14"/>
              </w:rPr>
              <w:t>142,778.4</w:t>
            </w:r>
          </w:p>
        </w:tc>
        <w:tc>
          <w:tcPr>
            <w:tcW w:w="1248" w:type="dxa"/>
          </w:tcPr>
          <w:p>
            <w:pPr>
              <w:pStyle w:val="TableParagraph"/>
              <w:spacing w:before="1"/>
              <w:ind w:left="410" w:right="357"/>
              <w:jc w:val="center"/>
              <w:rPr>
                <w:sz w:val="14"/>
              </w:rPr>
            </w:pPr>
            <w:r>
              <w:rPr>
                <w:sz w:val="14"/>
              </w:rPr>
              <w:t>6 . 9 %</w:t>
            </w:r>
          </w:p>
        </w:tc>
      </w:tr>
      <w:tr>
        <w:trPr>
          <w:trHeight w:val="335" w:hRule="atLeast"/>
        </w:trPr>
        <w:tc>
          <w:tcPr>
            <w:tcW w:w="471" w:type="dxa"/>
          </w:tcPr>
          <w:p>
            <w:pPr>
              <w:pStyle w:val="TableParagraph"/>
              <w:spacing w:before="85"/>
              <w:ind w:left="125"/>
              <w:rPr>
                <w:sz w:val="14"/>
              </w:rPr>
            </w:pPr>
            <w:r>
              <w:rPr>
                <w:sz w:val="14"/>
              </w:rPr>
              <w:t>412</w:t>
            </w:r>
          </w:p>
        </w:tc>
        <w:tc>
          <w:tcPr>
            <w:tcW w:w="5345" w:type="dxa"/>
          </w:tcPr>
          <w:p>
            <w:pPr>
              <w:pStyle w:val="TableParagraph"/>
              <w:spacing w:before="85"/>
              <w:ind w:left="95"/>
              <w:rPr>
                <w:sz w:val="14"/>
              </w:rPr>
            </w:pPr>
            <w:r>
              <w:rPr>
                <w:sz w:val="14"/>
              </w:rPr>
              <w:t>National Telecommunications Commission (NATCOM)</w:t>
            </w:r>
          </w:p>
        </w:tc>
        <w:tc>
          <w:tcPr>
            <w:tcW w:w="2085" w:type="dxa"/>
          </w:tcPr>
          <w:p>
            <w:pPr>
              <w:pStyle w:val="TableParagraph"/>
              <w:spacing w:before="85"/>
              <w:ind w:right="537"/>
              <w:jc w:val="right"/>
              <w:rPr>
                <w:b/>
                <w:sz w:val="14"/>
              </w:rPr>
            </w:pPr>
            <w:r>
              <w:rPr>
                <w:b/>
                <w:sz w:val="14"/>
              </w:rPr>
              <w:t>167,640.7</w:t>
            </w:r>
          </w:p>
        </w:tc>
        <w:tc>
          <w:tcPr>
            <w:tcW w:w="1442" w:type="dxa"/>
          </w:tcPr>
          <w:p>
            <w:pPr>
              <w:pStyle w:val="TableParagraph"/>
              <w:spacing w:before="85"/>
              <w:ind w:left="494"/>
              <w:rPr>
                <w:sz w:val="14"/>
              </w:rPr>
            </w:pPr>
            <w:r>
              <w:rPr>
                <w:sz w:val="14"/>
              </w:rPr>
              <w:t>8 . 1 %</w:t>
            </w:r>
          </w:p>
        </w:tc>
        <w:tc>
          <w:tcPr>
            <w:tcW w:w="1621" w:type="dxa"/>
          </w:tcPr>
          <w:p>
            <w:pPr>
              <w:pStyle w:val="TableParagraph"/>
              <w:spacing w:before="85"/>
              <w:ind w:right="630"/>
              <w:jc w:val="right"/>
              <w:rPr>
                <w:sz w:val="14"/>
              </w:rPr>
            </w:pPr>
            <w:r>
              <w:rPr>
                <w:sz w:val="14"/>
              </w:rPr>
              <w:t>146,991.0</w:t>
            </w:r>
          </w:p>
        </w:tc>
        <w:tc>
          <w:tcPr>
            <w:tcW w:w="1297" w:type="dxa"/>
          </w:tcPr>
          <w:p>
            <w:pPr>
              <w:pStyle w:val="TableParagraph"/>
              <w:spacing w:before="85"/>
              <w:ind w:left="436"/>
              <w:rPr>
                <w:sz w:val="14"/>
              </w:rPr>
            </w:pPr>
            <w:r>
              <w:rPr>
                <w:sz w:val="14"/>
              </w:rPr>
              <w:t>7 . 1 %</w:t>
            </w:r>
          </w:p>
        </w:tc>
        <w:tc>
          <w:tcPr>
            <w:tcW w:w="1283" w:type="dxa"/>
          </w:tcPr>
          <w:p>
            <w:pPr>
              <w:pStyle w:val="TableParagraph"/>
              <w:spacing w:before="85"/>
              <w:ind w:right="431"/>
              <w:jc w:val="right"/>
              <w:rPr>
                <w:sz w:val="14"/>
              </w:rPr>
            </w:pPr>
            <w:r>
              <w:rPr>
                <w:sz w:val="14"/>
              </w:rPr>
              <w:t>179,995.9</w:t>
            </w:r>
          </w:p>
        </w:tc>
        <w:tc>
          <w:tcPr>
            <w:tcW w:w="1248" w:type="dxa"/>
          </w:tcPr>
          <w:p>
            <w:pPr>
              <w:pStyle w:val="TableParagraph"/>
              <w:spacing w:before="85"/>
              <w:ind w:left="410" w:right="357"/>
              <w:jc w:val="center"/>
              <w:rPr>
                <w:sz w:val="14"/>
              </w:rPr>
            </w:pPr>
            <w:r>
              <w:rPr>
                <w:sz w:val="14"/>
              </w:rPr>
              <w:t>8 . 7 %</w:t>
            </w:r>
          </w:p>
        </w:tc>
      </w:tr>
      <w:tr>
        <w:trPr>
          <w:trHeight w:val="335" w:hRule="atLeast"/>
        </w:trPr>
        <w:tc>
          <w:tcPr>
            <w:tcW w:w="471" w:type="dxa"/>
          </w:tcPr>
          <w:p>
            <w:pPr>
              <w:pStyle w:val="TableParagraph"/>
              <w:spacing w:before="85"/>
              <w:ind w:left="125"/>
              <w:rPr>
                <w:sz w:val="14"/>
              </w:rPr>
            </w:pPr>
            <w:r>
              <w:rPr>
                <w:sz w:val="14"/>
              </w:rPr>
              <w:t>413</w:t>
            </w:r>
          </w:p>
        </w:tc>
        <w:tc>
          <w:tcPr>
            <w:tcW w:w="5345" w:type="dxa"/>
          </w:tcPr>
          <w:p>
            <w:pPr>
              <w:pStyle w:val="TableParagraph"/>
              <w:spacing w:before="85"/>
              <w:ind w:left="95"/>
              <w:rPr>
                <w:sz w:val="14"/>
              </w:rPr>
            </w:pPr>
            <w:r>
              <w:rPr>
                <w:sz w:val="14"/>
              </w:rPr>
              <w:t>Sierra Leone Electricity and Water Regulatory Commission</w:t>
            </w:r>
          </w:p>
        </w:tc>
        <w:tc>
          <w:tcPr>
            <w:tcW w:w="2085" w:type="dxa"/>
          </w:tcPr>
          <w:p>
            <w:pPr>
              <w:pStyle w:val="TableParagraph"/>
              <w:spacing w:before="85"/>
              <w:ind w:right="511"/>
              <w:jc w:val="right"/>
              <w:rPr>
                <w:b/>
                <w:sz w:val="14"/>
              </w:rPr>
            </w:pPr>
            <w:r>
              <w:rPr>
                <w:b/>
                <w:sz w:val="14"/>
              </w:rPr>
              <w:t>821.8</w:t>
            </w:r>
          </w:p>
        </w:tc>
        <w:tc>
          <w:tcPr>
            <w:tcW w:w="1442" w:type="dxa"/>
          </w:tcPr>
          <w:p>
            <w:pPr>
              <w:pStyle w:val="TableParagraph"/>
              <w:spacing w:before="85"/>
              <w:ind w:left="494"/>
              <w:rPr>
                <w:sz w:val="14"/>
              </w:rPr>
            </w:pPr>
            <w:r>
              <w:rPr>
                <w:sz w:val="14"/>
              </w:rPr>
              <w:t>0 . 0 %</w:t>
            </w:r>
          </w:p>
        </w:tc>
        <w:tc>
          <w:tcPr>
            <w:tcW w:w="1621" w:type="dxa"/>
          </w:tcPr>
          <w:p>
            <w:pPr>
              <w:pStyle w:val="TableParagraph"/>
              <w:spacing w:before="85"/>
              <w:ind w:right="621"/>
              <w:jc w:val="right"/>
              <w:rPr>
                <w:sz w:val="14"/>
              </w:rPr>
            </w:pPr>
            <w:r>
              <w:rPr>
                <w:sz w:val="14"/>
              </w:rPr>
              <w:t>1,012 .3</w:t>
            </w:r>
          </w:p>
        </w:tc>
        <w:tc>
          <w:tcPr>
            <w:tcW w:w="1297" w:type="dxa"/>
          </w:tcPr>
          <w:p>
            <w:pPr>
              <w:pStyle w:val="TableParagraph"/>
              <w:spacing w:before="85"/>
              <w:ind w:left="436"/>
              <w:rPr>
                <w:sz w:val="14"/>
              </w:rPr>
            </w:pPr>
            <w:r>
              <w:rPr>
                <w:sz w:val="14"/>
              </w:rPr>
              <w:t>0 . 0 %</w:t>
            </w:r>
          </w:p>
        </w:tc>
        <w:tc>
          <w:tcPr>
            <w:tcW w:w="1283" w:type="dxa"/>
          </w:tcPr>
          <w:p>
            <w:pPr>
              <w:pStyle w:val="TableParagraph"/>
              <w:spacing w:before="85"/>
              <w:ind w:right="422"/>
              <w:jc w:val="right"/>
              <w:rPr>
                <w:sz w:val="14"/>
              </w:rPr>
            </w:pPr>
            <w:r>
              <w:rPr>
                <w:sz w:val="14"/>
              </w:rPr>
              <w:t>1,072 .9</w:t>
            </w:r>
          </w:p>
        </w:tc>
        <w:tc>
          <w:tcPr>
            <w:tcW w:w="1248" w:type="dxa"/>
          </w:tcPr>
          <w:p>
            <w:pPr>
              <w:pStyle w:val="TableParagraph"/>
              <w:spacing w:before="85"/>
              <w:ind w:left="410" w:right="357"/>
              <w:jc w:val="center"/>
              <w:rPr>
                <w:sz w:val="14"/>
              </w:rPr>
            </w:pPr>
            <w:r>
              <w:rPr>
                <w:sz w:val="14"/>
              </w:rPr>
              <w:t>0 . 1 %</w:t>
            </w:r>
          </w:p>
        </w:tc>
      </w:tr>
      <w:tr>
        <w:trPr>
          <w:trHeight w:val="252" w:hRule="atLeast"/>
        </w:trPr>
        <w:tc>
          <w:tcPr>
            <w:tcW w:w="471" w:type="dxa"/>
          </w:tcPr>
          <w:p>
            <w:pPr>
              <w:pStyle w:val="TableParagraph"/>
              <w:spacing w:line="147" w:lineRule="exact" w:before="85"/>
              <w:ind w:left="125"/>
              <w:rPr>
                <w:sz w:val="14"/>
              </w:rPr>
            </w:pPr>
            <w:r>
              <w:rPr>
                <w:sz w:val="14"/>
              </w:rPr>
              <w:t>414</w:t>
            </w:r>
          </w:p>
        </w:tc>
        <w:tc>
          <w:tcPr>
            <w:tcW w:w="5345" w:type="dxa"/>
          </w:tcPr>
          <w:p>
            <w:pPr>
              <w:pStyle w:val="TableParagraph"/>
              <w:spacing w:line="147" w:lineRule="exact" w:before="85"/>
              <w:ind w:left="96"/>
              <w:rPr>
                <w:sz w:val="14"/>
              </w:rPr>
            </w:pPr>
            <w:r>
              <w:rPr>
                <w:sz w:val="14"/>
              </w:rPr>
              <w:t>Ministry of Water Resources</w:t>
            </w:r>
          </w:p>
        </w:tc>
        <w:tc>
          <w:tcPr>
            <w:tcW w:w="2085" w:type="dxa"/>
          </w:tcPr>
          <w:p>
            <w:pPr>
              <w:pStyle w:val="TableParagraph"/>
              <w:spacing w:line="147" w:lineRule="exact" w:before="85"/>
              <w:ind w:right="530"/>
              <w:jc w:val="right"/>
              <w:rPr>
                <w:b/>
                <w:sz w:val="14"/>
              </w:rPr>
            </w:pPr>
            <w:r>
              <w:rPr>
                <w:b/>
                <w:sz w:val="14"/>
              </w:rPr>
              <w:t>11,312.2</w:t>
            </w:r>
          </w:p>
        </w:tc>
        <w:tc>
          <w:tcPr>
            <w:tcW w:w="1442" w:type="dxa"/>
          </w:tcPr>
          <w:p>
            <w:pPr>
              <w:pStyle w:val="TableParagraph"/>
              <w:spacing w:line="147" w:lineRule="exact" w:before="85"/>
              <w:ind w:left="494"/>
              <w:rPr>
                <w:sz w:val="14"/>
              </w:rPr>
            </w:pPr>
            <w:r>
              <w:rPr>
                <w:sz w:val="14"/>
              </w:rPr>
              <w:t>0 . 5 %</w:t>
            </w:r>
          </w:p>
        </w:tc>
        <w:tc>
          <w:tcPr>
            <w:tcW w:w="1621" w:type="dxa"/>
          </w:tcPr>
          <w:p>
            <w:pPr>
              <w:pStyle w:val="TableParagraph"/>
              <w:spacing w:line="147" w:lineRule="exact" w:before="85"/>
              <w:ind w:right="625"/>
              <w:jc w:val="right"/>
              <w:rPr>
                <w:sz w:val="14"/>
              </w:rPr>
            </w:pPr>
            <w:r>
              <w:rPr>
                <w:sz w:val="14"/>
              </w:rPr>
              <w:t>13,934.2</w:t>
            </w:r>
          </w:p>
        </w:tc>
        <w:tc>
          <w:tcPr>
            <w:tcW w:w="1297" w:type="dxa"/>
          </w:tcPr>
          <w:p>
            <w:pPr>
              <w:pStyle w:val="TableParagraph"/>
              <w:spacing w:line="147" w:lineRule="exact" w:before="85"/>
              <w:ind w:left="436"/>
              <w:rPr>
                <w:sz w:val="14"/>
              </w:rPr>
            </w:pPr>
            <w:r>
              <w:rPr>
                <w:sz w:val="14"/>
              </w:rPr>
              <w:t>0 . 7 %</w:t>
            </w:r>
          </w:p>
        </w:tc>
        <w:tc>
          <w:tcPr>
            <w:tcW w:w="1283" w:type="dxa"/>
          </w:tcPr>
          <w:p>
            <w:pPr>
              <w:pStyle w:val="TableParagraph"/>
              <w:spacing w:line="147" w:lineRule="exact" w:before="85"/>
              <w:ind w:right="431"/>
              <w:jc w:val="right"/>
              <w:rPr>
                <w:sz w:val="14"/>
              </w:rPr>
            </w:pPr>
            <w:r>
              <w:rPr>
                <w:sz w:val="14"/>
              </w:rPr>
              <w:t>14,768.9</w:t>
            </w:r>
          </w:p>
        </w:tc>
        <w:tc>
          <w:tcPr>
            <w:tcW w:w="1248" w:type="dxa"/>
          </w:tcPr>
          <w:p>
            <w:pPr>
              <w:pStyle w:val="TableParagraph"/>
              <w:spacing w:line="147" w:lineRule="exact" w:before="85"/>
              <w:ind w:left="410" w:right="357"/>
              <w:jc w:val="center"/>
              <w:rPr>
                <w:sz w:val="14"/>
              </w:rPr>
            </w:pPr>
            <w:r>
              <w:rPr>
                <w:sz w:val="14"/>
              </w:rPr>
              <w:t>0 . 7 %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Administrative and Operating Costs</w:t>
            </w:r>
          </w:p>
        </w:tc>
        <w:tc>
          <w:tcPr>
            <w:tcW w:w="2085" w:type="dxa"/>
          </w:tcPr>
          <w:p>
            <w:pPr>
              <w:pStyle w:val="TableParagraph"/>
              <w:spacing w:line="147" w:lineRule="exact" w:before="1"/>
              <w:ind w:right="528"/>
              <w:jc w:val="right"/>
              <w:rPr>
                <w:b/>
                <w:sz w:val="14"/>
              </w:rPr>
            </w:pPr>
            <w:r>
              <w:rPr>
                <w:b/>
                <w:sz w:val="14"/>
              </w:rPr>
              <w:t>1,995.8</w:t>
            </w:r>
          </w:p>
        </w:tc>
        <w:tc>
          <w:tcPr>
            <w:tcW w:w="1442" w:type="dxa"/>
          </w:tcPr>
          <w:p>
            <w:pPr>
              <w:pStyle w:val="TableParagraph"/>
              <w:spacing w:line="147" w:lineRule="exact" w:before="1"/>
              <w:ind w:left="494"/>
              <w:rPr>
                <w:sz w:val="14"/>
              </w:rPr>
            </w:pPr>
            <w:r>
              <w:rPr>
                <w:sz w:val="14"/>
              </w:rPr>
              <w:t>0 . 1 %</w:t>
            </w:r>
          </w:p>
        </w:tc>
        <w:tc>
          <w:tcPr>
            <w:tcW w:w="1621" w:type="dxa"/>
          </w:tcPr>
          <w:p>
            <w:pPr>
              <w:pStyle w:val="TableParagraph"/>
              <w:spacing w:line="147" w:lineRule="exact" w:before="1"/>
              <w:ind w:right="621"/>
              <w:jc w:val="right"/>
              <w:rPr>
                <w:sz w:val="14"/>
              </w:rPr>
            </w:pPr>
            <w:r>
              <w:rPr>
                <w:sz w:val="14"/>
              </w:rPr>
              <w:t>2,458 .4</w:t>
            </w:r>
          </w:p>
        </w:tc>
        <w:tc>
          <w:tcPr>
            <w:tcW w:w="1297" w:type="dxa"/>
          </w:tcPr>
          <w:p>
            <w:pPr>
              <w:pStyle w:val="TableParagraph"/>
              <w:spacing w:line="147" w:lineRule="exact" w:before="1"/>
              <w:ind w:left="436"/>
              <w:rPr>
                <w:sz w:val="14"/>
              </w:rPr>
            </w:pPr>
            <w:r>
              <w:rPr>
                <w:sz w:val="14"/>
              </w:rPr>
              <w:t>0 . 1 %</w:t>
            </w:r>
          </w:p>
        </w:tc>
        <w:tc>
          <w:tcPr>
            <w:tcW w:w="1283" w:type="dxa"/>
          </w:tcPr>
          <w:p>
            <w:pPr>
              <w:pStyle w:val="TableParagraph"/>
              <w:spacing w:line="147" w:lineRule="exact" w:before="1"/>
              <w:ind w:right="422"/>
              <w:jc w:val="right"/>
              <w:rPr>
                <w:sz w:val="14"/>
              </w:rPr>
            </w:pPr>
            <w:r>
              <w:rPr>
                <w:sz w:val="14"/>
              </w:rPr>
              <w:t>2,605 .7</w:t>
            </w:r>
          </w:p>
        </w:tc>
        <w:tc>
          <w:tcPr>
            <w:tcW w:w="1248" w:type="dxa"/>
          </w:tcPr>
          <w:p>
            <w:pPr>
              <w:pStyle w:val="TableParagraph"/>
              <w:spacing w:line="147" w:lineRule="exact" w:before="1"/>
              <w:ind w:left="410" w:right="357"/>
              <w:jc w:val="center"/>
              <w:rPr>
                <w:sz w:val="14"/>
              </w:rPr>
            </w:pPr>
            <w:r>
              <w:rPr>
                <w:sz w:val="14"/>
              </w:rPr>
              <w:t>0 . 1 %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Water Directorate</w:t>
            </w:r>
          </w:p>
        </w:tc>
        <w:tc>
          <w:tcPr>
            <w:tcW w:w="2085" w:type="dxa"/>
          </w:tcPr>
          <w:p>
            <w:pPr>
              <w:pStyle w:val="TableParagraph"/>
              <w:spacing w:line="147" w:lineRule="exact" w:before="1"/>
              <w:ind w:right="528"/>
              <w:jc w:val="right"/>
              <w:rPr>
                <w:b/>
                <w:sz w:val="14"/>
              </w:rPr>
            </w:pPr>
            <w:r>
              <w:rPr>
                <w:b/>
                <w:sz w:val="14"/>
              </w:rPr>
              <w:t>6,926.6</w:t>
            </w:r>
          </w:p>
        </w:tc>
        <w:tc>
          <w:tcPr>
            <w:tcW w:w="1442" w:type="dxa"/>
          </w:tcPr>
          <w:p>
            <w:pPr>
              <w:pStyle w:val="TableParagraph"/>
              <w:spacing w:line="147" w:lineRule="exact" w:before="1"/>
              <w:ind w:left="494"/>
              <w:rPr>
                <w:sz w:val="14"/>
              </w:rPr>
            </w:pPr>
            <w:r>
              <w:rPr>
                <w:sz w:val="14"/>
              </w:rPr>
              <w:t>0 . 3 %</w:t>
            </w:r>
          </w:p>
        </w:tc>
        <w:tc>
          <w:tcPr>
            <w:tcW w:w="1621" w:type="dxa"/>
          </w:tcPr>
          <w:p>
            <w:pPr>
              <w:pStyle w:val="TableParagraph"/>
              <w:spacing w:line="147" w:lineRule="exact" w:before="1"/>
              <w:ind w:right="621"/>
              <w:jc w:val="right"/>
              <w:rPr>
                <w:sz w:val="14"/>
              </w:rPr>
            </w:pPr>
            <w:r>
              <w:rPr>
                <w:sz w:val="14"/>
              </w:rPr>
              <w:t>8,532 .1</w:t>
            </w:r>
          </w:p>
        </w:tc>
        <w:tc>
          <w:tcPr>
            <w:tcW w:w="1297" w:type="dxa"/>
          </w:tcPr>
          <w:p>
            <w:pPr>
              <w:pStyle w:val="TableParagraph"/>
              <w:spacing w:line="147" w:lineRule="exact" w:before="1"/>
              <w:ind w:left="436"/>
              <w:rPr>
                <w:sz w:val="14"/>
              </w:rPr>
            </w:pPr>
            <w:r>
              <w:rPr>
                <w:sz w:val="14"/>
              </w:rPr>
              <w:t>0 . 4 %</w:t>
            </w:r>
          </w:p>
        </w:tc>
        <w:tc>
          <w:tcPr>
            <w:tcW w:w="1283" w:type="dxa"/>
          </w:tcPr>
          <w:p>
            <w:pPr>
              <w:pStyle w:val="TableParagraph"/>
              <w:spacing w:line="147" w:lineRule="exact" w:before="1"/>
              <w:ind w:right="422"/>
              <w:jc w:val="right"/>
              <w:rPr>
                <w:sz w:val="14"/>
              </w:rPr>
            </w:pPr>
            <w:r>
              <w:rPr>
                <w:sz w:val="14"/>
              </w:rPr>
              <w:t>9,043 .2</w:t>
            </w:r>
          </w:p>
        </w:tc>
        <w:tc>
          <w:tcPr>
            <w:tcW w:w="1248" w:type="dxa"/>
          </w:tcPr>
          <w:p>
            <w:pPr>
              <w:pStyle w:val="TableParagraph"/>
              <w:spacing w:line="147" w:lineRule="exact" w:before="1"/>
              <w:ind w:left="410" w:right="357"/>
              <w:jc w:val="center"/>
              <w:rPr>
                <w:sz w:val="14"/>
              </w:rPr>
            </w:pPr>
            <w:r>
              <w:rPr>
                <w:sz w:val="14"/>
              </w:rPr>
              <w:t>0 . 4 %</w:t>
            </w:r>
          </w:p>
        </w:tc>
      </w:tr>
      <w:tr>
        <w:trPr>
          <w:trHeight w:val="168"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o/ w: Grants to SALWACO</w:t>
            </w:r>
          </w:p>
        </w:tc>
        <w:tc>
          <w:tcPr>
            <w:tcW w:w="2085" w:type="dxa"/>
          </w:tcPr>
          <w:p>
            <w:pPr>
              <w:pStyle w:val="TableParagraph"/>
              <w:spacing w:line="147" w:lineRule="exact" w:before="1"/>
              <w:ind w:right="528"/>
              <w:jc w:val="right"/>
              <w:rPr>
                <w:b/>
                <w:sz w:val="14"/>
              </w:rPr>
            </w:pPr>
            <w:r>
              <w:rPr>
                <w:b/>
                <w:sz w:val="14"/>
              </w:rPr>
              <w:t>5,183.5</w:t>
            </w:r>
          </w:p>
        </w:tc>
        <w:tc>
          <w:tcPr>
            <w:tcW w:w="1442" w:type="dxa"/>
          </w:tcPr>
          <w:p>
            <w:pPr>
              <w:pStyle w:val="TableParagraph"/>
              <w:spacing w:line="147" w:lineRule="exact" w:before="1"/>
              <w:ind w:left="494"/>
              <w:rPr>
                <w:sz w:val="14"/>
              </w:rPr>
            </w:pPr>
            <w:r>
              <w:rPr>
                <w:sz w:val="14"/>
              </w:rPr>
              <w:t>0 . 2 %</w:t>
            </w:r>
          </w:p>
        </w:tc>
        <w:tc>
          <w:tcPr>
            <w:tcW w:w="1621" w:type="dxa"/>
          </w:tcPr>
          <w:p>
            <w:pPr>
              <w:pStyle w:val="TableParagraph"/>
              <w:spacing w:line="147" w:lineRule="exact" w:before="1"/>
              <w:ind w:right="621"/>
              <w:jc w:val="right"/>
              <w:rPr>
                <w:sz w:val="14"/>
              </w:rPr>
            </w:pPr>
            <w:r>
              <w:rPr>
                <w:sz w:val="14"/>
              </w:rPr>
              <w:t>6,385 .0</w:t>
            </w:r>
          </w:p>
        </w:tc>
        <w:tc>
          <w:tcPr>
            <w:tcW w:w="1297" w:type="dxa"/>
          </w:tcPr>
          <w:p>
            <w:pPr>
              <w:pStyle w:val="TableParagraph"/>
              <w:spacing w:line="147" w:lineRule="exact" w:before="1"/>
              <w:ind w:left="436"/>
              <w:rPr>
                <w:sz w:val="14"/>
              </w:rPr>
            </w:pPr>
            <w:r>
              <w:rPr>
                <w:sz w:val="14"/>
              </w:rPr>
              <w:t>0 . 3 %</w:t>
            </w:r>
          </w:p>
        </w:tc>
        <w:tc>
          <w:tcPr>
            <w:tcW w:w="1283" w:type="dxa"/>
          </w:tcPr>
          <w:p>
            <w:pPr>
              <w:pStyle w:val="TableParagraph"/>
              <w:spacing w:line="147" w:lineRule="exact" w:before="1"/>
              <w:ind w:right="422"/>
              <w:jc w:val="right"/>
              <w:rPr>
                <w:sz w:val="14"/>
              </w:rPr>
            </w:pPr>
            <w:r>
              <w:rPr>
                <w:sz w:val="14"/>
              </w:rPr>
              <w:t>6,767 .4</w:t>
            </w:r>
          </w:p>
        </w:tc>
        <w:tc>
          <w:tcPr>
            <w:tcW w:w="1248" w:type="dxa"/>
          </w:tcPr>
          <w:p>
            <w:pPr>
              <w:pStyle w:val="TableParagraph"/>
              <w:spacing w:line="147" w:lineRule="exact" w:before="1"/>
              <w:ind w:left="410" w:right="357"/>
              <w:jc w:val="center"/>
              <w:rPr>
                <w:sz w:val="14"/>
              </w:rPr>
            </w:pPr>
            <w:r>
              <w:rPr>
                <w:sz w:val="14"/>
              </w:rPr>
              <w:t>0 . 3 %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431"/>
              <w:rPr>
                <w:sz w:val="14"/>
              </w:rPr>
            </w:pPr>
            <w:r>
              <w:rPr>
                <w:sz w:val="14"/>
              </w:rPr>
              <w:t>o/ w: Emergency Recovery Priority Programmes on Water</w:t>
            </w:r>
          </w:p>
        </w:tc>
        <w:tc>
          <w:tcPr>
            <w:tcW w:w="2085" w:type="dxa"/>
          </w:tcPr>
          <w:p>
            <w:pPr>
              <w:pStyle w:val="TableParagraph"/>
              <w:spacing w:line="147" w:lineRule="exact" w:before="1"/>
              <w:ind w:right="511"/>
              <w:jc w:val="right"/>
              <w:rPr>
                <w:b/>
                <w:sz w:val="14"/>
              </w:rPr>
            </w:pPr>
            <w:r>
              <w:rPr>
                <w:b/>
                <w:sz w:val="14"/>
              </w:rPr>
              <w:t>885.0</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21"/>
              <w:jc w:val="right"/>
              <w:rPr>
                <w:sz w:val="14"/>
              </w:rPr>
            </w:pPr>
            <w:r>
              <w:rPr>
                <w:sz w:val="14"/>
              </w:rPr>
              <w:t>1,090 .2</w:t>
            </w:r>
          </w:p>
        </w:tc>
        <w:tc>
          <w:tcPr>
            <w:tcW w:w="1297" w:type="dxa"/>
          </w:tcPr>
          <w:p>
            <w:pPr>
              <w:pStyle w:val="TableParagraph"/>
              <w:spacing w:line="147" w:lineRule="exact" w:before="1"/>
              <w:ind w:left="436"/>
              <w:rPr>
                <w:sz w:val="14"/>
              </w:rPr>
            </w:pPr>
            <w:r>
              <w:rPr>
                <w:sz w:val="14"/>
              </w:rPr>
              <w:t>0 . 1 %</w:t>
            </w:r>
          </w:p>
        </w:tc>
        <w:tc>
          <w:tcPr>
            <w:tcW w:w="1283" w:type="dxa"/>
          </w:tcPr>
          <w:p>
            <w:pPr>
              <w:pStyle w:val="TableParagraph"/>
              <w:spacing w:line="147" w:lineRule="exact" w:before="1"/>
              <w:ind w:right="422"/>
              <w:jc w:val="right"/>
              <w:rPr>
                <w:sz w:val="14"/>
              </w:rPr>
            </w:pPr>
            <w:r>
              <w:rPr>
                <w:sz w:val="14"/>
              </w:rPr>
              <w:t>1,155 .5</w:t>
            </w:r>
          </w:p>
        </w:tc>
        <w:tc>
          <w:tcPr>
            <w:tcW w:w="1248" w:type="dxa"/>
          </w:tcPr>
          <w:p>
            <w:pPr>
              <w:pStyle w:val="TableParagraph"/>
              <w:spacing w:line="147" w:lineRule="exact" w:before="1"/>
              <w:ind w:left="410" w:right="357"/>
              <w:jc w:val="center"/>
              <w:rPr>
                <w:sz w:val="14"/>
              </w:rPr>
            </w:pPr>
            <w:r>
              <w:rPr>
                <w:sz w:val="14"/>
              </w:rPr>
              <w:t>0 . 1 %</w:t>
            </w:r>
          </w:p>
        </w:tc>
      </w:tr>
      <w:tr>
        <w:trPr>
          <w:trHeight w:val="167" w:hRule="atLeast"/>
        </w:trPr>
        <w:tc>
          <w:tcPr>
            <w:tcW w:w="471" w:type="dxa"/>
          </w:tcPr>
          <w:p>
            <w:pPr>
              <w:pStyle w:val="TableParagraph"/>
              <w:rPr>
                <w:rFonts w:ascii="Times New Roman"/>
                <w:sz w:val="10"/>
              </w:rPr>
            </w:pPr>
          </w:p>
        </w:tc>
        <w:tc>
          <w:tcPr>
            <w:tcW w:w="5345" w:type="dxa"/>
          </w:tcPr>
          <w:p>
            <w:pPr>
              <w:pStyle w:val="TableParagraph"/>
              <w:spacing w:line="147" w:lineRule="exact" w:before="1"/>
              <w:ind w:left="263"/>
              <w:rPr>
                <w:sz w:val="14"/>
              </w:rPr>
            </w:pPr>
            <w:r>
              <w:rPr>
                <w:sz w:val="14"/>
              </w:rPr>
              <w:t>Water Resources Management Unit</w:t>
            </w:r>
          </w:p>
        </w:tc>
        <w:tc>
          <w:tcPr>
            <w:tcW w:w="2085" w:type="dxa"/>
          </w:tcPr>
          <w:p>
            <w:pPr>
              <w:pStyle w:val="TableParagraph"/>
              <w:spacing w:line="147" w:lineRule="exact" w:before="1"/>
              <w:ind w:right="511"/>
              <w:jc w:val="right"/>
              <w:rPr>
                <w:b/>
                <w:sz w:val="14"/>
              </w:rPr>
            </w:pPr>
            <w:r>
              <w:rPr>
                <w:b/>
                <w:sz w:val="14"/>
              </w:rPr>
              <w:t>276.6</w:t>
            </w:r>
          </w:p>
        </w:tc>
        <w:tc>
          <w:tcPr>
            <w:tcW w:w="1442" w:type="dxa"/>
          </w:tcPr>
          <w:p>
            <w:pPr>
              <w:pStyle w:val="TableParagraph"/>
              <w:spacing w:line="147" w:lineRule="exact" w:before="1"/>
              <w:ind w:left="494"/>
              <w:rPr>
                <w:sz w:val="14"/>
              </w:rPr>
            </w:pPr>
            <w:r>
              <w:rPr>
                <w:sz w:val="14"/>
              </w:rPr>
              <w:t>0 . 0 %</w:t>
            </w:r>
          </w:p>
        </w:tc>
        <w:tc>
          <w:tcPr>
            <w:tcW w:w="1621" w:type="dxa"/>
          </w:tcPr>
          <w:p>
            <w:pPr>
              <w:pStyle w:val="TableParagraph"/>
              <w:spacing w:line="147" w:lineRule="exact" w:before="1"/>
              <w:ind w:right="614"/>
              <w:jc w:val="right"/>
              <w:rPr>
                <w:sz w:val="14"/>
              </w:rPr>
            </w:pPr>
            <w:r>
              <w:rPr>
                <w:sz w:val="14"/>
              </w:rPr>
              <w:t>340.7</w:t>
            </w:r>
          </w:p>
        </w:tc>
        <w:tc>
          <w:tcPr>
            <w:tcW w:w="1297" w:type="dxa"/>
          </w:tcPr>
          <w:p>
            <w:pPr>
              <w:pStyle w:val="TableParagraph"/>
              <w:spacing w:line="147" w:lineRule="exact" w:before="1"/>
              <w:ind w:left="436"/>
              <w:rPr>
                <w:sz w:val="14"/>
              </w:rPr>
            </w:pPr>
            <w:r>
              <w:rPr>
                <w:sz w:val="14"/>
              </w:rPr>
              <w:t>0 . 0 %</w:t>
            </w:r>
          </w:p>
        </w:tc>
        <w:tc>
          <w:tcPr>
            <w:tcW w:w="1283" w:type="dxa"/>
          </w:tcPr>
          <w:p>
            <w:pPr>
              <w:pStyle w:val="TableParagraph"/>
              <w:spacing w:line="147" w:lineRule="exact" w:before="1"/>
              <w:ind w:right="419"/>
              <w:jc w:val="right"/>
              <w:rPr>
                <w:sz w:val="14"/>
              </w:rPr>
            </w:pPr>
            <w:r>
              <w:rPr>
                <w:sz w:val="14"/>
              </w:rPr>
              <w:t>361.1</w:t>
            </w:r>
          </w:p>
        </w:tc>
        <w:tc>
          <w:tcPr>
            <w:tcW w:w="1248" w:type="dxa"/>
          </w:tcPr>
          <w:p>
            <w:pPr>
              <w:pStyle w:val="TableParagraph"/>
              <w:spacing w:line="147" w:lineRule="exact" w:before="1"/>
              <w:ind w:left="410" w:right="357"/>
              <w:jc w:val="center"/>
              <w:rPr>
                <w:sz w:val="14"/>
              </w:rPr>
            </w:pPr>
            <w:r>
              <w:rPr>
                <w:sz w:val="14"/>
              </w:rPr>
              <w:t>0 . 0 %</w:t>
            </w:r>
          </w:p>
        </w:tc>
      </w:tr>
      <w:tr>
        <w:trPr>
          <w:trHeight w:val="252" w:hRule="atLeast"/>
        </w:trPr>
        <w:tc>
          <w:tcPr>
            <w:tcW w:w="471" w:type="dxa"/>
          </w:tcPr>
          <w:p>
            <w:pPr>
              <w:pStyle w:val="TableParagraph"/>
              <w:rPr>
                <w:rFonts w:ascii="Times New Roman"/>
                <w:sz w:val="14"/>
              </w:rPr>
            </w:pPr>
          </w:p>
        </w:tc>
        <w:tc>
          <w:tcPr>
            <w:tcW w:w="5345" w:type="dxa"/>
          </w:tcPr>
          <w:p>
            <w:pPr>
              <w:pStyle w:val="TableParagraph"/>
              <w:spacing w:before="1"/>
              <w:ind w:left="263"/>
              <w:rPr>
                <w:sz w:val="14"/>
              </w:rPr>
            </w:pPr>
            <w:r>
              <w:rPr>
                <w:sz w:val="14"/>
              </w:rPr>
              <w:t>National Water Resources Management Agency</w:t>
            </w:r>
          </w:p>
        </w:tc>
        <w:tc>
          <w:tcPr>
            <w:tcW w:w="2085" w:type="dxa"/>
          </w:tcPr>
          <w:p>
            <w:pPr>
              <w:pStyle w:val="TableParagraph"/>
              <w:spacing w:before="1"/>
              <w:ind w:right="528"/>
              <w:jc w:val="right"/>
              <w:rPr>
                <w:b/>
                <w:sz w:val="14"/>
              </w:rPr>
            </w:pPr>
            <w:r>
              <w:rPr>
                <w:b/>
                <w:sz w:val="14"/>
              </w:rPr>
              <w:t>2,113.2</w:t>
            </w:r>
          </w:p>
        </w:tc>
        <w:tc>
          <w:tcPr>
            <w:tcW w:w="1442" w:type="dxa"/>
          </w:tcPr>
          <w:p>
            <w:pPr>
              <w:pStyle w:val="TableParagraph"/>
              <w:spacing w:before="1"/>
              <w:ind w:left="494"/>
              <w:rPr>
                <w:sz w:val="14"/>
              </w:rPr>
            </w:pPr>
            <w:r>
              <w:rPr>
                <w:sz w:val="14"/>
              </w:rPr>
              <w:t>0 . 1 %</w:t>
            </w:r>
          </w:p>
        </w:tc>
        <w:tc>
          <w:tcPr>
            <w:tcW w:w="1621" w:type="dxa"/>
          </w:tcPr>
          <w:p>
            <w:pPr>
              <w:pStyle w:val="TableParagraph"/>
              <w:spacing w:before="1"/>
              <w:ind w:right="621"/>
              <w:jc w:val="right"/>
              <w:rPr>
                <w:sz w:val="14"/>
              </w:rPr>
            </w:pPr>
            <w:r>
              <w:rPr>
                <w:sz w:val="14"/>
              </w:rPr>
              <w:t>2,603 .0</w:t>
            </w:r>
          </w:p>
        </w:tc>
        <w:tc>
          <w:tcPr>
            <w:tcW w:w="1297" w:type="dxa"/>
          </w:tcPr>
          <w:p>
            <w:pPr>
              <w:pStyle w:val="TableParagraph"/>
              <w:spacing w:before="1"/>
              <w:ind w:left="436"/>
              <w:rPr>
                <w:sz w:val="14"/>
              </w:rPr>
            </w:pPr>
            <w:r>
              <w:rPr>
                <w:sz w:val="14"/>
              </w:rPr>
              <w:t>0 . 1 %</w:t>
            </w:r>
          </w:p>
        </w:tc>
        <w:tc>
          <w:tcPr>
            <w:tcW w:w="1283" w:type="dxa"/>
          </w:tcPr>
          <w:p>
            <w:pPr>
              <w:pStyle w:val="TableParagraph"/>
              <w:spacing w:before="1"/>
              <w:ind w:right="422"/>
              <w:jc w:val="right"/>
              <w:rPr>
                <w:sz w:val="14"/>
              </w:rPr>
            </w:pPr>
            <w:r>
              <w:rPr>
                <w:sz w:val="14"/>
              </w:rPr>
              <w:t>2,758 .9</w:t>
            </w:r>
          </w:p>
        </w:tc>
        <w:tc>
          <w:tcPr>
            <w:tcW w:w="1248" w:type="dxa"/>
          </w:tcPr>
          <w:p>
            <w:pPr>
              <w:pStyle w:val="TableParagraph"/>
              <w:spacing w:before="1"/>
              <w:ind w:left="410" w:right="357"/>
              <w:jc w:val="center"/>
              <w:rPr>
                <w:sz w:val="14"/>
              </w:rPr>
            </w:pPr>
            <w:r>
              <w:rPr>
                <w:sz w:val="14"/>
              </w:rPr>
              <w:t>0 . 1 %</w:t>
            </w:r>
          </w:p>
        </w:tc>
      </w:tr>
      <w:tr>
        <w:trPr>
          <w:trHeight w:val="280" w:hRule="atLeast"/>
        </w:trPr>
        <w:tc>
          <w:tcPr>
            <w:tcW w:w="471" w:type="dxa"/>
          </w:tcPr>
          <w:p>
            <w:pPr>
              <w:pStyle w:val="TableParagraph"/>
              <w:spacing w:before="85"/>
              <w:ind w:left="125"/>
              <w:rPr>
                <w:sz w:val="14"/>
              </w:rPr>
            </w:pPr>
            <w:r>
              <w:rPr>
                <w:sz w:val="14"/>
              </w:rPr>
              <w:t>415</w:t>
            </w:r>
          </w:p>
        </w:tc>
        <w:tc>
          <w:tcPr>
            <w:tcW w:w="5345" w:type="dxa"/>
          </w:tcPr>
          <w:p>
            <w:pPr>
              <w:pStyle w:val="TableParagraph"/>
              <w:spacing w:before="85"/>
              <w:ind w:left="95"/>
              <w:rPr>
                <w:sz w:val="14"/>
              </w:rPr>
            </w:pPr>
            <w:r>
              <w:rPr>
                <w:sz w:val="14"/>
              </w:rPr>
              <w:t>Sierra Leone Maritime Administration (SLMA)</w:t>
            </w:r>
          </w:p>
        </w:tc>
        <w:tc>
          <w:tcPr>
            <w:tcW w:w="2085" w:type="dxa"/>
          </w:tcPr>
          <w:p>
            <w:pPr>
              <w:pStyle w:val="TableParagraph"/>
              <w:spacing w:before="85"/>
              <w:ind w:right="530"/>
              <w:jc w:val="right"/>
              <w:rPr>
                <w:b/>
                <w:sz w:val="14"/>
              </w:rPr>
            </w:pPr>
            <w:r>
              <w:rPr>
                <w:b/>
                <w:sz w:val="14"/>
              </w:rPr>
              <w:t>33,872.0</w:t>
            </w:r>
          </w:p>
        </w:tc>
        <w:tc>
          <w:tcPr>
            <w:tcW w:w="1442" w:type="dxa"/>
          </w:tcPr>
          <w:p>
            <w:pPr>
              <w:pStyle w:val="TableParagraph"/>
              <w:spacing w:before="85"/>
              <w:ind w:left="494"/>
              <w:rPr>
                <w:sz w:val="14"/>
              </w:rPr>
            </w:pPr>
            <w:r>
              <w:rPr>
                <w:sz w:val="14"/>
              </w:rPr>
              <w:t>1 . 6 %</w:t>
            </w:r>
          </w:p>
        </w:tc>
        <w:tc>
          <w:tcPr>
            <w:tcW w:w="1621" w:type="dxa"/>
          </w:tcPr>
          <w:p>
            <w:pPr>
              <w:pStyle w:val="TableParagraph"/>
              <w:spacing w:before="85"/>
              <w:ind w:right="625"/>
              <w:jc w:val="right"/>
              <w:rPr>
                <w:sz w:val="14"/>
              </w:rPr>
            </w:pPr>
            <w:r>
              <w:rPr>
                <w:sz w:val="14"/>
              </w:rPr>
              <w:t>21,893.4</w:t>
            </w:r>
          </w:p>
        </w:tc>
        <w:tc>
          <w:tcPr>
            <w:tcW w:w="1297" w:type="dxa"/>
          </w:tcPr>
          <w:p>
            <w:pPr>
              <w:pStyle w:val="TableParagraph"/>
              <w:spacing w:before="85"/>
              <w:ind w:left="436"/>
              <w:rPr>
                <w:sz w:val="14"/>
              </w:rPr>
            </w:pPr>
            <w:r>
              <w:rPr>
                <w:sz w:val="14"/>
              </w:rPr>
              <w:t>1 . 1 %</w:t>
            </w:r>
          </w:p>
        </w:tc>
        <w:tc>
          <w:tcPr>
            <w:tcW w:w="1283" w:type="dxa"/>
          </w:tcPr>
          <w:p>
            <w:pPr>
              <w:pStyle w:val="TableParagraph"/>
              <w:spacing w:before="85"/>
              <w:ind w:right="431"/>
              <w:jc w:val="right"/>
              <w:rPr>
                <w:sz w:val="14"/>
              </w:rPr>
            </w:pPr>
            <w:r>
              <w:rPr>
                <w:sz w:val="14"/>
              </w:rPr>
              <w:t>25,698.5</w:t>
            </w:r>
          </w:p>
        </w:tc>
        <w:tc>
          <w:tcPr>
            <w:tcW w:w="1248" w:type="dxa"/>
          </w:tcPr>
          <w:p>
            <w:pPr>
              <w:pStyle w:val="TableParagraph"/>
              <w:spacing w:before="85"/>
              <w:ind w:left="410" w:right="357"/>
              <w:jc w:val="center"/>
              <w:rPr>
                <w:sz w:val="14"/>
              </w:rPr>
            </w:pPr>
            <w:r>
              <w:rPr>
                <w:sz w:val="14"/>
              </w:rPr>
              <w:t>1 . 2 %</w:t>
            </w:r>
          </w:p>
        </w:tc>
      </w:tr>
    </w:tbl>
    <w:p>
      <w:pPr>
        <w:spacing w:after="0"/>
        <w:jc w:val="center"/>
        <w:rPr>
          <w:sz w:val="14"/>
        </w:rPr>
        <w:sectPr>
          <w:pgSz w:w="16840" w:h="11900" w:orient="landscape"/>
          <w:pgMar w:header="1064" w:footer="0" w:top="2760" w:bottom="280" w:left="880" w:right="920"/>
        </w:sectPr>
      </w:pPr>
    </w:p>
    <w:p>
      <w:pPr>
        <w:pStyle w:val="BodyText"/>
        <w:rPr>
          <w:rFonts w:ascii="Times New Roman"/>
          <w:sz w:val="20"/>
        </w:rPr>
      </w:pPr>
      <w:r>
        <w:rPr/>
        <w:pict>
          <v:shape style="position:absolute;margin-left:27.140491pt;margin-top:289.709991pt;width:14.35pt;height:13.4pt;mso-position-horizontal-relative:page;mso-position-vertical-relative:page;z-index:1408" type="#_x0000_t202" filled="false" stroked="false">
            <v:textbox inset="0,0,0,0" style="layout-flow:vertical">
              <w:txbxContent>
                <w:p>
                  <w:pPr>
                    <w:spacing w:before="13"/>
                    <w:ind w:left="20" w:right="0" w:firstLine="0"/>
                    <w:jc w:val="left"/>
                    <w:rPr>
                      <w:rFonts w:ascii="Arial"/>
                      <w:sz w:val="22"/>
                    </w:rPr>
                  </w:pPr>
                  <w:r>
                    <w:rPr>
                      <w:rFonts w:ascii="Arial"/>
                      <w:sz w:val="22"/>
                    </w:rPr>
                    <w:t>xv</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239"/>
        <w:gridCol w:w="2192"/>
        <w:gridCol w:w="1488"/>
        <w:gridCol w:w="1576"/>
        <w:gridCol w:w="1340"/>
        <w:gridCol w:w="1240"/>
        <w:gridCol w:w="1248"/>
      </w:tblGrid>
      <w:tr>
        <w:trPr>
          <w:trHeight w:val="568" w:hRule="atLeast"/>
        </w:trPr>
        <w:tc>
          <w:tcPr>
            <w:tcW w:w="5710" w:type="dxa"/>
            <w:gridSpan w:val="2"/>
            <w:tcBorders>
              <w:bottom w:val="single" w:sz="4" w:space="0" w:color="000000"/>
            </w:tcBorders>
          </w:tcPr>
          <w:p>
            <w:pPr>
              <w:pStyle w:val="TableParagraph"/>
              <w:rPr>
                <w:rFonts w:ascii="Times New Roman"/>
                <w:sz w:val="14"/>
              </w:rPr>
            </w:pPr>
          </w:p>
        </w:tc>
        <w:tc>
          <w:tcPr>
            <w:tcW w:w="2192" w:type="dxa"/>
            <w:tcBorders>
              <w:bottom w:val="single" w:sz="4" w:space="0" w:color="000000"/>
            </w:tcBorders>
          </w:tcPr>
          <w:p>
            <w:pPr>
              <w:pStyle w:val="TableParagraph"/>
              <w:spacing w:before="29"/>
              <w:ind w:left="1182" w:right="362"/>
              <w:jc w:val="center"/>
              <w:rPr>
                <w:b/>
                <w:sz w:val="14"/>
              </w:rPr>
            </w:pPr>
            <w:r>
              <w:rPr>
                <w:b/>
                <w:spacing w:val="2"/>
                <w:sz w:val="14"/>
              </w:rPr>
              <w:t>FY</w:t>
            </w:r>
            <w:r>
              <w:rPr>
                <w:b/>
                <w:spacing w:val="6"/>
                <w:sz w:val="14"/>
              </w:rPr>
              <w:t> </w:t>
            </w:r>
            <w:r>
              <w:rPr>
                <w:b/>
                <w:spacing w:val="4"/>
                <w:sz w:val="14"/>
              </w:rPr>
              <w:t>2020</w:t>
            </w:r>
          </w:p>
          <w:p>
            <w:pPr>
              <w:pStyle w:val="TableParagraph"/>
              <w:spacing w:before="17"/>
              <w:ind w:left="1208" w:right="264"/>
              <w:jc w:val="center"/>
              <w:rPr>
                <w:b/>
                <w:sz w:val="14"/>
              </w:rPr>
            </w:pPr>
            <w:r>
              <w:rPr>
                <w:b/>
                <w:sz w:val="14"/>
              </w:rPr>
              <w:t>Budget</w:t>
            </w:r>
          </w:p>
        </w:tc>
        <w:tc>
          <w:tcPr>
            <w:tcW w:w="1488" w:type="dxa"/>
            <w:tcBorders>
              <w:bottom w:val="single" w:sz="4" w:space="0" w:color="000000"/>
            </w:tcBorders>
          </w:tcPr>
          <w:p>
            <w:pPr>
              <w:pStyle w:val="TableParagraph"/>
              <w:spacing w:line="264" w:lineRule="auto" w:before="29"/>
              <w:ind w:left="387" w:right="143" w:firstLine="91"/>
              <w:rPr>
                <w:sz w:val="14"/>
              </w:rPr>
            </w:pPr>
            <w:r>
              <w:rPr>
                <w:sz w:val="14"/>
              </w:rPr>
              <w:t>% of Total Non Int/ Sal</w:t>
            </w:r>
          </w:p>
        </w:tc>
        <w:tc>
          <w:tcPr>
            <w:tcW w:w="1576" w:type="dxa"/>
            <w:tcBorders>
              <w:bottom w:val="single" w:sz="4" w:space="0" w:color="000000"/>
            </w:tcBorders>
          </w:tcPr>
          <w:p>
            <w:pPr>
              <w:pStyle w:val="TableParagraph"/>
              <w:spacing w:before="29"/>
              <w:ind w:left="623"/>
              <w:rPr>
                <w:sz w:val="14"/>
              </w:rPr>
            </w:pPr>
            <w:r>
              <w:rPr>
                <w:sz w:val="14"/>
              </w:rPr>
              <w:t>FY</w:t>
            </w:r>
            <w:r>
              <w:rPr>
                <w:spacing w:val="17"/>
                <w:sz w:val="14"/>
              </w:rPr>
              <w:t> </w:t>
            </w:r>
            <w:r>
              <w:rPr>
                <w:spacing w:val="4"/>
                <w:sz w:val="14"/>
              </w:rPr>
              <w:t>2021</w:t>
            </w:r>
          </w:p>
          <w:p>
            <w:pPr>
              <w:pStyle w:val="TableParagraph"/>
              <w:spacing w:before="17"/>
              <w:ind w:left="551"/>
              <w:rPr>
                <w:sz w:val="14"/>
              </w:rPr>
            </w:pPr>
            <w:r>
              <w:rPr>
                <w:spacing w:val="3"/>
                <w:sz w:val="14"/>
              </w:rPr>
              <w:t>Indicative</w:t>
            </w:r>
          </w:p>
        </w:tc>
        <w:tc>
          <w:tcPr>
            <w:tcW w:w="1340" w:type="dxa"/>
            <w:tcBorders>
              <w:bottom w:val="single" w:sz="4" w:space="0" w:color="000000"/>
            </w:tcBorders>
          </w:tcPr>
          <w:p>
            <w:pPr>
              <w:pStyle w:val="TableParagraph"/>
              <w:spacing w:line="249" w:lineRule="auto" w:before="29"/>
              <w:ind w:left="386" w:right="197" w:firstLine="86"/>
              <w:jc w:val="both"/>
              <w:rPr>
                <w:sz w:val="14"/>
              </w:rPr>
            </w:pPr>
            <w:r>
              <w:rPr>
                <w:sz w:val="14"/>
              </w:rPr>
              <w:t>% of Total Non Int/ Sal Recurr Exp</w:t>
            </w:r>
          </w:p>
        </w:tc>
        <w:tc>
          <w:tcPr>
            <w:tcW w:w="1240" w:type="dxa"/>
            <w:tcBorders>
              <w:bottom w:val="single" w:sz="4" w:space="0" w:color="000000"/>
            </w:tcBorders>
          </w:tcPr>
          <w:p>
            <w:pPr>
              <w:pStyle w:val="TableParagraph"/>
              <w:spacing w:before="29"/>
              <w:ind w:left="486"/>
              <w:rPr>
                <w:sz w:val="14"/>
              </w:rPr>
            </w:pPr>
            <w:r>
              <w:rPr>
                <w:sz w:val="14"/>
              </w:rPr>
              <w:t>FY</w:t>
            </w:r>
            <w:r>
              <w:rPr>
                <w:spacing w:val="17"/>
                <w:sz w:val="14"/>
              </w:rPr>
              <w:t> </w:t>
            </w:r>
            <w:r>
              <w:rPr>
                <w:spacing w:val="4"/>
                <w:sz w:val="14"/>
              </w:rPr>
              <w:t>2022</w:t>
            </w:r>
          </w:p>
          <w:p>
            <w:pPr>
              <w:pStyle w:val="TableParagraph"/>
              <w:spacing w:before="17"/>
              <w:ind w:left="414"/>
              <w:rPr>
                <w:sz w:val="14"/>
              </w:rPr>
            </w:pPr>
            <w:r>
              <w:rPr>
                <w:spacing w:val="3"/>
                <w:sz w:val="14"/>
              </w:rPr>
              <w:t>Indicative</w:t>
            </w:r>
          </w:p>
        </w:tc>
        <w:tc>
          <w:tcPr>
            <w:tcW w:w="1248" w:type="dxa"/>
            <w:tcBorders>
              <w:bottom w:val="single" w:sz="4" w:space="0" w:color="000000"/>
            </w:tcBorders>
          </w:tcPr>
          <w:p>
            <w:pPr>
              <w:pStyle w:val="TableParagraph"/>
              <w:spacing w:line="249" w:lineRule="auto" w:before="29"/>
              <w:ind w:left="186" w:right="304" w:firstLine="86"/>
              <w:jc w:val="both"/>
              <w:rPr>
                <w:sz w:val="14"/>
              </w:rPr>
            </w:pPr>
            <w:r>
              <w:rPr>
                <w:sz w:val="14"/>
              </w:rPr>
              <w:t>% of Total Non Int/ Sal Recurr Exp</w:t>
            </w:r>
          </w:p>
        </w:tc>
      </w:tr>
      <w:tr>
        <w:trPr>
          <w:trHeight w:val="383" w:hRule="atLeast"/>
        </w:trPr>
        <w:tc>
          <w:tcPr>
            <w:tcW w:w="471" w:type="dxa"/>
            <w:tcBorders>
              <w:top w:val="single" w:sz="4" w:space="0" w:color="000000"/>
            </w:tcBorders>
          </w:tcPr>
          <w:p>
            <w:pPr>
              <w:pStyle w:val="TableParagraph"/>
              <w:spacing w:before="132"/>
              <w:ind w:left="125"/>
              <w:rPr>
                <w:sz w:val="14"/>
              </w:rPr>
            </w:pPr>
            <w:r>
              <w:rPr>
                <w:sz w:val="14"/>
              </w:rPr>
              <w:t>416</w:t>
            </w:r>
          </w:p>
        </w:tc>
        <w:tc>
          <w:tcPr>
            <w:tcW w:w="5239" w:type="dxa"/>
            <w:tcBorders>
              <w:top w:val="single" w:sz="4" w:space="0" w:color="000000"/>
            </w:tcBorders>
          </w:tcPr>
          <w:p>
            <w:pPr>
              <w:pStyle w:val="TableParagraph"/>
              <w:spacing w:before="132"/>
              <w:ind w:left="95"/>
              <w:rPr>
                <w:sz w:val="14"/>
              </w:rPr>
            </w:pPr>
            <w:r>
              <w:rPr>
                <w:sz w:val="14"/>
              </w:rPr>
              <w:t>Civil Aviation Authority</w:t>
            </w:r>
          </w:p>
        </w:tc>
        <w:tc>
          <w:tcPr>
            <w:tcW w:w="2192" w:type="dxa"/>
            <w:tcBorders>
              <w:top w:val="single" w:sz="4" w:space="0" w:color="000000"/>
            </w:tcBorders>
          </w:tcPr>
          <w:p>
            <w:pPr>
              <w:pStyle w:val="TableParagraph"/>
              <w:spacing w:before="132"/>
              <w:ind w:right="531"/>
              <w:jc w:val="right"/>
              <w:rPr>
                <w:b/>
                <w:sz w:val="14"/>
              </w:rPr>
            </w:pPr>
            <w:r>
              <w:rPr>
                <w:b/>
                <w:sz w:val="14"/>
              </w:rPr>
              <w:t>43,238.3</w:t>
            </w:r>
          </w:p>
        </w:tc>
        <w:tc>
          <w:tcPr>
            <w:tcW w:w="1488" w:type="dxa"/>
            <w:tcBorders>
              <w:top w:val="single" w:sz="4" w:space="0" w:color="000000"/>
            </w:tcBorders>
          </w:tcPr>
          <w:p>
            <w:pPr>
              <w:pStyle w:val="TableParagraph"/>
              <w:spacing w:before="132"/>
              <w:ind w:left="493"/>
              <w:rPr>
                <w:sz w:val="14"/>
              </w:rPr>
            </w:pPr>
            <w:r>
              <w:rPr>
                <w:sz w:val="14"/>
              </w:rPr>
              <w:t>2 . 1 %</w:t>
            </w:r>
          </w:p>
        </w:tc>
        <w:tc>
          <w:tcPr>
            <w:tcW w:w="1576" w:type="dxa"/>
            <w:tcBorders>
              <w:top w:val="single" w:sz="4" w:space="0" w:color="000000"/>
            </w:tcBorders>
          </w:tcPr>
          <w:p>
            <w:pPr>
              <w:pStyle w:val="TableParagraph"/>
              <w:spacing w:before="132"/>
              <w:ind w:right="627"/>
              <w:jc w:val="right"/>
              <w:rPr>
                <w:sz w:val="14"/>
              </w:rPr>
            </w:pPr>
            <w:r>
              <w:rPr>
                <w:sz w:val="14"/>
              </w:rPr>
              <w:t>27,095.1</w:t>
            </w:r>
          </w:p>
        </w:tc>
        <w:tc>
          <w:tcPr>
            <w:tcW w:w="1340" w:type="dxa"/>
            <w:tcBorders>
              <w:top w:val="single" w:sz="4" w:space="0" w:color="000000"/>
            </w:tcBorders>
          </w:tcPr>
          <w:p>
            <w:pPr>
              <w:pStyle w:val="TableParagraph"/>
              <w:spacing w:before="132"/>
              <w:ind w:left="434"/>
              <w:rPr>
                <w:sz w:val="14"/>
              </w:rPr>
            </w:pPr>
            <w:r>
              <w:rPr>
                <w:sz w:val="14"/>
              </w:rPr>
              <w:t>1 . 3 %</w:t>
            </w:r>
          </w:p>
        </w:tc>
        <w:tc>
          <w:tcPr>
            <w:tcW w:w="1240" w:type="dxa"/>
            <w:tcBorders>
              <w:top w:val="single" w:sz="4" w:space="0" w:color="000000"/>
            </w:tcBorders>
          </w:tcPr>
          <w:p>
            <w:pPr>
              <w:pStyle w:val="TableParagraph"/>
              <w:spacing w:before="132"/>
              <w:ind w:right="433"/>
              <w:jc w:val="right"/>
              <w:rPr>
                <w:sz w:val="14"/>
              </w:rPr>
            </w:pPr>
            <w:r>
              <w:rPr>
                <w:sz w:val="14"/>
              </w:rPr>
              <w:t>31,804.2</w:t>
            </w:r>
          </w:p>
        </w:tc>
        <w:tc>
          <w:tcPr>
            <w:tcW w:w="1248" w:type="dxa"/>
            <w:tcBorders>
              <w:top w:val="single" w:sz="4" w:space="0" w:color="000000"/>
            </w:tcBorders>
          </w:tcPr>
          <w:p>
            <w:pPr>
              <w:pStyle w:val="TableParagraph"/>
              <w:spacing w:before="132"/>
              <w:ind w:left="406" w:right="357"/>
              <w:jc w:val="center"/>
              <w:rPr>
                <w:sz w:val="14"/>
              </w:rPr>
            </w:pPr>
            <w:r>
              <w:rPr>
                <w:sz w:val="14"/>
              </w:rPr>
              <w:t>1 . 5 %</w:t>
            </w:r>
          </w:p>
        </w:tc>
      </w:tr>
      <w:tr>
        <w:trPr>
          <w:trHeight w:val="336" w:hRule="atLeast"/>
        </w:trPr>
        <w:tc>
          <w:tcPr>
            <w:tcW w:w="471" w:type="dxa"/>
          </w:tcPr>
          <w:p>
            <w:pPr>
              <w:pStyle w:val="TableParagraph"/>
              <w:spacing w:before="85"/>
              <w:ind w:left="125"/>
              <w:rPr>
                <w:sz w:val="14"/>
              </w:rPr>
            </w:pPr>
            <w:r>
              <w:rPr>
                <w:sz w:val="14"/>
              </w:rPr>
              <w:t>417</w:t>
            </w:r>
          </w:p>
        </w:tc>
        <w:tc>
          <w:tcPr>
            <w:tcW w:w="5239" w:type="dxa"/>
          </w:tcPr>
          <w:p>
            <w:pPr>
              <w:pStyle w:val="TableParagraph"/>
              <w:spacing w:before="85"/>
              <w:ind w:left="95"/>
              <w:rPr>
                <w:sz w:val="14"/>
              </w:rPr>
            </w:pPr>
            <w:r>
              <w:rPr>
                <w:sz w:val="14"/>
              </w:rPr>
              <w:t>Nuclear Safety and Radiation Protection Authority</w:t>
            </w:r>
          </w:p>
        </w:tc>
        <w:tc>
          <w:tcPr>
            <w:tcW w:w="2192" w:type="dxa"/>
          </w:tcPr>
          <w:p>
            <w:pPr>
              <w:pStyle w:val="TableParagraph"/>
              <w:spacing w:before="85"/>
              <w:ind w:right="529"/>
              <w:jc w:val="right"/>
              <w:rPr>
                <w:b/>
                <w:sz w:val="14"/>
              </w:rPr>
            </w:pPr>
            <w:r>
              <w:rPr>
                <w:b/>
                <w:sz w:val="14"/>
              </w:rPr>
              <w:t>1,954.7</w:t>
            </w:r>
          </w:p>
        </w:tc>
        <w:tc>
          <w:tcPr>
            <w:tcW w:w="1488" w:type="dxa"/>
          </w:tcPr>
          <w:p>
            <w:pPr>
              <w:pStyle w:val="TableParagraph"/>
              <w:spacing w:before="85"/>
              <w:ind w:left="493"/>
              <w:rPr>
                <w:sz w:val="14"/>
              </w:rPr>
            </w:pPr>
            <w:r>
              <w:rPr>
                <w:sz w:val="14"/>
              </w:rPr>
              <w:t>0 . 1 %</w:t>
            </w:r>
          </w:p>
        </w:tc>
        <w:tc>
          <w:tcPr>
            <w:tcW w:w="1576" w:type="dxa"/>
          </w:tcPr>
          <w:p>
            <w:pPr>
              <w:pStyle w:val="TableParagraph"/>
              <w:spacing w:before="85"/>
              <w:ind w:right="623"/>
              <w:jc w:val="right"/>
              <w:rPr>
                <w:sz w:val="14"/>
              </w:rPr>
            </w:pPr>
            <w:r>
              <w:rPr>
                <w:sz w:val="14"/>
              </w:rPr>
              <w:t>1,791 .9</w:t>
            </w:r>
          </w:p>
        </w:tc>
        <w:tc>
          <w:tcPr>
            <w:tcW w:w="1340" w:type="dxa"/>
          </w:tcPr>
          <w:p>
            <w:pPr>
              <w:pStyle w:val="TableParagraph"/>
              <w:spacing w:before="85"/>
              <w:ind w:left="434"/>
              <w:rPr>
                <w:sz w:val="14"/>
              </w:rPr>
            </w:pPr>
            <w:r>
              <w:rPr>
                <w:sz w:val="14"/>
              </w:rPr>
              <w:t>0 . 1 %</w:t>
            </w:r>
          </w:p>
        </w:tc>
        <w:tc>
          <w:tcPr>
            <w:tcW w:w="1240" w:type="dxa"/>
          </w:tcPr>
          <w:p>
            <w:pPr>
              <w:pStyle w:val="TableParagraph"/>
              <w:spacing w:before="85"/>
              <w:ind w:right="424"/>
              <w:jc w:val="right"/>
              <w:rPr>
                <w:sz w:val="14"/>
              </w:rPr>
            </w:pPr>
            <w:r>
              <w:rPr>
                <w:sz w:val="14"/>
              </w:rPr>
              <w:t>1,899 .3</w:t>
            </w:r>
          </w:p>
        </w:tc>
        <w:tc>
          <w:tcPr>
            <w:tcW w:w="1248" w:type="dxa"/>
          </w:tcPr>
          <w:p>
            <w:pPr>
              <w:pStyle w:val="TableParagraph"/>
              <w:spacing w:before="85"/>
              <w:ind w:left="406" w:right="357"/>
              <w:jc w:val="center"/>
              <w:rPr>
                <w:sz w:val="14"/>
              </w:rPr>
            </w:pPr>
            <w:r>
              <w:rPr>
                <w:sz w:val="14"/>
              </w:rPr>
              <w:t>0 . 1 %</w:t>
            </w:r>
          </w:p>
        </w:tc>
      </w:tr>
      <w:tr>
        <w:trPr>
          <w:trHeight w:val="335" w:hRule="atLeast"/>
        </w:trPr>
        <w:tc>
          <w:tcPr>
            <w:tcW w:w="471" w:type="dxa"/>
          </w:tcPr>
          <w:p>
            <w:pPr>
              <w:pStyle w:val="TableParagraph"/>
              <w:spacing w:before="85"/>
              <w:ind w:left="125"/>
              <w:rPr>
                <w:sz w:val="14"/>
              </w:rPr>
            </w:pPr>
            <w:r>
              <w:rPr>
                <w:sz w:val="14"/>
              </w:rPr>
              <w:t>418</w:t>
            </w:r>
          </w:p>
        </w:tc>
        <w:tc>
          <w:tcPr>
            <w:tcW w:w="5239" w:type="dxa"/>
          </w:tcPr>
          <w:p>
            <w:pPr>
              <w:pStyle w:val="TableParagraph"/>
              <w:spacing w:before="85"/>
              <w:ind w:left="95"/>
              <w:rPr>
                <w:sz w:val="14"/>
              </w:rPr>
            </w:pPr>
            <w:r>
              <w:rPr>
                <w:sz w:val="14"/>
              </w:rPr>
              <w:t>Sierra Leone Agricultural Research Institute (SLARI)</w:t>
            </w:r>
          </w:p>
        </w:tc>
        <w:tc>
          <w:tcPr>
            <w:tcW w:w="2192" w:type="dxa"/>
          </w:tcPr>
          <w:p>
            <w:pPr>
              <w:pStyle w:val="TableParagraph"/>
              <w:spacing w:before="85"/>
              <w:ind w:right="529"/>
              <w:jc w:val="right"/>
              <w:rPr>
                <w:b/>
                <w:sz w:val="14"/>
              </w:rPr>
            </w:pPr>
            <w:r>
              <w:rPr>
                <w:b/>
                <w:sz w:val="14"/>
              </w:rPr>
              <w:t>3,717.4</w:t>
            </w:r>
          </w:p>
        </w:tc>
        <w:tc>
          <w:tcPr>
            <w:tcW w:w="1488" w:type="dxa"/>
          </w:tcPr>
          <w:p>
            <w:pPr>
              <w:pStyle w:val="TableParagraph"/>
              <w:spacing w:before="85"/>
              <w:ind w:left="493"/>
              <w:rPr>
                <w:sz w:val="14"/>
              </w:rPr>
            </w:pPr>
            <w:r>
              <w:rPr>
                <w:sz w:val="14"/>
              </w:rPr>
              <w:t>0 . 2 %</w:t>
            </w:r>
          </w:p>
        </w:tc>
        <w:tc>
          <w:tcPr>
            <w:tcW w:w="1576" w:type="dxa"/>
          </w:tcPr>
          <w:p>
            <w:pPr>
              <w:pStyle w:val="TableParagraph"/>
              <w:spacing w:before="85"/>
              <w:ind w:right="623"/>
              <w:jc w:val="right"/>
              <w:rPr>
                <w:sz w:val="14"/>
              </w:rPr>
            </w:pPr>
            <w:r>
              <w:rPr>
                <w:sz w:val="14"/>
              </w:rPr>
              <w:t>3,840 .0</w:t>
            </w:r>
          </w:p>
        </w:tc>
        <w:tc>
          <w:tcPr>
            <w:tcW w:w="1340" w:type="dxa"/>
          </w:tcPr>
          <w:p>
            <w:pPr>
              <w:pStyle w:val="TableParagraph"/>
              <w:spacing w:before="85"/>
              <w:ind w:left="434"/>
              <w:rPr>
                <w:sz w:val="14"/>
              </w:rPr>
            </w:pPr>
            <w:r>
              <w:rPr>
                <w:sz w:val="14"/>
              </w:rPr>
              <w:t>0 . 2 %</w:t>
            </w:r>
          </w:p>
        </w:tc>
        <w:tc>
          <w:tcPr>
            <w:tcW w:w="1240" w:type="dxa"/>
          </w:tcPr>
          <w:p>
            <w:pPr>
              <w:pStyle w:val="TableParagraph"/>
              <w:spacing w:before="85"/>
              <w:ind w:right="424"/>
              <w:jc w:val="right"/>
              <w:rPr>
                <w:sz w:val="14"/>
              </w:rPr>
            </w:pPr>
            <w:r>
              <w:rPr>
                <w:sz w:val="14"/>
              </w:rPr>
              <w:t>4,070 .0</w:t>
            </w:r>
          </w:p>
        </w:tc>
        <w:tc>
          <w:tcPr>
            <w:tcW w:w="1248" w:type="dxa"/>
          </w:tcPr>
          <w:p>
            <w:pPr>
              <w:pStyle w:val="TableParagraph"/>
              <w:spacing w:before="85"/>
              <w:ind w:left="406" w:right="357"/>
              <w:jc w:val="center"/>
              <w:rPr>
                <w:sz w:val="14"/>
              </w:rPr>
            </w:pPr>
            <w:r>
              <w:rPr>
                <w:sz w:val="14"/>
              </w:rPr>
              <w:t>0 . 2 %</w:t>
            </w:r>
          </w:p>
        </w:tc>
      </w:tr>
      <w:tr>
        <w:trPr>
          <w:trHeight w:val="336" w:hRule="atLeast"/>
        </w:trPr>
        <w:tc>
          <w:tcPr>
            <w:tcW w:w="471" w:type="dxa"/>
          </w:tcPr>
          <w:p>
            <w:pPr>
              <w:pStyle w:val="TableParagraph"/>
              <w:spacing w:before="85"/>
              <w:ind w:left="125"/>
              <w:rPr>
                <w:sz w:val="14"/>
              </w:rPr>
            </w:pPr>
            <w:r>
              <w:rPr>
                <w:sz w:val="14"/>
              </w:rPr>
              <w:t>419</w:t>
            </w:r>
          </w:p>
        </w:tc>
        <w:tc>
          <w:tcPr>
            <w:tcW w:w="5239" w:type="dxa"/>
          </w:tcPr>
          <w:p>
            <w:pPr>
              <w:pStyle w:val="TableParagraph"/>
              <w:spacing w:before="85"/>
              <w:ind w:left="95"/>
              <w:rPr>
                <w:sz w:val="14"/>
              </w:rPr>
            </w:pPr>
            <w:r>
              <w:rPr>
                <w:sz w:val="14"/>
              </w:rPr>
              <w:t>Local Content Agency</w:t>
            </w:r>
          </w:p>
        </w:tc>
        <w:tc>
          <w:tcPr>
            <w:tcW w:w="2192" w:type="dxa"/>
          </w:tcPr>
          <w:p>
            <w:pPr>
              <w:pStyle w:val="TableParagraph"/>
              <w:spacing w:before="85"/>
              <w:ind w:right="529"/>
              <w:jc w:val="right"/>
              <w:rPr>
                <w:b/>
                <w:sz w:val="14"/>
              </w:rPr>
            </w:pPr>
            <w:r>
              <w:rPr>
                <w:b/>
                <w:sz w:val="14"/>
              </w:rPr>
              <w:t>3,217.8</w:t>
            </w:r>
          </w:p>
        </w:tc>
        <w:tc>
          <w:tcPr>
            <w:tcW w:w="1488" w:type="dxa"/>
          </w:tcPr>
          <w:p>
            <w:pPr>
              <w:pStyle w:val="TableParagraph"/>
              <w:spacing w:before="85"/>
              <w:ind w:left="493"/>
              <w:rPr>
                <w:sz w:val="14"/>
              </w:rPr>
            </w:pPr>
            <w:r>
              <w:rPr>
                <w:sz w:val="14"/>
              </w:rPr>
              <w:t>0 . 2 %</w:t>
            </w:r>
          </w:p>
        </w:tc>
        <w:tc>
          <w:tcPr>
            <w:tcW w:w="1576" w:type="dxa"/>
          </w:tcPr>
          <w:p>
            <w:pPr>
              <w:pStyle w:val="TableParagraph"/>
              <w:spacing w:before="85"/>
              <w:ind w:right="623"/>
              <w:jc w:val="right"/>
              <w:rPr>
                <w:sz w:val="14"/>
              </w:rPr>
            </w:pPr>
            <w:r>
              <w:rPr>
                <w:sz w:val="14"/>
              </w:rPr>
              <w:t>3,101 .4</w:t>
            </w:r>
          </w:p>
        </w:tc>
        <w:tc>
          <w:tcPr>
            <w:tcW w:w="1340" w:type="dxa"/>
          </w:tcPr>
          <w:p>
            <w:pPr>
              <w:pStyle w:val="TableParagraph"/>
              <w:spacing w:before="85"/>
              <w:ind w:left="434"/>
              <w:rPr>
                <w:sz w:val="14"/>
              </w:rPr>
            </w:pPr>
            <w:r>
              <w:rPr>
                <w:sz w:val="14"/>
              </w:rPr>
              <w:t>0 . 1 %</w:t>
            </w:r>
          </w:p>
        </w:tc>
        <w:tc>
          <w:tcPr>
            <w:tcW w:w="1240" w:type="dxa"/>
          </w:tcPr>
          <w:p>
            <w:pPr>
              <w:pStyle w:val="TableParagraph"/>
              <w:spacing w:before="85"/>
              <w:ind w:right="424"/>
              <w:jc w:val="right"/>
              <w:rPr>
                <w:sz w:val="14"/>
              </w:rPr>
            </w:pPr>
            <w:r>
              <w:rPr>
                <w:sz w:val="14"/>
              </w:rPr>
              <w:t>3,287 .1</w:t>
            </w:r>
          </w:p>
        </w:tc>
        <w:tc>
          <w:tcPr>
            <w:tcW w:w="1248" w:type="dxa"/>
          </w:tcPr>
          <w:p>
            <w:pPr>
              <w:pStyle w:val="TableParagraph"/>
              <w:spacing w:before="85"/>
              <w:ind w:left="406" w:right="357"/>
              <w:jc w:val="center"/>
              <w:rPr>
                <w:sz w:val="14"/>
              </w:rPr>
            </w:pPr>
            <w:r>
              <w:rPr>
                <w:sz w:val="14"/>
              </w:rPr>
              <w:t>0 . 2 %</w:t>
            </w:r>
          </w:p>
        </w:tc>
      </w:tr>
      <w:tr>
        <w:trPr>
          <w:trHeight w:val="335" w:hRule="atLeast"/>
        </w:trPr>
        <w:tc>
          <w:tcPr>
            <w:tcW w:w="471" w:type="dxa"/>
          </w:tcPr>
          <w:p>
            <w:pPr>
              <w:pStyle w:val="TableParagraph"/>
              <w:spacing w:before="85"/>
              <w:ind w:left="125"/>
              <w:rPr>
                <w:sz w:val="14"/>
              </w:rPr>
            </w:pPr>
            <w:r>
              <w:rPr>
                <w:sz w:val="14"/>
              </w:rPr>
              <w:t>420</w:t>
            </w:r>
          </w:p>
        </w:tc>
        <w:tc>
          <w:tcPr>
            <w:tcW w:w="5239" w:type="dxa"/>
          </w:tcPr>
          <w:p>
            <w:pPr>
              <w:pStyle w:val="TableParagraph"/>
              <w:spacing w:before="85"/>
              <w:ind w:left="95"/>
              <w:rPr>
                <w:sz w:val="14"/>
              </w:rPr>
            </w:pPr>
            <w:r>
              <w:rPr>
                <w:sz w:val="14"/>
              </w:rPr>
              <w:t>Sierra Leone Environment Protection Agency (SLEPA)</w:t>
            </w:r>
          </w:p>
        </w:tc>
        <w:tc>
          <w:tcPr>
            <w:tcW w:w="2192" w:type="dxa"/>
          </w:tcPr>
          <w:p>
            <w:pPr>
              <w:pStyle w:val="TableParagraph"/>
              <w:spacing w:before="85"/>
              <w:ind w:right="531"/>
              <w:jc w:val="right"/>
              <w:rPr>
                <w:b/>
                <w:sz w:val="14"/>
              </w:rPr>
            </w:pPr>
            <w:r>
              <w:rPr>
                <w:b/>
                <w:sz w:val="14"/>
              </w:rPr>
              <w:t>28,541.6</w:t>
            </w:r>
          </w:p>
        </w:tc>
        <w:tc>
          <w:tcPr>
            <w:tcW w:w="1488" w:type="dxa"/>
          </w:tcPr>
          <w:p>
            <w:pPr>
              <w:pStyle w:val="TableParagraph"/>
              <w:spacing w:before="85"/>
              <w:ind w:left="493"/>
              <w:rPr>
                <w:sz w:val="14"/>
              </w:rPr>
            </w:pPr>
            <w:r>
              <w:rPr>
                <w:sz w:val="14"/>
              </w:rPr>
              <w:t>1 . 4 %</w:t>
            </w:r>
          </w:p>
        </w:tc>
        <w:tc>
          <w:tcPr>
            <w:tcW w:w="1576" w:type="dxa"/>
          </w:tcPr>
          <w:p>
            <w:pPr>
              <w:pStyle w:val="TableParagraph"/>
              <w:spacing w:before="85"/>
              <w:ind w:right="627"/>
              <w:jc w:val="right"/>
              <w:rPr>
                <w:sz w:val="14"/>
              </w:rPr>
            </w:pPr>
            <w:r>
              <w:rPr>
                <w:sz w:val="14"/>
              </w:rPr>
              <w:t>26,087.5</w:t>
            </w:r>
          </w:p>
        </w:tc>
        <w:tc>
          <w:tcPr>
            <w:tcW w:w="1340" w:type="dxa"/>
          </w:tcPr>
          <w:p>
            <w:pPr>
              <w:pStyle w:val="TableParagraph"/>
              <w:spacing w:before="85"/>
              <w:ind w:left="434"/>
              <w:rPr>
                <w:sz w:val="14"/>
              </w:rPr>
            </w:pPr>
            <w:r>
              <w:rPr>
                <w:sz w:val="14"/>
              </w:rPr>
              <w:t>1 . 3 %</w:t>
            </w:r>
          </w:p>
        </w:tc>
        <w:tc>
          <w:tcPr>
            <w:tcW w:w="1240" w:type="dxa"/>
          </w:tcPr>
          <w:p>
            <w:pPr>
              <w:pStyle w:val="TableParagraph"/>
              <w:spacing w:before="85"/>
              <w:ind w:right="433"/>
              <w:jc w:val="right"/>
              <w:rPr>
                <w:sz w:val="14"/>
              </w:rPr>
            </w:pPr>
            <w:r>
              <w:rPr>
                <w:sz w:val="14"/>
              </w:rPr>
              <w:t>30,621.5</w:t>
            </w:r>
          </w:p>
        </w:tc>
        <w:tc>
          <w:tcPr>
            <w:tcW w:w="1248" w:type="dxa"/>
          </w:tcPr>
          <w:p>
            <w:pPr>
              <w:pStyle w:val="TableParagraph"/>
              <w:spacing w:before="85"/>
              <w:ind w:left="406" w:right="357"/>
              <w:jc w:val="center"/>
              <w:rPr>
                <w:sz w:val="14"/>
              </w:rPr>
            </w:pPr>
            <w:r>
              <w:rPr>
                <w:sz w:val="14"/>
              </w:rPr>
              <w:t>1 . 5 %</w:t>
            </w:r>
          </w:p>
        </w:tc>
      </w:tr>
      <w:tr>
        <w:trPr>
          <w:trHeight w:val="336" w:hRule="atLeast"/>
        </w:trPr>
        <w:tc>
          <w:tcPr>
            <w:tcW w:w="471" w:type="dxa"/>
          </w:tcPr>
          <w:p>
            <w:pPr>
              <w:pStyle w:val="TableParagraph"/>
              <w:spacing w:before="85"/>
              <w:ind w:left="125"/>
              <w:rPr>
                <w:sz w:val="14"/>
              </w:rPr>
            </w:pPr>
            <w:r>
              <w:rPr>
                <w:sz w:val="14"/>
              </w:rPr>
              <w:t>421</w:t>
            </w:r>
          </w:p>
        </w:tc>
        <w:tc>
          <w:tcPr>
            <w:tcW w:w="5239" w:type="dxa"/>
          </w:tcPr>
          <w:p>
            <w:pPr>
              <w:pStyle w:val="TableParagraph"/>
              <w:spacing w:before="85"/>
              <w:ind w:left="95"/>
              <w:rPr>
                <w:sz w:val="14"/>
              </w:rPr>
            </w:pPr>
            <w:r>
              <w:rPr>
                <w:sz w:val="14"/>
              </w:rPr>
              <w:t>Small and Medium Enterprises Development Agency (SMEDA)</w:t>
            </w:r>
          </w:p>
        </w:tc>
        <w:tc>
          <w:tcPr>
            <w:tcW w:w="2192" w:type="dxa"/>
          </w:tcPr>
          <w:p>
            <w:pPr>
              <w:pStyle w:val="TableParagraph"/>
              <w:spacing w:before="85"/>
              <w:ind w:right="529"/>
              <w:jc w:val="right"/>
              <w:rPr>
                <w:b/>
                <w:sz w:val="14"/>
              </w:rPr>
            </w:pPr>
            <w:r>
              <w:rPr>
                <w:b/>
                <w:sz w:val="14"/>
              </w:rPr>
              <w:t>1,439.2</w:t>
            </w:r>
          </w:p>
        </w:tc>
        <w:tc>
          <w:tcPr>
            <w:tcW w:w="1488" w:type="dxa"/>
          </w:tcPr>
          <w:p>
            <w:pPr>
              <w:pStyle w:val="TableParagraph"/>
              <w:spacing w:before="85"/>
              <w:ind w:left="493"/>
              <w:rPr>
                <w:sz w:val="14"/>
              </w:rPr>
            </w:pPr>
            <w:r>
              <w:rPr>
                <w:sz w:val="14"/>
              </w:rPr>
              <w:t>0 . 1 %</w:t>
            </w:r>
          </w:p>
        </w:tc>
        <w:tc>
          <w:tcPr>
            <w:tcW w:w="1576" w:type="dxa"/>
          </w:tcPr>
          <w:p>
            <w:pPr>
              <w:pStyle w:val="TableParagraph"/>
              <w:spacing w:before="85"/>
              <w:ind w:right="623"/>
              <w:jc w:val="right"/>
              <w:rPr>
                <w:sz w:val="14"/>
              </w:rPr>
            </w:pPr>
            <w:r>
              <w:rPr>
                <w:sz w:val="14"/>
              </w:rPr>
              <w:t>1,637 .7</w:t>
            </w:r>
          </w:p>
        </w:tc>
        <w:tc>
          <w:tcPr>
            <w:tcW w:w="1340" w:type="dxa"/>
          </w:tcPr>
          <w:p>
            <w:pPr>
              <w:pStyle w:val="TableParagraph"/>
              <w:spacing w:before="85"/>
              <w:ind w:left="434"/>
              <w:rPr>
                <w:sz w:val="14"/>
              </w:rPr>
            </w:pPr>
            <w:r>
              <w:rPr>
                <w:sz w:val="14"/>
              </w:rPr>
              <w:t>0 . 1 %</w:t>
            </w:r>
          </w:p>
        </w:tc>
        <w:tc>
          <w:tcPr>
            <w:tcW w:w="1240" w:type="dxa"/>
          </w:tcPr>
          <w:p>
            <w:pPr>
              <w:pStyle w:val="TableParagraph"/>
              <w:spacing w:before="85"/>
              <w:ind w:right="424"/>
              <w:jc w:val="right"/>
              <w:rPr>
                <w:sz w:val="14"/>
              </w:rPr>
            </w:pPr>
            <w:r>
              <w:rPr>
                <w:sz w:val="14"/>
              </w:rPr>
              <w:t>1,735 .8</w:t>
            </w:r>
          </w:p>
        </w:tc>
        <w:tc>
          <w:tcPr>
            <w:tcW w:w="1248" w:type="dxa"/>
          </w:tcPr>
          <w:p>
            <w:pPr>
              <w:pStyle w:val="TableParagraph"/>
              <w:spacing w:before="85"/>
              <w:ind w:left="406" w:right="357"/>
              <w:jc w:val="center"/>
              <w:rPr>
                <w:sz w:val="14"/>
              </w:rPr>
            </w:pPr>
            <w:r>
              <w:rPr>
                <w:sz w:val="14"/>
              </w:rPr>
              <w:t>0 . 1 %</w:t>
            </w:r>
          </w:p>
        </w:tc>
      </w:tr>
      <w:tr>
        <w:trPr>
          <w:trHeight w:val="336" w:hRule="atLeast"/>
        </w:trPr>
        <w:tc>
          <w:tcPr>
            <w:tcW w:w="471" w:type="dxa"/>
          </w:tcPr>
          <w:p>
            <w:pPr>
              <w:pStyle w:val="TableParagraph"/>
              <w:spacing w:before="85"/>
              <w:ind w:left="125"/>
              <w:rPr>
                <w:sz w:val="14"/>
              </w:rPr>
            </w:pPr>
            <w:r>
              <w:rPr>
                <w:sz w:val="14"/>
              </w:rPr>
              <w:t>422</w:t>
            </w:r>
          </w:p>
        </w:tc>
        <w:tc>
          <w:tcPr>
            <w:tcW w:w="5239" w:type="dxa"/>
          </w:tcPr>
          <w:p>
            <w:pPr>
              <w:pStyle w:val="TableParagraph"/>
              <w:spacing w:before="85"/>
              <w:ind w:left="95"/>
              <w:rPr>
                <w:sz w:val="14"/>
              </w:rPr>
            </w:pPr>
            <w:r>
              <w:rPr>
                <w:sz w:val="14"/>
              </w:rPr>
              <w:t>Sierra Leone Meteorological Agency</w:t>
            </w:r>
          </w:p>
        </w:tc>
        <w:tc>
          <w:tcPr>
            <w:tcW w:w="2192" w:type="dxa"/>
          </w:tcPr>
          <w:p>
            <w:pPr>
              <w:pStyle w:val="TableParagraph"/>
              <w:spacing w:before="85"/>
              <w:ind w:right="529"/>
              <w:jc w:val="right"/>
              <w:rPr>
                <w:b/>
                <w:sz w:val="14"/>
              </w:rPr>
            </w:pPr>
            <w:r>
              <w:rPr>
                <w:b/>
                <w:sz w:val="14"/>
              </w:rPr>
              <w:t>1,408.8</w:t>
            </w:r>
          </w:p>
        </w:tc>
        <w:tc>
          <w:tcPr>
            <w:tcW w:w="1488" w:type="dxa"/>
          </w:tcPr>
          <w:p>
            <w:pPr>
              <w:pStyle w:val="TableParagraph"/>
              <w:spacing w:before="85"/>
              <w:ind w:left="493"/>
              <w:rPr>
                <w:sz w:val="14"/>
              </w:rPr>
            </w:pPr>
            <w:r>
              <w:rPr>
                <w:sz w:val="14"/>
              </w:rPr>
              <w:t>0 . 1 %</w:t>
            </w:r>
          </w:p>
        </w:tc>
        <w:tc>
          <w:tcPr>
            <w:tcW w:w="1576" w:type="dxa"/>
          </w:tcPr>
          <w:p>
            <w:pPr>
              <w:pStyle w:val="TableParagraph"/>
              <w:spacing w:before="85"/>
              <w:ind w:right="623"/>
              <w:jc w:val="right"/>
              <w:rPr>
                <w:sz w:val="14"/>
              </w:rPr>
            </w:pPr>
            <w:r>
              <w:rPr>
                <w:sz w:val="14"/>
              </w:rPr>
              <w:t>1,735 .3</w:t>
            </w:r>
          </w:p>
        </w:tc>
        <w:tc>
          <w:tcPr>
            <w:tcW w:w="1340" w:type="dxa"/>
          </w:tcPr>
          <w:p>
            <w:pPr>
              <w:pStyle w:val="TableParagraph"/>
              <w:spacing w:before="85"/>
              <w:ind w:left="434"/>
              <w:rPr>
                <w:sz w:val="14"/>
              </w:rPr>
            </w:pPr>
            <w:r>
              <w:rPr>
                <w:sz w:val="14"/>
              </w:rPr>
              <w:t>0 . 1 %</w:t>
            </w:r>
          </w:p>
        </w:tc>
        <w:tc>
          <w:tcPr>
            <w:tcW w:w="1240" w:type="dxa"/>
          </w:tcPr>
          <w:p>
            <w:pPr>
              <w:pStyle w:val="TableParagraph"/>
              <w:spacing w:before="85"/>
              <w:ind w:right="424"/>
              <w:jc w:val="right"/>
              <w:rPr>
                <w:sz w:val="14"/>
              </w:rPr>
            </w:pPr>
            <w:r>
              <w:rPr>
                <w:sz w:val="14"/>
              </w:rPr>
              <w:t>1,839 .3</w:t>
            </w:r>
          </w:p>
        </w:tc>
        <w:tc>
          <w:tcPr>
            <w:tcW w:w="1248" w:type="dxa"/>
          </w:tcPr>
          <w:p>
            <w:pPr>
              <w:pStyle w:val="TableParagraph"/>
              <w:spacing w:before="85"/>
              <w:ind w:left="406" w:right="357"/>
              <w:jc w:val="center"/>
              <w:rPr>
                <w:sz w:val="14"/>
              </w:rPr>
            </w:pPr>
            <w:r>
              <w:rPr>
                <w:sz w:val="14"/>
              </w:rPr>
              <w:t>0 . 1 %</w:t>
            </w:r>
          </w:p>
        </w:tc>
      </w:tr>
      <w:tr>
        <w:trPr>
          <w:trHeight w:val="335" w:hRule="atLeast"/>
        </w:trPr>
        <w:tc>
          <w:tcPr>
            <w:tcW w:w="471" w:type="dxa"/>
          </w:tcPr>
          <w:p>
            <w:pPr>
              <w:pStyle w:val="TableParagraph"/>
              <w:spacing w:before="85"/>
              <w:ind w:left="125"/>
              <w:rPr>
                <w:sz w:val="14"/>
              </w:rPr>
            </w:pPr>
            <w:r>
              <w:rPr>
                <w:sz w:val="14"/>
              </w:rPr>
              <w:t>423</w:t>
            </w:r>
          </w:p>
        </w:tc>
        <w:tc>
          <w:tcPr>
            <w:tcW w:w="5239" w:type="dxa"/>
          </w:tcPr>
          <w:p>
            <w:pPr>
              <w:pStyle w:val="TableParagraph"/>
              <w:spacing w:before="85"/>
              <w:ind w:left="95"/>
              <w:rPr>
                <w:sz w:val="14"/>
              </w:rPr>
            </w:pPr>
            <w:r>
              <w:rPr>
                <w:sz w:val="14"/>
              </w:rPr>
              <w:t>Sierra Leone Petroleum Regulation Agency</w:t>
            </w:r>
          </w:p>
        </w:tc>
        <w:tc>
          <w:tcPr>
            <w:tcW w:w="2192" w:type="dxa"/>
          </w:tcPr>
          <w:p>
            <w:pPr>
              <w:pStyle w:val="TableParagraph"/>
              <w:spacing w:before="85"/>
              <w:ind w:right="531"/>
              <w:jc w:val="right"/>
              <w:rPr>
                <w:b/>
                <w:sz w:val="14"/>
              </w:rPr>
            </w:pPr>
            <w:r>
              <w:rPr>
                <w:b/>
                <w:sz w:val="14"/>
              </w:rPr>
              <w:t>10,216.7</w:t>
            </w:r>
          </w:p>
        </w:tc>
        <w:tc>
          <w:tcPr>
            <w:tcW w:w="1488" w:type="dxa"/>
          </w:tcPr>
          <w:p>
            <w:pPr>
              <w:pStyle w:val="TableParagraph"/>
              <w:spacing w:before="85"/>
              <w:ind w:left="493"/>
              <w:rPr>
                <w:sz w:val="14"/>
              </w:rPr>
            </w:pPr>
            <w:r>
              <w:rPr>
                <w:sz w:val="14"/>
              </w:rPr>
              <w:t>0 . 5 %</w:t>
            </w:r>
          </w:p>
        </w:tc>
        <w:tc>
          <w:tcPr>
            <w:tcW w:w="1576" w:type="dxa"/>
          </w:tcPr>
          <w:p>
            <w:pPr>
              <w:pStyle w:val="TableParagraph"/>
              <w:spacing w:before="85"/>
              <w:ind w:right="627"/>
              <w:jc w:val="right"/>
              <w:rPr>
                <w:sz w:val="14"/>
              </w:rPr>
            </w:pPr>
            <w:r>
              <w:rPr>
                <w:sz w:val="14"/>
              </w:rPr>
              <w:t>11,128.0</w:t>
            </w:r>
          </w:p>
        </w:tc>
        <w:tc>
          <w:tcPr>
            <w:tcW w:w="1340" w:type="dxa"/>
          </w:tcPr>
          <w:p>
            <w:pPr>
              <w:pStyle w:val="TableParagraph"/>
              <w:spacing w:before="85"/>
              <w:ind w:left="434"/>
              <w:rPr>
                <w:sz w:val="14"/>
              </w:rPr>
            </w:pPr>
            <w:r>
              <w:rPr>
                <w:sz w:val="14"/>
              </w:rPr>
              <w:t>0 . 5 %</w:t>
            </w:r>
          </w:p>
        </w:tc>
        <w:tc>
          <w:tcPr>
            <w:tcW w:w="1240" w:type="dxa"/>
          </w:tcPr>
          <w:p>
            <w:pPr>
              <w:pStyle w:val="TableParagraph"/>
              <w:spacing w:before="85"/>
              <w:ind w:right="433"/>
              <w:jc w:val="right"/>
              <w:rPr>
                <w:sz w:val="14"/>
              </w:rPr>
            </w:pPr>
            <w:r>
              <w:rPr>
                <w:sz w:val="14"/>
              </w:rPr>
              <w:t>13,062.1</w:t>
            </w:r>
          </w:p>
        </w:tc>
        <w:tc>
          <w:tcPr>
            <w:tcW w:w="1248" w:type="dxa"/>
          </w:tcPr>
          <w:p>
            <w:pPr>
              <w:pStyle w:val="TableParagraph"/>
              <w:spacing w:before="85"/>
              <w:ind w:left="406" w:right="357"/>
              <w:jc w:val="center"/>
              <w:rPr>
                <w:sz w:val="14"/>
              </w:rPr>
            </w:pPr>
            <w:r>
              <w:rPr>
                <w:sz w:val="14"/>
              </w:rPr>
              <w:t>0 . 6 %</w:t>
            </w:r>
          </w:p>
        </w:tc>
      </w:tr>
      <w:tr>
        <w:trPr>
          <w:trHeight w:val="336" w:hRule="atLeast"/>
        </w:trPr>
        <w:tc>
          <w:tcPr>
            <w:tcW w:w="471" w:type="dxa"/>
          </w:tcPr>
          <w:p>
            <w:pPr>
              <w:pStyle w:val="TableParagraph"/>
              <w:spacing w:before="85"/>
              <w:ind w:left="125"/>
              <w:rPr>
                <w:sz w:val="14"/>
              </w:rPr>
            </w:pPr>
            <w:r>
              <w:rPr>
                <w:sz w:val="14"/>
              </w:rPr>
              <w:t>424</w:t>
            </w:r>
          </w:p>
        </w:tc>
        <w:tc>
          <w:tcPr>
            <w:tcW w:w="5239" w:type="dxa"/>
          </w:tcPr>
          <w:p>
            <w:pPr>
              <w:pStyle w:val="TableParagraph"/>
              <w:spacing w:before="85"/>
              <w:ind w:left="95"/>
              <w:rPr>
                <w:sz w:val="14"/>
              </w:rPr>
            </w:pPr>
            <w:r>
              <w:rPr>
                <w:sz w:val="14"/>
              </w:rPr>
              <w:t>Sierra Leone Petroleum Directorate</w:t>
            </w:r>
          </w:p>
        </w:tc>
        <w:tc>
          <w:tcPr>
            <w:tcW w:w="2192" w:type="dxa"/>
          </w:tcPr>
          <w:p>
            <w:pPr>
              <w:pStyle w:val="TableParagraph"/>
              <w:spacing w:before="85"/>
              <w:ind w:right="529"/>
              <w:jc w:val="right"/>
              <w:rPr>
                <w:b/>
                <w:sz w:val="14"/>
              </w:rPr>
            </w:pPr>
            <w:r>
              <w:rPr>
                <w:b/>
                <w:sz w:val="14"/>
              </w:rPr>
              <w:t>6,000.0</w:t>
            </w:r>
          </w:p>
        </w:tc>
        <w:tc>
          <w:tcPr>
            <w:tcW w:w="1488" w:type="dxa"/>
          </w:tcPr>
          <w:p>
            <w:pPr>
              <w:pStyle w:val="TableParagraph"/>
              <w:spacing w:before="85"/>
              <w:ind w:left="493"/>
              <w:rPr>
                <w:sz w:val="14"/>
              </w:rPr>
            </w:pPr>
            <w:r>
              <w:rPr>
                <w:sz w:val="14"/>
              </w:rPr>
              <w:t>0 . 3 %</w:t>
            </w:r>
          </w:p>
        </w:tc>
        <w:tc>
          <w:tcPr>
            <w:tcW w:w="1576" w:type="dxa"/>
          </w:tcPr>
          <w:p>
            <w:pPr>
              <w:pStyle w:val="TableParagraph"/>
              <w:spacing w:before="85"/>
              <w:ind w:right="623"/>
              <w:jc w:val="right"/>
              <w:rPr>
                <w:sz w:val="14"/>
              </w:rPr>
            </w:pPr>
            <w:r>
              <w:rPr>
                <w:sz w:val="14"/>
              </w:rPr>
              <w:t>6,535 .2</w:t>
            </w:r>
          </w:p>
        </w:tc>
        <w:tc>
          <w:tcPr>
            <w:tcW w:w="1340" w:type="dxa"/>
          </w:tcPr>
          <w:p>
            <w:pPr>
              <w:pStyle w:val="TableParagraph"/>
              <w:spacing w:before="85"/>
              <w:ind w:left="434"/>
              <w:rPr>
                <w:sz w:val="14"/>
              </w:rPr>
            </w:pPr>
            <w:r>
              <w:rPr>
                <w:sz w:val="14"/>
              </w:rPr>
              <w:t>0 . 3 %</w:t>
            </w:r>
          </w:p>
        </w:tc>
        <w:tc>
          <w:tcPr>
            <w:tcW w:w="1240" w:type="dxa"/>
          </w:tcPr>
          <w:p>
            <w:pPr>
              <w:pStyle w:val="TableParagraph"/>
              <w:spacing w:before="85"/>
              <w:ind w:right="424"/>
              <w:jc w:val="right"/>
              <w:rPr>
                <w:sz w:val="14"/>
              </w:rPr>
            </w:pPr>
            <w:r>
              <w:rPr>
                <w:sz w:val="14"/>
              </w:rPr>
              <w:t>7,671 .0</w:t>
            </w:r>
          </w:p>
        </w:tc>
        <w:tc>
          <w:tcPr>
            <w:tcW w:w="1248" w:type="dxa"/>
          </w:tcPr>
          <w:p>
            <w:pPr>
              <w:pStyle w:val="TableParagraph"/>
              <w:spacing w:before="85"/>
              <w:ind w:left="406" w:right="357"/>
              <w:jc w:val="center"/>
              <w:rPr>
                <w:sz w:val="14"/>
              </w:rPr>
            </w:pPr>
            <w:r>
              <w:rPr>
                <w:sz w:val="14"/>
              </w:rPr>
              <w:t>0 . 4 %</w:t>
            </w:r>
          </w:p>
        </w:tc>
      </w:tr>
      <w:tr>
        <w:trPr>
          <w:trHeight w:val="280" w:hRule="atLeast"/>
        </w:trPr>
        <w:tc>
          <w:tcPr>
            <w:tcW w:w="471" w:type="dxa"/>
          </w:tcPr>
          <w:p>
            <w:pPr>
              <w:pStyle w:val="TableParagraph"/>
              <w:spacing w:before="85"/>
              <w:ind w:left="125"/>
              <w:rPr>
                <w:sz w:val="14"/>
              </w:rPr>
            </w:pPr>
            <w:r>
              <w:rPr>
                <w:sz w:val="14"/>
              </w:rPr>
              <w:t>425</w:t>
            </w:r>
          </w:p>
        </w:tc>
        <w:tc>
          <w:tcPr>
            <w:tcW w:w="5239" w:type="dxa"/>
          </w:tcPr>
          <w:p>
            <w:pPr>
              <w:pStyle w:val="TableParagraph"/>
              <w:spacing w:before="85"/>
              <w:ind w:left="95"/>
              <w:rPr>
                <w:sz w:val="14"/>
              </w:rPr>
            </w:pPr>
            <w:r>
              <w:rPr>
                <w:sz w:val="14"/>
              </w:rPr>
              <w:t>Sierra Leone Road Safety Authority</w:t>
            </w:r>
          </w:p>
        </w:tc>
        <w:tc>
          <w:tcPr>
            <w:tcW w:w="2192" w:type="dxa"/>
          </w:tcPr>
          <w:p>
            <w:pPr>
              <w:pStyle w:val="TableParagraph"/>
              <w:spacing w:before="85"/>
              <w:ind w:right="531"/>
              <w:jc w:val="right"/>
              <w:rPr>
                <w:b/>
                <w:sz w:val="14"/>
              </w:rPr>
            </w:pPr>
            <w:r>
              <w:rPr>
                <w:b/>
                <w:sz w:val="14"/>
              </w:rPr>
              <w:t>41,243.9</w:t>
            </w:r>
          </w:p>
        </w:tc>
        <w:tc>
          <w:tcPr>
            <w:tcW w:w="1488" w:type="dxa"/>
          </w:tcPr>
          <w:p>
            <w:pPr>
              <w:pStyle w:val="TableParagraph"/>
              <w:spacing w:before="85"/>
              <w:ind w:left="493"/>
              <w:rPr>
                <w:sz w:val="14"/>
              </w:rPr>
            </w:pPr>
            <w:r>
              <w:rPr>
                <w:sz w:val="14"/>
              </w:rPr>
              <w:t>2 . 0 %</w:t>
            </w:r>
          </w:p>
        </w:tc>
        <w:tc>
          <w:tcPr>
            <w:tcW w:w="1576" w:type="dxa"/>
          </w:tcPr>
          <w:p>
            <w:pPr>
              <w:pStyle w:val="TableParagraph"/>
              <w:spacing w:before="85"/>
              <w:ind w:right="627"/>
              <w:jc w:val="right"/>
              <w:rPr>
                <w:sz w:val="14"/>
              </w:rPr>
            </w:pPr>
            <w:r>
              <w:rPr>
                <w:sz w:val="14"/>
              </w:rPr>
              <w:t>44,922.8</w:t>
            </w:r>
          </w:p>
        </w:tc>
        <w:tc>
          <w:tcPr>
            <w:tcW w:w="1340" w:type="dxa"/>
          </w:tcPr>
          <w:p>
            <w:pPr>
              <w:pStyle w:val="TableParagraph"/>
              <w:spacing w:before="85"/>
              <w:ind w:left="434"/>
              <w:rPr>
                <w:sz w:val="14"/>
              </w:rPr>
            </w:pPr>
            <w:r>
              <w:rPr>
                <w:sz w:val="14"/>
              </w:rPr>
              <w:t>2 . 2 %</w:t>
            </w:r>
          </w:p>
        </w:tc>
        <w:tc>
          <w:tcPr>
            <w:tcW w:w="1240" w:type="dxa"/>
          </w:tcPr>
          <w:p>
            <w:pPr>
              <w:pStyle w:val="TableParagraph"/>
              <w:spacing w:before="85"/>
              <w:ind w:right="433"/>
              <w:jc w:val="right"/>
              <w:rPr>
                <w:sz w:val="14"/>
              </w:rPr>
            </w:pPr>
            <w:r>
              <w:rPr>
                <w:sz w:val="14"/>
              </w:rPr>
              <w:t>52,730.4</w:t>
            </w:r>
          </w:p>
        </w:tc>
        <w:tc>
          <w:tcPr>
            <w:tcW w:w="1248" w:type="dxa"/>
          </w:tcPr>
          <w:p>
            <w:pPr>
              <w:pStyle w:val="TableParagraph"/>
              <w:spacing w:before="85"/>
              <w:ind w:left="406" w:right="357"/>
              <w:jc w:val="center"/>
              <w:rPr>
                <w:sz w:val="14"/>
              </w:rPr>
            </w:pPr>
            <w:r>
              <w:rPr>
                <w:sz w:val="14"/>
              </w:rPr>
              <w:t>2 . 5 %</w:t>
            </w:r>
          </w:p>
        </w:tc>
      </w:tr>
    </w:tbl>
    <w:p>
      <w:pPr>
        <w:pStyle w:val="BodyText"/>
        <w:rPr>
          <w:rFonts w:ascii="Times New Roman"/>
          <w:sz w:val="20"/>
        </w:rPr>
      </w:pPr>
    </w:p>
    <w:p>
      <w:pPr>
        <w:pStyle w:val="BodyText"/>
        <w:spacing w:before="9" w:after="1"/>
        <w:rPr>
          <w:rFonts w:ascii="Times New Roman"/>
          <w:sz w:val="18"/>
        </w:rPr>
      </w:pPr>
    </w:p>
    <w:tbl>
      <w:tblPr>
        <w:tblW w:w="0" w:type="auto"/>
        <w:jc w:val="left"/>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
        <w:gridCol w:w="4618"/>
        <w:gridCol w:w="2799"/>
        <w:gridCol w:w="1313"/>
        <w:gridCol w:w="1669"/>
        <w:gridCol w:w="1223"/>
        <w:gridCol w:w="1468"/>
        <w:gridCol w:w="853"/>
      </w:tblGrid>
      <w:tr>
        <w:trPr>
          <w:trHeight w:val="196" w:hRule="atLeast"/>
        </w:trPr>
        <w:tc>
          <w:tcPr>
            <w:tcW w:w="205" w:type="dxa"/>
          </w:tcPr>
          <w:p>
            <w:pPr>
              <w:pStyle w:val="TableParagraph"/>
              <w:spacing w:line="147" w:lineRule="exact" w:before="29"/>
              <w:ind w:left="34"/>
              <w:rPr>
                <w:b/>
                <w:sz w:val="14"/>
              </w:rPr>
            </w:pPr>
            <w:r>
              <w:rPr>
                <w:b/>
                <w:w w:val="99"/>
                <w:sz w:val="14"/>
              </w:rPr>
              <w:t>6</w:t>
            </w:r>
          </w:p>
        </w:tc>
        <w:tc>
          <w:tcPr>
            <w:tcW w:w="4618" w:type="dxa"/>
          </w:tcPr>
          <w:p>
            <w:pPr>
              <w:pStyle w:val="TableParagraph"/>
              <w:spacing w:line="147" w:lineRule="exact" w:before="29"/>
              <w:ind w:left="92"/>
              <w:rPr>
                <w:b/>
                <w:sz w:val="14"/>
              </w:rPr>
            </w:pPr>
            <w:r>
              <w:rPr>
                <w:b/>
                <w:sz w:val="14"/>
              </w:rPr>
              <w:t>CONTINGENCY EXPENDITURE</w:t>
            </w:r>
          </w:p>
        </w:tc>
        <w:tc>
          <w:tcPr>
            <w:tcW w:w="2799" w:type="dxa"/>
          </w:tcPr>
          <w:p>
            <w:pPr>
              <w:pStyle w:val="TableParagraph"/>
              <w:spacing w:line="147" w:lineRule="exact" w:before="29"/>
              <w:ind w:right="517"/>
              <w:jc w:val="right"/>
              <w:rPr>
                <w:b/>
                <w:sz w:val="14"/>
              </w:rPr>
            </w:pPr>
            <w:r>
              <w:rPr>
                <w:b/>
                <w:sz w:val="14"/>
              </w:rPr>
              <w:t>3,759.7</w:t>
            </w:r>
          </w:p>
        </w:tc>
        <w:tc>
          <w:tcPr>
            <w:tcW w:w="1313" w:type="dxa"/>
          </w:tcPr>
          <w:p>
            <w:pPr>
              <w:pStyle w:val="TableParagraph"/>
              <w:spacing w:line="147" w:lineRule="exact" w:before="29"/>
              <w:ind w:right="441"/>
              <w:jc w:val="right"/>
              <w:rPr>
                <w:b/>
                <w:sz w:val="14"/>
              </w:rPr>
            </w:pPr>
            <w:r>
              <w:rPr>
                <w:b/>
                <w:sz w:val="14"/>
              </w:rPr>
              <w:t>0.2%</w:t>
            </w:r>
          </w:p>
        </w:tc>
        <w:tc>
          <w:tcPr>
            <w:tcW w:w="1669" w:type="dxa"/>
          </w:tcPr>
          <w:p>
            <w:pPr>
              <w:pStyle w:val="TableParagraph"/>
              <w:spacing w:line="147" w:lineRule="exact" w:before="29"/>
              <w:ind w:right="554"/>
              <w:jc w:val="right"/>
              <w:rPr>
                <w:b/>
                <w:sz w:val="14"/>
              </w:rPr>
            </w:pPr>
            <w:r>
              <w:rPr>
                <w:b/>
                <w:sz w:val="14"/>
              </w:rPr>
              <w:t>90,012.0</w:t>
            </w:r>
          </w:p>
        </w:tc>
        <w:tc>
          <w:tcPr>
            <w:tcW w:w="1223" w:type="dxa"/>
          </w:tcPr>
          <w:p>
            <w:pPr>
              <w:pStyle w:val="TableParagraph"/>
              <w:spacing w:line="147" w:lineRule="exact" w:before="29"/>
              <w:ind w:right="328"/>
              <w:jc w:val="right"/>
              <w:rPr>
                <w:b/>
                <w:sz w:val="14"/>
              </w:rPr>
            </w:pPr>
            <w:r>
              <w:rPr>
                <w:b/>
                <w:sz w:val="14"/>
              </w:rPr>
              <w:t>4.3%</w:t>
            </w:r>
          </w:p>
        </w:tc>
        <w:tc>
          <w:tcPr>
            <w:tcW w:w="1468" w:type="dxa"/>
          </w:tcPr>
          <w:p>
            <w:pPr>
              <w:pStyle w:val="TableParagraph"/>
              <w:spacing w:line="147" w:lineRule="exact" w:before="29"/>
              <w:ind w:right="466"/>
              <w:jc w:val="right"/>
              <w:rPr>
                <w:b/>
                <w:sz w:val="14"/>
              </w:rPr>
            </w:pPr>
            <w:r>
              <w:rPr>
                <w:b/>
                <w:sz w:val="14"/>
              </w:rPr>
              <w:t>90,000.0</w:t>
            </w:r>
          </w:p>
        </w:tc>
        <w:tc>
          <w:tcPr>
            <w:tcW w:w="853" w:type="dxa"/>
          </w:tcPr>
          <w:p>
            <w:pPr>
              <w:pStyle w:val="TableParagraph"/>
              <w:spacing w:line="147" w:lineRule="exact" w:before="29"/>
              <w:ind w:right="38"/>
              <w:jc w:val="right"/>
              <w:rPr>
                <w:b/>
                <w:sz w:val="14"/>
              </w:rPr>
            </w:pPr>
            <w:r>
              <w:rPr>
                <w:b/>
                <w:sz w:val="14"/>
              </w:rPr>
              <w:t>4.3%</w:t>
            </w:r>
          </w:p>
        </w:tc>
      </w:tr>
      <w:tr>
        <w:trPr>
          <w:trHeight w:val="168" w:hRule="atLeast"/>
        </w:trPr>
        <w:tc>
          <w:tcPr>
            <w:tcW w:w="205" w:type="dxa"/>
          </w:tcPr>
          <w:p>
            <w:pPr>
              <w:pStyle w:val="TableParagraph"/>
              <w:rPr>
                <w:rFonts w:ascii="Times New Roman"/>
                <w:sz w:val="10"/>
              </w:rPr>
            </w:pPr>
          </w:p>
        </w:tc>
        <w:tc>
          <w:tcPr>
            <w:tcW w:w="4618" w:type="dxa"/>
          </w:tcPr>
          <w:p>
            <w:pPr>
              <w:pStyle w:val="TableParagraph"/>
              <w:spacing w:line="147" w:lineRule="exact" w:before="1"/>
              <w:ind w:left="92"/>
              <w:rPr>
                <w:sz w:val="14"/>
              </w:rPr>
            </w:pPr>
            <w:r>
              <w:rPr>
                <w:sz w:val="14"/>
              </w:rPr>
              <w:t>Contingency Fund</w:t>
            </w:r>
          </w:p>
        </w:tc>
        <w:tc>
          <w:tcPr>
            <w:tcW w:w="2799" w:type="dxa"/>
          </w:tcPr>
          <w:p>
            <w:pPr>
              <w:pStyle w:val="TableParagraph"/>
              <w:spacing w:line="147" w:lineRule="exact" w:before="1"/>
              <w:ind w:right="517"/>
              <w:jc w:val="right"/>
              <w:rPr>
                <w:b/>
                <w:sz w:val="14"/>
              </w:rPr>
            </w:pPr>
            <w:r>
              <w:rPr>
                <w:b/>
                <w:sz w:val="14"/>
              </w:rPr>
              <w:t>1,879.8</w:t>
            </w:r>
          </w:p>
        </w:tc>
        <w:tc>
          <w:tcPr>
            <w:tcW w:w="1313" w:type="dxa"/>
          </w:tcPr>
          <w:p>
            <w:pPr>
              <w:pStyle w:val="TableParagraph"/>
              <w:spacing w:line="147" w:lineRule="exact" w:before="1"/>
              <w:ind w:right="430"/>
              <w:jc w:val="right"/>
              <w:rPr>
                <w:sz w:val="14"/>
              </w:rPr>
            </w:pPr>
            <w:r>
              <w:rPr>
                <w:sz w:val="14"/>
              </w:rPr>
              <w:t>0 . 1 %</w:t>
            </w:r>
          </w:p>
        </w:tc>
        <w:tc>
          <w:tcPr>
            <w:tcW w:w="1669" w:type="dxa"/>
          </w:tcPr>
          <w:p>
            <w:pPr>
              <w:pStyle w:val="TableParagraph"/>
              <w:spacing w:line="147" w:lineRule="exact" w:before="1"/>
              <w:ind w:right="534"/>
              <w:jc w:val="right"/>
              <w:rPr>
                <w:sz w:val="14"/>
              </w:rPr>
            </w:pPr>
            <w:r>
              <w:rPr>
                <w:sz w:val="14"/>
              </w:rPr>
              <w:t>50,000.0</w:t>
            </w:r>
          </w:p>
        </w:tc>
        <w:tc>
          <w:tcPr>
            <w:tcW w:w="1223" w:type="dxa"/>
          </w:tcPr>
          <w:p>
            <w:pPr>
              <w:pStyle w:val="TableParagraph"/>
              <w:spacing w:line="147" w:lineRule="exact" w:before="1"/>
              <w:ind w:right="317"/>
              <w:jc w:val="right"/>
              <w:rPr>
                <w:sz w:val="14"/>
              </w:rPr>
            </w:pPr>
            <w:r>
              <w:rPr>
                <w:sz w:val="14"/>
              </w:rPr>
              <w:t>2 . 4 %</w:t>
            </w:r>
          </w:p>
        </w:tc>
        <w:tc>
          <w:tcPr>
            <w:tcW w:w="1468" w:type="dxa"/>
          </w:tcPr>
          <w:p>
            <w:pPr>
              <w:pStyle w:val="TableParagraph"/>
              <w:spacing w:line="147" w:lineRule="exact" w:before="1"/>
              <w:ind w:right="451"/>
              <w:jc w:val="right"/>
              <w:rPr>
                <w:sz w:val="14"/>
              </w:rPr>
            </w:pPr>
            <w:r>
              <w:rPr>
                <w:sz w:val="14"/>
              </w:rPr>
              <w:t>45,000.0</w:t>
            </w:r>
          </w:p>
        </w:tc>
        <w:tc>
          <w:tcPr>
            <w:tcW w:w="853" w:type="dxa"/>
          </w:tcPr>
          <w:p>
            <w:pPr>
              <w:pStyle w:val="TableParagraph"/>
              <w:spacing w:line="147" w:lineRule="exact" w:before="1"/>
              <w:ind w:right="32"/>
              <w:jc w:val="right"/>
              <w:rPr>
                <w:sz w:val="14"/>
              </w:rPr>
            </w:pPr>
            <w:r>
              <w:rPr>
                <w:sz w:val="14"/>
              </w:rPr>
              <w:t>2 . 2 %</w:t>
            </w:r>
          </w:p>
        </w:tc>
      </w:tr>
      <w:tr>
        <w:trPr>
          <w:trHeight w:val="167" w:hRule="atLeast"/>
        </w:trPr>
        <w:tc>
          <w:tcPr>
            <w:tcW w:w="205" w:type="dxa"/>
          </w:tcPr>
          <w:p>
            <w:pPr>
              <w:pStyle w:val="TableParagraph"/>
              <w:rPr>
                <w:rFonts w:ascii="Times New Roman"/>
                <w:sz w:val="10"/>
              </w:rPr>
            </w:pPr>
          </w:p>
        </w:tc>
        <w:tc>
          <w:tcPr>
            <w:tcW w:w="4618" w:type="dxa"/>
          </w:tcPr>
          <w:p>
            <w:pPr>
              <w:pStyle w:val="TableParagraph"/>
              <w:spacing w:line="147" w:lineRule="exact" w:before="1"/>
              <w:ind w:left="92"/>
              <w:rPr>
                <w:sz w:val="14"/>
              </w:rPr>
            </w:pPr>
            <w:r>
              <w:rPr>
                <w:sz w:val="14"/>
              </w:rPr>
              <w:t>Special Presidential Warrants</w:t>
            </w:r>
          </w:p>
        </w:tc>
        <w:tc>
          <w:tcPr>
            <w:tcW w:w="2799" w:type="dxa"/>
          </w:tcPr>
          <w:p>
            <w:pPr>
              <w:pStyle w:val="TableParagraph"/>
              <w:spacing w:line="147" w:lineRule="exact" w:before="1"/>
              <w:ind w:right="501"/>
              <w:jc w:val="right"/>
              <w:rPr>
                <w:b/>
                <w:sz w:val="14"/>
              </w:rPr>
            </w:pPr>
            <w:r>
              <w:rPr>
                <w:b/>
                <w:sz w:val="14"/>
              </w:rPr>
              <w:t>939.9</w:t>
            </w:r>
          </w:p>
        </w:tc>
        <w:tc>
          <w:tcPr>
            <w:tcW w:w="1313" w:type="dxa"/>
          </w:tcPr>
          <w:p>
            <w:pPr>
              <w:pStyle w:val="TableParagraph"/>
              <w:spacing w:line="147" w:lineRule="exact" w:before="1"/>
              <w:ind w:right="430"/>
              <w:jc w:val="right"/>
              <w:rPr>
                <w:sz w:val="14"/>
              </w:rPr>
            </w:pPr>
            <w:r>
              <w:rPr>
                <w:sz w:val="14"/>
              </w:rPr>
              <w:t>0 . 0 %</w:t>
            </w:r>
          </w:p>
        </w:tc>
        <w:tc>
          <w:tcPr>
            <w:tcW w:w="1669" w:type="dxa"/>
          </w:tcPr>
          <w:p>
            <w:pPr>
              <w:pStyle w:val="TableParagraph"/>
              <w:spacing w:line="147" w:lineRule="exact" w:before="1"/>
              <w:ind w:right="534"/>
              <w:jc w:val="right"/>
              <w:rPr>
                <w:sz w:val="14"/>
              </w:rPr>
            </w:pPr>
            <w:r>
              <w:rPr>
                <w:sz w:val="14"/>
              </w:rPr>
              <w:t>17,512.0</w:t>
            </w:r>
          </w:p>
        </w:tc>
        <w:tc>
          <w:tcPr>
            <w:tcW w:w="1223" w:type="dxa"/>
          </w:tcPr>
          <w:p>
            <w:pPr>
              <w:pStyle w:val="TableParagraph"/>
              <w:spacing w:line="147" w:lineRule="exact" w:before="1"/>
              <w:ind w:right="317"/>
              <w:jc w:val="right"/>
              <w:rPr>
                <w:sz w:val="14"/>
              </w:rPr>
            </w:pPr>
            <w:r>
              <w:rPr>
                <w:sz w:val="14"/>
              </w:rPr>
              <w:t>0 . 8 %</w:t>
            </w:r>
          </w:p>
        </w:tc>
        <w:tc>
          <w:tcPr>
            <w:tcW w:w="1468" w:type="dxa"/>
          </w:tcPr>
          <w:p>
            <w:pPr>
              <w:pStyle w:val="TableParagraph"/>
              <w:spacing w:line="147" w:lineRule="exact" w:before="1"/>
              <w:ind w:right="451"/>
              <w:jc w:val="right"/>
              <w:rPr>
                <w:sz w:val="14"/>
              </w:rPr>
            </w:pPr>
            <w:r>
              <w:rPr>
                <w:sz w:val="14"/>
              </w:rPr>
              <w:t>22,500.0</w:t>
            </w:r>
          </w:p>
        </w:tc>
        <w:tc>
          <w:tcPr>
            <w:tcW w:w="853" w:type="dxa"/>
          </w:tcPr>
          <w:p>
            <w:pPr>
              <w:pStyle w:val="TableParagraph"/>
              <w:spacing w:line="147" w:lineRule="exact" w:before="1"/>
              <w:ind w:right="32"/>
              <w:jc w:val="right"/>
              <w:rPr>
                <w:sz w:val="14"/>
              </w:rPr>
            </w:pPr>
            <w:r>
              <w:rPr>
                <w:sz w:val="14"/>
              </w:rPr>
              <w:t>1 . 1 %</w:t>
            </w:r>
          </w:p>
        </w:tc>
      </w:tr>
      <w:tr>
        <w:trPr>
          <w:trHeight w:val="252" w:hRule="atLeast"/>
        </w:trPr>
        <w:tc>
          <w:tcPr>
            <w:tcW w:w="205" w:type="dxa"/>
          </w:tcPr>
          <w:p>
            <w:pPr>
              <w:pStyle w:val="TableParagraph"/>
              <w:rPr>
                <w:rFonts w:ascii="Times New Roman"/>
                <w:sz w:val="14"/>
              </w:rPr>
            </w:pPr>
          </w:p>
        </w:tc>
        <w:tc>
          <w:tcPr>
            <w:tcW w:w="4618" w:type="dxa"/>
          </w:tcPr>
          <w:p>
            <w:pPr>
              <w:pStyle w:val="TableParagraph"/>
              <w:spacing w:before="1"/>
              <w:ind w:left="93"/>
              <w:rPr>
                <w:sz w:val="14"/>
              </w:rPr>
            </w:pPr>
            <w:r>
              <w:rPr>
                <w:sz w:val="14"/>
              </w:rPr>
              <w:t>Unallocated Expenditures</w:t>
            </w:r>
          </w:p>
        </w:tc>
        <w:tc>
          <w:tcPr>
            <w:tcW w:w="2799" w:type="dxa"/>
          </w:tcPr>
          <w:p>
            <w:pPr>
              <w:pStyle w:val="TableParagraph"/>
              <w:spacing w:before="1"/>
              <w:ind w:right="501"/>
              <w:jc w:val="right"/>
              <w:rPr>
                <w:b/>
                <w:sz w:val="14"/>
              </w:rPr>
            </w:pPr>
            <w:r>
              <w:rPr>
                <w:b/>
                <w:sz w:val="14"/>
              </w:rPr>
              <w:t>939.9</w:t>
            </w:r>
          </w:p>
        </w:tc>
        <w:tc>
          <w:tcPr>
            <w:tcW w:w="1313" w:type="dxa"/>
          </w:tcPr>
          <w:p>
            <w:pPr>
              <w:pStyle w:val="TableParagraph"/>
              <w:spacing w:before="1"/>
              <w:ind w:right="430"/>
              <w:jc w:val="right"/>
              <w:rPr>
                <w:sz w:val="14"/>
              </w:rPr>
            </w:pPr>
            <w:r>
              <w:rPr>
                <w:sz w:val="14"/>
              </w:rPr>
              <w:t>0 . 0 %</w:t>
            </w:r>
          </w:p>
        </w:tc>
        <w:tc>
          <w:tcPr>
            <w:tcW w:w="1669" w:type="dxa"/>
          </w:tcPr>
          <w:p>
            <w:pPr>
              <w:pStyle w:val="TableParagraph"/>
              <w:spacing w:before="1"/>
              <w:ind w:right="534"/>
              <w:jc w:val="right"/>
              <w:rPr>
                <w:sz w:val="14"/>
              </w:rPr>
            </w:pPr>
            <w:r>
              <w:rPr>
                <w:sz w:val="14"/>
              </w:rPr>
              <w:t>22,500.0</w:t>
            </w:r>
          </w:p>
        </w:tc>
        <w:tc>
          <w:tcPr>
            <w:tcW w:w="1223" w:type="dxa"/>
          </w:tcPr>
          <w:p>
            <w:pPr>
              <w:pStyle w:val="TableParagraph"/>
              <w:spacing w:before="1"/>
              <w:ind w:right="317"/>
              <w:jc w:val="right"/>
              <w:rPr>
                <w:sz w:val="14"/>
              </w:rPr>
            </w:pPr>
            <w:r>
              <w:rPr>
                <w:sz w:val="14"/>
              </w:rPr>
              <w:t>1 . 1 %</w:t>
            </w:r>
          </w:p>
        </w:tc>
        <w:tc>
          <w:tcPr>
            <w:tcW w:w="1468" w:type="dxa"/>
          </w:tcPr>
          <w:p>
            <w:pPr>
              <w:pStyle w:val="TableParagraph"/>
              <w:spacing w:before="1"/>
              <w:ind w:right="451"/>
              <w:jc w:val="right"/>
              <w:rPr>
                <w:sz w:val="14"/>
              </w:rPr>
            </w:pPr>
            <w:r>
              <w:rPr>
                <w:sz w:val="14"/>
              </w:rPr>
              <w:t>22,500.0</w:t>
            </w:r>
          </w:p>
        </w:tc>
        <w:tc>
          <w:tcPr>
            <w:tcW w:w="853" w:type="dxa"/>
          </w:tcPr>
          <w:p>
            <w:pPr>
              <w:pStyle w:val="TableParagraph"/>
              <w:spacing w:before="1"/>
              <w:ind w:right="32"/>
              <w:jc w:val="right"/>
              <w:rPr>
                <w:sz w:val="14"/>
              </w:rPr>
            </w:pPr>
            <w:r>
              <w:rPr>
                <w:sz w:val="14"/>
              </w:rPr>
              <w:t>1 . 1 %</w:t>
            </w:r>
          </w:p>
        </w:tc>
      </w:tr>
      <w:tr>
        <w:trPr>
          <w:trHeight w:val="336" w:hRule="atLeast"/>
        </w:trPr>
        <w:tc>
          <w:tcPr>
            <w:tcW w:w="205" w:type="dxa"/>
          </w:tcPr>
          <w:p>
            <w:pPr>
              <w:pStyle w:val="TableParagraph"/>
              <w:spacing w:before="85"/>
              <w:ind w:left="34"/>
              <w:rPr>
                <w:b/>
                <w:sz w:val="14"/>
              </w:rPr>
            </w:pPr>
            <w:r>
              <w:rPr>
                <w:b/>
                <w:w w:val="99"/>
                <w:sz w:val="14"/>
              </w:rPr>
              <w:t>7</w:t>
            </w:r>
          </w:p>
        </w:tc>
        <w:tc>
          <w:tcPr>
            <w:tcW w:w="4618" w:type="dxa"/>
          </w:tcPr>
          <w:p>
            <w:pPr>
              <w:pStyle w:val="TableParagraph"/>
              <w:spacing w:before="85"/>
              <w:ind w:left="93"/>
              <w:rPr>
                <w:b/>
                <w:sz w:val="14"/>
              </w:rPr>
            </w:pPr>
            <w:r>
              <w:rPr>
                <w:b/>
                <w:sz w:val="14"/>
              </w:rPr>
              <w:t>TRANSFERS TO LOCAL COUNCILS</w:t>
            </w:r>
          </w:p>
        </w:tc>
        <w:tc>
          <w:tcPr>
            <w:tcW w:w="2799" w:type="dxa"/>
          </w:tcPr>
          <w:p>
            <w:pPr>
              <w:pStyle w:val="TableParagraph"/>
              <w:spacing w:before="85"/>
              <w:ind w:right="527"/>
              <w:jc w:val="right"/>
              <w:rPr>
                <w:b/>
                <w:sz w:val="14"/>
              </w:rPr>
            </w:pPr>
            <w:r>
              <w:rPr>
                <w:b/>
                <w:sz w:val="14"/>
              </w:rPr>
              <w:t>113,183.2</w:t>
            </w:r>
          </w:p>
        </w:tc>
        <w:tc>
          <w:tcPr>
            <w:tcW w:w="1313" w:type="dxa"/>
          </w:tcPr>
          <w:p>
            <w:pPr>
              <w:pStyle w:val="TableParagraph"/>
              <w:spacing w:before="85"/>
              <w:ind w:right="441"/>
              <w:jc w:val="right"/>
              <w:rPr>
                <w:b/>
                <w:sz w:val="14"/>
              </w:rPr>
            </w:pPr>
            <w:r>
              <w:rPr>
                <w:b/>
                <w:sz w:val="14"/>
              </w:rPr>
              <w:t>5.4%</w:t>
            </w:r>
          </w:p>
        </w:tc>
        <w:tc>
          <w:tcPr>
            <w:tcW w:w="1669" w:type="dxa"/>
          </w:tcPr>
          <w:p>
            <w:pPr>
              <w:pStyle w:val="TableParagraph"/>
              <w:spacing w:before="85"/>
              <w:ind w:right="561"/>
              <w:jc w:val="right"/>
              <w:rPr>
                <w:b/>
                <w:sz w:val="14"/>
              </w:rPr>
            </w:pPr>
            <w:r>
              <w:rPr>
                <w:b/>
                <w:sz w:val="14"/>
              </w:rPr>
              <w:t>118,842.4</w:t>
            </w:r>
          </w:p>
        </w:tc>
        <w:tc>
          <w:tcPr>
            <w:tcW w:w="1223" w:type="dxa"/>
          </w:tcPr>
          <w:p>
            <w:pPr>
              <w:pStyle w:val="TableParagraph"/>
              <w:spacing w:before="85"/>
              <w:ind w:right="328"/>
              <w:jc w:val="right"/>
              <w:rPr>
                <w:b/>
                <w:sz w:val="14"/>
              </w:rPr>
            </w:pPr>
            <w:r>
              <w:rPr>
                <w:b/>
                <w:sz w:val="14"/>
              </w:rPr>
              <w:t>5.7%</w:t>
            </w:r>
          </w:p>
        </w:tc>
        <w:tc>
          <w:tcPr>
            <w:tcW w:w="1468" w:type="dxa"/>
          </w:tcPr>
          <w:p>
            <w:pPr>
              <w:pStyle w:val="TableParagraph"/>
              <w:spacing w:before="85"/>
              <w:ind w:right="473"/>
              <w:jc w:val="right"/>
              <w:rPr>
                <w:b/>
                <w:sz w:val="14"/>
              </w:rPr>
            </w:pPr>
            <w:r>
              <w:rPr>
                <w:b/>
                <w:sz w:val="14"/>
              </w:rPr>
              <w:t>142,610.9</w:t>
            </w:r>
          </w:p>
        </w:tc>
        <w:tc>
          <w:tcPr>
            <w:tcW w:w="853" w:type="dxa"/>
          </w:tcPr>
          <w:p>
            <w:pPr>
              <w:pStyle w:val="TableParagraph"/>
              <w:spacing w:before="85"/>
              <w:ind w:right="38"/>
              <w:jc w:val="right"/>
              <w:rPr>
                <w:b/>
                <w:sz w:val="14"/>
              </w:rPr>
            </w:pPr>
            <w:r>
              <w:rPr>
                <w:b/>
                <w:sz w:val="14"/>
              </w:rPr>
              <w:t>6.9%</w:t>
            </w:r>
          </w:p>
        </w:tc>
      </w:tr>
      <w:tr>
        <w:trPr>
          <w:trHeight w:val="251" w:hRule="atLeast"/>
        </w:trPr>
        <w:tc>
          <w:tcPr>
            <w:tcW w:w="205" w:type="dxa"/>
          </w:tcPr>
          <w:p>
            <w:pPr>
              <w:pStyle w:val="TableParagraph"/>
              <w:rPr>
                <w:rFonts w:ascii="Times New Roman"/>
                <w:sz w:val="14"/>
              </w:rPr>
            </w:pPr>
          </w:p>
        </w:tc>
        <w:tc>
          <w:tcPr>
            <w:tcW w:w="4618" w:type="dxa"/>
          </w:tcPr>
          <w:p>
            <w:pPr>
              <w:pStyle w:val="TableParagraph"/>
              <w:spacing w:line="147" w:lineRule="exact" w:before="85"/>
              <w:ind w:left="93"/>
              <w:rPr>
                <w:sz w:val="14"/>
              </w:rPr>
            </w:pPr>
            <w:r>
              <w:rPr>
                <w:sz w:val="14"/>
              </w:rPr>
              <w:t>Grants for General Administrative Expenses</w:t>
            </w:r>
          </w:p>
        </w:tc>
        <w:tc>
          <w:tcPr>
            <w:tcW w:w="2799" w:type="dxa"/>
          </w:tcPr>
          <w:p>
            <w:pPr>
              <w:pStyle w:val="TableParagraph"/>
              <w:spacing w:line="147" w:lineRule="exact" w:before="85"/>
              <w:ind w:right="517"/>
              <w:jc w:val="right"/>
              <w:rPr>
                <w:b/>
                <w:sz w:val="14"/>
              </w:rPr>
            </w:pPr>
            <w:r>
              <w:rPr>
                <w:b/>
                <w:sz w:val="14"/>
              </w:rPr>
              <w:t>4,071.6</w:t>
            </w:r>
          </w:p>
        </w:tc>
        <w:tc>
          <w:tcPr>
            <w:tcW w:w="1313" w:type="dxa"/>
          </w:tcPr>
          <w:p>
            <w:pPr>
              <w:pStyle w:val="TableParagraph"/>
              <w:spacing w:line="147" w:lineRule="exact" w:before="85"/>
              <w:ind w:right="430"/>
              <w:jc w:val="right"/>
              <w:rPr>
                <w:sz w:val="14"/>
              </w:rPr>
            </w:pPr>
            <w:r>
              <w:rPr>
                <w:sz w:val="14"/>
              </w:rPr>
              <w:t>0 . 2 %</w:t>
            </w:r>
          </w:p>
        </w:tc>
        <w:tc>
          <w:tcPr>
            <w:tcW w:w="1669" w:type="dxa"/>
          </w:tcPr>
          <w:p>
            <w:pPr>
              <w:pStyle w:val="TableParagraph"/>
              <w:spacing w:line="147" w:lineRule="exact" w:before="85"/>
              <w:ind w:right="530"/>
              <w:jc w:val="right"/>
              <w:rPr>
                <w:sz w:val="14"/>
              </w:rPr>
            </w:pPr>
            <w:r>
              <w:rPr>
                <w:sz w:val="14"/>
              </w:rPr>
              <w:t>4,275 .2</w:t>
            </w:r>
          </w:p>
        </w:tc>
        <w:tc>
          <w:tcPr>
            <w:tcW w:w="1223" w:type="dxa"/>
          </w:tcPr>
          <w:p>
            <w:pPr>
              <w:pStyle w:val="TableParagraph"/>
              <w:spacing w:line="147" w:lineRule="exact" w:before="85"/>
              <w:ind w:right="317"/>
              <w:jc w:val="right"/>
              <w:rPr>
                <w:sz w:val="14"/>
              </w:rPr>
            </w:pPr>
            <w:r>
              <w:rPr>
                <w:sz w:val="14"/>
              </w:rPr>
              <w:t>0 . 2 %</w:t>
            </w:r>
          </w:p>
        </w:tc>
        <w:tc>
          <w:tcPr>
            <w:tcW w:w="1468" w:type="dxa"/>
          </w:tcPr>
          <w:p>
            <w:pPr>
              <w:pStyle w:val="TableParagraph"/>
              <w:spacing w:line="147" w:lineRule="exact" w:before="85"/>
              <w:ind w:right="441"/>
              <w:jc w:val="right"/>
              <w:rPr>
                <w:sz w:val="14"/>
              </w:rPr>
            </w:pPr>
            <w:r>
              <w:rPr>
                <w:sz w:val="14"/>
              </w:rPr>
              <w:t>5,130 .2</w:t>
            </w:r>
          </w:p>
        </w:tc>
        <w:tc>
          <w:tcPr>
            <w:tcW w:w="853" w:type="dxa"/>
          </w:tcPr>
          <w:p>
            <w:pPr>
              <w:pStyle w:val="TableParagraph"/>
              <w:spacing w:line="147" w:lineRule="exact" w:before="85"/>
              <w:ind w:right="32"/>
              <w:jc w:val="right"/>
              <w:rPr>
                <w:sz w:val="14"/>
              </w:rPr>
            </w:pPr>
            <w:r>
              <w:rPr>
                <w:sz w:val="14"/>
              </w:rPr>
              <w:t>0 . 2 %</w:t>
            </w:r>
          </w:p>
        </w:tc>
      </w:tr>
      <w:tr>
        <w:trPr>
          <w:trHeight w:val="252" w:hRule="atLeast"/>
        </w:trPr>
        <w:tc>
          <w:tcPr>
            <w:tcW w:w="205" w:type="dxa"/>
          </w:tcPr>
          <w:p>
            <w:pPr>
              <w:pStyle w:val="TableParagraph"/>
              <w:rPr>
                <w:rFonts w:ascii="Times New Roman"/>
                <w:sz w:val="14"/>
              </w:rPr>
            </w:pPr>
          </w:p>
        </w:tc>
        <w:tc>
          <w:tcPr>
            <w:tcW w:w="4618" w:type="dxa"/>
          </w:tcPr>
          <w:p>
            <w:pPr>
              <w:pStyle w:val="TableParagraph"/>
              <w:spacing w:before="1"/>
              <w:ind w:left="295"/>
              <w:rPr>
                <w:sz w:val="14"/>
              </w:rPr>
            </w:pPr>
            <w:r>
              <w:rPr>
                <w:sz w:val="14"/>
              </w:rPr>
              <w:t>Local Government Grants</w:t>
            </w:r>
          </w:p>
        </w:tc>
        <w:tc>
          <w:tcPr>
            <w:tcW w:w="2799" w:type="dxa"/>
          </w:tcPr>
          <w:p>
            <w:pPr>
              <w:pStyle w:val="TableParagraph"/>
              <w:spacing w:before="1"/>
              <w:ind w:right="517"/>
              <w:jc w:val="right"/>
              <w:rPr>
                <w:b/>
                <w:sz w:val="14"/>
              </w:rPr>
            </w:pPr>
            <w:r>
              <w:rPr>
                <w:b/>
                <w:sz w:val="14"/>
              </w:rPr>
              <w:t>4,071.6</w:t>
            </w:r>
          </w:p>
        </w:tc>
        <w:tc>
          <w:tcPr>
            <w:tcW w:w="1313" w:type="dxa"/>
          </w:tcPr>
          <w:p>
            <w:pPr>
              <w:pStyle w:val="TableParagraph"/>
              <w:spacing w:before="1"/>
              <w:ind w:right="430"/>
              <w:jc w:val="right"/>
              <w:rPr>
                <w:sz w:val="14"/>
              </w:rPr>
            </w:pPr>
            <w:r>
              <w:rPr>
                <w:sz w:val="14"/>
              </w:rPr>
              <w:t>0 . 2 %</w:t>
            </w:r>
          </w:p>
        </w:tc>
        <w:tc>
          <w:tcPr>
            <w:tcW w:w="1669" w:type="dxa"/>
          </w:tcPr>
          <w:p>
            <w:pPr>
              <w:pStyle w:val="TableParagraph"/>
              <w:spacing w:before="1"/>
              <w:ind w:right="530"/>
              <w:jc w:val="right"/>
              <w:rPr>
                <w:sz w:val="14"/>
              </w:rPr>
            </w:pPr>
            <w:r>
              <w:rPr>
                <w:sz w:val="14"/>
              </w:rPr>
              <w:t>4,275 .2</w:t>
            </w:r>
          </w:p>
        </w:tc>
        <w:tc>
          <w:tcPr>
            <w:tcW w:w="1223" w:type="dxa"/>
          </w:tcPr>
          <w:p>
            <w:pPr>
              <w:pStyle w:val="TableParagraph"/>
              <w:spacing w:before="1"/>
              <w:ind w:right="317"/>
              <w:jc w:val="right"/>
              <w:rPr>
                <w:sz w:val="14"/>
              </w:rPr>
            </w:pPr>
            <w:r>
              <w:rPr>
                <w:sz w:val="14"/>
              </w:rPr>
              <w:t>0 . 2 %</w:t>
            </w:r>
          </w:p>
        </w:tc>
        <w:tc>
          <w:tcPr>
            <w:tcW w:w="1468" w:type="dxa"/>
          </w:tcPr>
          <w:p>
            <w:pPr>
              <w:pStyle w:val="TableParagraph"/>
              <w:spacing w:before="1"/>
              <w:ind w:right="441"/>
              <w:jc w:val="right"/>
              <w:rPr>
                <w:sz w:val="14"/>
              </w:rPr>
            </w:pPr>
            <w:r>
              <w:rPr>
                <w:sz w:val="14"/>
              </w:rPr>
              <w:t>5,130 .2</w:t>
            </w:r>
          </w:p>
        </w:tc>
        <w:tc>
          <w:tcPr>
            <w:tcW w:w="853" w:type="dxa"/>
          </w:tcPr>
          <w:p>
            <w:pPr>
              <w:pStyle w:val="TableParagraph"/>
              <w:spacing w:before="1"/>
              <w:ind w:right="32"/>
              <w:jc w:val="right"/>
              <w:rPr>
                <w:sz w:val="14"/>
              </w:rPr>
            </w:pPr>
            <w:r>
              <w:rPr>
                <w:sz w:val="14"/>
              </w:rPr>
              <w:t>0 . 2 %</w:t>
            </w:r>
          </w:p>
        </w:tc>
      </w:tr>
      <w:tr>
        <w:trPr>
          <w:trHeight w:val="251" w:hRule="atLeast"/>
        </w:trPr>
        <w:tc>
          <w:tcPr>
            <w:tcW w:w="205" w:type="dxa"/>
          </w:tcPr>
          <w:p>
            <w:pPr>
              <w:pStyle w:val="TableParagraph"/>
              <w:rPr>
                <w:rFonts w:ascii="Times New Roman"/>
                <w:sz w:val="14"/>
              </w:rPr>
            </w:pPr>
          </w:p>
        </w:tc>
        <w:tc>
          <w:tcPr>
            <w:tcW w:w="4618" w:type="dxa"/>
          </w:tcPr>
          <w:p>
            <w:pPr>
              <w:pStyle w:val="TableParagraph"/>
              <w:spacing w:line="147" w:lineRule="exact" w:before="85"/>
              <w:ind w:left="93"/>
              <w:rPr>
                <w:sz w:val="14"/>
              </w:rPr>
            </w:pPr>
            <w:r>
              <w:rPr>
                <w:sz w:val="14"/>
              </w:rPr>
              <w:t>Grants for Devolved Functions</w:t>
            </w:r>
          </w:p>
        </w:tc>
        <w:tc>
          <w:tcPr>
            <w:tcW w:w="2799" w:type="dxa"/>
          </w:tcPr>
          <w:p>
            <w:pPr>
              <w:pStyle w:val="TableParagraph"/>
              <w:spacing w:line="147" w:lineRule="exact" w:before="85"/>
              <w:ind w:right="527"/>
              <w:jc w:val="right"/>
              <w:rPr>
                <w:b/>
                <w:sz w:val="14"/>
              </w:rPr>
            </w:pPr>
            <w:r>
              <w:rPr>
                <w:b/>
                <w:sz w:val="14"/>
              </w:rPr>
              <w:t>109,111.6</w:t>
            </w:r>
          </w:p>
        </w:tc>
        <w:tc>
          <w:tcPr>
            <w:tcW w:w="1313" w:type="dxa"/>
          </w:tcPr>
          <w:p>
            <w:pPr>
              <w:pStyle w:val="TableParagraph"/>
              <w:spacing w:line="147" w:lineRule="exact" w:before="85"/>
              <w:ind w:right="430"/>
              <w:jc w:val="right"/>
              <w:rPr>
                <w:sz w:val="14"/>
              </w:rPr>
            </w:pPr>
            <w:r>
              <w:rPr>
                <w:sz w:val="14"/>
              </w:rPr>
              <w:t>5 . 2 %</w:t>
            </w:r>
          </w:p>
        </w:tc>
        <w:tc>
          <w:tcPr>
            <w:tcW w:w="1669" w:type="dxa"/>
          </w:tcPr>
          <w:p>
            <w:pPr>
              <w:pStyle w:val="TableParagraph"/>
              <w:spacing w:line="147" w:lineRule="exact" w:before="85"/>
              <w:ind w:right="539"/>
              <w:jc w:val="right"/>
              <w:rPr>
                <w:sz w:val="14"/>
              </w:rPr>
            </w:pPr>
            <w:r>
              <w:rPr>
                <w:sz w:val="14"/>
              </w:rPr>
              <w:t>114,567.2</w:t>
            </w:r>
          </w:p>
        </w:tc>
        <w:tc>
          <w:tcPr>
            <w:tcW w:w="1223" w:type="dxa"/>
          </w:tcPr>
          <w:p>
            <w:pPr>
              <w:pStyle w:val="TableParagraph"/>
              <w:spacing w:line="147" w:lineRule="exact" w:before="85"/>
              <w:ind w:right="317"/>
              <w:jc w:val="right"/>
              <w:rPr>
                <w:sz w:val="14"/>
              </w:rPr>
            </w:pPr>
            <w:r>
              <w:rPr>
                <w:sz w:val="14"/>
              </w:rPr>
              <w:t>5 . 5 %</w:t>
            </w:r>
          </w:p>
        </w:tc>
        <w:tc>
          <w:tcPr>
            <w:tcW w:w="1468" w:type="dxa"/>
          </w:tcPr>
          <w:p>
            <w:pPr>
              <w:pStyle w:val="TableParagraph"/>
              <w:spacing w:line="147" w:lineRule="exact" w:before="85"/>
              <w:ind w:right="450"/>
              <w:jc w:val="right"/>
              <w:rPr>
                <w:sz w:val="14"/>
              </w:rPr>
            </w:pPr>
            <w:r>
              <w:rPr>
                <w:sz w:val="14"/>
              </w:rPr>
              <w:t>137,480.6</w:t>
            </w:r>
          </w:p>
        </w:tc>
        <w:tc>
          <w:tcPr>
            <w:tcW w:w="853" w:type="dxa"/>
          </w:tcPr>
          <w:p>
            <w:pPr>
              <w:pStyle w:val="TableParagraph"/>
              <w:spacing w:line="147" w:lineRule="exact" w:before="85"/>
              <w:ind w:right="32"/>
              <w:jc w:val="right"/>
              <w:rPr>
                <w:sz w:val="14"/>
              </w:rPr>
            </w:pPr>
            <w:r>
              <w:rPr>
                <w:sz w:val="14"/>
              </w:rPr>
              <w:t>6 . 6 %</w:t>
            </w:r>
          </w:p>
        </w:tc>
      </w:tr>
      <w:tr>
        <w:trPr>
          <w:trHeight w:val="168" w:hRule="atLeast"/>
        </w:trPr>
        <w:tc>
          <w:tcPr>
            <w:tcW w:w="205" w:type="dxa"/>
          </w:tcPr>
          <w:p>
            <w:pPr>
              <w:pStyle w:val="TableParagraph"/>
              <w:rPr>
                <w:rFonts w:ascii="Times New Roman"/>
                <w:sz w:val="10"/>
              </w:rPr>
            </w:pPr>
          </w:p>
        </w:tc>
        <w:tc>
          <w:tcPr>
            <w:tcW w:w="4618" w:type="dxa"/>
          </w:tcPr>
          <w:p>
            <w:pPr>
              <w:pStyle w:val="TableParagraph"/>
              <w:spacing w:line="147" w:lineRule="exact" w:before="1"/>
              <w:ind w:left="260"/>
              <w:rPr>
                <w:sz w:val="14"/>
              </w:rPr>
            </w:pPr>
            <w:r>
              <w:rPr>
                <w:sz w:val="14"/>
              </w:rPr>
              <w:t>Sensitisation on Fire Prevention Services</w:t>
            </w:r>
          </w:p>
        </w:tc>
        <w:tc>
          <w:tcPr>
            <w:tcW w:w="2799" w:type="dxa"/>
          </w:tcPr>
          <w:p>
            <w:pPr>
              <w:pStyle w:val="TableParagraph"/>
              <w:spacing w:line="147" w:lineRule="exact" w:before="1"/>
              <w:ind w:right="501"/>
              <w:jc w:val="right"/>
              <w:rPr>
                <w:b/>
                <w:sz w:val="14"/>
              </w:rPr>
            </w:pPr>
            <w:r>
              <w:rPr>
                <w:b/>
                <w:sz w:val="14"/>
              </w:rPr>
              <w:t>742.1</w:t>
            </w:r>
          </w:p>
        </w:tc>
        <w:tc>
          <w:tcPr>
            <w:tcW w:w="1313" w:type="dxa"/>
          </w:tcPr>
          <w:p>
            <w:pPr>
              <w:pStyle w:val="TableParagraph"/>
              <w:spacing w:line="147" w:lineRule="exact" w:before="1"/>
              <w:ind w:right="430"/>
              <w:jc w:val="right"/>
              <w:rPr>
                <w:sz w:val="14"/>
              </w:rPr>
            </w:pPr>
            <w:r>
              <w:rPr>
                <w:sz w:val="14"/>
              </w:rPr>
              <w:t>0 . 0 %</w:t>
            </w:r>
          </w:p>
        </w:tc>
        <w:tc>
          <w:tcPr>
            <w:tcW w:w="1669" w:type="dxa"/>
          </w:tcPr>
          <w:p>
            <w:pPr>
              <w:pStyle w:val="TableParagraph"/>
              <w:spacing w:line="147" w:lineRule="exact" w:before="1"/>
              <w:ind w:right="522"/>
              <w:jc w:val="right"/>
              <w:rPr>
                <w:sz w:val="14"/>
              </w:rPr>
            </w:pPr>
            <w:r>
              <w:rPr>
                <w:sz w:val="14"/>
              </w:rPr>
              <w:t>808.3</w:t>
            </w:r>
          </w:p>
        </w:tc>
        <w:tc>
          <w:tcPr>
            <w:tcW w:w="1223" w:type="dxa"/>
          </w:tcPr>
          <w:p>
            <w:pPr>
              <w:pStyle w:val="TableParagraph"/>
              <w:spacing w:line="147" w:lineRule="exact" w:before="1"/>
              <w:ind w:right="317"/>
              <w:jc w:val="right"/>
              <w:rPr>
                <w:sz w:val="14"/>
              </w:rPr>
            </w:pPr>
            <w:r>
              <w:rPr>
                <w:sz w:val="14"/>
              </w:rPr>
              <w:t>0 . 0 %</w:t>
            </w:r>
          </w:p>
        </w:tc>
        <w:tc>
          <w:tcPr>
            <w:tcW w:w="1468" w:type="dxa"/>
          </w:tcPr>
          <w:p>
            <w:pPr>
              <w:pStyle w:val="TableParagraph"/>
              <w:spacing w:line="147" w:lineRule="exact" w:before="1"/>
              <w:ind w:right="439"/>
              <w:jc w:val="right"/>
              <w:rPr>
                <w:sz w:val="14"/>
              </w:rPr>
            </w:pPr>
            <w:r>
              <w:rPr>
                <w:sz w:val="14"/>
              </w:rPr>
              <w:t>948.7</w:t>
            </w:r>
          </w:p>
        </w:tc>
        <w:tc>
          <w:tcPr>
            <w:tcW w:w="853" w:type="dxa"/>
          </w:tcPr>
          <w:p>
            <w:pPr>
              <w:pStyle w:val="TableParagraph"/>
              <w:spacing w:line="147" w:lineRule="exact" w:before="1"/>
              <w:ind w:right="32"/>
              <w:jc w:val="right"/>
              <w:rPr>
                <w:sz w:val="14"/>
              </w:rPr>
            </w:pPr>
            <w:r>
              <w:rPr>
                <w:sz w:val="14"/>
              </w:rPr>
              <w:t>0 . 0 %</w:t>
            </w:r>
          </w:p>
        </w:tc>
      </w:tr>
      <w:tr>
        <w:trPr>
          <w:trHeight w:val="168" w:hRule="atLeast"/>
        </w:trPr>
        <w:tc>
          <w:tcPr>
            <w:tcW w:w="205" w:type="dxa"/>
          </w:tcPr>
          <w:p>
            <w:pPr>
              <w:pStyle w:val="TableParagraph"/>
              <w:rPr>
                <w:rFonts w:ascii="Times New Roman"/>
                <w:sz w:val="10"/>
              </w:rPr>
            </w:pPr>
          </w:p>
        </w:tc>
        <w:tc>
          <w:tcPr>
            <w:tcW w:w="4618" w:type="dxa"/>
          </w:tcPr>
          <w:p>
            <w:pPr>
              <w:pStyle w:val="TableParagraph"/>
              <w:spacing w:line="147" w:lineRule="exact" w:before="1"/>
              <w:ind w:left="261"/>
              <w:rPr>
                <w:sz w:val="14"/>
              </w:rPr>
            </w:pPr>
            <w:r>
              <w:rPr>
                <w:sz w:val="14"/>
              </w:rPr>
              <w:t>Education Services</w:t>
            </w:r>
          </w:p>
        </w:tc>
        <w:tc>
          <w:tcPr>
            <w:tcW w:w="2799" w:type="dxa"/>
          </w:tcPr>
          <w:p>
            <w:pPr>
              <w:pStyle w:val="TableParagraph"/>
              <w:spacing w:line="147" w:lineRule="exact" w:before="1"/>
              <w:ind w:right="517"/>
              <w:jc w:val="right"/>
              <w:rPr>
                <w:b/>
                <w:sz w:val="14"/>
              </w:rPr>
            </w:pPr>
            <w:r>
              <w:rPr>
                <w:b/>
                <w:sz w:val="14"/>
              </w:rPr>
              <w:t>9,406.9</w:t>
            </w:r>
          </w:p>
        </w:tc>
        <w:tc>
          <w:tcPr>
            <w:tcW w:w="1313" w:type="dxa"/>
          </w:tcPr>
          <w:p>
            <w:pPr>
              <w:pStyle w:val="TableParagraph"/>
              <w:spacing w:line="147" w:lineRule="exact" w:before="1"/>
              <w:ind w:right="430"/>
              <w:jc w:val="right"/>
              <w:rPr>
                <w:sz w:val="14"/>
              </w:rPr>
            </w:pPr>
            <w:r>
              <w:rPr>
                <w:sz w:val="14"/>
              </w:rPr>
              <w:t>0 . 5 %</w:t>
            </w:r>
          </w:p>
        </w:tc>
        <w:tc>
          <w:tcPr>
            <w:tcW w:w="1669" w:type="dxa"/>
          </w:tcPr>
          <w:p>
            <w:pPr>
              <w:pStyle w:val="TableParagraph"/>
              <w:spacing w:line="147" w:lineRule="exact" w:before="1"/>
              <w:ind w:right="534"/>
              <w:jc w:val="right"/>
              <w:rPr>
                <w:sz w:val="14"/>
              </w:rPr>
            </w:pPr>
            <w:r>
              <w:rPr>
                <w:sz w:val="14"/>
              </w:rPr>
              <w:t>10,245.9</w:t>
            </w:r>
          </w:p>
        </w:tc>
        <w:tc>
          <w:tcPr>
            <w:tcW w:w="1223" w:type="dxa"/>
          </w:tcPr>
          <w:p>
            <w:pPr>
              <w:pStyle w:val="TableParagraph"/>
              <w:spacing w:line="147" w:lineRule="exact" w:before="1"/>
              <w:ind w:right="317"/>
              <w:jc w:val="right"/>
              <w:rPr>
                <w:sz w:val="14"/>
              </w:rPr>
            </w:pPr>
            <w:r>
              <w:rPr>
                <w:sz w:val="14"/>
              </w:rPr>
              <w:t>0 . 5 %</w:t>
            </w:r>
          </w:p>
        </w:tc>
        <w:tc>
          <w:tcPr>
            <w:tcW w:w="1468" w:type="dxa"/>
          </w:tcPr>
          <w:p>
            <w:pPr>
              <w:pStyle w:val="TableParagraph"/>
              <w:spacing w:line="147" w:lineRule="exact" w:before="1"/>
              <w:ind w:right="451"/>
              <w:jc w:val="right"/>
              <w:rPr>
                <w:sz w:val="14"/>
              </w:rPr>
            </w:pPr>
            <w:r>
              <w:rPr>
                <w:sz w:val="14"/>
              </w:rPr>
              <w:t>12,026.7</w:t>
            </w:r>
          </w:p>
        </w:tc>
        <w:tc>
          <w:tcPr>
            <w:tcW w:w="853" w:type="dxa"/>
          </w:tcPr>
          <w:p>
            <w:pPr>
              <w:pStyle w:val="TableParagraph"/>
              <w:spacing w:line="147" w:lineRule="exact" w:before="1"/>
              <w:ind w:right="32"/>
              <w:jc w:val="right"/>
              <w:rPr>
                <w:sz w:val="14"/>
              </w:rPr>
            </w:pPr>
            <w:r>
              <w:rPr>
                <w:sz w:val="14"/>
              </w:rPr>
              <w:t>0 . 6 %</w:t>
            </w:r>
          </w:p>
        </w:tc>
      </w:tr>
      <w:tr>
        <w:trPr>
          <w:trHeight w:val="167" w:hRule="atLeast"/>
        </w:trPr>
        <w:tc>
          <w:tcPr>
            <w:tcW w:w="205" w:type="dxa"/>
          </w:tcPr>
          <w:p>
            <w:pPr>
              <w:pStyle w:val="TableParagraph"/>
              <w:rPr>
                <w:rFonts w:ascii="Times New Roman"/>
                <w:sz w:val="10"/>
              </w:rPr>
            </w:pPr>
          </w:p>
        </w:tc>
        <w:tc>
          <w:tcPr>
            <w:tcW w:w="4618" w:type="dxa"/>
          </w:tcPr>
          <w:p>
            <w:pPr>
              <w:pStyle w:val="TableParagraph"/>
              <w:spacing w:line="147" w:lineRule="exact" w:before="1"/>
              <w:ind w:left="428"/>
              <w:rPr>
                <w:sz w:val="14"/>
              </w:rPr>
            </w:pPr>
            <w:r>
              <w:rPr>
                <w:sz w:val="14"/>
              </w:rPr>
              <w:t>Administration</w:t>
            </w:r>
          </w:p>
        </w:tc>
        <w:tc>
          <w:tcPr>
            <w:tcW w:w="2799" w:type="dxa"/>
          </w:tcPr>
          <w:p>
            <w:pPr>
              <w:pStyle w:val="TableParagraph"/>
              <w:spacing w:line="147" w:lineRule="exact" w:before="1"/>
              <w:ind w:right="517"/>
              <w:jc w:val="right"/>
              <w:rPr>
                <w:b/>
                <w:sz w:val="14"/>
              </w:rPr>
            </w:pPr>
            <w:r>
              <w:rPr>
                <w:b/>
                <w:sz w:val="14"/>
              </w:rPr>
              <w:t>2,199.5</w:t>
            </w:r>
          </w:p>
        </w:tc>
        <w:tc>
          <w:tcPr>
            <w:tcW w:w="1313" w:type="dxa"/>
          </w:tcPr>
          <w:p>
            <w:pPr>
              <w:pStyle w:val="TableParagraph"/>
              <w:spacing w:line="147" w:lineRule="exact" w:before="1"/>
              <w:ind w:right="430"/>
              <w:jc w:val="right"/>
              <w:rPr>
                <w:sz w:val="14"/>
              </w:rPr>
            </w:pPr>
            <w:r>
              <w:rPr>
                <w:sz w:val="14"/>
              </w:rPr>
              <w:t>0 . 1 %</w:t>
            </w:r>
          </w:p>
        </w:tc>
        <w:tc>
          <w:tcPr>
            <w:tcW w:w="1669" w:type="dxa"/>
          </w:tcPr>
          <w:p>
            <w:pPr>
              <w:pStyle w:val="TableParagraph"/>
              <w:spacing w:line="147" w:lineRule="exact" w:before="1"/>
              <w:ind w:right="530"/>
              <w:jc w:val="right"/>
              <w:rPr>
                <w:sz w:val="14"/>
              </w:rPr>
            </w:pPr>
            <w:r>
              <w:rPr>
                <w:sz w:val="14"/>
              </w:rPr>
              <w:t>2,395 .7</w:t>
            </w:r>
          </w:p>
        </w:tc>
        <w:tc>
          <w:tcPr>
            <w:tcW w:w="1223" w:type="dxa"/>
          </w:tcPr>
          <w:p>
            <w:pPr>
              <w:pStyle w:val="TableParagraph"/>
              <w:spacing w:line="147" w:lineRule="exact" w:before="1"/>
              <w:ind w:right="317"/>
              <w:jc w:val="right"/>
              <w:rPr>
                <w:sz w:val="14"/>
              </w:rPr>
            </w:pPr>
            <w:r>
              <w:rPr>
                <w:sz w:val="14"/>
              </w:rPr>
              <w:t>0 . 1 %</w:t>
            </w:r>
          </w:p>
        </w:tc>
        <w:tc>
          <w:tcPr>
            <w:tcW w:w="1468" w:type="dxa"/>
          </w:tcPr>
          <w:p>
            <w:pPr>
              <w:pStyle w:val="TableParagraph"/>
              <w:spacing w:line="147" w:lineRule="exact" w:before="1"/>
              <w:ind w:right="441"/>
              <w:jc w:val="right"/>
              <w:rPr>
                <w:sz w:val="14"/>
              </w:rPr>
            </w:pPr>
            <w:r>
              <w:rPr>
                <w:sz w:val="14"/>
              </w:rPr>
              <w:t>2,812 .1</w:t>
            </w:r>
          </w:p>
        </w:tc>
        <w:tc>
          <w:tcPr>
            <w:tcW w:w="853" w:type="dxa"/>
          </w:tcPr>
          <w:p>
            <w:pPr>
              <w:pStyle w:val="TableParagraph"/>
              <w:spacing w:line="147" w:lineRule="exact" w:before="1"/>
              <w:ind w:right="32"/>
              <w:jc w:val="right"/>
              <w:rPr>
                <w:sz w:val="14"/>
              </w:rPr>
            </w:pPr>
            <w:r>
              <w:rPr>
                <w:sz w:val="14"/>
              </w:rPr>
              <w:t>0 . 1 %</w:t>
            </w:r>
          </w:p>
        </w:tc>
      </w:tr>
      <w:tr>
        <w:trPr>
          <w:trHeight w:val="167" w:hRule="atLeast"/>
        </w:trPr>
        <w:tc>
          <w:tcPr>
            <w:tcW w:w="205" w:type="dxa"/>
          </w:tcPr>
          <w:p>
            <w:pPr>
              <w:pStyle w:val="TableParagraph"/>
              <w:rPr>
                <w:rFonts w:ascii="Times New Roman"/>
                <w:sz w:val="10"/>
              </w:rPr>
            </w:pPr>
          </w:p>
        </w:tc>
        <w:tc>
          <w:tcPr>
            <w:tcW w:w="4618" w:type="dxa"/>
          </w:tcPr>
          <w:p>
            <w:pPr>
              <w:pStyle w:val="TableParagraph"/>
              <w:spacing w:line="147" w:lineRule="exact" w:before="1"/>
              <w:ind w:left="428"/>
              <w:rPr>
                <w:sz w:val="14"/>
              </w:rPr>
            </w:pPr>
            <w:r>
              <w:rPr>
                <w:sz w:val="14"/>
              </w:rPr>
              <w:t>Secondary Education</w:t>
            </w:r>
          </w:p>
        </w:tc>
        <w:tc>
          <w:tcPr>
            <w:tcW w:w="2799" w:type="dxa"/>
          </w:tcPr>
          <w:p>
            <w:pPr>
              <w:pStyle w:val="TableParagraph"/>
              <w:spacing w:line="147" w:lineRule="exact" w:before="1"/>
              <w:ind w:right="517"/>
              <w:jc w:val="right"/>
              <w:rPr>
                <w:b/>
                <w:sz w:val="14"/>
              </w:rPr>
            </w:pPr>
            <w:r>
              <w:rPr>
                <w:b/>
                <w:sz w:val="14"/>
              </w:rPr>
              <w:t>1,560.1</w:t>
            </w:r>
          </w:p>
        </w:tc>
        <w:tc>
          <w:tcPr>
            <w:tcW w:w="1313" w:type="dxa"/>
          </w:tcPr>
          <w:p>
            <w:pPr>
              <w:pStyle w:val="TableParagraph"/>
              <w:spacing w:line="147" w:lineRule="exact" w:before="1"/>
              <w:ind w:right="430"/>
              <w:jc w:val="right"/>
              <w:rPr>
                <w:sz w:val="14"/>
              </w:rPr>
            </w:pPr>
            <w:r>
              <w:rPr>
                <w:sz w:val="14"/>
              </w:rPr>
              <w:t>0 . 1 %</w:t>
            </w:r>
          </w:p>
        </w:tc>
        <w:tc>
          <w:tcPr>
            <w:tcW w:w="1669" w:type="dxa"/>
          </w:tcPr>
          <w:p>
            <w:pPr>
              <w:pStyle w:val="TableParagraph"/>
              <w:spacing w:line="147" w:lineRule="exact" w:before="1"/>
              <w:ind w:right="530"/>
              <w:jc w:val="right"/>
              <w:rPr>
                <w:sz w:val="14"/>
              </w:rPr>
            </w:pPr>
            <w:r>
              <w:rPr>
                <w:sz w:val="14"/>
              </w:rPr>
              <w:t>1,699 .2</w:t>
            </w:r>
          </w:p>
        </w:tc>
        <w:tc>
          <w:tcPr>
            <w:tcW w:w="1223" w:type="dxa"/>
          </w:tcPr>
          <w:p>
            <w:pPr>
              <w:pStyle w:val="TableParagraph"/>
              <w:spacing w:line="147" w:lineRule="exact" w:before="1"/>
              <w:ind w:right="317"/>
              <w:jc w:val="right"/>
              <w:rPr>
                <w:sz w:val="14"/>
              </w:rPr>
            </w:pPr>
            <w:r>
              <w:rPr>
                <w:sz w:val="14"/>
              </w:rPr>
              <w:t>0 . 1 %</w:t>
            </w:r>
          </w:p>
        </w:tc>
        <w:tc>
          <w:tcPr>
            <w:tcW w:w="1468" w:type="dxa"/>
          </w:tcPr>
          <w:p>
            <w:pPr>
              <w:pStyle w:val="TableParagraph"/>
              <w:spacing w:line="147" w:lineRule="exact" w:before="1"/>
              <w:ind w:right="441"/>
              <w:jc w:val="right"/>
              <w:rPr>
                <w:sz w:val="14"/>
              </w:rPr>
            </w:pPr>
            <w:r>
              <w:rPr>
                <w:sz w:val="14"/>
              </w:rPr>
              <w:t>1,994 .5</w:t>
            </w:r>
          </w:p>
        </w:tc>
        <w:tc>
          <w:tcPr>
            <w:tcW w:w="853" w:type="dxa"/>
          </w:tcPr>
          <w:p>
            <w:pPr>
              <w:pStyle w:val="TableParagraph"/>
              <w:spacing w:line="147" w:lineRule="exact" w:before="1"/>
              <w:ind w:right="32"/>
              <w:jc w:val="right"/>
              <w:rPr>
                <w:sz w:val="14"/>
              </w:rPr>
            </w:pPr>
            <w:r>
              <w:rPr>
                <w:sz w:val="14"/>
              </w:rPr>
              <w:t>0 . 1 %</w:t>
            </w:r>
          </w:p>
        </w:tc>
      </w:tr>
      <w:tr>
        <w:trPr>
          <w:trHeight w:val="168" w:hRule="atLeast"/>
        </w:trPr>
        <w:tc>
          <w:tcPr>
            <w:tcW w:w="205" w:type="dxa"/>
          </w:tcPr>
          <w:p>
            <w:pPr>
              <w:pStyle w:val="TableParagraph"/>
              <w:rPr>
                <w:rFonts w:ascii="Times New Roman"/>
                <w:sz w:val="10"/>
              </w:rPr>
            </w:pPr>
          </w:p>
        </w:tc>
        <w:tc>
          <w:tcPr>
            <w:tcW w:w="4618" w:type="dxa"/>
          </w:tcPr>
          <w:p>
            <w:pPr>
              <w:pStyle w:val="TableParagraph"/>
              <w:spacing w:line="147" w:lineRule="exact" w:before="1"/>
              <w:ind w:left="601"/>
              <w:rPr>
                <w:sz w:val="14"/>
              </w:rPr>
            </w:pPr>
            <w:r>
              <w:rPr>
                <w:i/>
                <w:sz w:val="14"/>
              </w:rPr>
              <w:t>of which: </w:t>
            </w:r>
            <w:r>
              <w:rPr>
                <w:sz w:val="14"/>
              </w:rPr>
              <w:t>Science Equipments</w:t>
            </w:r>
          </w:p>
        </w:tc>
        <w:tc>
          <w:tcPr>
            <w:tcW w:w="2799" w:type="dxa"/>
          </w:tcPr>
          <w:p>
            <w:pPr>
              <w:pStyle w:val="TableParagraph"/>
              <w:spacing w:line="147" w:lineRule="exact" w:before="1"/>
              <w:ind w:right="517"/>
              <w:jc w:val="right"/>
              <w:rPr>
                <w:b/>
                <w:sz w:val="14"/>
              </w:rPr>
            </w:pPr>
            <w:r>
              <w:rPr>
                <w:b/>
                <w:sz w:val="14"/>
              </w:rPr>
              <w:t>1,560.1</w:t>
            </w:r>
          </w:p>
        </w:tc>
        <w:tc>
          <w:tcPr>
            <w:tcW w:w="1313" w:type="dxa"/>
          </w:tcPr>
          <w:p>
            <w:pPr>
              <w:pStyle w:val="TableParagraph"/>
              <w:spacing w:line="147" w:lineRule="exact" w:before="1"/>
              <w:ind w:right="430"/>
              <w:jc w:val="right"/>
              <w:rPr>
                <w:sz w:val="14"/>
              </w:rPr>
            </w:pPr>
            <w:r>
              <w:rPr>
                <w:sz w:val="14"/>
              </w:rPr>
              <w:t>0 . 1 %</w:t>
            </w:r>
          </w:p>
        </w:tc>
        <w:tc>
          <w:tcPr>
            <w:tcW w:w="1669" w:type="dxa"/>
          </w:tcPr>
          <w:p>
            <w:pPr>
              <w:pStyle w:val="TableParagraph"/>
              <w:spacing w:line="147" w:lineRule="exact" w:before="1"/>
              <w:ind w:right="530"/>
              <w:jc w:val="right"/>
              <w:rPr>
                <w:sz w:val="14"/>
              </w:rPr>
            </w:pPr>
            <w:r>
              <w:rPr>
                <w:sz w:val="14"/>
              </w:rPr>
              <w:t>1,699 .2</w:t>
            </w:r>
          </w:p>
        </w:tc>
        <w:tc>
          <w:tcPr>
            <w:tcW w:w="1223" w:type="dxa"/>
          </w:tcPr>
          <w:p>
            <w:pPr>
              <w:pStyle w:val="TableParagraph"/>
              <w:spacing w:line="147" w:lineRule="exact" w:before="1"/>
              <w:ind w:right="317"/>
              <w:jc w:val="right"/>
              <w:rPr>
                <w:sz w:val="14"/>
              </w:rPr>
            </w:pPr>
            <w:r>
              <w:rPr>
                <w:sz w:val="14"/>
              </w:rPr>
              <w:t>0 . 1 %</w:t>
            </w:r>
          </w:p>
        </w:tc>
        <w:tc>
          <w:tcPr>
            <w:tcW w:w="1468" w:type="dxa"/>
          </w:tcPr>
          <w:p>
            <w:pPr>
              <w:pStyle w:val="TableParagraph"/>
              <w:spacing w:line="147" w:lineRule="exact" w:before="1"/>
              <w:ind w:right="441"/>
              <w:jc w:val="right"/>
              <w:rPr>
                <w:sz w:val="14"/>
              </w:rPr>
            </w:pPr>
            <w:r>
              <w:rPr>
                <w:sz w:val="14"/>
              </w:rPr>
              <w:t>1,994 .5</w:t>
            </w:r>
          </w:p>
        </w:tc>
        <w:tc>
          <w:tcPr>
            <w:tcW w:w="853" w:type="dxa"/>
          </w:tcPr>
          <w:p>
            <w:pPr>
              <w:pStyle w:val="TableParagraph"/>
              <w:spacing w:line="147" w:lineRule="exact" w:before="1"/>
              <w:ind w:right="32"/>
              <w:jc w:val="right"/>
              <w:rPr>
                <w:sz w:val="14"/>
              </w:rPr>
            </w:pPr>
            <w:r>
              <w:rPr>
                <w:sz w:val="14"/>
              </w:rPr>
              <w:t>0 . 1 %</w:t>
            </w:r>
          </w:p>
        </w:tc>
      </w:tr>
      <w:tr>
        <w:trPr>
          <w:trHeight w:val="168" w:hRule="atLeast"/>
        </w:trPr>
        <w:tc>
          <w:tcPr>
            <w:tcW w:w="205" w:type="dxa"/>
          </w:tcPr>
          <w:p>
            <w:pPr>
              <w:pStyle w:val="TableParagraph"/>
              <w:rPr>
                <w:rFonts w:ascii="Times New Roman"/>
                <w:sz w:val="10"/>
              </w:rPr>
            </w:pPr>
          </w:p>
        </w:tc>
        <w:tc>
          <w:tcPr>
            <w:tcW w:w="4618" w:type="dxa"/>
          </w:tcPr>
          <w:p>
            <w:pPr>
              <w:pStyle w:val="TableParagraph"/>
              <w:spacing w:line="147" w:lineRule="exact" w:before="1"/>
              <w:ind w:left="429"/>
              <w:rPr>
                <w:sz w:val="14"/>
              </w:rPr>
            </w:pPr>
            <w:r>
              <w:rPr>
                <w:sz w:val="14"/>
              </w:rPr>
              <w:t>Government Libraries</w:t>
            </w:r>
          </w:p>
        </w:tc>
        <w:tc>
          <w:tcPr>
            <w:tcW w:w="2799" w:type="dxa"/>
          </w:tcPr>
          <w:p>
            <w:pPr>
              <w:pStyle w:val="TableParagraph"/>
              <w:spacing w:line="147" w:lineRule="exact" w:before="1"/>
              <w:ind w:right="517"/>
              <w:jc w:val="right"/>
              <w:rPr>
                <w:b/>
                <w:sz w:val="14"/>
              </w:rPr>
            </w:pPr>
            <w:r>
              <w:rPr>
                <w:b/>
                <w:sz w:val="14"/>
              </w:rPr>
              <w:t>1,733.6</w:t>
            </w:r>
          </w:p>
        </w:tc>
        <w:tc>
          <w:tcPr>
            <w:tcW w:w="1313" w:type="dxa"/>
          </w:tcPr>
          <w:p>
            <w:pPr>
              <w:pStyle w:val="TableParagraph"/>
              <w:spacing w:line="147" w:lineRule="exact" w:before="1"/>
              <w:ind w:right="430"/>
              <w:jc w:val="right"/>
              <w:rPr>
                <w:sz w:val="14"/>
              </w:rPr>
            </w:pPr>
            <w:r>
              <w:rPr>
                <w:sz w:val="14"/>
              </w:rPr>
              <w:t>0 . 1 %</w:t>
            </w:r>
          </w:p>
        </w:tc>
        <w:tc>
          <w:tcPr>
            <w:tcW w:w="1669" w:type="dxa"/>
          </w:tcPr>
          <w:p>
            <w:pPr>
              <w:pStyle w:val="TableParagraph"/>
              <w:spacing w:line="147" w:lineRule="exact" w:before="1"/>
              <w:ind w:right="530"/>
              <w:jc w:val="right"/>
              <w:rPr>
                <w:sz w:val="14"/>
              </w:rPr>
            </w:pPr>
            <w:r>
              <w:rPr>
                <w:sz w:val="14"/>
              </w:rPr>
              <w:t>1,888 .3</w:t>
            </w:r>
          </w:p>
        </w:tc>
        <w:tc>
          <w:tcPr>
            <w:tcW w:w="1223" w:type="dxa"/>
          </w:tcPr>
          <w:p>
            <w:pPr>
              <w:pStyle w:val="TableParagraph"/>
              <w:spacing w:line="147" w:lineRule="exact" w:before="1"/>
              <w:ind w:right="317"/>
              <w:jc w:val="right"/>
              <w:rPr>
                <w:sz w:val="14"/>
              </w:rPr>
            </w:pPr>
            <w:r>
              <w:rPr>
                <w:sz w:val="14"/>
              </w:rPr>
              <w:t>0 . 1 %</w:t>
            </w:r>
          </w:p>
        </w:tc>
        <w:tc>
          <w:tcPr>
            <w:tcW w:w="1468" w:type="dxa"/>
          </w:tcPr>
          <w:p>
            <w:pPr>
              <w:pStyle w:val="TableParagraph"/>
              <w:spacing w:line="147" w:lineRule="exact" w:before="1"/>
              <w:ind w:right="441"/>
              <w:jc w:val="right"/>
              <w:rPr>
                <w:sz w:val="14"/>
              </w:rPr>
            </w:pPr>
            <w:r>
              <w:rPr>
                <w:sz w:val="14"/>
              </w:rPr>
              <w:t>2,216 .5</w:t>
            </w:r>
          </w:p>
        </w:tc>
        <w:tc>
          <w:tcPr>
            <w:tcW w:w="853" w:type="dxa"/>
          </w:tcPr>
          <w:p>
            <w:pPr>
              <w:pStyle w:val="TableParagraph"/>
              <w:spacing w:line="147" w:lineRule="exact" w:before="1"/>
              <w:ind w:right="32"/>
              <w:jc w:val="right"/>
              <w:rPr>
                <w:sz w:val="14"/>
              </w:rPr>
            </w:pPr>
            <w:r>
              <w:rPr>
                <w:sz w:val="14"/>
              </w:rPr>
              <w:t>0 . 1 %</w:t>
            </w:r>
          </w:p>
        </w:tc>
      </w:tr>
      <w:tr>
        <w:trPr>
          <w:trHeight w:val="167" w:hRule="atLeast"/>
        </w:trPr>
        <w:tc>
          <w:tcPr>
            <w:tcW w:w="205" w:type="dxa"/>
          </w:tcPr>
          <w:p>
            <w:pPr>
              <w:pStyle w:val="TableParagraph"/>
              <w:rPr>
                <w:rFonts w:ascii="Times New Roman"/>
                <w:sz w:val="10"/>
              </w:rPr>
            </w:pPr>
          </w:p>
        </w:tc>
        <w:tc>
          <w:tcPr>
            <w:tcW w:w="4618" w:type="dxa"/>
          </w:tcPr>
          <w:p>
            <w:pPr>
              <w:pStyle w:val="TableParagraph"/>
              <w:spacing w:line="147" w:lineRule="exact" w:before="1"/>
              <w:ind w:left="429"/>
              <w:rPr>
                <w:sz w:val="14"/>
              </w:rPr>
            </w:pPr>
            <w:r>
              <w:rPr>
                <w:sz w:val="14"/>
              </w:rPr>
              <w:t>Education Development</w:t>
            </w:r>
          </w:p>
        </w:tc>
        <w:tc>
          <w:tcPr>
            <w:tcW w:w="2799" w:type="dxa"/>
          </w:tcPr>
          <w:p>
            <w:pPr>
              <w:pStyle w:val="TableParagraph"/>
              <w:spacing w:line="147" w:lineRule="exact" w:before="1"/>
              <w:ind w:right="517"/>
              <w:jc w:val="right"/>
              <w:rPr>
                <w:b/>
                <w:sz w:val="14"/>
              </w:rPr>
            </w:pPr>
            <w:r>
              <w:rPr>
                <w:b/>
                <w:sz w:val="14"/>
              </w:rPr>
              <w:t>3,913.6</w:t>
            </w:r>
          </w:p>
        </w:tc>
        <w:tc>
          <w:tcPr>
            <w:tcW w:w="1313" w:type="dxa"/>
          </w:tcPr>
          <w:p>
            <w:pPr>
              <w:pStyle w:val="TableParagraph"/>
              <w:spacing w:line="147" w:lineRule="exact" w:before="1"/>
              <w:ind w:right="430"/>
              <w:jc w:val="right"/>
              <w:rPr>
                <w:sz w:val="14"/>
              </w:rPr>
            </w:pPr>
            <w:r>
              <w:rPr>
                <w:sz w:val="14"/>
              </w:rPr>
              <w:t>0 . 2 %</w:t>
            </w:r>
          </w:p>
        </w:tc>
        <w:tc>
          <w:tcPr>
            <w:tcW w:w="1669" w:type="dxa"/>
          </w:tcPr>
          <w:p>
            <w:pPr>
              <w:pStyle w:val="TableParagraph"/>
              <w:spacing w:line="147" w:lineRule="exact" w:before="1"/>
              <w:ind w:right="530"/>
              <w:jc w:val="right"/>
              <w:rPr>
                <w:sz w:val="14"/>
              </w:rPr>
            </w:pPr>
            <w:r>
              <w:rPr>
                <w:sz w:val="14"/>
              </w:rPr>
              <w:t>4,262 .7</w:t>
            </w:r>
          </w:p>
        </w:tc>
        <w:tc>
          <w:tcPr>
            <w:tcW w:w="1223" w:type="dxa"/>
          </w:tcPr>
          <w:p>
            <w:pPr>
              <w:pStyle w:val="TableParagraph"/>
              <w:spacing w:line="147" w:lineRule="exact" w:before="1"/>
              <w:ind w:right="317"/>
              <w:jc w:val="right"/>
              <w:rPr>
                <w:sz w:val="14"/>
              </w:rPr>
            </w:pPr>
            <w:r>
              <w:rPr>
                <w:sz w:val="14"/>
              </w:rPr>
              <w:t>0 . 2 %</w:t>
            </w:r>
          </w:p>
        </w:tc>
        <w:tc>
          <w:tcPr>
            <w:tcW w:w="1468" w:type="dxa"/>
          </w:tcPr>
          <w:p>
            <w:pPr>
              <w:pStyle w:val="TableParagraph"/>
              <w:spacing w:line="147" w:lineRule="exact" w:before="1"/>
              <w:ind w:right="441"/>
              <w:jc w:val="right"/>
              <w:rPr>
                <w:sz w:val="14"/>
              </w:rPr>
            </w:pPr>
            <w:r>
              <w:rPr>
                <w:sz w:val="14"/>
              </w:rPr>
              <w:t>5,003 .6</w:t>
            </w:r>
          </w:p>
        </w:tc>
        <w:tc>
          <w:tcPr>
            <w:tcW w:w="853" w:type="dxa"/>
          </w:tcPr>
          <w:p>
            <w:pPr>
              <w:pStyle w:val="TableParagraph"/>
              <w:spacing w:line="147" w:lineRule="exact" w:before="1"/>
              <w:ind w:right="32"/>
              <w:jc w:val="right"/>
              <w:rPr>
                <w:sz w:val="14"/>
              </w:rPr>
            </w:pPr>
            <w:r>
              <w:rPr>
                <w:sz w:val="14"/>
              </w:rPr>
              <w:t>0 . 2 %</w:t>
            </w:r>
          </w:p>
        </w:tc>
      </w:tr>
      <w:tr>
        <w:trPr>
          <w:trHeight w:val="196" w:hRule="atLeast"/>
        </w:trPr>
        <w:tc>
          <w:tcPr>
            <w:tcW w:w="205" w:type="dxa"/>
          </w:tcPr>
          <w:p>
            <w:pPr>
              <w:pStyle w:val="TableParagraph"/>
              <w:rPr>
                <w:rFonts w:ascii="Times New Roman"/>
                <w:sz w:val="12"/>
              </w:rPr>
            </w:pPr>
          </w:p>
        </w:tc>
        <w:tc>
          <w:tcPr>
            <w:tcW w:w="4618" w:type="dxa"/>
          </w:tcPr>
          <w:p>
            <w:pPr>
              <w:pStyle w:val="TableParagraph"/>
              <w:spacing w:before="1"/>
              <w:ind w:left="428"/>
              <w:rPr>
                <w:sz w:val="14"/>
              </w:rPr>
            </w:pPr>
            <w:r>
              <w:rPr>
                <w:sz w:val="14"/>
              </w:rPr>
              <w:t>Youths and Sports Services</w:t>
            </w:r>
          </w:p>
        </w:tc>
        <w:tc>
          <w:tcPr>
            <w:tcW w:w="2799" w:type="dxa"/>
          </w:tcPr>
          <w:p>
            <w:pPr>
              <w:pStyle w:val="TableParagraph"/>
              <w:spacing w:before="1"/>
              <w:ind w:right="517"/>
              <w:jc w:val="right"/>
              <w:rPr>
                <w:b/>
                <w:sz w:val="14"/>
              </w:rPr>
            </w:pPr>
            <w:r>
              <w:rPr>
                <w:b/>
                <w:sz w:val="14"/>
              </w:rPr>
              <w:t>2,194.7</w:t>
            </w:r>
          </w:p>
        </w:tc>
        <w:tc>
          <w:tcPr>
            <w:tcW w:w="1313" w:type="dxa"/>
          </w:tcPr>
          <w:p>
            <w:pPr>
              <w:pStyle w:val="TableParagraph"/>
              <w:spacing w:before="1"/>
              <w:ind w:right="430"/>
              <w:jc w:val="right"/>
              <w:rPr>
                <w:sz w:val="14"/>
              </w:rPr>
            </w:pPr>
            <w:r>
              <w:rPr>
                <w:sz w:val="14"/>
              </w:rPr>
              <w:t>0 . 1 %</w:t>
            </w:r>
          </w:p>
        </w:tc>
        <w:tc>
          <w:tcPr>
            <w:tcW w:w="1669" w:type="dxa"/>
          </w:tcPr>
          <w:p>
            <w:pPr>
              <w:pStyle w:val="TableParagraph"/>
              <w:spacing w:before="1"/>
              <w:ind w:right="530"/>
              <w:jc w:val="right"/>
              <w:rPr>
                <w:sz w:val="14"/>
              </w:rPr>
            </w:pPr>
            <w:r>
              <w:rPr>
                <w:sz w:val="14"/>
              </w:rPr>
              <w:t>2,390 .4</w:t>
            </w:r>
          </w:p>
        </w:tc>
        <w:tc>
          <w:tcPr>
            <w:tcW w:w="1223" w:type="dxa"/>
          </w:tcPr>
          <w:p>
            <w:pPr>
              <w:pStyle w:val="TableParagraph"/>
              <w:spacing w:before="1"/>
              <w:ind w:right="317"/>
              <w:jc w:val="right"/>
              <w:rPr>
                <w:sz w:val="14"/>
              </w:rPr>
            </w:pPr>
            <w:r>
              <w:rPr>
                <w:sz w:val="14"/>
              </w:rPr>
              <w:t>0 . 1 %</w:t>
            </w:r>
          </w:p>
        </w:tc>
        <w:tc>
          <w:tcPr>
            <w:tcW w:w="1468" w:type="dxa"/>
          </w:tcPr>
          <w:p>
            <w:pPr>
              <w:pStyle w:val="TableParagraph"/>
              <w:spacing w:before="1"/>
              <w:ind w:right="441"/>
              <w:jc w:val="right"/>
              <w:rPr>
                <w:sz w:val="14"/>
              </w:rPr>
            </w:pPr>
            <w:r>
              <w:rPr>
                <w:sz w:val="14"/>
              </w:rPr>
              <w:t>2,805 .9</w:t>
            </w:r>
          </w:p>
        </w:tc>
        <w:tc>
          <w:tcPr>
            <w:tcW w:w="853" w:type="dxa"/>
          </w:tcPr>
          <w:p>
            <w:pPr>
              <w:pStyle w:val="TableParagraph"/>
              <w:spacing w:before="1"/>
              <w:ind w:right="32"/>
              <w:jc w:val="right"/>
              <w:rPr>
                <w:sz w:val="14"/>
              </w:rPr>
            </w:pPr>
            <w:r>
              <w:rPr>
                <w:sz w:val="14"/>
              </w:rPr>
              <w:t>0 . 1 %</w:t>
            </w:r>
          </w:p>
        </w:tc>
      </w:tr>
    </w:tbl>
    <w:p>
      <w:pPr>
        <w:spacing w:after="0"/>
        <w:jc w:val="right"/>
        <w:rPr>
          <w:sz w:val="14"/>
        </w:rPr>
        <w:sectPr>
          <w:pgSz w:w="16840" w:h="11900" w:orient="landscape"/>
          <w:pgMar w:header="1064" w:footer="0" w:top="2700" w:bottom="280" w:left="880" w:right="920"/>
        </w:sectPr>
      </w:pPr>
    </w:p>
    <w:p>
      <w:pPr>
        <w:pStyle w:val="BodyText"/>
        <w:rPr>
          <w:rFonts w:ascii="Times New Roman"/>
          <w:sz w:val="20"/>
        </w:rPr>
      </w:pPr>
      <w:r>
        <w:rPr/>
        <w:pict>
          <v:shape style="position:absolute;margin-left:27.140491pt;margin-top:288.029999pt;width:14.35pt;height:16.05pt;mso-position-horizontal-relative:page;mso-position-vertical-relative:page;z-index:1432" type="#_x0000_t202" filled="false" stroked="false">
            <v:textbox inset="0,0,0,0" style="layout-flow:vertical">
              <w:txbxContent>
                <w:p>
                  <w:pPr>
                    <w:spacing w:before="13"/>
                    <w:ind w:left="20" w:right="0" w:firstLine="0"/>
                    <w:jc w:val="left"/>
                    <w:rPr>
                      <w:rFonts w:ascii="Arial"/>
                      <w:sz w:val="22"/>
                    </w:rPr>
                  </w:pPr>
                  <w:r>
                    <w:rPr>
                      <w:rFonts w:ascii="Arial"/>
                      <w:sz w:val="22"/>
                    </w:rPr>
                    <w:t>xvi</w:t>
                  </w:r>
                </w:p>
              </w:txbxContent>
            </v:textbox>
            <w10:wrap type="none"/>
          </v:shape>
        </w:pict>
      </w:r>
    </w:p>
    <w:p>
      <w:pPr>
        <w:pStyle w:val="BodyText"/>
        <w:spacing w:before="7"/>
        <w:rPr>
          <w:rFonts w:ascii="Times New Roman"/>
          <w:sz w:val="18"/>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5"/>
        <w:gridCol w:w="1506"/>
        <w:gridCol w:w="1487"/>
        <w:gridCol w:w="1575"/>
        <w:gridCol w:w="1342"/>
        <w:gridCol w:w="1237"/>
        <w:gridCol w:w="1248"/>
      </w:tblGrid>
      <w:tr>
        <w:trPr>
          <w:trHeight w:val="568" w:hRule="atLeast"/>
        </w:trPr>
        <w:tc>
          <w:tcPr>
            <w:tcW w:w="6395" w:type="dxa"/>
            <w:tcBorders>
              <w:bottom w:val="single" w:sz="4" w:space="0" w:color="000000"/>
            </w:tcBorders>
          </w:tcPr>
          <w:p>
            <w:pPr>
              <w:pStyle w:val="TableParagraph"/>
              <w:rPr>
                <w:rFonts w:ascii="Times New Roman"/>
                <w:sz w:val="14"/>
              </w:rPr>
            </w:pPr>
          </w:p>
        </w:tc>
        <w:tc>
          <w:tcPr>
            <w:tcW w:w="1506" w:type="dxa"/>
            <w:tcBorders>
              <w:bottom w:val="single" w:sz="4" w:space="0" w:color="000000"/>
            </w:tcBorders>
          </w:tcPr>
          <w:p>
            <w:pPr>
              <w:pStyle w:val="TableParagraph"/>
              <w:spacing w:before="29"/>
              <w:ind w:left="497" w:right="361"/>
              <w:jc w:val="center"/>
              <w:rPr>
                <w:b/>
                <w:sz w:val="14"/>
              </w:rPr>
            </w:pPr>
            <w:r>
              <w:rPr>
                <w:b/>
                <w:spacing w:val="2"/>
                <w:sz w:val="14"/>
              </w:rPr>
              <w:t>FY</w:t>
            </w:r>
            <w:r>
              <w:rPr>
                <w:b/>
                <w:spacing w:val="6"/>
                <w:sz w:val="14"/>
              </w:rPr>
              <w:t> </w:t>
            </w:r>
            <w:r>
              <w:rPr>
                <w:b/>
                <w:spacing w:val="4"/>
                <w:sz w:val="14"/>
              </w:rPr>
              <w:t>2020</w:t>
            </w:r>
          </w:p>
          <w:p>
            <w:pPr>
              <w:pStyle w:val="TableParagraph"/>
              <w:spacing w:before="17"/>
              <w:ind w:left="523" w:right="263"/>
              <w:jc w:val="center"/>
              <w:rPr>
                <w:b/>
                <w:sz w:val="14"/>
              </w:rPr>
            </w:pPr>
            <w:r>
              <w:rPr>
                <w:b/>
                <w:sz w:val="14"/>
              </w:rPr>
              <w:t>Budget</w:t>
            </w:r>
          </w:p>
        </w:tc>
        <w:tc>
          <w:tcPr>
            <w:tcW w:w="1487" w:type="dxa"/>
            <w:tcBorders>
              <w:bottom w:val="single" w:sz="4" w:space="0" w:color="000000"/>
            </w:tcBorders>
          </w:tcPr>
          <w:p>
            <w:pPr>
              <w:pStyle w:val="TableParagraph"/>
              <w:spacing w:line="264" w:lineRule="auto" w:before="29"/>
              <w:ind w:left="388" w:right="140" w:firstLine="91"/>
              <w:rPr>
                <w:sz w:val="14"/>
              </w:rPr>
            </w:pPr>
            <w:r>
              <w:rPr>
                <w:sz w:val="14"/>
              </w:rPr>
              <w:t>% of Total Non Int/ Sal</w:t>
            </w:r>
          </w:p>
        </w:tc>
        <w:tc>
          <w:tcPr>
            <w:tcW w:w="1575" w:type="dxa"/>
            <w:tcBorders>
              <w:bottom w:val="single" w:sz="4" w:space="0" w:color="000000"/>
            </w:tcBorders>
          </w:tcPr>
          <w:p>
            <w:pPr>
              <w:pStyle w:val="TableParagraph"/>
              <w:spacing w:before="29"/>
              <w:ind w:left="625"/>
              <w:rPr>
                <w:sz w:val="14"/>
              </w:rPr>
            </w:pPr>
            <w:r>
              <w:rPr>
                <w:sz w:val="14"/>
              </w:rPr>
              <w:t>FY</w:t>
            </w:r>
            <w:r>
              <w:rPr>
                <w:spacing w:val="17"/>
                <w:sz w:val="14"/>
              </w:rPr>
              <w:t> </w:t>
            </w:r>
            <w:r>
              <w:rPr>
                <w:spacing w:val="4"/>
                <w:sz w:val="14"/>
              </w:rPr>
              <w:t>2021</w:t>
            </w:r>
          </w:p>
          <w:p>
            <w:pPr>
              <w:pStyle w:val="TableParagraph"/>
              <w:spacing w:before="17"/>
              <w:ind w:left="553"/>
              <w:rPr>
                <w:sz w:val="14"/>
              </w:rPr>
            </w:pPr>
            <w:r>
              <w:rPr>
                <w:spacing w:val="3"/>
                <w:sz w:val="14"/>
              </w:rPr>
              <w:t>Indicative</w:t>
            </w:r>
          </w:p>
        </w:tc>
        <w:tc>
          <w:tcPr>
            <w:tcW w:w="1342" w:type="dxa"/>
            <w:tcBorders>
              <w:bottom w:val="single" w:sz="4" w:space="0" w:color="000000"/>
            </w:tcBorders>
          </w:tcPr>
          <w:p>
            <w:pPr>
              <w:pStyle w:val="TableParagraph"/>
              <w:spacing w:line="249" w:lineRule="auto" w:before="29"/>
              <w:ind w:left="389" w:right="196" w:firstLine="86"/>
              <w:jc w:val="both"/>
              <w:rPr>
                <w:sz w:val="14"/>
              </w:rPr>
            </w:pPr>
            <w:r>
              <w:rPr>
                <w:sz w:val="14"/>
              </w:rPr>
              <w:t>% of Total Non Int/ Sal Recurr Exp</w:t>
            </w:r>
          </w:p>
        </w:tc>
        <w:tc>
          <w:tcPr>
            <w:tcW w:w="1237" w:type="dxa"/>
            <w:tcBorders>
              <w:bottom w:val="single" w:sz="4" w:space="0" w:color="000000"/>
            </w:tcBorders>
          </w:tcPr>
          <w:p>
            <w:pPr>
              <w:pStyle w:val="TableParagraph"/>
              <w:spacing w:before="29"/>
              <w:ind w:left="487"/>
              <w:rPr>
                <w:sz w:val="14"/>
              </w:rPr>
            </w:pPr>
            <w:r>
              <w:rPr>
                <w:sz w:val="14"/>
              </w:rPr>
              <w:t>FY</w:t>
            </w:r>
            <w:r>
              <w:rPr>
                <w:spacing w:val="17"/>
                <w:sz w:val="14"/>
              </w:rPr>
              <w:t> </w:t>
            </w:r>
            <w:r>
              <w:rPr>
                <w:spacing w:val="4"/>
                <w:sz w:val="14"/>
              </w:rPr>
              <w:t>2022</w:t>
            </w:r>
          </w:p>
          <w:p>
            <w:pPr>
              <w:pStyle w:val="TableParagraph"/>
              <w:spacing w:before="17"/>
              <w:ind w:left="415"/>
              <w:rPr>
                <w:sz w:val="14"/>
              </w:rPr>
            </w:pPr>
            <w:r>
              <w:rPr>
                <w:spacing w:val="3"/>
                <w:sz w:val="14"/>
              </w:rPr>
              <w:t>Indicative</w:t>
            </w:r>
          </w:p>
        </w:tc>
        <w:tc>
          <w:tcPr>
            <w:tcW w:w="1248" w:type="dxa"/>
            <w:tcBorders>
              <w:bottom w:val="single" w:sz="4" w:space="0" w:color="000000"/>
            </w:tcBorders>
          </w:tcPr>
          <w:p>
            <w:pPr>
              <w:pStyle w:val="TableParagraph"/>
              <w:spacing w:line="249" w:lineRule="auto" w:before="29"/>
              <w:ind w:left="190" w:right="300" w:firstLine="86"/>
              <w:jc w:val="both"/>
              <w:rPr>
                <w:sz w:val="14"/>
              </w:rPr>
            </w:pPr>
            <w:r>
              <w:rPr>
                <w:sz w:val="14"/>
              </w:rPr>
              <w:t>% of Total Non Int/ Sal Recurr Exp</w:t>
            </w:r>
          </w:p>
        </w:tc>
      </w:tr>
      <w:tr>
        <w:trPr>
          <w:trHeight w:val="208" w:hRule="atLeast"/>
        </w:trPr>
        <w:tc>
          <w:tcPr>
            <w:tcW w:w="6395" w:type="dxa"/>
            <w:tcBorders>
              <w:top w:val="single" w:sz="4" w:space="0" w:color="000000"/>
            </w:tcBorders>
          </w:tcPr>
          <w:p>
            <w:pPr>
              <w:pStyle w:val="TableParagraph"/>
              <w:spacing w:line="147" w:lineRule="exact" w:before="41"/>
              <w:ind w:left="907"/>
              <w:rPr>
                <w:sz w:val="14"/>
              </w:rPr>
            </w:pPr>
            <w:r>
              <w:rPr>
                <w:sz w:val="14"/>
              </w:rPr>
              <w:t>Sports Equipment</w:t>
            </w:r>
          </w:p>
        </w:tc>
        <w:tc>
          <w:tcPr>
            <w:tcW w:w="1506" w:type="dxa"/>
            <w:tcBorders>
              <w:top w:val="single" w:sz="4" w:space="0" w:color="000000"/>
            </w:tcBorders>
          </w:tcPr>
          <w:p>
            <w:pPr>
              <w:pStyle w:val="TableParagraph"/>
              <w:spacing w:line="147" w:lineRule="exact" w:before="41"/>
              <w:ind w:right="523"/>
              <w:jc w:val="right"/>
              <w:rPr>
                <w:b/>
                <w:sz w:val="14"/>
              </w:rPr>
            </w:pPr>
            <w:r>
              <w:rPr>
                <w:b/>
                <w:sz w:val="14"/>
              </w:rPr>
              <w:t>1,282.0</w:t>
            </w:r>
          </w:p>
        </w:tc>
        <w:tc>
          <w:tcPr>
            <w:tcW w:w="1487" w:type="dxa"/>
            <w:tcBorders>
              <w:top w:val="single" w:sz="4" w:space="0" w:color="000000"/>
            </w:tcBorders>
          </w:tcPr>
          <w:p>
            <w:pPr>
              <w:pStyle w:val="TableParagraph"/>
              <w:spacing w:line="147" w:lineRule="exact" w:before="41"/>
              <w:ind w:left="494"/>
              <w:rPr>
                <w:sz w:val="14"/>
              </w:rPr>
            </w:pPr>
            <w:r>
              <w:rPr>
                <w:sz w:val="14"/>
              </w:rPr>
              <w:t>0 . 1 %</w:t>
            </w:r>
          </w:p>
        </w:tc>
        <w:tc>
          <w:tcPr>
            <w:tcW w:w="1575" w:type="dxa"/>
            <w:tcBorders>
              <w:top w:val="single" w:sz="4" w:space="0" w:color="000000"/>
            </w:tcBorders>
          </w:tcPr>
          <w:p>
            <w:pPr>
              <w:pStyle w:val="TableParagraph"/>
              <w:spacing w:line="147" w:lineRule="exact" w:before="41"/>
              <w:ind w:right="615"/>
              <w:jc w:val="right"/>
              <w:rPr>
                <w:sz w:val="14"/>
              </w:rPr>
            </w:pPr>
            <w:r>
              <w:rPr>
                <w:sz w:val="14"/>
              </w:rPr>
              <w:t>1,396 .3</w:t>
            </w:r>
          </w:p>
        </w:tc>
        <w:tc>
          <w:tcPr>
            <w:tcW w:w="1342" w:type="dxa"/>
            <w:tcBorders>
              <w:top w:val="single" w:sz="4" w:space="0" w:color="000000"/>
            </w:tcBorders>
          </w:tcPr>
          <w:p>
            <w:pPr>
              <w:pStyle w:val="TableParagraph"/>
              <w:spacing w:line="147" w:lineRule="exact" w:before="41"/>
              <w:ind w:left="437"/>
              <w:rPr>
                <w:sz w:val="14"/>
              </w:rPr>
            </w:pPr>
            <w:r>
              <w:rPr>
                <w:sz w:val="14"/>
              </w:rPr>
              <w:t>0 . 1 %</w:t>
            </w:r>
          </w:p>
        </w:tc>
        <w:tc>
          <w:tcPr>
            <w:tcW w:w="1237" w:type="dxa"/>
            <w:tcBorders>
              <w:top w:val="single" w:sz="4" w:space="0" w:color="000000"/>
            </w:tcBorders>
          </w:tcPr>
          <w:p>
            <w:pPr>
              <w:pStyle w:val="TableParagraph"/>
              <w:spacing w:line="147" w:lineRule="exact" w:before="41"/>
              <w:ind w:right="420"/>
              <w:jc w:val="right"/>
              <w:rPr>
                <w:sz w:val="14"/>
              </w:rPr>
            </w:pPr>
            <w:r>
              <w:rPr>
                <w:sz w:val="14"/>
              </w:rPr>
              <w:t>1,639 .0</w:t>
            </w:r>
          </w:p>
        </w:tc>
        <w:tc>
          <w:tcPr>
            <w:tcW w:w="1248" w:type="dxa"/>
            <w:tcBorders>
              <w:top w:val="single" w:sz="4" w:space="0" w:color="000000"/>
            </w:tcBorders>
          </w:tcPr>
          <w:p>
            <w:pPr>
              <w:pStyle w:val="TableParagraph"/>
              <w:spacing w:line="147" w:lineRule="exact" w:before="41"/>
              <w:ind w:left="410" w:right="353"/>
              <w:jc w:val="center"/>
              <w:rPr>
                <w:sz w:val="14"/>
              </w:rPr>
            </w:pPr>
            <w:r>
              <w:rPr>
                <w:sz w:val="14"/>
              </w:rPr>
              <w:t>0 . 1 %</w:t>
            </w:r>
          </w:p>
        </w:tc>
      </w:tr>
      <w:tr>
        <w:trPr>
          <w:trHeight w:val="168" w:hRule="atLeast"/>
        </w:trPr>
        <w:tc>
          <w:tcPr>
            <w:tcW w:w="6395" w:type="dxa"/>
          </w:tcPr>
          <w:p>
            <w:pPr>
              <w:pStyle w:val="TableParagraph"/>
              <w:spacing w:line="147" w:lineRule="exact" w:before="1"/>
              <w:ind w:left="734"/>
              <w:rPr>
                <w:sz w:val="14"/>
              </w:rPr>
            </w:pPr>
            <w:r>
              <w:rPr>
                <w:sz w:val="14"/>
              </w:rPr>
              <w:t>Youths Division</w:t>
            </w:r>
          </w:p>
        </w:tc>
        <w:tc>
          <w:tcPr>
            <w:tcW w:w="1506" w:type="dxa"/>
          </w:tcPr>
          <w:p>
            <w:pPr>
              <w:pStyle w:val="TableParagraph"/>
              <w:spacing w:line="147" w:lineRule="exact" w:before="1"/>
              <w:ind w:right="511"/>
              <w:jc w:val="right"/>
              <w:rPr>
                <w:b/>
                <w:sz w:val="14"/>
              </w:rPr>
            </w:pPr>
            <w:r>
              <w:rPr>
                <w:b/>
                <w:sz w:val="14"/>
              </w:rPr>
              <w:t>912.7</w:t>
            </w:r>
          </w:p>
        </w:tc>
        <w:tc>
          <w:tcPr>
            <w:tcW w:w="1487" w:type="dxa"/>
          </w:tcPr>
          <w:p>
            <w:pPr>
              <w:pStyle w:val="TableParagraph"/>
              <w:spacing w:line="147" w:lineRule="exact" w:before="1"/>
              <w:ind w:left="494"/>
              <w:rPr>
                <w:sz w:val="14"/>
              </w:rPr>
            </w:pPr>
            <w:r>
              <w:rPr>
                <w:sz w:val="14"/>
              </w:rPr>
              <w:t>0 . 0 %</w:t>
            </w:r>
          </w:p>
        </w:tc>
        <w:tc>
          <w:tcPr>
            <w:tcW w:w="1575" w:type="dxa"/>
          </w:tcPr>
          <w:p>
            <w:pPr>
              <w:pStyle w:val="TableParagraph"/>
              <w:spacing w:line="147" w:lineRule="exact" w:before="1"/>
              <w:ind w:right="613"/>
              <w:jc w:val="right"/>
              <w:rPr>
                <w:sz w:val="14"/>
              </w:rPr>
            </w:pPr>
            <w:r>
              <w:rPr>
                <w:sz w:val="14"/>
              </w:rPr>
              <w:t>994.1</w:t>
            </w:r>
          </w:p>
        </w:tc>
        <w:tc>
          <w:tcPr>
            <w:tcW w:w="1342" w:type="dxa"/>
          </w:tcPr>
          <w:p>
            <w:pPr>
              <w:pStyle w:val="TableParagraph"/>
              <w:spacing w:line="147" w:lineRule="exact" w:before="1"/>
              <w:ind w:left="437"/>
              <w:rPr>
                <w:sz w:val="14"/>
              </w:rPr>
            </w:pPr>
            <w:r>
              <w:rPr>
                <w:sz w:val="14"/>
              </w:rPr>
              <w:t>0 . 0 %</w:t>
            </w:r>
          </w:p>
        </w:tc>
        <w:tc>
          <w:tcPr>
            <w:tcW w:w="1237" w:type="dxa"/>
          </w:tcPr>
          <w:p>
            <w:pPr>
              <w:pStyle w:val="TableParagraph"/>
              <w:spacing w:line="147" w:lineRule="exact" w:before="1"/>
              <w:ind w:right="420"/>
              <w:jc w:val="right"/>
              <w:rPr>
                <w:sz w:val="14"/>
              </w:rPr>
            </w:pPr>
            <w:r>
              <w:rPr>
                <w:sz w:val="14"/>
              </w:rPr>
              <w:t>1,166 .9</w:t>
            </w:r>
          </w:p>
        </w:tc>
        <w:tc>
          <w:tcPr>
            <w:tcW w:w="1248" w:type="dxa"/>
          </w:tcPr>
          <w:p>
            <w:pPr>
              <w:pStyle w:val="TableParagraph"/>
              <w:spacing w:line="147" w:lineRule="exact" w:before="1"/>
              <w:ind w:left="410" w:right="353"/>
              <w:jc w:val="center"/>
              <w:rPr>
                <w:sz w:val="14"/>
              </w:rPr>
            </w:pPr>
            <w:r>
              <w:rPr>
                <w:sz w:val="14"/>
              </w:rPr>
              <w:t>0 . 1 %</w:t>
            </w:r>
          </w:p>
        </w:tc>
      </w:tr>
      <w:tr>
        <w:trPr>
          <w:trHeight w:val="167" w:hRule="atLeast"/>
        </w:trPr>
        <w:tc>
          <w:tcPr>
            <w:tcW w:w="6395" w:type="dxa"/>
          </w:tcPr>
          <w:p>
            <w:pPr>
              <w:pStyle w:val="TableParagraph"/>
              <w:spacing w:line="147" w:lineRule="exact" w:before="1"/>
              <w:ind w:left="734"/>
              <w:rPr>
                <w:sz w:val="14"/>
              </w:rPr>
            </w:pPr>
            <w:r>
              <w:rPr>
                <w:sz w:val="14"/>
              </w:rPr>
              <w:t>Solid Waste Management Services</w:t>
            </w:r>
          </w:p>
        </w:tc>
        <w:tc>
          <w:tcPr>
            <w:tcW w:w="1506" w:type="dxa"/>
          </w:tcPr>
          <w:p>
            <w:pPr>
              <w:pStyle w:val="TableParagraph"/>
              <w:spacing w:line="147" w:lineRule="exact" w:before="1"/>
              <w:ind w:right="523"/>
              <w:jc w:val="right"/>
              <w:rPr>
                <w:b/>
                <w:sz w:val="14"/>
              </w:rPr>
            </w:pPr>
            <w:r>
              <w:rPr>
                <w:b/>
                <w:sz w:val="14"/>
              </w:rPr>
              <w:t>8,271.3</w:t>
            </w:r>
          </w:p>
        </w:tc>
        <w:tc>
          <w:tcPr>
            <w:tcW w:w="1487" w:type="dxa"/>
          </w:tcPr>
          <w:p>
            <w:pPr>
              <w:pStyle w:val="TableParagraph"/>
              <w:spacing w:line="147" w:lineRule="exact" w:before="1"/>
              <w:ind w:left="494"/>
              <w:rPr>
                <w:sz w:val="14"/>
              </w:rPr>
            </w:pPr>
            <w:r>
              <w:rPr>
                <w:sz w:val="14"/>
              </w:rPr>
              <w:t>0 . 4 %</w:t>
            </w:r>
          </w:p>
        </w:tc>
        <w:tc>
          <w:tcPr>
            <w:tcW w:w="1575" w:type="dxa"/>
          </w:tcPr>
          <w:p>
            <w:pPr>
              <w:pStyle w:val="TableParagraph"/>
              <w:spacing w:line="147" w:lineRule="exact" w:before="1"/>
              <w:ind w:right="615"/>
              <w:jc w:val="right"/>
              <w:rPr>
                <w:sz w:val="14"/>
              </w:rPr>
            </w:pPr>
            <w:r>
              <w:rPr>
                <w:sz w:val="14"/>
              </w:rPr>
              <w:t>9,009 .0</w:t>
            </w:r>
          </w:p>
        </w:tc>
        <w:tc>
          <w:tcPr>
            <w:tcW w:w="1342" w:type="dxa"/>
          </w:tcPr>
          <w:p>
            <w:pPr>
              <w:pStyle w:val="TableParagraph"/>
              <w:spacing w:line="147" w:lineRule="exact" w:before="1"/>
              <w:ind w:left="437"/>
              <w:rPr>
                <w:sz w:val="14"/>
              </w:rPr>
            </w:pPr>
            <w:r>
              <w:rPr>
                <w:sz w:val="14"/>
              </w:rPr>
              <w:t>0 . 4 %</w:t>
            </w:r>
          </w:p>
        </w:tc>
        <w:tc>
          <w:tcPr>
            <w:tcW w:w="1237" w:type="dxa"/>
          </w:tcPr>
          <w:p>
            <w:pPr>
              <w:pStyle w:val="TableParagraph"/>
              <w:spacing w:line="147" w:lineRule="exact" w:before="1"/>
              <w:ind w:right="424"/>
              <w:jc w:val="right"/>
              <w:rPr>
                <w:sz w:val="14"/>
              </w:rPr>
            </w:pPr>
            <w:r>
              <w:rPr>
                <w:sz w:val="14"/>
              </w:rPr>
              <w:t>10,574.8</w:t>
            </w:r>
          </w:p>
        </w:tc>
        <w:tc>
          <w:tcPr>
            <w:tcW w:w="1248" w:type="dxa"/>
          </w:tcPr>
          <w:p>
            <w:pPr>
              <w:pStyle w:val="TableParagraph"/>
              <w:spacing w:line="147" w:lineRule="exact" w:before="1"/>
              <w:ind w:left="410" w:right="353"/>
              <w:jc w:val="center"/>
              <w:rPr>
                <w:sz w:val="14"/>
              </w:rPr>
            </w:pPr>
            <w:r>
              <w:rPr>
                <w:sz w:val="14"/>
              </w:rPr>
              <w:t>0 . 5 %</w:t>
            </w:r>
          </w:p>
        </w:tc>
      </w:tr>
      <w:tr>
        <w:trPr>
          <w:trHeight w:val="167" w:hRule="atLeast"/>
        </w:trPr>
        <w:tc>
          <w:tcPr>
            <w:tcW w:w="6395" w:type="dxa"/>
          </w:tcPr>
          <w:p>
            <w:pPr>
              <w:pStyle w:val="TableParagraph"/>
              <w:spacing w:line="147" w:lineRule="exact" w:before="1"/>
              <w:ind w:left="735"/>
              <w:rPr>
                <w:sz w:val="14"/>
              </w:rPr>
            </w:pPr>
            <w:r>
              <w:rPr>
                <w:sz w:val="14"/>
              </w:rPr>
              <w:t>Monthly Cleaning</w:t>
            </w:r>
          </w:p>
        </w:tc>
        <w:tc>
          <w:tcPr>
            <w:tcW w:w="1506" w:type="dxa"/>
          </w:tcPr>
          <w:p>
            <w:pPr>
              <w:pStyle w:val="TableParagraph"/>
              <w:spacing w:line="147" w:lineRule="exact" w:before="1"/>
              <w:ind w:right="530"/>
              <w:jc w:val="right"/>
              <w:rPr>
                <w:b/>
                <w:sz w:val="14"/>
              </w:rPr>
            </w:pPr>
            <w:r>
              <w:rPr>
                <w:b/>
                <w:sz w:val="14"/>
              </w:rPr>
              <w:t>38,800.0</w:t>
            </w:r>
          </w:p>
        </w:tc>
        <w:tc>
          <w:tcPr>
            <w:tcW w:w="1487" w:type="dxa"/>
          </w:tcPr>
          <w:p>
            <w:pPr>
              <w:pStyle w:val="TableParagraph"/>
              <w:spacing w:line="147" w:lineRule="exact" w:before="1"/>
              <w:ind w:left="494"/>
              <w:rPr>
                <w:sz w:val="14"/>
              </w:rPr>
            </w:pPr>
            <w:r>
              <w:rPr>
                <w:sz w:val="14"/>
              </w:rPr>
              <w:t>1 . 9 %</w:t>
            </w:r>
          </w:p>
        </w:tc>
        <w:tc>
          <w:tcPr>
            <w:tcW w:w="1575" w:type="dxa"/>
          </w:tcPr>
          <w:p>
            <w:pPr>
              <w:pStyle w:val="TableParagraph"/>
              <w:spacing w:line="147" w:lineRule="exact" w:before="1"/>
              <w:ind w:right="624"/>
              <w:jc w:val="right"/>
              <w:rPr>
                <w:sz w:val="14"/>
              </w:rPr>
            </w:pPr>
            <w:r>
              <w:rPr>
                <w:sz w:val="14"/>
              </w:rPr>
              <w:t>42,261.0</w:t>
            </w:r>
          </w:p>
        </w:tc>
        <w:tc>
          <w:tcPr>
            <w:tcW w:w="1342" w:type="dxa"/>
          </w:tcPr>
          <w:p>
            <w:pPr>
              <w:pStyle w:val="TableParagraph"/>
              <w:spacing w:line="147" w:lineRule="exact" w:before="1"/>
              <w:ind w:left="437"/>
              <w:rPr>
                <w:sz w:val="14"/>
              </w:rPr>
            </w:pPr>
            <w:r>
              <w:rPr>
                <w:sz w:val="14"/>
              </w:rPr>
              <w:t>2 . 0 %</w:t>
            </w:r>
          </w:p>
        </w:tc>
        <w:tc>
          <w:tcPr>
            <w:tcW w:w="1237" w:type="dxa"/>
          </w:tcPr>
          <w:p>
            <w:pPr>
              <w:pStyle w:val="TableParagraph"/>
              <w:spacing w:line="147" w:lineRule="exact" w:before="1"/>
              <w:ind w:right="424"/>
              <w:jc w:val="right"/>
              <w:rPr>
                <w:sz w:val="14"/>
              </w:rPr>
            </w:pPr>
            <w:r>
              <w:rPr>
                <w:sz w:val="14"/>
              </w:rPr>
              <w:t>49,605.9</w:t>
            </w:r>
          </w:p>
        </w:tc>
        <w:tc>
          <w:tcPr>
            <w:tcW w:w="1248" w:type="dxa"/>
          </w:tcPr>
          <w:p>
            <w:pPr>
              <w:pStyle w:val="TableParagraph"/>
              <w:spacing w:line="147" w:lineRule="exact" w:before="1"/>
              <w:ind w:left="410" w:right="353"/>
              <w:jc w:val="center"/>
              <w:rPr>
                <w:sz w:val="14"/>
              </w:rPr>
            </w:pPr>
            <w:r>
              <w:rPr>
                <w:sz w:val="14"/>
              </w:rPr>
              <w:t>2 . 4 %</w:t>
            </w:r>
          </w:p>
        </w:tc>
      </w:tr>
      <w:tr>
        <w:trPr>
          <w:trHeight w:val="167" w:hRule="atLeast"/>
        </w:trPr>
        <w:tc>
          <w:tcPr>
            <w:tcW w:w="6395" w:type="dxa"/>
          </w:tcPr>
          <w:p>
            <w:pPr>
              <w:pStyle w:val="TableParagraph"/>
              <w:spacing w:line="147" w:lineRule="exact" w:before="1"/>
              <w:ind w:left="735"/>
              <w:rPr>
                <w:sz w:val="14"/>
              </w:rPr>
            </w:pPr>
            <w:r>
              <w:rPr>
                <w:sz w:val="14"/>
              </w:rPr>
              <w:t>Health Care Services</w:t>
            </w:r>
          </w:p>
        </w:tc>
        <w:tc>
          <w:tcPr>
            <w:tcW w:w="1506" w:type="dxa"/>
          </w:tcPr>
          <w:p>
            <w:pPr>
              <w:pStyle w:val="TableParagraph"/>
              <w:spacing w:line="147" w:lineRule="exact" w:before="1"/>
              <w:ind w:right="530"/>
              <w:jc w:val="right"/>
              <w:rPr>
                <w:b/>
                <w:sz w:val="14"/>
              </w:rPr>
            </w:pPr>
            <w:r>
              <w:rPr>
                <w:b/>
                <w:sz w:val="14"/>
              </w:rPr>
              <w:t>35,229.2</w:t>
            </w:r>
          </w:p>
        </w:tc>
        <w:tc>
          <w:tcPr>
            <w:tcW w:w="1487" w:type="dxa"/>
          </w:tcPr>
          <w:p>
            <w:pPr>
              <w:pStyle w:val="TableParagraph"/>
              <w:spacing w:line="147" w:lineRule="exact" w:before="1"/>
              <w:ind w:left="494"/>
              <w:rPr>
                <w:sz w:val="14"/>
              </w:rPr>
            </w:pPr>
            <w:r>
              <w:rPr>
                <w:sz w:val="14"/>
              </w:rPr>
              <w:t>1 . 7 %</w:t>
            </w:r>
          </w:p>
        </w:tc>
        <w:tc>
          <w:tcPr>
            <w:tcW w:w="1575" w:type="dxa"/>
          </w:tcPr>
          <w:p>
            <w:pPr>
              <w:pStyle w:val="TableParagraph"/>
              <w:spacing w:line="147" w:lineRule="exact" w:before="1"/>
              <w:ind w:right="624"/>
              <w:jc w:val="right"/>
              <w:rPr>
                <w:sz w:val="14"/>
              </w:rPr>
            </w:pPr>
            <w:r>
              <w:rPr>
                <w:sz w:val="14"/>
              </w:rPr>
              <w:t>34,094.5</w:t>
            </w:r>
          </w:p>
        </w:tc>
        <w:tc>
          <w:tcPr>
            <w:tcW w:w="1342" w:type="dxa"/>
          </w:tcPr>
          <w:p>
            <w:pPr>
              <w:pStyle w:val="TableParagraph"/>
              <w:spacing w:line="147" w:lineRule="exact" w:before="1"/>
              <w:ind w:left="437"/>
              <w:rPr>
                <w:sz w:val="14"/>
              </w:rPr>
            </w:pPr>
            <w:r>
              <w:rPr>
                <w:sz w:val="14"/>
              </w:rPr>
              <w:t>1 . 6 %</w:t>
            </w:r>
          </w:p>
        </w:tc>
        <w:tc>
          <w:tcPr>
            <w:tcW w:w="1237" w:type="dxa"/>
          </w:tcPr>
          <w:p>
            <w:pPr>
              <w:pStyle w:val="TableParagraph"/>
              <w:spacing w:line="147" w:lineRule="exact" w:before="1"/>
              <w:ind w:right="424"/>
              <w:jc w:val="right"/>
              <w:rPr>
                <w:sz w:val="14"/>
              </w:rPr>
            </w:pPr>
            <w:r>
              <w:rPr>
                <w:sz w:val="14"/>
              </w:rPr>
              <w:t>43,021.8</w:t>
            </w:r>
          </w:p>
        </w:tc>
        <w:tc>
          <w:tcPr>
            <w:tcW w:w="1248" w:type="dxa"/>
          </w:tcPr>
          <w:p>
            <w:pPr>
              <w:pStyle w:val="TableParagraph"/>
              <w:spacing w:line="147" w:lineRule="exact" w:before="1"/>
              <w:ind w:left="410" w:right="353"/>
              <w:jc w:val="center"/>
              <w:rPr>
                <w:sz w:val="14"/>
              </w:rPr>
            </w:pPr>
            <w:r>
              <w:rPr>
                <w:sz w:val="14"/>
              </w:rPr>
              <w:t>2 . 1 %</w:t>
            </w:r>
          </w:p>
        </w:tc>
      </w:tr>
      <w:tr>
        <w:trPr>
          <w:trHeight w:val="168" w:hRule="atLeast"/>
        </w:trPr>
        <w:tc>
          <w:tcPr>
            <w:tcW w:w="6395" w:type="dxa"/>
          </w:tcPr>
          <w:p>
            <w:pPr>
              <w:pStyle w:val="TableParagraph"/>
              <w:spacing w:line="147" w:lineRule="exact" w:before="1"/>
              <w:ind w:left="907"/>
              <w:rPr>
                <w:sz w:val="14"/>
              </w:rPr>
            </w:pPr>
            <w:r>
              <w:rPr>
                <w:sz w:val="14"/>
              </w:rPr>
              <w:t>District Peripheral Health Care Services (PHCs)</w:t>
            </w:r>
          </w:p>
        </w:tc>
        <w:tc>
          <w:tcPr>
            <w:tcW w:w="1506" w:type="dxa"/>
          </w:tcPr>
          <w:p>
            <w:pPr>
              <w:pStyle w:val="TableParagraph"/>
              <w:spacing w:line="147" w:lineRule="exact" w:before="1"/>
              <w:ind w:right="530"/>
              <w:jc w:val="right"/>
              <w:rPr>
                <w:b/>
                <w:sz w:val="14"/>
              </w:rPr>
            </w:pPr>
            <w:r>
              <w:rPr>
                <w:b/>
                <w:sz w:val="14"/>
              </w:rPr>
              <w:t>15,918.8</w:t>
            </w:r>
          </w:p>
        </w:tc>
        <w:tc>
          <w:tcPr>
            <w:tcW w:w="1487" w:type="dxa"/>
          </w:tcPr>
          <w:p>
            <w:pPr>
              <w:pStyle w:val="TableParagraph"/>
              <w:spacing w:line="147" w:lineRule="exact" w:before="1"/>
              <w:ind w:left="494"/>
              <w:rPr>
                <w:sz w:val="14"/>
              </w:rPr>
            </w:pPr>
            <w:r>
              <w:rPr>
                <w:sz w:val="14"/>
              </w:rPr>
              <w:t>0 . 8 %</w:t>
            </w:r>
          </w:p>
        </w:tc>
        <w:tc>
          <w:tcPr>
            <w:tcW w:w="1575" w:type="dxa"/>
          </w:tcPr>
          <w:p>
            <w:pPr>
              <w:pStyle w:val="TableParagraph"/>
              <w:spacing w:line="147" w:lineRule="exact" w:before="1"/>
              <w:ind w:right="624"/>
              <w:jc w:val="right"/>
              <w:rPr>
                <w:sz w:val="14"/>
              </w:rPr>
            </w:pPr>
            <w:r>
              <w:rPr>
                <w:sz w:val="14"/>
              </w:rPr>
              <w:t>13,061.6</w:t>
            </w:r>
          </w:p>
        </w:tc>
        <w:tc>
          <w:tcPr>
            <w:tcW w:w="1342" w:type="dxa"/>
          </w:tcPr>
          <w:p>
            <w:pPr>
              <w:pStyle w:val="TableParagraph"/>
              <w:spacing w:line="147" w:lineRule="exact" w:before="1"/>
              <w:ind w:left="437"/>
              <w:rPr>
                <w:sz w:val="14"/>
              </w:rPr>
            </w:pPr>
            <w:r>
              <w:rPr>
                <w:sz w:val="14"/>
              </w:rPr>
              <w:t>0 . 6 %</w:t>
            </w:r>
          </w:p>
        </w:tc>
        <w:tc>
          <w:tcPr>
            <w:tcW w:w="1237" w:type="dxa"/>
          </w:tcPr>
          <w:p>
            <w:pPr>
              <w:pStyle w:val="TableParagraph"/>
              <w:spacing w:line="147" w:lineRule="exact" w:before="1"/>
              <w:ind w:right="424"/>
              <w:jc w:val="right"/>
              <w:rPr>
                <w:sz w:val="14"/>
              </w:rPr>
            </w:pPr>
            <w:r>
              <w:rPr>
                <w:sz w:val="14"/>
              </w:rPr>
              <w:t>15,331.7</w:t>
            </w:r>
          </w:p>
        </w:tc>
        <w:tc>
          <w:tcPr>
            <w:tcW w:w="1248" w:type="dxa"/>
          </w:tcPr>
          <w:p>
            <w:pPr>
              <w:pStyle w:val="TableParagraph"/>
              <w:spacing w:line="147" w:lineRule="exact" w:before="1"/>
              <w:ind w:left="410" w:right="353"/>
              <w:jc w:val="center"/>
              <w:rPr>
                <w:sz w:val="14"/>
              </w:rPr>
            </w:pPr>
            <w:r>
              <w:rPr>
                <w:sz w:val="14"/>
              </w:rPr>
              <w:t>0 . 7 %</w:t>
            </w:r>
          </w:p>
        </w:tc>
      </w:tr>
      <w:tr>
        <w:trPr>
          <w:trHeight w:val="168" w:hRule="atLeast"/>
        </w:trPr>
        <w:tc>
          <w:tcPr>
            <w:tcW w:w="6395" w:type="dxa"/>
          </w:tcPr>
          <w:p>
            <w:pPr>
              <w:pStyle w:val="TableParagraph"/>
              <w:spacing w:line="147" w:lineRule="exact" w:before="1"/>
              <w:ind w:left="907"/>
              <w:rPr>
                <w:sz w:val="14"/>
              </w:rPr>
            </w:pPr>
            <w:r>
              <w:rPr>
                <w:sz w:val="14"/>
              </w:rPr>
              <w:t>Secondary Health Services (District Hospitals except, Bo, Kenema &amp; Makeni)</w:t>
            </w:r>
          </w:p>
        </w:tc>
        <w:tc>
          <w:tcPr>
            <w:tcW w:w="1506" w:type="dxa"/>
          </w:tcPr>
          <w:p>
            <w:pPr>
              <w:pStyle w:val="TableParagraph"/>
              <w:spacing w:line="147" w:lineRule="exact" w:before="1"/>
              <w:ind w:right="530"/>
              <w:jc w:val="right"/>
              <w:rPr>
                <w:b/>
                <w:sz w:val="14"/>
              </w:rPr>
            </w:pPr>
            <w:r>
              <w:rPr>
                <w:b/>
                <w:sz w:val="14"/>
              </w:rPr>
              <w:t>19,310.4</w:t>
            </w:r>
          </w:p>
        </w:tc>
        <w:tc>
          <w:tcPr>
            <w:tcW w:w="1487" w:type="dxa"/>
          </w:tcPr>
          <w:p>
            <w:pPr>
              <w:pStyle w:val="TableParagraph"/>
              <w:spacing w:line="147" w:lineRule="exact" w:before="1"/>
              <w:ind w:left="494"/>
              <w:rPr>
                <w:sz w:val="14"/>
              </w:rPr>
            </w:pPr>
            <w:r>
              <w:rPr>
                <w:sz w:val="14"/>
              </w:rPr>
              <w:t>0 . 9 %</w:t>
            </w:r>
          </w:p>
        </w:tc>
        <w:tc>
          <w:tcPr>
            <w:tcW w:w="1575" w:type="dxa"/>
          </w:tcPr>
          <w:p>
            <w:pPr>
              <w:pStyle w:val="TableParagraph"/>
              <w:spacing w:line="147" w:lineRule="exact" w:before="1"/>
              <w:ind w:right="624"/>
              <w:jc w:val="right"/>
              <w:rPr>
                <w:sz w:val="14"/>
              </w:rPr>
            </w:pPr>
            <w:r>
              <w:rPr>
                <w:sz w:val="14"/>
              </w:rPr>
              <w:t>21,032.9</w:t>
            </w:r>
          </w:p>
        </w:tc>
        <w:tc>
          <w:tcPr>
            <w:tcW w:w="1342" w:type="dxa"/>
          </w:tcPr>
          <w:p>
            <w:pPr>
              <w:pStyle w:val="TableParagraph"/>
              <w:spacing w:line="147" w:lineRule="exact" w:before="1"/>
              <w:ind w:left="437"/>
              <w:rPr>
                <w:sz w:val="14"/>
              </w:rPr>
            </w:pPr>
            <w:r>
              <w:rPr>
                <w:sz w:val="14"/>
              </w:rPr>
              <w:t>1 . 0 %</w:t>
            </w:r>
          </w:p>
        </w:tc>
        <w:tc>
          <w:tcPr>
            <w:tcW w:w="1237" w:type="dxa"/>
          </w:tcPr>
          <w:p>
            <w:pPr>
              <w:pStyle w:val="TableParagraph"/>
              <w:spacing w:line="147" w:lineRule="exact" w:before="1"/>
              <w:ind w:right="424"/>
              <w:jc w:val="right"/>
              <w:rPr>
                <w:sz w:val="14"/>
              </w:rPr>
            </w:pPr>
            <w:r>
              <w:rPr>
                <w:sz w:val="14"/>
              </w:rPr>
              <w:t>27,690.1</w:t>
            </w:r>
          </w:p>
        </w:tc>
        <w:tc>
          <w:tcPr>
            <w:tcW w:w="1248" w:type="dxa"/>
          </w:tcPr>
          <w:p>
            <w:pPr>
              <w:pStyle w:val="TableParagraph"/>
              <w:spacing w:line="147" w:lineRule="exact" w:before="1"/>
              <w:ind w:left="410" w:right="353"/>
              <w:jc w:val="center"/>
              <w:rPr>
                <w:sz w:val="14"/>
              </w:rPr>
            </w:pPr>
            <w:r>
              <w:rPr>
                <w:sz w:val="14"/>
              </w:rPr>
              <w:t>1 . 3 %</w:t>
            </w:r>
          </w:p>
        </w:tc>
      </w:tr>
      <w:tr>
        <w:trPr>
          <w:trHeight w:val="167" w:hRule="atLeast"/>
        </w:trPr>
        <w:tc>
          <w:tcPr>
            <w:tcW w:w="6395" w:type="dxa"/>
          </w:tcPr>
          <w:p>
            <w:pPr>
              <w:pStyle w:val="TableParagraph"/>
              <w:spacing w:line="147" w:lineRule="exact" w:before="1"/>
              <w:ind w:left="734"/>
              <w:rPr>
                <w:sz w:val="14"/>
              </w:rPr>
            </w:pPr>
            <w:r>
              <w:rPr>
                <w:sz w:val="14"/>
              </w:rPr>
              <w:t>Social Welfare, Gender and Children’s Affairs</w:t>
            </w:r>
          </w:p>
        </w:tc>
        <w:tc>
          <w:tcPr>
            <w:tcW w:w="1506" w:type="dxa"/>
          </w:tcPr>
          <w:p>
            <w:pPr>
              <w:pStyle w:val="TableParagraph"/>
              <w:spacing w:line="147" w:lineRule="exact" w:before="1"/>
              <w:ind w:right="523"/>
              <w:jc w:val="right"/>
              <w:rPr>
                <w:b/>
                <w:sz w:val="14"/>
              </w:rPr>
            </w:pPr>
            <w:r>
              <w:rPr>
                <w:b/>
                <w:sz w:val="14"/>
              </w:rPr>
              <w:t>3,266.4</w:t>
            </w:r>
          </w:p>
        </w:tc>
        <w:tc>
          <w:tcPr>
            <w:tcW w:w="1487" w:type="dxa"/>
          </w:tcPr>
          <w:p>
            <w:pPr>
              <w:pStyle w:val="TableParagraph"/>
              <w:spacing w:line="147" w:lineRule="exact" w:before="1"/>
              <w:ind w:left="494"/>
              <w:rPr>
                <w:sz w:val="14"/>
              </w:rPr>
            </w:pPr>
            <w:r>
              <w:rPr>
                <w:sz w:val="14"/>
              </w:rPr>
              <w:t>0 . 2 %</w:t>
            </w:r>
          </w:p>
        </w:tc>
        <w:tc>
          <w:tcPr>
            <w:tcW w:w="1575" w:type="dxa"/>
          </w:tcPr>
          <w:p>
            <w:pPr>
              <w:pStyle w:val="TableParagraph"/>
              <w:spacing w:line="147" w:lineRule="exact" w:before="1"/>
              <w:ind w:right="615"/>
              <w:jc w:val="right"/>
              <w:rPr>
                <w:sz w:val="14"/>
              </w:rPr>
            </w:pPr>
            <w:r>
              <w:rPr>
                <w:sz w:val="14"/>
              </w:rPr>
              <w:t>3,557 .8</w:t>
            </w:r>
          </w:p>
        </w:tc>
        <w:tc>
          <w:tcPr>
            <w:tcW w:w="1342" w:type="dxa"/>
          </w:tcPr>
          <w:p>
            <w:pPr>
              <w:pStyle w:val="TableParagraph"/>
              <w:spacing w:line="147" w:lineRule="exact" w:before="1"/>
              <w:ind w:left="437"/>
              <w:rPr>
                <w:sz w:val="14"/>
              </w:rPr>
            </w:pPr>
            <w:r>
              <w:rPr>
                <w:sz w:val="14"/>
              </w:rPr>
              <w:t>0 . 2 %</w:t>
            </w:r>
          </w:p>
        </w:tc>
        <w:tc>
          <w:tcPr>
            <w:tcW w:w="1237" w:type="dxa"/>
          </w:tcPr>
          <w:p>
            <w:pPr>
              <w:pStyle w:val="TableParagraph"/>
              <w:spacing w:line="147" w:lineRule="exact" w:before="1"/>
              <w:ind w:right="420"/>
              <w:jc w:val="right"/>
              <w:rPr>
                <w:sz w:val="14"/>
              </w:rPr>
            </w:pPr>
            <w:r>
              <w:rPr>
                <w:sz w:val="14"/>
              </w:rPr>
              <w:t>4,176 .1</w:t>
            </w:r>
          </w:p>
        </w:tc>
        <w:tc>
          <w:tcPr>
            <w:tcW w:w="1248" w:type="dxa"/>
          </w:tcPr>
          <w:p>
            <w:pPr>
              <w:pStyle w:val="TableParagraph"/>
              <w:spacing w:line="147" w:lineRule="exact" w:before="1"/>
              <w:ind w:left="410" w:right="353"/>
              <w:jc w:val="center"/>
              <w:rPr>
                <w:sz w:val="14"/>
              </w:rPr>
            </w:pPr>
            <w:r>
              <w:rPr>
                <w:sz w:val="14"/>
              </w:rPr>
              <w:t>0 . 2 %</w:t>
            </w:r>
          </w:p>
        </w:tc>
      </w:tr>
      <w:tr>
        <w:trPr>
          <w:trHeight w:val="167" w:hRule="atLeast"/>
        </w:trPr>
        <w:tc>
          <w:tcPr>
            <w:tcW w:w="6395" w:type="dxa"/>
          </w:tcPr>
          <w:p>
            <w:pPr>
              <w:pStyle w:val="TableParagraph"/>
              <w:spacing w:line="147" w:lineRule="exact" w:before="1"/>
              <w:ind w:left="907"/>
              <w:rPr>
                <w:sz w:val="14"/>
              </w:rPr>
            </w:pPr>
            <w:r>
              <w:rPr>
                <w:sz w:val="14"/>
              </w:rPr>
              <w:t>Social Welfare Division</w:t>
            </w:r>
          </w:p>
        </w:tc>
        <w:tc>
          <w:tcPr>
            <w:tcW w:w="1506" w:type="dxa"/>
          </w:tcPr>
          <w:p>
            <w:pPr>
              <w:pStyle w:val="TableParagraph"/>
              <w:spacing w:line="147" w:lineRule="exact" w:before="1"/>
              <w:ind w:right="523"/>
              <w:jc w:val="right"/>
              <w:rPr>
                <w:b/>
                <w:sz w:val="14"/>
              </w:rPr>
            </w:pPr>
            <w:r>
              <w:rPr>
                <w:b/>
                <w:sz w:val="14"/>
              </w:rPr>
              <w:t>1,461.2</w:t>
            </w:r>
          </w:p>
        </w:tc>
        <w:tc>
          <w:tcPr>
            <w:tcW w:w="1487" w:type="dxa"/>
          </w:tcPr>
          <w:p>
            <w:pPr>
              <w:pStyle w:val="TableParagraph"/>
              <w:spacing w:line="147" w:lineRule="exact" w:before="1"/>
              <w:ind w:left="494"/>
              <w:rPr>
                <w:sz w:val="14"/>
              </w:rPr>
            </w:pPr>
            <w:r>
              <w:rPr>
                <w:sz w:val="14"/>
              </w:rPr>
              <w:t>0 . 1 %</w:t>
            </w:r>
          </w:p>
        </w:tc>
        <w:tc>
          <w:tcPr>
            <w:tcW w:w="1575" w:type="dxa"/>
          </w:tcPr>
          <w:p>
            <w:pPr>
              <w:pStyle w:val="TableParagraph"/>
              <w:spacing w:line="147" w:lineRule="exact" w:before="1"/>
              <w:ind w:right="615"/>
              <w:jc w:val="right"/>
              <w:rPr>
                <w:sz w:val="14"/>
              </w:rPr>
            </w:pPr>
            <w:r>
              <w:rPr>
                <w:sz w:val="14"/>
              </w:rPr>
              <w:t>1,591 .5</w:t>
            </w:r>
          </w:p>
        </w:tc>
        <w:tc>
          <w:tcPr>
            <w:tcW w:w="1342" w:type="dxa"/>
          </w:tcPr>
          <w:p>
            <w:pPr>
              <w:pStyle w:val="TableParagraph"/>
              <w:spacing w:line="147" w:lineRule="exact" w:before="1"/>
              <w:ind w:left="437"/>
              <w:rPr>
                <w:sz w:val="14"/>
              </w:rPr>
            </w:pPr>
            <w:r>
              <w:rPr>
                <w:sz w:val="14"/>
              </w:rPr>
              <w:t>0 . 1 %</w:t>
            </w:r>
          </w:p>
        </w:tc>
        <w:tc>
          <w:tcPr>
            <w:tcW w:w="1237" w:type="dxa"/>
          </w:tcPr>
          <w:p>
            <w:pPr>
              <w:pStyle w:val="TableParagraph"/>
              <w:spacing w:line="147" w:lineRule="exact" w:before="1"/>
              <w:ind w:right="420"/>
              <w:jc w:val="right"/>
              <w:rPr>
                <w:sz w:val="14"/>
              </w:rPr>
            </w:pPr>
            <w:r>
              <w:rPr>
                <w:sz w:val="14"/>
              </w:rPr>
              <w:t>1,868 .1</w:t>
            </w:r>
          </w:p>
        </w:tc>
        <w:tc>
          <w:tcPr>
            <w:tcW w:w="1248" w:type="dxa"/>
          </w:tcPr>
          <w:p>
            <w:pPr>
              <w:pStyle w:val="TableParagraph"/>
              <w:spacing w:line="147" w:lineRule="exact" w:before="1"/>
              <w:ind w:left="410" w:right="353"/>
              <w:jc w:val="center"/>
              <w:rPr>
                <w:sz w:val="14"/>
              </w:rPr>
            </w:pPr>
            <w:r>
              <w:rPr>
                <w:sz w:val="14"/>
              </w:rPr>
              <w:t>0 . 1 %</w:t>
            </w:r>
          </w:p>
        </w:tc>
      </w:tr>
      <w:tr>
        <w:trPr>
          <w:trHeight w:val="167" w:hRule="atLeast"/>
        </w:trPr>
        <w:tc>
          <w:tcPr>
            <w:tcW w:w="6395" w:type="dxa"/>
          </w:tcPr>
          <w:p>
            <w:pPr>
              <w:pStyle w:val="TableParagraph"/>
              <w:spacing w:line="147" w:lineRule="exact" w:before="1"/>
              <w:ind w:left="907"/>
              <w:rPr>
                <w:sz w:val="14"/>
              </w:rPr>
            </w:pPr>
            <w:r>
              <w:rPr>
                <w:sz w:val="14"/>
              </w:rPr>
              <w:t>Gender and Children’s Affairs Division</w:t>
            </w:r>
          </w:p>
        </w:tc>
        <w:tc>
          <w:tcPr>
            <w:tcW w:w="1506" w:type="dxa"/>
          </w:tcPr>
          <w:p>
            <w:pPr>
              <w:pStyle w:val="TableParagraph"/>
              <w:spacing w:line="147" w:lineRule="exact" w:before="1"/>
              <w:ind w:right="523"/>
              <w:jc w:val="right"/>
              <w:rPr>
                <w:b/>
                <w:sz w:val="14"/>
              </w:rPr>
            </w:pPr>
            <w:r>
              <w:rPr>
                <w:b/>
                <w:sz w:val="14"/>
              </w:rPr>
              <w:t>1,805.3</w:t>
            </w:r>
          </w:p>
        </w:tc>
        <w:tc>
          <w:tcPr>
            <w:tcW w:w="1487" w:type="dxa"/>
          </w:tcPr>
          <w:p>
            <w:pPr>
              <w:pStyle w:val="TableParagraph"/>
              <w:spacing w:line="147" w:lineRule="exact" w:before="1"/>
              <w:ind w:left="494"/>
              <w:rPr>
                <w:sz w:val="14"/>
              </w:rPr>
            </w:pPr>
            <w:r>
              <w:rPr>
                <w:sz w:val="14"/>
              </w:rPr>
              <w:t>0 . 1 %</w:t>
            </w:r>
          </w:p>
        </w:tc>
        <w:tc>
          <w:tcPr>
            <w:tcW w:w="1575" w:type="dxa"/>
          </w:tcPr>
          <w:p>
            <w:pPr>
              <w:pStyle w:val="TableParagraph"/>
              <w:spacing w:line="147" w:lineRule="exact" w:before="1"/>
              <w:ind w:right="615"/>
              <w:jc w:val="right"/>
              <w:rPr>
                <w:sz w:val="14"/>
              </w:rPr>
            </w:pPr>
            <w:r>
              <w:rPr>
                <w:sz w:val="14"/>
              </w:rPr>
              <w:t>1,966 .3</w:t>
            </w:r>
          </w:p>
        </w:tc>
        <w:tc>
          <w:tcPr>
            <w:tcW w:w="1342" w:type="dxa"/>
          </w:tcPr>
          <w:p>
            <w:pPr>
              <w:pStyle w:val="TableParagraph"/>
              <w:spacing w:line="147" w:lineRule="exact" w:before="1"/>
              <w:ind w:left="437"/>
              <w:rPr>
                <w:sz w:val="14"/>
              </w:rPr>
            </w:pPr>
            <w:r>
              <w:rPr>
                <w:sz w:val="14"/>
              </w:rPr>
              <w:t>0 . 1 %</w:t>
            </w:r>
          </w:p>
        </w:tc>
        <w:tc>
          <w:tcPr>
            <w:tcW w:w="1237" w:type="dxa"/>
          </w:tcPr>
          <w:p>
            <w:pPr>
              <w:pStyle w:val="TableParagraph"/>
              <w:spacing w:line="147" w:lineRule="exact" w:before="1"/>
              <w:ind w:right="420"/>
              <w:jc w:val="right"/>
              <w:rPr>
                <w:sz w:val="14"/>
              </w:rPr>
            </w:pPr>
            <w:r>
              <w:rPr>
                <w:sz w:val="14"/>
              </w:rPr>
              <w:t>2,308 .0</w:t>
            </w:r>
          </w:p>
        </w:tc>
        <w:tc>
          <w:tcPr>
            <w:tcW w:w="1248" w:type="dxa"/>
          </w:tcPr>
          <w:p>
            <w:pPr>
              <w:pStyle w:val="TableParagraph"/>
              <w:spacing w:line="147" w:lineRule="exact" w:before="1"/>
              <w:ind w:left="410" w:right="353"/>
              <w:jc w:val="center"/>
              <w:rPr>
                <w:sz w:val="14"/>
              </w:rPr>
            </w:pPr>
            <w:r>
              <w:rPr>
                <w:sz w:val="14"/>
              </w:rPr>
              <w:t>0 . 1 %</w:t>
            </w:r>
          </w:p>
        </w:tc>
      </w:tr>
      <w:tr>
        <w:trPr>
          <w:trHeight w:val="168" w:hRule="atLeast"/>
        </w:trPr>
        <w:tc>
          <w:tcPr>
            <w:tcW w:w="6395" w:type="dxa"/>
          </w:tcPr>
          <w:p>
            <w:pPr>
              <w:pStyle w:val="TableParagraph"/>
              <w:spacing w:line="147" w:lineRule="exact" w:before="1"/>
              <w:ind w:left="734"/>
              <w:rPr>
                <w:sz w:val="14"/>
              </w:rPr>
            </w:pPr>
            <w:r>
              <w:rPr>
                <w:sz w:val="14"/>
              </w:rPr>
              <w:t>Agriculture and Food Security Services</w:t>
            </w:r>
          </w:p>
        </w:tc>
        <w:tc>
          <w:tcPr>
            <w:tcW w:w="1506" w:type="dxa"/>
          </w:tcPr>
          <w:p>
            <w:pPr>
              <w:pStyle w:val="TableParagraph"/>
              <w:spacing w:line="147" w:lineRule="exact" w:before="1"/>
              <w:ind w:right="523"/>
              <w:jc w:val="right"/>
              <w:rPr>
                <w:b/>
                <w:sz w:val="14"/>
              </w:rPr>
            </w:pPr>
            <w:r>
              <w:rPr>
                <w:b/>
                <w:sz w:val="14"/>
              </w:rPr>
              <w:t>8,271.3</w:t>
            </w:r>
          </w:p>
        </w:tc>
        <w:tc>
          <w:tcPr>
            <w:tcW w:w="1487" w:type="dxa"/>
          </w:tcPr>
          <w:p>
            <w:pPr>
              <w:pStyle w:val="TableParagraph"/>
              <w:spacing w:line="147" w:lineRule="exact" w:before="1"/>
              <w:ind w:left="494"/>
              <w:rPr>
                <w:sz w:val="14"/>
              </w:rPr>
            </w:pPr>
            <w:r>
              <w:rPr>
                <w:sz w:val="14"/>
              </w:rPr>
              <w:t>0 . 4 %</w:t>
            </w:r>
          </w:p>
        </w:tc>
        <w:tc>
          <w:tcPr>
            <w:tcW w:w="1575" w:type="dxa"/>
          </w:tcPr>
          <w:p>
            <w:pPr>
              <w:pStyle w:val="TableParagraph"/>
              <w:spacing w:line="147" w:lineRule="exact" w:before="1"/>
              <w:ind w:right="615"/>
              <w:jc w:val="right"/>
              <w:rPr>
                <w:sz w:val="14"/>
              </w:rPr>
            </w:pPr>
            <w:r>
              <w:rPr>
                <w:sz w:val="14"/>
              </w:rPr>
              <w:t>9,009 .0</w:t>
            </w:r>
          </w:p>
        </w:tc>
        <w:tc>
          <w:tcPr>
            <w:tcW w:w="1342" w:type="dxa"/>
          </w:tcPr>
          <w:p>
            <w:pPr>
              <w:pStyle w:val="TableParagraph"/>
              <w:spacing w:line="147" w:lineRule="exact" w:before="1"/>
              <w:ind w:left="437"/>
              <w:rPr>
                <w:sz w:val="14"/>
              </w:rPr>
            </w:pPr>
            <w:r>
              <w:rPr>
                <w:sz w:val="14"/>
              </w:rPr>
              <w:t>0 . 4 %</w:t>
            </w:r>
          </w:p>
        </w:tc>
        <w:tc>
          <w:tcPr>
            <w:tcW w:w="1237" w:type="dxa"/>
          </w:tcPr>
          <w:p>
            <w:pPr>
              <w:pStyle w:val="TableParagraph"/>
              <w:spacing w:line="147" w:lineRule="exact" w:before="1"/>
              <w:ind w:right="424"/>
              <w:jc w:val="right"/>
              <w:rPr>
                <w:sz w:val="14"/>
              </w:rPr>
            </w:pPr>
            <w:r>
              <w:rPr>
                <w:sz w:val="14"/>
              </w:rPr>
              <w:t>10,574.8</w:t>
            </w:r>
          </w:p>
        </w:tc>
        <w:tc>
          <w:tcPr>
            <w:tcW w:w="1248" w:type="dxa"/>
          </w:tcPr>
          <w:p>
            <w:pPr>
              <w:pStyle w:val="TableParagraph"/>
              <w:spacing w:line="147" w:lineRule="exact" w:before="1"/>
              <w:ind w:left="410" w:right="353"/>
              <w:jc w:val="center"/>
              <w:rPr>
                <w:sz w:val="14"/>
              </w:rPr>
            </w:pPr>
            <w:r>
              <w:rPr>
                <w:sz w:val="14"/>
              </w:rPr>
              <w:t>0 . 5 %</w:t>
            </w:r>
          </w:p>
        </w:tc>
      </w:tr>
      <w:tr>
        <w:trPr>
          <w:trHeight w:val="168" w:hRule="atLeast"/>
        </w:trPr>
        <w:tc>
          <w:tcPr>
            <w:tcW w:w="6395" w:type="dxa"/>
          </w:tcPr>
          <w:p>
            <w:pPr>
              <w:pStyle w:val="TableParagraph"/>
              <w:spacing w:line="147" w:lineRule="exact" w:before="1"/>
              <w:ind w:left="734"/>
              <w:rPr>
                <w:sz w:val="14"/>
              </w:rPr>
            </w:pPr>
            <w:r>
              <w:rPr>
                <w:sz w:val="14"/>
              </w:rPr>
              <w:t>Fisheries and Marine Resources</w:t>
            </w:r>
          </w:p>
        </w:tc>
        <w:tc>
          <w:tcPr>
            <w:tcW w:w="1506" w:type="dxa"/>
          </w:tcPr>
          <w:p>
            <w:pPr>
              <w:pStyle w:val="TableParagraph"/>
              <w:spacing w:line="147" w:lineRule="exact" w:before="1"/>
              <w:ind w:right="511"/>
              <w:jc w:val="right"/>
              <w:rPr>
                <w:b/>
                <w:sz w:val="14"/>
              </w:rPr>
            </w:pPr>
            <w:r>
              <w:rPr>
                <w:b/>
                <w:sz w:val="14"/>
              </w:rPr>
              <w:t>613.1</w:t>
            </w:r>
          </w:p>
        </w:tc>
        <w:tc>
          <w:tcPr>
            <w:tcW w:w="1487" w:type="dxa"/>
          </w:tcPr>
          <w:p>
            <w:pPr>
              <w:pStyle w:val="TableParagraph"/>
              <w:spacing w:line="147" w:lineRule="exact" w:before="1"/>
              <w:ind w:left="494"/>
              <w:rPr>
                <w:sz w:val="14"/>
              </w:rPr>
            </w:pPr>
            <w:r>
              <w:rPr>
                <w:sz w:val="14"/>
              </w:rPr>
              <w:t>0 . 0 %</w:t>
            </w:r>
          </w:p>
        </w:tc>
        <w:tc>
          <w:tcPr>
            <w:tcW w:w="1575" w:type="dxa"/>
          </w:tcPr>
          <w:p>
            <w:pPr>
              <w:pStyle w:val="TableParagraph"/>
              <w:spacing w:line="147" w:lineRule="exact" w:before="1"/>
              <w:ind w:right="613"/>
              <w:jc w:val="right"/>
              <w:rPr>
                <w:sz w:val="14"/>
              </w:rPr>
            </w:pPr>
            <w:r>
              <w:rPr>
                <w:sz w:val="14"/>
              </w:rPr>
              <w:t>667.8</w:t>
            </w:r>
          </w:p>
        </w:tc>
        <w:tc>
          <w:tcPr>
            <w:tcW w:w="1342" w:type="dxa"/>
          </w:tcPr>
          <w:p>
            <w:pPr>
              <w:pStyle w:val="TableParagraph"/>
              <w:spacing w:line="147" w:lineRule="exact" w:before="1"/>
              <w:ind w:left="437"/>
              <w:rPr>
                <w:sz w:val="14"/>
              </w:rPr>
            </w:pPr>
            <w:r>
              <w:rPr>
                <w:sz w:val="14"/>
              </w:rPr>
              <w:t>0 . 0 %</w:t>
            </w:r>
          </w:p>
        </w:tc>
        <w:tc>
          <w:tcPr>
            <w:tcW w:w="1237" w:type="dxa"/>
          </w:tcPr>
          <w:p>
            <w:pPr>
              <w:pStyle w:val="TableParagraph"/>
              <w:spacing w:line="147" w:lineRule="exact" w:before="1"/>
              <w:ind w:right="412"/>
              <w:jc w:val="right"/>
              <w:rPr>
                <w:sz w:val="14"/>
              </w:rPr>
            </w:pPr>
            <w:r>
              <w:rPr>
                <w:sz w:val="14"/>
              </w:rPr>
              <w:t>783.9</w:t>
            </w:r>
          </w:p>
        </w:tc>
        <w:tc>
          <w:tcPr>
            <w:tcW w:w="1248" w:type="dxa"/>
          </w:tcPr>
          <w:p>
            <w:pPr>
              <w:pStyle w:val="TableParagraph"/>
              <w:spacing w:line="147" w:lineRule="exact" w:before="1"/>
              <w:ind w:left="410" w:right="353"/>
              <w:jc w:val="center"/>
              <w:rPr>
                <w:sz w:val="14"/>
              </w:rPr>
            </w:pPr>
            <w:r>
              <w:rPr>
                <w:sz w:val="14"/>
              </w:rPr>
              <w:t>0 . 0 %</w:t>
            </w:r>
          </w:p>
        </w:tc>
      </w:tr>
      <w:tr>
        <w:trPr>
          <w:trHeight w:val="167" w:hRule="atLeast"/>
        </w:trPr>
        <w:tc>
          <w:tcPr>
            <w:tcW w:w="6395" w:type="dxa"/>
          </w:tcPr>
          <w:p>
            <w:pPr>
              <w:pStyle w:val="TableParagraph"/>
              <w:spacing w:line="147" w:lineRule="exact" w:before="1"/>
              <w:ind w:left="734"/>
              <w:rPr>
                <w:sz w:val="14"/>
              </w:rPr>
            </w:pPr>
            <w:r>
              <w:rPr>
                <w:sz w:val="14"/>
              </w:rPr>
              <w:t>Water services</w:t>
            </w:r>
          </w:p>
        </w:tc>
        <w:tc>
          <w:tcPr>
            <w:tcW w:w="1506" w:type="dxa"/>
          </w:tcPr>
          <w:p>
            <w:pPr>
              <w:pStyle w:val="TableParagraph"/>
              <w:spacing w:line="147" w:lineRule="exact" w:before="1"/>
              <w:ind w:right="523"/>
              <w:jc w:val="right"/>
              <w:rPr>
                <w:b/>
                <w:sz w:val="14"/>
              </w:rPr>
            </w:pPr>
            <w:r>
              <w:rPr>
                <w:b/>
                <w:sz w:val="14"/>
              </w:rPr>
              <w:t>2,316.8</w:t>
            </w:r>
          </w:p>
        </w:tc>
        <w:tc>
          <w:tcPr>
            <w:tcW w:w="1487" w:type="dxa"/>
          </w:tcPr>
          <w:p>
            <w:pPr>
              <w:pStyle w:val="TableParagraph"/>
              <w:spacing w:line="147" w:lineRule="exact" w:before="1"/>
              <w:ind w:left="494"/>
              <w:rPr>
                <w:sz w:val="14"/>
              </w:rPr>
            </w:pPr>
            <w:r>
              <w:rPr>
                <w:sz w:val="14"/>
              </w:rPr>
              <w:t>0 . 1 %</w:t>
            </w:r>
          </w:p>
        </w:tc>
        <w:tc>
          <w:tcPr>
            <w:tcW w:w="1575" w:type="dxa"/>
          </w:tcPr>
          <w:p>
            <w:pPr>
              <w:pStyle w:val="TableParagraph"/>
              <w:spacing w:line="147" w:lineRule="exact" w:before="1"/>
              <w:ind w:right="615"/>
              <w:jc w:val="right"/>
              <w:rPr>
                <w:sz w:val="14"/>
              </w:rPr>
            </w:pPr>
            <w:r>
              <w:rPr>
                <w:sz w:val="14"/>
              </w:rPr>
              <w:t>2,523 .4</w:t>
            </w:r>
          </w:p>
        </w:tc>
        <w:tc>
          <w:tcPr>
            <w:tcW w:w="1342" w:type="dxa"/>
          </w:tcPr>
          <w:p>
            <w:pPr>
              <w:pStyle w:val="TableParagraph"/>
              <w:spacing w:line="147" w:lineRule="exact" w:before="1"/>
              <w:ind w:left="437"/>
              <w:rPr>
                <w:sz w:val="14"/>
              </w:rPr>
            </w:pPr>
            <w:r>
              <w:rPr>
                <w:sz w:val="14"/>
              </w:rPr>
              <w:t>0 . 1 %</w:t>
            </w:r>
          </w:p>
        </w:tc>
        <w:tc>
          <w:tcPr>
            <w:tcW w:w="1237" w:type="dxa"/>
          </w:tcPr>
          <w:p>
            <w:pPr>
              <w:pStyle w:val="TableParagraph"/>
              <w:spacing w:line="147" w:lineRule="exact" w:before="1"/>
              <w:ind w:right="420"/>
              <w:jc w:val="right"/>
              <w:rPr>
                <w:sz w:val="14"/>
              </w:rPr>
            </w:pPr>
            <w:r>
              <w:rPr>
                <w:sz w:val="14"/>
              </w:rPr>
              <w:t>2,962 .0</w:t>
            </w:r>
          </w:p>
        </w:tc>
        <w:tc>
          <w:tcPr>
            <w:tcW w:w="1248" w:type="dxa"/>
          </w:tcPr>
          <w:p>
            <w:pPr>
              <w:pStyle w:val="TableParagraph"/>
              <w:spacing w:line="147" w:lineRule="exact" w:before="1"/>
              <w:ind w:left="410" w:right="353"/>
              <w:jc w:val="center"/>
              <w:rPr>
                <w:sz w:val="14"/>
              </w:rPr>
            </w:pPr>
            <w:r>
              <w:rPr>
                <w:sz w:val="14"/>
              </w:rPr>
              <w:t>0 . 1 %</w:t>
            </w:r>
          </w:p>
        </w:tc>
      </w:tr>
      <w:tr>
        <w:trPr>
          <w:trHeight w:val="196" w:hRule="atLeast"/>
        </w:trPr>
        <w:tc>
          <w:tcPr>
            <w:tcW w:w="6395" w:type="dxa"/>
          </w:tcPr>
          <w:p>
            <w:pPr>
              <w:pStyle w:val="TableParagraph"/>
              <w:spacing w:before="1"/>
              <w:ind w:left="907"/>
              <w:rPr>
                <w:sz w:val="14"/>
              </w:rPr>
            </w:pPr>
            <w:r>
              <w:rPr>
                <w:sz w:val="14"/>
              </w:rPr>
              <w:t>Rural Water Services</w:t>
            </w:r>
          </w:p>
        </w:tc>
        <w:tc>
          <w:tcPr>
            <w:tcW w:w="1506" w:type="dxa"/>
          </w:tcPr>
          <w:p>
            <w:pPr>
              <w:pStyle w:val="TableParagraph"/>
              <w:spacing w:before="1"/>
              <w:ind w:right="523"/>
              <w:jc w:val="right"/>
              <w:rPr>
                <w:b/>
                <w:sz w:val="14"/>
              </w:rPr>
            </w:pPr>
            <w:r>
              <w:rPr>
                <w:b/>
                <w:sz w:val="14"/>
              </w:rPr>
              <w:t>2,316.8</w:t>
            </w:r>
          </w:p>
        </w:tc>
        <w:tc>
          <w:tcPr>
            <w:tcW w:w="1487" w:type="dxa"/>
          </w:tcPr>
          <w:p>
            <w:pPr>
              <w:pStyle w:val="TableParagraph"/>
              <w:spacing w:before="1"/>
              <w:ind w:left="494"/>
              <w:rPr>
                <w:sz w:val="14"/>
              </w:rPr>
            </w:pPr>
            <w:r>
              <w:rPr>
                <w:sz w:val="14"/>
              </w:rPr>
              <w:t>0 . 1 %</w:t>
            </w:r>
          </w:p>
        </w:tc>
        <w:tc>
          <w:tcPr>
            <w:tcW w:w="1575" w:type="dxa"/>
          </w:tcPr>
          <w:p>
            <w:pPr>
              <w:pStyle w:val="TableParagraph"/>
              <w:spacing w:before="1"/>
              <w:ind w:right="615"/>
              <w:jc w:val="right"/>
              <w:rPr>
                <w:sz w:val="14"/>
              </w:rPr>
            </w:pPr>
            <w:r>
              <w:rPr>
                <w:sz w:val="14"/>
              </w:rPr>
              <w:t>2,523 .4</w:t>
            </w:r>
          </w:p>
        </w:tc>
        <w:tc>
          <w:tcPr>
            <w:tcW w:w="1342" w:type="dxa"/>
          </w:tcPr>
          <w:p>
            <w:pPr>
              <w:pStyle w:val="TableParagraph"/>
              <w:spacing w:before="1"/>
              <w:ind w:left="437"/>
              <w:rPr>
                <w:sz w:val="14"/>
              </w:rPr>
            </w:pPr>
            <w:r>
              <w:rPr>
                <w:sz w:val="14"/>
              </w:rPr>
              <w:t>0 . 1 %</w:t>
            </w:r>
          </w:p>
        </w:tc>
        <w:tc>
          <w:tcPr>
            <w:tcW w:w="1237" w:type="dxa"/>
          </w:tcPr>
          <w:p>
            <w:pPr>
              <w:pStyle w:val="TableParagraph"/>
              <w:spacing w:before="1"/>
              <w:ind w:right="420"/>
              <w:jc w:val="right"/>
              <w:rPr>
                <w:sz w:val="14"/>
              </w:rPr>
            </w:pPr>
            <w:r>
              <w:rPr>
                <w:sz w:val="14"/>
              </w:rPr>
              <w:t>2,962 .0</w:t>
            </w:r>
          </w:p>
        </w:tc>
        <w:tc>
          <w:tcPr>
            <w:tcW w:w="1248" w:type="dxa"/>
          </w:tcPr>
          <w:p>
            <w:pPr>
              <w:pStyle w:val="TableParagraph"/>
              <w:spacing w:before="1"/>
              <w:ind w:left="410" w:right="353"/>
              <w:jc w:val="center"/>
              <w:rPr>
                <w:sz w:val="14"/>
              </w:rPr>
            </w:pPr>
            <w:r>
              <w:rPr>
                <w:sz w:val="14"/>
              </w:rPr>
              <w:t>0 . 1 %</w:t>
            </w:r>
          </w:p>
        </w:tc>
      </w:tr>
    </w:tbl>
    <w:p>
      <w:pPr>
        <w:pStyle w:val="BodyText"/>
        <w:spacing w:before="2" w:after="1"/>
        <w:rPr>
          <w:rFonts w:ascii="Times New Roman"/>
          <w:sz w:val="24"/>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8"/>
        <w:gridCol w:w="1843"/>
        <w:gridCol w:w="1343"/>
        <w:gridCol w:w="1638"/>
        <w:gridCol w:w="1252"/>
        <w:gridCol w:w="1437"/>
        <w:gridCol w:w="949"/>
      </w:tblGrid>
      <w:tr>
        <w:trPr>
          <w:trHeight w:val="196" w:hRule="atLeast"/>
        </w:trPr>
        <w:tc>
          <w:tcPr>
            <w:tcW w:w="5418" w:type="dxa"/>
          </w:tcPr>
          <w:p>
            <w:pPr>
              <w:pStyle w:val="TableParagraph"/>
              <w:spacing w:line="147" w:lineRule="exact" w:before="29"/>
              <w:ind w:left="34"/>
              <w:rPr>
                <w:b/>
                <w:sz w:val="14"/>
              </w:rPr>
            </w:pPr>
            <w:r>
              <w:rPr>
                <w:b/>
                <w:sz w:val="14"/>
              </w:rPr>
              <w:t>Total Non Salary, Non Interest Recurrent Expenditure Provisions</w:t>
            </w:r>
          </w:p>
        </w:tc>
        <w:tc>
          <w:tcPr>
            <w:tcW w:w="1843" w:type="dxa"/>
          </w:tcPr>
          <w:p>
            <w:pPr>
              <w:pStyle w:val="TableParagraph"/>
              <w:spacing w:line="147" w:lineRule="exact" w:before="29"/>
              <w:ind w:right="441"/>
              <w:jc w:val="right"/>
              <w:rPr>
                <w:b/>
                <w:sz w:val="14"/>
              </w:rPr>
            </w:pPr>
            <w:r>
              <w:rPr>
                <w:b/>
                <w:sz w:val="14"/>
              </w:rPr>
              <w:t>2,079,729.8</w:t>
            </w:r>
          </w:p>
        </w:tc>
        <w:tc>
          <w:tcPr>
            <w:tcW w:w="1343" w:type="dxa"/>
          </w:tcPr>
          <w:p>
            <w:pPr>
              <w:pStyle w:val="TableParagraph"/>
              <w:spacing w:line="147" w:lineRule="exact" w:before="29"/>
              <w:ind w:right="367"/>
              <w:jc w:val="right"/>
              <w:rPr>
                <w:sz w:val="14"/>
              </w:rPr>
            </w:pPr>
            <w:r>
              <w:rPr>
                <w:sz w:val="14"/>
              </w:rPr>
              <w:t>1 0 0 . 0 %</w:t>
            </w:r>
          </w:p>
        </w:tc>
        <w:tc>
          <w:tcPr>
            <w:tcW w:w="1638" w:type="dxa"/>
          </w:tcPr>
          <w:p>
            <w:pPr>
              <w:pStyle w:val="TableParagraph"/>
              <w:spacing w:line="147" w:lineRule="exact" w:before="29"/>
              <w:ind w:right="448"/>
              <w:jc w:val="right"/>
              <w:rPr>
                <w:sz w:val="14"/>
              </w:rPr>
            </w:pPr>
            <w:r>
              <w:rPr>
                <w:w w:val="95"/>
                <w:sz w:val="14"/>
              </w:rPr>
              <w:t>2,488,180.0</w:t>
            </w:r>
          </w:p>
        </w:tc>
        <w:tc>
          <w:tcPr>
            <w:tcW w:w="1252" w:type="dxa"/>
          </w:tcPr>
          <w:p>
            <w:pPr>
              <w:pStyle w:val="TableParagraph"/>
              <w:spacing w:line="147" w:lineRule="exact" w:before="29"/>
              <w:ind w:right="252"/>
              <w:jc w:val="right"/>
              <w:rPr>
                <w:sz w:val="14"/>
              </w:rPr>
            </w:pPr>
            <w:r>
              <w:rPr>
                <w:sz w:val="14"/>
              </w:rPr>
              <w:t>1 1 9 . 6 %</w:t>
            </w:r>
          </w:p>
        </w:tc>
        <w:tc>
          <w:tcPr>
            <w:tcW w:w="1437" w:type="dxa"/>
          </w:tcPr>
          <w:p>
            <w:pPr>
              <w:pStyle w:val="TableParagraph"/>
              <w:spacing w:line="147" w:lineRule="exact" w:before="29"/>
              <w:ind w:right="358"/>
              <w:jc w:val="right"/>
              <w:rPr>
                <w:sz w:val="14"/>
              </w:rPr>
            </w:pPr>
            <w:r>
              <w:rPr>
                <w:w w:val="95"/>
                <w:sz w:val="14"/>
              </w:rPr>
              <w:t>2,917,307.7</w:t>
            </w:r>
          </w:p>
        </w:tc>
        <w:tc>
          <w:tcPr>
            <w:tcW w:w="949" w:type="dxa"/>
          </w:tcPr>
          <w:p>
            <w:pPr>
              <w:pStyle w:val="TableParagraph"/>
              <w:spacing w:line="147" w:lineRule="exact" w:before="29"/>
              <w:ind w:right="32"/>
              <w:jc w:val="right"/>
              <w:rPr>
                <w:sz w:val="14"/>
              </w:rPr>
            </w:pPr>
            <w:r>
              <w:rPr>
                <w:sz w:val="14"/>
              </w:rPr>
              <w:t>1 4 0 . 3 %</w:t>
            </w:r>
          </w:p>
        </w:tc>
      </w:tr>
      <w:tr>
        <w:trPr>
          <w:trHeight w:val="167" w:hRule="atLeast"/>
        </w:trPr>
        <w:tc>
          <w:tcPr>
            <w:tcW w:w="5418" w:type="dxa"/>
          </w:tcPr>
          <w:p>
            <w:pPr>
              <w:pStyle w:val="TableParagraph"/>
              <w:spacing w:line="147" w:lineRule="exact" w:before="1"/>
              <w:ind w:left="201"/>
              <w:rPr>
                <w:b/>
                <w:sz w:val="14"/>
              </w:rPr>
            </w:pPr>
            <w:r>
              <w:rPr>
                <w:b/>
                <w:sz w:val="14"/>
              </w:rPr>
              <w:t>Goods &amp; Services</w:t>
            </w:r>
          </w:p>
        </w:tc>
        <w:tc>
          <w:tcPr>
            <w:tcW w:w="1843" w:type="dxa"/>
          </w:tcPr>
          <w:p>
            <w:pPr>
              <w:pStyle w:val="TableParagraph"/>
              <w:spacing w:line="147" w:lineRule="exact" w:before="1"/>
              <w:ind w:right="441"/>
              <w:jc w:val="right"/>
              <w:rPr>
                <w:b/>
                <w:sz w:val="14"/>
              </w:rPr>
            </w:pPr>
            <w:r>
              <w:rPr>
                <w:b/>
                <w:sz w:val="14"/>
              </w:rPr>
              <w:t>1,057,970.3</w:t>
            </w:r>
          </w:p>
        </w:tc>
        <w:tc>
          <w:tcPr>
            <w:tcW w:w="1343" w:type="dxa"/>
          </w:tcPr>
          <w:p>
            <w:pPr>
              <w:pStyle w:val="TableParagraph"/>
              <w:spacing w:line="147" w:lineRule="exact" w:before="1"/>
              <w:ind w:right="367"/>
              <w:jc w:val="right"/>
              <w:rPr>
                <w:sz w:val="14"/>
              </w:rPr>
            </w:pPr>
            <w:r>
              <w:rPr>
                <w:sz w:val="14"/>
              </w:rPr>
              <w:t>5 0 . 9 %</w:t>
            </w:r>
          </w:p>
        </w:tc>
        <w:tc>
          <w:tcPr>
            <w:tcW w:w="1638" w:type="dxa"/>
          </w:tcPr>
          <w:p>
            <w:pPr>
              <w:pStyle w:val="TableParagraph"/>
              <w:spacing w:line="147" w:lineRule="exact" w:before="1"/>
              <w:ind w:right="448"/>
              <w:jc w:val="right"/>
              <w:rPr>
                <w:sz w:val="14"/>
              </w:rPr>
            </w:pPr>
            <w:r>
              <w:rPr>
                <w:w w:val="95"/>
                <w:sz w:val="14"/>
              </w:rPr>
              <w:t>1,237,961.0</w:t>
            </w:r>
          </w:p>
        </w:tc>
        <w:tc>
          <w:tcPr>
            <w:tcW w:w="1252" w:type="dxa"/>
          </w:tcPr>
          <w:p>
            <w:pPr>
              <w:pStyle w:val="TableParagraph"/>
              <w:spacing w:line="147" w:lineRule="exact" w:before="1"/>
              <w:ind w:right="253"/>
              <w:jc w:val="right"/>
              <w:rPr>
                <w:sz w:val="14"/>
              </w:rPr>
            </w:pPr>
            <w:r>
              <w:rPr>
                <w:sz w:val="14"/>
              </w:rPr>
              <w:t>5 9 . 5 %</w:t>
            </w:r>
          </w:p>
        </w:tc>
        <w:tc>
          <w:tcPr>
            <w:tcW w:w="1437" w:type="dxa"/>
          </w:tcPr>
          <w:p>
            <w:pPr>
              <w:pStyle w:val="TableParagraph"/>
              <w:spacing w:line="147" w:lineRule="exact" w:before="1"/>
              <w:ind w:right="358"/>
              <w:jc w:val="right"/>
              <w:rPr>
                <w:sz w:val="14"/>
              </w:rPr>
            </w:pPr>
            <w:r>
              <w:rPr>
                <w:w w:val="95"/>
                <w:sz w:val="14"/>
              </w:rPr>
              <w:t>1,452,508.9</w:t>
            </w:r>
          </w:p>
        </w:tc>
        <w:tc>
          <w:tcPr>
            <w:tcW w:w="949" w:type="dxa"/>
          </w:tcPr>
          <w:p>
            <w:pPr>
              <w:pStyle w:val="TableParagraph"/>
              <w:spacing w:line="147" w:lineRule="exact" w:before="1"/>
              <w:ind w:right="27"/>
              <w:jc w:val="right"/>
              <w:rPr>
                <w:sz w:val="14"/>
              </w:rPr>
            </w:pPr>
            <w:r>
              <w:rPr>
                <w:sz w:val="14"/>
              </w:rPr>
              <w:t>6 9 . 8 %</w:t>
            </w:r>
          </w:p>
        </w:tc>
      </w:tr>
      <w:tr>
        <w:trPr>
          <w:trHeight w:val="167" w:hRule="atLeast"/>
        </w:trPr>
        <w:tc>
          <w:tcPr>
            <w:tcW w:w="5418" w:type="dxa"/>
          </w:tcPr>
          <w:p>
            <w:pPr>
              <w:pStyle w:val="TableParagraph"/>
              <w:spacing w:line="147" w:lineRule="exact" w:before="1"/>
              <w:ind w:left="374"/>
              <w:rPr>
                <w:sz w:val="14"/>
              </w:rPr>
            </w:pPr>
            <w:r>
              <w:rPr>
                <w:sz w:val="14"/>
              </w:rPr>
              <w:t>Social and Economic</w:t>
            </w:r>
          </w:p>
        </w:tc>
        <w:tc>
          <w:tcPr>
            <w:tcW w:w="1843" w:type="dxa"/>
          </w:tcPr>
          <w:p>
            <w:pPr>
              <w:pStyle w:val="TableParagraph"/>
              <w:spacing w:line="147" w:lineRule="exact" w:before="1"/>
              <w:ind w:right="429"/>
              <w:jc w:val="right"/>
              <w:rPr>
                <w:b/>
                <w:sz w:val="14"/>
              </w:rPr>
            </w:pPr>
            <w:r>
              <w:rPr>
                <w:b/>
                <w:sz w:val="14"/>
              </w:rPr>
              <w:t>384,693.0</w:t>
            </w:r>
          </w:p>
        </w:tc>
        <w:tc>
          <w:tcPr>
            <w:tcW w:w="1343" w:type="dxa"/>
          </w:tcPr>
          <w:p>
            <w:pPr>
              <w:pStyle w:val="TableParagraph"/>
              <w:spacing w:line="147" w:lineRule="exact" w:before="1"/>
              <w:ind w:right="367"/>
              <w:jc w:val="right"/>
              <w:rPr>
                <w:sz w:val="14"/>
              </w:rPr>
            </w:pPr>
            <w:r>
              <w:rPr>
                <w:sz w:val="14"/>
              </w:rPr>
              <w:t>1 8 . 5 %</w:t>
            </w:r>
          </w:p>
        </w:tc>
        <w:tc>
          <w:tcPr>
            <w:tcW w:w="1638" w:type="dxa"/>
          </w:tcPr>
          <w:p>
            <w:pPr>
              <w:pStyle w:val="TableParagraph"/>
              <w:spacing w:line="147" w:lineRule="exact" w:before="1"/>
              <w:ind w:right="440"/>
              <w:jc w:val="right"/>
              <w:rPr>
                <w:sz w:val="14"/>
              </w:rPr>
            </w:pPr>
            <w:r>
              <w:rPr>
                <w:sz w:val="14"/>
              </w:rPr>
              <w:t>450,645.1</w:t>
            </w:r>
          </w:p>
        </w:tc>
        <w:tc>
          <w:tcPr>
            <w:tcW w:w="1252" w:type="dxa"/>
          </w:tcPr>
          <w:p>
            <w:pPr>
              <w:pStyle w:val="TableParagraph"/>
              <w:spacing w:line="147" w:lineRule="exact" w:before="1"/>
              <w:ind w:right="253"/>
              <w:jc w:val="right"/>
              <w:rPr>
                <w:sz w:val="14"/>
              </w:rPr>
            </w:pPr>
            <w:r>
              <w:rPr>
                <w:sz w:val="14"/>
              </w:rPr>
              <w:t>2 1 . 7 %</w:t>
            </w:r>
          </w:p>
        </w:tc>
        <w:tc>
          <w:tcPr>
            <w:tcW w:w="1437" w:type="dxa"/>
          </w:tcPr>
          <w:p>
            <w:pPr>
              <w:pStyle w:val="TableParagraph"/>
              <w:spacing w:line="147" w:lineRule="exact" w:before="1"/>
              <w:ind w:right="350"/>
              <w:jc w:val="right"/>
              <w:rPr>
                <w:sz w:val="14"/>
              </w:rPr>
            </w:pPr>
            <w:r>
              <w:rPr>
                <w:sz w:val="14"/>
              </w:rPr>
              <w:t>640,272.6</w:t>
            </w:r>
          </w:p>
        </w:tc>
        <w:tc>
          <w:tcPr>
            <w:tcW w:w="949" w:type="dxa"/>
          </w:tcPr>
          <w:p>
            <w:pPr>
              <w:pStyle w:val="TableParagraph"/>
              <w:spacing w:line="147" w:lineRule="exact" w:before="1"/>
              <w:ind w:right="27"/>
              <w:jc w:val="right"/>
              <w:rPr>
                <w:sz w:val="14"/>
              </w:rPr>
            </w:pPr>
            <w:r>
              <w:rPr>
                <w:sz w:val="14"/>
              </w:rPr>
              <w:t>3 0 . 8 %</w:t>
            </w:r>
          </w:p>
        </w:tc>
      </w:tr>
      <w:tr>
        <w:trPr>
          <w:trHeight w:val="167" w:hRule="atLeast"/>
        </w:trPr>
        <w:tc>
          <w:tcPr>
            <w:tcW w:w="5418" w:type="dxa"/>
          </w:tcPr>
          <w:p>
            <w:pPr>
              <w:pStyle w:val="TableParagraph"/>
              <w:spacing w:line="147" w:lineRule="exact" w:before="1"/>
              <w:ind w:left="542"/>
              <w:rPr>
                <w:i/>
                <w:sz w:val="14"/>
              </w:rPr>
            </w:pPr>
            <w:r>
              <w:rPr>
                <w:i/>
                <w:sz w:val="14"/>
              </w:rPr>
              <w:t>o/ w Free Education Programme</w:t>
            </w:r>
          </w:p>
        </w:tc>
        <w:tc>
          <w:tcPr>
            <w:tcW w:w="1843" w:type="dxa"/>
          </w:tcPr>
          <w:p>
            <w:pPr>
              <w:pStyle w:val="TableParagraph"/>
              <w:spacing w:line="147" w:lineRule="exact" w:before="1"/>
              <w:ind w:right="422"/>
              <w:jc w:val="right"/>
              <w:rPr>
                <w:b/>
                <w:sz w:val="14"/>
              </w:rPr>
            </w:pPr>
            <w:r>
              <w:rPr>
                <w:b/>
                <w:sz w:val="14"/>
              </w:rPr>
              <w:t>16,869.7</w:t>
            </w:r>
          </w:p>
        </w:tc>
        <w:tc>
          <w:tcPr>
            <w:tcW w:w="1343" w:type="dxa"/>
          </w:tcPr>
          <w:p>
            <w:pPr>
              <w:pStyle w:val="TableParagraph"/>
              <w:spacing w:line="147" w:lineRule="exact" w:before="1"/>
              <w:ind w:right="363"/>
              <w:jc w:val="right"/>
              <w:rPr>
                <w:sz w:val="14"/>
              </w:rPr>
            </w:pPr>
            <w:r>
              <w:rPr>
                <w:sz w:val="14"/>
              </w:rPr>
              <w:t>0 . 8 %</w:t>
            </w:r>
          </w:p>
        </w:tc>
        <w:tc>
          <w:tcPr>
            <w:tcW w:w="1638" w:type="dxa"/>
          </w:tcPr>
          <w:p>
            <w:pPr>
              <w:pStyle w:val="TableParagraph"/>
              <w:spacing w:line="147" w:lineRule="exact" w:before="1"/>
              <w:ind w:right="436"/>
              <w:jc w:val="right"/>
              <w:rPr>
                <w:sz w:val="14"/>
              </w:rPr>
            </w:pPr>
            <w:r>
              <w:rPr>
                <w:sz w:val="14"/>
              </w:rPr>
              <w:t>20,563.7</w:t>
            </w:r>
          </w:p>
        </w:tc>
        <w:tc>
          <w:tcPr>
            <w:tcW w:w="1252" w:type="dxa"/>
          </w:tcPr>
          <w:p>
            <w:pPr>
              <w:pStyle w:val="TableParagraph"/>
              <w:spacing w:line="147" w:lineRule="exact" w:before="1"/>
              <w:ind w:right="248"/>
              <w:jc w:val="right"/>
              <w:rPr>
                <w:sz w:val="14"/>
              </w:rPr>
            </w:pPr>
            <w:r>
              <w:rPr>
                <w:sz w:val="14"/>
              </w:rPr>
              <w:t>1 . 0 %</w:t>
            </w:r>
          </w:p>
        </w:tc>
        <w:tc>
          <w:tcPr>
            <w:tcW w:w="1437" w:type="dxa"/>
          </w:tcPr>
          <w:p>
            <w:pPr>
              <w:pStyle w:val="TableParagraph"/>
              <w:spacing w:line="147" w:lineRule="exact" w:before="1"/>
              <w:ind w:right="346"/>
              <w:jc w:val="right"/>
              <w:rPr>
                <w:sz w:val="14"/>
              </w:rPr>
            </w:pPr>
            <w:r>
              <w:rPr>
                <w:sz w:val="14"/>
              </w:rPr>
              <w:t>21,795.5</w:t>
            </w:r>
          </w:p>
        </w:tc>
        <w:tc>
          <w:tcPr>
            <w:tcW w:w="949" w:type="dxa"/>
          </w:tcPr>
          <w:p>
            <w:pPr>
              <w:pStyle w:val="TableParagraph"/>
              <w:spacing w:line="147" w:lineRule="exact" w:before="1"/>
              <w:ind w:right="28"/>
              <w:jc w:val="right"/>
              <w:rPr>
                <w:sz w:val="14"/>
              </w:rPr>
            </w:pPr>
            <w:r>
              <w:rPr>
                <w:sz w:val="14"/>
              </w:rPr>
              <w:t>1 . 0 %</w:t>
            </w:r>
          </w:p>
        </w:tc>
      </w:tr>
      <w:tr>
        <w:trPr>
          <w:trHeight w:val="168" w:hRule="atLeast"/>
        </w:trPr>
        <w:tc>
          <w:tcPr>
            <w:tcW w:w="5418" w:type="dxa"/>
          </w:tcPr>
          <w:p>
            <w:pPr>
              <w:pStyle w:val="TableParagraph"/>
              <w:spacing w:line="147" w:lineRule="exact" w:before="1"/>
              <w:ind w:left="374"/>
              <w:rPr>
                <w:sz w:val="14"/>
              </w:rPr>
            </w:pPr>
            <w:r>
              <w:rPr>
                <w:sz w:val="14"/>
              </w:rPr>
              <w:t>General and Others</w:t>
            </w:r>
          </w:p>
        </w:tc>
        <w:tc>
          <w:tcPr>
            <w:tcW w:w="1843" w:type="dxa"/>
          </w:tcPr>
          <w:p>
            <w:pPr>
              <w:pStyle w:val="TableParagraph"/>
              <w:spacing w:line="147" w:lineRule="exact" w:before="1"/>
              <w:ind w:right="429"/>
              <w:jc w:val="right"/>
              <w:rPr>
                <w:b/>
                <w:sz w:val="14"/>
              </w:rPr>
            </w:pPr>
            <w:r>
              <w:rPr>
                <w:b/>
                <w:sz w:val="14"/>
              </w:rPr>
              <w:t>498,628.6</w:t>
            </w:r>
          </w:p>
        </w:tc>
        <w:tc>
          <w:tcPr>
            <w:tcW w:w="1343" w:type="dxa"/>
          </w:tcPr>
          <w:p>
            <w:pPr>
              <w:pStyle w:val="TableParagraph"/>
              <w:spacing w:line="147" w:lineRule="exact" w:before="1"/>
              <w:ind w:right="367"/>
              <w:jc w:val="right"/>
              <w:rPr>
                <w:sz w:val="14"/>
              </w:rPr>
            </w:pPr>
            <w:r>
              <w:rPr>
                <w:sz w:val="14"/>
              </w:rPr>
              <w:t>2 4 . 0 %</w:t>
            </w:r>
          </w:p>
        </w:tc>
        <w:tc>
          <w:tcPr>
            <w:tcW w:w="1638" w:type="dxa"/>
          </w:tcPr>
          <w:p>
            <w:pPr>
              <w:pStyle w:val="TableParagraph"/>
              <w:spacing w:line="147" w:lineRule="exact" w:before="1"/>
              <w:ind w:right="440"/>
              <w:jc w:val="right"/>
              <w:rPr>
                <w:sz w:val="14"/>
              </w:rPr>
            </w:pPr>
            <w:r>
              <w:rPr>
                <w:sz w:val="14"/>
              </w:rPr>
              <w:t>524,920.6</w:t>
            </w:r>
          </w:p>
        </w:tc>
        <w:tc>
          <w:tcPr>
            <w:tcW w:w="1252" w:type="dxa"/>
          </w:tcPr>
          <w:p>
            <w:pPr>
              <w:pStyle w:val="TableParagraph"/>
              <w:spacing w:line="147" w:lineRule="exact" w:before="1"/>
              <w:ind w:right="253"/>
              <w:jc w:val="right"/>
              <w:rPr>
                <w:sz w:val="14"/>
              </w:rPr>
            </w:pPr>
            <w:r>
              <w:rPr>
                <w:sz w:val="14"/>
              </w:rPr>
              <w:t>2 5 . 2 %</w:t>
            </w:r>
          </w:p>
        </w:tc>
        <w:tc>
          <w:tcPr>
            <w:tcW w:w="1437" w:type="dxa"/>
          </w:tcPr>
          <w:p>
            <w:pPr>
              <w:pStyle w:val="TableParagraph"/>
              <w:spacing w:line="147" w:lineRule="exact" w:before="1"/>
              <w:ind w:right="350"/>
              <w:jc w:val="right"/>
              <w:rPr>
                <w:sz w:val="14"/>
              </w:rPr>
            </w:pPr>
            <w:r>
              <w:rPr>
                <w:sz w:val="14"/>
              </w:rPr>
              <w:t>534,123.4</w:t>
            </w:r>
          </w:p>
        </w:tc>
        <w:tc>
          <w:tcPr>
            <w:tcW w:w="949" w:type="dxa"/>
          </w:tcPr>
          <w:p>
            <w:pPr>
              <w:pStyle w:val="TableParagraph"/>
              <w:spacing w:line="147" w:lineRule="exact" w:before="1"/>
              <w:ind w:right="27"/>
              <w:jc w:val="right"/>
              <w:rPr>
                <w:sz w:val="14"/>
              </w:rPr>
            </w:pPr>
            <w:r>
              <w:rPr>
                <w:sz w:val="14"/>
              </w:rPr>
              <w:t>2 5 . 7 %</w:t>
            </w:r>
          </w:p>
        </w:tc>
      </w:tr>
      <w:tr>
        <w:trPr>
          <w:trHeight w:val="168" w:hRule="atLeast"/>
        </w:trPr>
        <w:tc>
          <w:tcPr>
            <w:tcW w:w="5418" w:type="dxa"/>
          </w:tcPr>
          <w:p>
            <w:pPr>
              <w:pStyle w:val="TableParagraph"/>
              <w:spacing w:line="147" w:lineRule="exact" w:before="1"/>
              <w:ind w:left="542"/>
              <w:rPr>
                <w:i/>
                <w:sz w:val="14"/>
              </w:rPr>
            </w:pPr>
            <w:r>
              <w:rPr>
                <w:i/>
                <w:sz w:val="14"/>
              </w:rPr>
              <w:t>Statistics - Sierra Leone</w:t>
            </w:r>
          </w:p>
        </w:tc>
        <w:tc>
          <w:tcPr>
            <w:tcW w:w="1843" w:type="dxa"/>
          </w:tcPr>
          <w:p>
            <w:pPr>
              <w:pStyle w:val="TableParagraph"/>
              <w:spacing w:line="147" w:lineRule="exact" w:before="1"/>
              <w:ind w:right="415"/>
              <w:jc w:val="right"/>
              <w:rPr>
                <w:b/>
                <w:sz w:val="14"/>
              </w:rPr>
            </w:pPr>
            <w:r>
              <w:rPr>
                <w:b/>
                <w:sz w:val="14"/>
              </w:rPr>
              <w:t>5,641.3</w:t>
            </w:r>
          </w:p>
        </w:tc>
        <w:tc>
          <w:tcPr>
            <w:tcW w:w="1343" w:type="dxa"/>
          </w:tcPr>
          <w:p>
            <w:pPr>
              <w:pStyle w:val="TableParagraph"/>
              <w:spacing w:line="147" w:lineRule="exact" w:before="1"/>
              <w:ind w:right="363"/>
              <w:jc w:val="right"/>
              <w:rPr>
                <w:sz w:val="14"/>
              </w:rPr>
            </w:pPr>
            <w:r>
              <w:rPr>
                <w:sz w:val="14"/>
              </w:rPr>
              <w:t>0 . 3 %</w:t>
            </w:r>
          </w:p>
        </w:tc>
        <w:tc>
          <w:tcPr>
            <w:tcW w:w="1638" w:type="dxa"/>
          </w:tcPr>
          <w:p>
            <w:pPr>
              <w:pStyle w:val="TableParagraph"/>
              <w:spacing w:line="147" w:lineRule="exact" w:before="1"/>
              <w:ind w:right="427"/>
              <w:jc w:val="right"/>
              <w:rPr>
                <w:sz w:val="14"/>
              </w:rPr>
            </w:pPr>
            <w:r>
              <w:rPr>
                <w:sz w:val="14"/>
              </w:rPr>
              <w:t>5,717 .2</w:t>
            </w:r>
          </w:p>
        </w:tc>
        <w:tc>
          <w:tcPr>
            <w:tcW w:w="1252" w:type="dxa"/>
          </w:tcPr>
          <w:p>
            <w:pPr>
              <w:pStyle w:val="TableParagraph"/>
              <w:spacing w:line="147" w:lineRule="exact" w:before="1"/>
              <w:ind w:right="248"/>
              <w:jc w:val="right"/>
              <w:rPr>
                <w:sz w:val="14"/>
              </w:rPr>
            </w:pPr>
            <w:r>
              <w:rPr>
                <w:sz w:val="14"/>
              </w:rPr>
              <w:t>0 . 3 %</w:t>
            </w:r>
          </w:p>
        </w:tc>
        <w:tc>
          <w:tcPr>
            <w:tcW w:w="1437" w:type="dxa"/>
          </w:tcPr>
          <w:p>
            <w:pPr>
              <w:pStyle w:val="TableParagraph"/>
              <w:spacing w:line="147" w:lineRule="exact" w:before="1"/>
              <w:ind w:right="341"/>
              <w:jc w:val="right"/>
              <w:rPr>
                <w:sz w:val="14"/>
              </w:rPr>
            </w:pPr>
            <w:r>
              <w:rPr>
                <w:sz w:val="14"/>
              </w:rPr>
              <w:t>6,059 .6</w:t>
            </w:r>
          </w:p>
        </w:tc>
        <w:tc>
          <w:tcPr>
            <w:tcW w:w="949" w:type="dxa"/>
          </w:tcPr>
          <w:p>
            <w:pPr>
              <w:pStyle w:val="TableParagraph"/>
              <w:spacing w:line="147" w:lineRule="exact" w:before="1"/>
              <w:ind w:right="28"/>
              <w:jc w:val="right"/>
              <w:rPr>
                <w:sz w:val="14"/>
              </w:rPr>
            </w:pPr>
            <w:r>
              <w:rPr>
                <w:sz w:val="14"/>
              </w:rPr>
              <w:t>0 . 3 %</w:t>
            </w:r>
          </w:p>
        </w:tc>
      </w:tr>
      <w:tr>
        <w:trPr>
          <w:trHeight w:val="172" w:hRule="atLeast"/>
        </w:trPr>
        <w:tc>
          <w:tcPr>
            <w:tcW w:w="5418" w:type="dxa"/>
          </w:tcPr>
          <w:p>
            <w:pPr>
              <w:pStyle w:val="TableParagraph"/>
              <w:spacing w:line="152" w:lineRule="exact" w:before="1"/>
              <w:ind w:left="375"/>
              <w:rPr>
                <w:sz w:val="14"/>
              </w:rPr>
            </w:pPr>
            <w:r>
              <w:rPr>
                <w:sz w:val="14"/>
              </w:rPr>
              <w:t>Defence Expenditure</w:t>
            </w:r>
          </w:p>
        </w:tc>
        <w:tc>
          <w:tcPr>
            <w:tcW w:w="1843" w:type="dxa"/>
          </w:tcPr>
          <w:p>
            <w:pPr>
              <w:pStyle w:val="TableParagraph"/>
              <w:spacing w:line="152" w:lineRule="exact" w:before="1"/>
              <w:ind w:right="422"/>
              <w:jc w:val="right"/>
              <w:rPr>
                <w:b/>
                <w:sz w:val="14"/>
              </w:rPr>
            </w:pPr>
            <w:r>
              <w:rPr>
                <w:b/>
                <w:sz w:val="14"/>
              </w:rPr>
              <w:t>70,756.1</w:t>
            </w:r>
          </w:p>
        </w:tc>
        <w:tc>
          <w:tcPr>
            <w:tcW w:w="1343" w:type="dxa"/>
          </w:tcPr>
          <w:p>
            <w:pPr>
              <w:pStyle w:val="TableParagraph"/>
              <w:spacing w:line="152" w:lineRule="exact" w:before="1"/>
              <w:ind w:right="363"/>
              <w:jc w:val="right"/>
              <w:rPr>
                <w:sz w:val="14"/>
              </w:rPr>
            </w:pPr>
            <w:r>
              <w:rPr>
                <w:sz w:val="14"/>
              </w:rPr>
              <w:t>3 . 4 %</w:t>
            </w:r>
          </w:p>
        </w:tc>
        <w:tc>
          <w:tcPr>
            <w:tcW w:w="1638" w:type="dxa"/>
          </w:tcPr>
          <w:p>
            <w:pPr>
              <w:pStyle w:val="TableParagraph"/>
              <w:spacing w:line="152" w:lineRule="exact" w:before="1"/>
              <w:ind w:right="440"/>
              <w:jc w:val="right"/>
              <w:rPr>
                <w:sz w:val="14"/>
              </w:rPr>
            </w:pPr>
            <w:r>
              <w:rPr>
                <w:sz w:val="14"/>
              </w:rPr>
              <w:t>119,688.5</w:t>
            </w:r>
          </w:p>
        </w:tc>
        <w:tc>
          <w:tcPr>
            <w:tcW w:w="1252" w:type="dxa"/>
          </w:tcPr>
          <w:p>
            <w:pPr>
              <w:pStyle w:val="TableParagraph"/>
              <w:spacing w:line="152" w:lineRule="exact" w:before="1"/>
              <w:ind w:right="248"/>
              <w:jc w:val="right"/>
              <w:rPr>
                <w:sz w:val="14"/>
              </w:rPr>
            </w:pPr>
            <w:r>
              <w:rPr>
                <w:sz w:val="14"/>
              </w:rPr>
              <w:t>5 . 8 %</w:t>
            </w:r>
          </w:p>
        </w:tc>
        <w:tc>
          <w:tcPr>
            <w:tcW w:w="1437" w:type="dxa"/>
          </w:tcPr>
          <w:p>
            <w:pPr>
              <w:pStyle w:val="TableParagraph"/>
              <w:spacing w:line="152" w:lineRule="exact" w:before="1"/>
              <w:ind w:right="350"/>
              <w:jc w:val="right"/>
              <w:rPr>
                <w:sz w:val="14"/>
              </w:rPr>
            </w:pPr>
            <w:r>
              <w:rPr>
                <w:sz w:val="14"/>
              </w:rPr>
              <w:t>126,857.9</w:t>
            </w:r>
          </w:p>
        </w:tc>
        <w:tc>
          <w:tcPr>
            <w:tcW w:w="949" w:type="dxa"/>
          </w:tcPr>
          <w:p>
            <w:pPr>
              <w:pStyle w:val="TableParagraph"/>
              <w:spacing w:line="152" w:lineRule="exact" w:before="1"/>
              <w:ind w:right="28"/>
              <w:jc w:val="right"/>
              <w:rPr>
                <w:sz w:val="14"/>
              </w:rPr>
            </w:pPr>
            <w:r>
              <w:rPr>
                <w:sz w:val="14"/>
              </w:rPr>
              <w:t>6 . 1 %</w:t>
            </w:r>
          </w:p>
        </w:tc>
      </w:tr>
      <w:tr>
        <w:trPr>
          <w:trHeight w:val="177" w:hRule="atLeast"/>
        </w:trPr>
        <w:tc>
          <w:tcPr>
            <w:tcW w:w="5418" w:type="dxa"/>
          </w:tcPr>
          <w:p>
            <w:pPr>
              <w:pStyle w:val="TableParagraph"/>
              <w:spacing w:line="152" w:lineRule="exact" w:before="5"/>
              <w:ind w:left="374"/>
              <w:rPr>
                <w:sz w:val="14"/>
              </w:rPr>
            </w:pPr>
            <w:r>
              <w:rPr>
                <w:sz w:val="14"/>
              </w:rPr>
              <w:t>Police</w:t>
            </w:r>
          </w:p>
        </w:tc>
        <w:tc>
          <w:tcPr>
            <w:tcW w:w="1843" w:type="dxa"/>
          </w:tcPr>
          <w:p>
            <w:pPr>
              <w:pStyle w:val="TableParagraph"/>
              <w:spacing w:line="152" w:lineRule="exact" w:before="5"/>
              <w:ind w:right="422"/>
              <w:jc w:val="right"/>
              <w:rPr>
                <w:b/>
                <w:sz w:val="14"/>
              </w:rPr>
            </w:pPr>
            <w:r>
              <w:rPr>
                <w:b/>
                <w:sz w:val="14"/>
              </w:rPr>
              <w:t>60,075.1</w:t>
            </w:r>
          </w:p>
        </w:tc>
        <w:tc>
          <w:tcPr>
            <w:tcW w:w="1343" w:type="dxa"/>
          </w:tcPr>
          <w:p>
            <w:pPr>
              <w:pStyle w:val="TableParagraph"/>
              <w:spacing w:line="152" w:lineRule="exact" w:before="5"/>
              <w:ind w:right="363"/>
              <w:jc w:val="right"/>
              <w:rPr>
                <w:sz w:val="14"/>
              </w:rPr>
            </w:pPr>
            <w:r>
              <w:rPr>
                <w:sz w:val="14"/>
              </w:rPr>
              <w:t>2 . 9 %</w:t>
            </w:r>
          </w:p>
        </w:tc>
        <w:tc>
          <w:tcPr>
            <w:tcW w:w="1638" w:type="dxa"/>
          </w:tcPr>
          <w:p>
            <w:pPr>
              <w:pStyle w:val="TableParagraph"/>
              <w:spacing w:line="152" w:lineRule="exact" w:before="5"/>
              <w:ind w:right="436"/>
              <w:jc w:val="right"/>
              <w:rPr>
                <w:sz w:val="14"/>
              </w:rPr>
            </w:pPr>
            <w:r>
              <w:rPr>
                <w:sz w:val="14"/>
              </w:rPr>
              <w:t>81,408.0</w:t>
            </w:r>
          </w:p>
        </w:tc>
        <w:tc>
          <w:tcPr>
            <w:tcW w:w="1252" w:type="dxa"/>
          </w:tcPr>
          <w:p>
            <w:pPr>
              <w:pStyle w:val="TableParagraph"/>
              <w:spacing w:line="152" w:lineRule="exact" w:before="5"/>
              <w:ind w:right="248"/>
              <w:jc w:val="right"/>
              <w:rPr>
                <w:sz w:val="14"/>
              </w:rPr>
            </w:pPr>
            <w:r>
              <w:rPr>
                <w:sz w:val="14"/>
              </w:rPr>
              <w:t>3 . 9 %</w:t>
            </w:r>
          </w:p>
        </w:tc>
        <w:tc>
          <w:tcPr>
            <w:tcW w:w="1437" w:type="dxa"/>
          </w:tcPr>
          <w:p>
            <w:pPr>
              <w:pStyle w:val="TableParagraph"/>
              <w:spacing w:line="152" w:lineRule="exact" w:before="5"/>
              <w:ind w:right="346"/>
              <w:jc w:val="right"/>
              <w:rPr>
                <w:sz w:val="14"/>
              </w:rPr>
            </w:pPr>
            <w:r>
              <w:rPr>
                <w:sz w:val="14"/>
              </w:rPr>
              <w:t>86,284.3</w:t>
            </w:r>
          </w:p>
        </w:tc>
        <w:tc>
          <w:tcPr>
            <w:tcW w:w="949" w:type="dxa"/>
          </w:tcPr>
          <w:p>
            <w:pPr>
              <w:pStyle w:val="TableParagraph"/>
              <w:spacing w:line="152" w:lineRule="exact" w:before="5"/>
              <w:ind w:right="28"/>
              <w:jc w:val="right"/>
              <w:rPr>
                <w:sz w:val="14"/>
              </w:rPr>
            </w:pPr>
            <w:r>
              <w:rPr>
                <w:sz w:val="14"/>
              </w:rPr>
              <w:t>4 . 1 %</w:t>
            </w:r>
          </w:p>
        </w:tc>
      </w:tr>
      <w:tr>
        <w:trPr>
          <w:trHeight w:val="180" w:hRule="atLeast"/>
        </w:trPr>
        <w:tc>
          <w:tcPr>
            <w:tcW w:w="5418" w:type="dxa"/>
          </w:tcPr>
          <w:p>
            <w:pPr>
              <w:pStyle w:val="TableParagraph"/>
              <w:spacing w:line="154" w:lineRule="exact" w:before="5"/>
              <w:ind w:left="374"/>
              <w:rPr>
                <w:sz w:val="14"/>
              </w:rPr>
            </w:pPr>
            <w:r>
              <w:rPr>
                <w:sz w:val="14"/>
              </w:rPr>
              <w:t>Correctional Services</w:t>
            </w:r>
          </w:p>
        </w:tc>
        <w:tc>
          <w:tcPr>
            <w:tcW w:w="1843" w:type="dxa"/>
          </w:tcPr>
          <w:p>
            <w:pPr>
              <w:pStyle w:val="TableParagraph"/>
              <w:spacing w:line="154" w:lineRule="exact" w:before="5"/>
              <w:ind w:right="422"/>
              <w:jc w:val="right"/>
              <w:rPr>
                <w:b/>
                <w:sz w:val="14"/>
              </w:rPr>
            </w:pPr>
            <w:r>
              <w:rPr>
                <w:b/>
                <w:sz w:val="14"/>
              </w:rPr>
              <w:t>43,817.4</w:t>
            </w:r>
          </w:p>
        </w:tc>
        <w:tc>
          <w:tcPr>
            <w:tcW w:w="1343" w:type="dxa"/>
          </w:tcPr>
          <w:p>
            <w:pPr>
              <w:pStyle w:val="TableParagraph"/>
              <w:spacing w:line="154" w:lineRule="exact" w:before="5"/>
              <w:ind w:right="363"/>
              <w:jc w:val="right"/>
              <w:rPr>
                <w:sz w:val="14"/>
              </w:rPr>
            </w:pPr>
            <w:r>
              <w:rPr>
                <w:sz w:val="14"/>
              </w:rPr>
              <w:t>2 . 1 %</w:t>
            </w:r>
          </w:p>
        </w:tc>
        <w:tc>
          <w:tcPr>
            <w:tcW w:w="1638" w:type="dxa"/>
          </w:tcPr>
          <w:p>
            <w:pPr>
              <w:pStyle w:val="TableParagraph"/>
              <w:spacing w:line="154" w:lineRule="exact" w:before="5"/>
              <w:ind w:right="436"/>
              <w:jc w:val="right"/>
              <w:rPr>
                <w:sz w:val="14"/>
              </w:rPr>
            </w:pPr>
            <w:r>
              <w:rPr>
                <w:sz w:val="14"/>
              </w:rPr>
              <w:t>61,298.9</w:t>
            </w:r>
          </w:p>
        </w:tc>
        <w:tc>
          <w:tcPr>
            <w:tcW w:w="1252" w:type="dxa"/>
          </w:tcPr>
          <w:p>
            <w:pPr>
              <w:pStyle w:val="TableParagraph"/>
              <w:spacing w:line="154" w:lineRule="exact" w:before="5"/>
              <w:ind w:right="248"/>
              <w:jc w:val="right"/>
              <w:rPr>
                <w:sz w:val="14"/>
              </w:rPr>
            </w:pPr>
            <w:r>
              <w:rPr>
                <w:sz w:val="14"/>
              </w:rPr>
              <w:t>2 . 9 %</w:t>
            </w:r>
          </w:p>
        </w:tc>
        <w:tc>
          <w:tcPr>
            <w:tcW w:w="1437" w:type="dxa"/>
          </w:tcPr>
          <w:p>
            <w:pPr>
              <w:pStyle w:val="TableParagraph"/>
              <w:spacing w:line="154" w:lineRule="exact" w:before="5"/>
              <w:ind w:right="346"/>
              <w:jc w:val="right"/>
              <w:rPr>
                <w:sz w:val="14"/>
              </w:rPr>
            </w:pPr>
            <w:r>
              <w:rPr>
                <w:sz w:val="14"/>
              </w:rPr>
              <w:t>64,970.7</w:t>
            </w:r>
          </w:p>
        </w:tc>
        <w:tc>
          <w:tcPr>
            <w:tcW w:w="949" w:type="dxa"/>
          </w:tcPr>
          <w:p>
            <w:pPr>
              <w:pStyle w:val="TableParagraph"/>
              <w:spacing w:line="154" w:lineRule="exact" w:before="5"/>
              <w:ind w:right="28"/>
              <w:jc w:val="right"/>
              <w:rPr>
                <w:sz w:val="14"/>
              </w:rPr>
            </w:pPr>
            <w:r>
              <w:rPr>
                <w:sz w:val="14"/>
              </w:rPr>
              <w:t>3 . 1 %</w:t>
            </w:r>
          </w:p>
        </w:tc>
      </w:tr>
      <w:tr>
        <w:trPr>
          <w:trHeight w:val="180" w:hRule="atLeast"/>
        </w:trPr>
        <w:tc>
          <w:tcPr>
            <w:tcW w:w="5418" w:type="dxa"/>
          </w:tcPr>
          <w:p>
            <w:pPr>
              <w:pStyle w:val="TableParagraph"/>
              <w:spacing w:line="152" w:lineRule="exact" w:before="8"/>
              <w:ind w:left="201"/>
              <w:rPr>
                <w:b/>
                <w:sz w:val="14"/>
              </w:rPr>
            </w:pPr>
            <w:r>
              <w:rPr>
                <w:b/>
                <w:sz w:val="14"/>
              </w:rPr>
              <w:t>Subsidies and Transfers</w:t>
            </w:r>
          </w:p>
        </w:tc>
        <w:tc>
          <w:tcPr>
            <w:tcW w:w="1843" w:type="dxa"/>
          </w:tcPr>
          <w:p>
            <w:pPr>
              <w:pStyle w:val="TableParagraph"/>
              <w:spacing w:line="152" w:lineRule="exact" w:before="8"/>
              <w:ind w:right="441"/>
              <w:jc w:val="right"/>
              <w:rPr>
                <w:b/>
                <w:sz w:val="14"/>
              </w:rPr>
            </w:pPr>
            <w:r>
              <w:rPr>
                <w:b/>
                <w:sz w:val="14"/>
              </w:rPr>
              <w:t>1,017,999.8</w:t>
            </w:r>
          </w:p>
        </w:tc>
        <w:tc>
          <w:tcPr>
            <w:tcW w:w="1343" w:type="dxa"/>
          </w:tcPr>
          <w:p>
            <w:pPr>
              <w:pStyle w:val="TableParagraph"/>
              <w:spacing w:line="152" w:lineRule="exact" w:before="8"/>
              <w:ind w:right="367"/>
              <w:jc w:val="right"/>
              <w:rPr>
                <w:sz w:val="14"/>
              </w:rPr>
            </w:pPr>
            <w:r>
              <w:rPr>
                <w:sz w:val="14"/>
              </w:rPr>
              <w:t>4 8 . 9 %</w:t>
            </w:r>
          </w:p>
        </w:tc>
        <w:tc>
          <w:tcPr>
            <w:tcW w:w="1638" w:type="dxa"/>
          </w:tcPr>
          <w:p>
            <w:pPr>
              <w:pStyle w:val="TableParagraph"/>
              <w:spacing w:line="152" w:lineRule="exact" w:before="8"/>
              <w:ind w:right="448"/>
              <w:jc w:val="right"/>
              <w:rPr>
                <w:sz w:val="14"/>
              </w:rPr>
            </w:pPr>
            <w:r>
              <w:rPr>
                <w:w w:val="95"/>
                <w:sz w:val="14"/>
              </w:rPr>
              <w:t>1,160,207.0</w:t>
            </w:r>
          </w:p>
        </w:tc>
        <w:tc>
          <w:tcPr>
            <w:tcW w:w="1252" w:type="dxa"/>
          </w:tcPr>
          <w:p>
            <w:pPr>
              <w:pStyle w:val="TableParagraph"/>
              <w:spacing w:line="152" w:lineRule="exact" w:before="8"/>
              <w:ind w:right="253"/>
              <w:jc w:val="right"/>
              <w:rPr>
                <w:sz w:val="14"/>
              </w:rPr>
            </w:pPr>
            <w:r>
              <w:rPr>
                <w:sz w:val="14"/>
              </w:rPr>
              <w:t>5 5 . 8 %</w:t>
            </w:r>
          </w:p>
        </w:tc>
        <w:tc>
          <w:tcPr>
            <w:tcW w:w="1437" w:type="dxa"/>
          </w:tcPr>
          <w:p>
            <w:pPr>
              <w:pStyle w:val="TableParagraph"/>
              <w:spacing w:line="152" w:lineRule="exact" w:before="8"/>
              <w:ind w:right="358"/>
              <w:jc w:val="right"/>
              <w:rPr>
                <w:sz w:val="14"/>
              </w:rPr>
            </w:pPr>
            <w:r>
              <w:rPr>
                <w:w w:val="95"/>
                <w:sz w:val="14"/>
              </w:rPr>
              <w:t>1,374,798.8</w:t>
            </w:r>
          </w:p>
        </w:tc>
        <w:tc>
          <w:tcPr>
            <w:tcW w:w="949" w:type="dxa"/>
          </w:tcPr>
          <w:p>
            <w:pPr>
              <w:pStyle w:val="TableParagraph"/>
              <w:spacing w:line="152" w:lineRule="exact" w:before="8"/>
              <w:ind w:right="27"/>
              <w:jc w:val="right"/>
              <w:rPr>
                <w:sz w:val="14"/>
              </w:rPr>
            </w:pPr>
            <w:r>
              <w:rPr>
                <w:sz w:val="14"/>
              </w:rPr>
              <w:t>6 6 . 1 %</w:t>
            </w:r>
          </w:p>
        </w:tc>
      </w:tr>
      <w:tr>
        <w:trPr>
          <w:trHeight w:val="180" w:hRule="atLeast"/>
        </w:trPr>
        <w:tc>
          <w:tcPr>
            <w:tcW w:w="5418" w:type="dxa"/>
          </w:tcPr>
          <w:p>
            <w:pPr>
              <w:pStyle w:val="TableParagraph"/>
              <w:spacing w:line="154" w:lineRule="exact" w:before="5"/>
              <w:ind w:left="375"/>
              <w:rPr>
                <w:b/>
                <w:sz w:val="14"/>
              </w:rPr>
            </w:pPr>
            <w:r>
              <w:rPr>
                <w:b/>
                <w:sz w:val="14"/>
              </w:rPr>
              <w:t>Transfers to Local Councils</w:t>
            </w:r>
          </w:p>
        </w:tc>
        <w:tc>
          <w:tcPr>
            <w:tcW w:w="1843" w:type="dxa"/>
          </w:tcPr>
          <w:p>
            <w:pPr>
              <w:pStyle w:val="TableParagraph"/>
              <w:spacing w:line="154" w:lineRule="exact" w:before="5"/>
              <w:ind w:right="429"/>
              <w:jc w:val="right"/>
              <w:rPr>
                <w:b/>
                <w:sz w:val="14"/>
              </w:rPr>
            </w:pPr>
            <w:r>
              <w:rPr>
                <w:b/>
                <w:sz w:val="14"/>
              </w:rPr>
              <w:t>113,183.2</w:t>
            </w:r>
          </w:p>
        </w:tc>
        <w:tc>
          <w:tcPr>
            <w:tcW w:w="1343" w:type="dxa"/>
          </w:tcPr>
          <w:p>
            <w:pPr>
              <w:pStyle w:val="TableParagraph"/>
              <w:spacing w:line="154" w:lineRule="exact" w:before="5"/>
              <w:ind w:right="363"/>
              <w:jc w:val="right"/>
              <w:rPr>
                <w:sz w:val="14"/>
              </w:rPr>
            </w:pPr>
            <w:r>
              <w:rPr>
                <w:sz w:val="14"/>
              </w:rPr>
              <w:t>5 . 4 %</w:t>
            </w:r>
          </w:p>
        </w:tc>
        <w:tc>
          <w:tcPr>
            <w:tcW w:w="1638" w:type="dxa"/>
          </w:tcPr>
          <w:p>
            <w:pPr>
              <w:pStyle w:val="TableParagraph"/>
              <w:spacing w:line="154" w:lineRule="exact" w:before="5"/>
              <w:ind w:right="440"/>
              <w:jc w:val="right"/>
              <w:rPr>
                <w:sz w:val="14"/>
              </w:rPr>
            </w:pPr>
            <w:r>
              <w:rPr>
                <w:sz w:val="14"/>
              </w:rPr>
              <w:t>118,842.4</w:t>
            </w:r>
          </w:p>
        </w:tc>
        <w:tc>
          <w:tcPr>
            <w:tcW w:w="1252" w:type="dxa"/>
          </w:tcPr>
          <w:p>
            <w:pPr>
              <w:pStyle w:val="TableParagraph"/>
              <w:spacing w:line="154" w:lineRule="exact" w:before="5"/>
              <w:ind w:right="248"/>
              <w:jc w:val="right"/>
              <w:rPr>
                <w:sz w:val="14"/>
              </w:rPr>
            </w:pPr>
            <w:r>
              <w:rPr>
                <w:sz w:val="14"/>
              </w:rPr>
              <w:t>5 . 7 %</w:t>
            </w:r>
          </w:p>
        </w:tc>
        <w:tc>
          <w:tcPr>
            <w:tcW w:w="1437" w:type="dxa"/>
          </w:tcPr>
          <w:p>
            <w:pPr>
              <w:pStyle w:val="TableParagraph"/>
              <w:spacing w:line="154" w:lineRule="exact" w:before="5"/>
              <w:ind w:right="350"/>
              <w:jc w:val="right"/>
              <w:rPr>
                <w:sz w:val="14"/>
              </w:rPr>
            </w:pPr>
            <w:r>
              <w:rPr>
                <w:sz w:val="14"/>
              </w:rPr>
              <w:t>142,610.9</w:t>
            </w:r>
          </w:p>
        </w:tc>
        <w:tc>
          <w:tcPr>
            <w:tcW w:w="949" w:type="dxa"/>
          </w:tcPr>
          <w:p>
            <w:pPr>
              <w:pStyle w:val="TableParagraph"/>
              <w:spacing w:line="154" w:lineRule="exact" w:before="5"/>
              <w:ind w:right="28"/>
              <w:jc w:val="right"/>
              <w:rPr>
                <w:sz w:val="14"/>
              </w:rPr>
            </w:pPr>
            <w:r>
              <w:rPr>
                <w:sz w:val="14"/>
              </w:rPr>
              <w:t>6 . 9 %</w:t>
            </w:r>
          </w:p>
        </w:tc>
      </w:tr>
      <w:tr>
        <w:trPr>
          <w:trHeight w:val="180" w:hRule="atLeast"/>
        </w:trPr>
        <w:tc>
          <w:tcPr>
            <w:tcW w:w="5418" w:type="dxa"/>
          </w:tcPr>
          <w:p>
            <w:pPr>
              <w:pStyle w:val="TableParagraph"/>
              <w:spacing w:line="152" w:lineRule="exact" w:before="8"/>
              <w:ind w:left="542"/>
              <w:rPr>
                <w:sz w:val="14"/>
              </w:rPr>
            </w:pPr>
            <w:r>
              <w:rPr>
                <w:sz w:val="14"/>
              </w:rPr>
              <w:t>Grants for Admin. Expenses</w:t>
            </w:r>
          </w:p>
        </w:tc>
        <w:tc>
          <w:tcPr>
            <w:tcW w:w="1843" w:type="dxa"/>
          </w:tcPr>
          <w:p>
            <w:pPr>
              <w:pStyle w:val="TableParagraph"/>
              <w:spacing w:line="152" w:lineRule="exact" w:before="8"/>
              <w:ind w:right="415"/>
              <w:jc w:val="right"/>
              <w:rPr>
                <w:b/>
                <w:sz w:val="14"/>
              </w:rPr>
            </w:pPr>
            <w:r>
              <w:rPr>
                <w:b/>
                <w:sz w:val="14"/>
              </w:rPr>
              <w:t>4,071.6</w:t>
            </w:r>
          </w:p>
        </w:tc>
        <w:tc>
          <w:tcPr>
            <w:tcW w:w="1343" w:type="dxa"/>
          </w:tcPr>
          <w:p>
            <w:pPr>
              <w:pStyle w:val="TableParagraph"/>
              <w:spacing w:line="152" w:lineRule="exact" w:before="8"/>
              <w:ind w:right="363"/>
              <w:jc w:val="right"/>
              <w:rPr>
                <w:sz w:val="14"/>
              </w:rPr>
            </w:pPr>
            <w:r>
              <w:rPr>
                <w:sz w:val="14"/>
              </w:rPr>
              <w:t>0 . 2 %</w:t>
            </w:r>
          </w:p>
        </w:tc>
        <w:tc>
          <w:tcPr>
            <w:tcW w:w="1638" w:type="dxa"/>
          </w:tcPr>
          <w:p>
            <w:pPr>
              <w:pStyle w:val="TableParagraph"/>
              <w:spacing w:line="152" w:lineRule="exact" w:before="8"/>
              <w:ind w:right="427"/>
              <w:jc w:val="right"/>
              <w:rPr>
                <w:sz w:val="14"/>
              </w:rPr>
            </w:pPr>
            <w:r>
              <w:rPr>
                <w:sz w:val="14"/>
              </w:rPr>
              <w:t>4,275 .2</w:t>
            </w:r>
          </w:p>
        </w:tc>
        <w:tc>
          <w:tcPr>
            <w:tcW w:w="1252" w:type="dxa"/>
          </w:tcPr>
          <w:p>
            <w:pPr>
              <w:pStyle w:val="TableParagraph"/>
              <w:spacing w:line="152" w:lineRule="exact" w:before="8"/>
              <w:ind w:right="248"/>
              <w:jc w:val="right"/>
              <w:rPr>
                <w:sz w:val="14"/>
              </w:rPr>
            </w:pPr>
            <w:r>
              <w:rPr>
                <w:sz w:val="14"/>
              </w:rPr>
              <w:t>0 . 2 %</w:t>
            </w:r>
          </w:p>
        </w:tc>
        <w:tc>
          <w:tcPr>
            <w:tcW w:w="1437" w:type="dxa"/>
          </w:tcPr>
          <w:p>
            <w:pPr>
              <w:pStyle w:val="TableParagraph"/>
              <w:spacing w:line="152" w:lineRule="exact" w:before="8"/>
              <w:ind w:right="341"/>
              <w:jc w:val="right"/>
              <w:rPr>
                <w:sz w:val="14"/>
              </w:rPr>
            </w:pPr>
            <w:r>
              <w:rPr>
                <w:sz w:val="14"/>
              </w:rPr>
              <w:t>5,130 .2</w:t>
            </w:r>
          </w:p>
        </w:tc>
        <w:tc>
          <w:tcPr>
            <w:tcW w:w="949" w:type="dxa"/>
          </w:tcPr>
          <w:p>
            <w:pPr>
              <w:pStyle w:val="TableParagraph"/>
              <w:spacing w:line="152" w:lineRule="exact" w:before="8"/>
              <w:ind w:right="28"/>
              <w:jc w:val="right"/>
              <w:rPr>
                <w:sz w:val="14"/>
              </w:rPr>
            </w:pPr>
            <w:r>
              <w:rPr>
                <w:sz w:val="14"/>
              </w:rPr>
              <w:t>0 . 2 %</w:t>
            </w:r>
          </w:p>
        </w:tc>
      </w:tr>
      <w:tr>
        <w:trPr>
          <w:trHeight w:val="180" w:hRule="atLeast"/>
        </w:trPr>
        <w:tc>
          <w:tcPr>
            <w:tcW w:w="5418" w:type="dxa"/>
          </w:tcPr>
          <w:p>
            <w:pPr>
              <w:pStyle w:val="TableParagraph"/>
              <w:spacing w:line="154" w:lineRule="exact" w:before="5"/>
              <w:ind w:left="542"/>
              <w:rPr>
                <w:sz w:val="14"/>
              </w:rPr>
            </w:pPr>
            <w:r>
              <w:rPr>
                <w:sz w:val="14"/>
              </w:rPr>
              <w:t>Grants for Devolved Functions</w:t>
            </w:r>
          </w:p>
        </w:tc>
        <w:tc>
          <w:tcPr>
            <w:tcW w:w="1843" w:type="dxa"/>
          </w:tcPr>
          <w:p>
            <w:pPr>
              <w:pStyle w:val="TableParagraph"/>
              <w:spacing w:line="154" w:lineRule="exact" w:before="5"/>
              <w:ind w:right="429"/>
              <w:jc w:val="right"/>
              <w:rPr>
                <w:b/>
                <w:sz w:val="14"/>
              </w:rPr>
            </w:pPr>
            <w:r>
              <w:rPr>
                <w:b/>
                <w:sz w:val="14"/>
              </w:rPr>
              <w:t>109,111.6</w:t>
            </w:r>
          </w:p>
        </w:tc>
        <w:tc>
          <w:tcPr>
            <w:tcW w:w="1343" w:type="dxa"/>
          </w:tcPr>
          <w:p>
            <w:pPr>
              <w:pStyle w:val="TableParagraph"/>
              <w:spacing w:line="154" w:lineRule="exact" w:before="5"/>
              <w:ind w:right="363"/>
              <w:jc w:val="right"/>
              <w:rPr>
                <w:sz w:val="14"/>
              </w:rPr>
            </w:pPr>
            <w:r>
              <w:rPr>
                <w:sz w:val="14"/>
              </w:rPr>
              <w:t>5 . 2 %</w:t>
            </w:r>
          </w:p>
        </w:tc>
        <w:tc>
          <w:tcPr>
            <w:tcW w:w="1638" w:type="dxa"/>
          </w:tcPr>
          <w:p>
            <w:pPr>
              <w:pStyle w:val="TableParagraph"/>
              <w:spacing w:line="154" w:lineRule="exact" w:before="5"/>
              <w:ind w:right="440"/>
              <w:jc w:val="right"/>
              <w:rPr>
                <w:sz w:val="14"/>
              </w:rPr>
            </w:pPr>
            <w:r>
              <w:rPr>
                <w:sz w:val="14"/>
              </w:rPr>
              <w:t>114,567.2</w:t>
            </w:r>
          </w:p>
        </w:tc>
        <w:tc>
          <w:tcPr>
            <w:tcW w:w="1252" w:type="dxa"/>
          </w:tcPr>
          <w:p>
            <w:pPr>
              <w:pStyle w:val="TableParagraph"/>
              <w:spacing w:line="154" w:lineRule="exact" w:before="5"/>
              <w:ind w:right="248"/>
              <w:jc w:val="right"/>
              <w:rPr>
                <w:sz w:val="14"/>
              </w:rPr>
            </w:pPr>
            <w:r>
              <w:rPr>
                <w:sz w:val="14"/>
              </w:rPr>
              <w:t>5 . 5 %</w:t>
            </w:r>
          </w:p>
        </w:tc>
        <w:tc>
          <w:tcPr>
            <w:tcW w:w="1437" w:type="dxa"/>
          </w:tcPr>
          <w:p>
            <w:pPr>
              <w:pStyle w:val="TableParagraph"/>
              <w:spacing w:line="154" w:lineRule="exact" w:before="5"/>
              <w:ind w:right="350"/>
              <w:jc w:val="right"/>
              <w:rPr>
                <w:sz w:val="14"/>
              </w:rPr>
            </w:pPr>
            <w:r>
              <w:rPr>
                <w:sz w:val="14"/>
              </w:rPr>
              <w:t>137,480.6</w:t>
            </w:r>
          </w:p>
        </w:tc>
        <w:tc>
          <w:tcPr>
            <w:tcW w:w="949" w:type="dxa"/>
          </w:tcPr>
          <w:p>
            <w:pPr>
              <w:pStyle w:val="TableParagraph"/>
              <w:spacing w:line="154" w:lineRule="exact" w:before="5"/>
              <w:ind w:right="28"/>
              <w:jc w:val="right"/>
              <w:rPr>
                <w:sz w:val="14"/>
              </w:rPr>
            </w:pPr>
            <w:r>
              <w:rPr>
                <w:sz w:val="14"/>
              </w:rPr>
              <w:t>6 . 6 %</w:t>
            </w:r>
          </w:p>
        </w:tc>
      </w:tr>
      <w:tr>
        <w:trPr>
          <w:trHeight w:val="180" w:hRule="atLeast"/>
        </w:trPr>
        <w:tc>
          <w:tcPr>
            <w:tcW w:w="5418" w:type="dxa"/>
          </w:tcPr>
          <w:p>
            <w:pPr>
              <w:pStyle w:val="TableParagraph"/>
              <w:spacing w:line="152" w:lineRule="exact" w:before="8"/>
              <w:ind w:left="715"/>
              <w:rPr>
                <w:i/>
                <w:sz w:val="14"/>
              </w:rPr>
            </w:pPr>
            <w:r>
              <w:rPr>
                <w:i/>
                <w:sz w:val="14"/>
              </w:rPr>
              <w:t>o/ w Free Education Programme</w:t>
            </w:r>
          </w:p>
        </w:tc>
        <w:tc>
          <w:tcPr>
            <w:tcW w:w="1843" w:type="dxa"/>
          </w:tcPr>
          <w:p>
            <w:pPr>
              <w:pStyle w:val="TableParagraph"/>
              <w:spacing w:line="152" w:lineRule="exact" w:before="8"/>
              <w:ind w:right="415"/>
              <w:jc w:val="right"/>
              <w:rPr>
                <w:b/>
                <w:sz w:val="14"/>
              </w:rPr>
            </w:pPr>
            <w:r>
              <w:rPr>
                <w:b/>
                <w:sz w:val="14"/>
              </w:rPr>
              <w:t>1,560.1</w:t>
            </w:r>
          </w:p>
        </w:tc>
        <w:tc>
          <w:tcPr>
            <w:tcW w:w="1343" w:type="dxa"/>
          </w:tcPr>
          <w:p>
            <w:pPr>
              <w:pStyle w:val="TableParagraph"/>
              <w:spacing w:line="152" w:lineRule="exact" w:before="8"/>
              <w:ind w:right="363"/>
              <w:jc w:val="right"/>
              <w:rPr>
                <w:sz w:val="14"/>
              </w:rPr>
            </w:pPr>
            <w:r>
              <w:rPr>
                <w:sz w:val="14"/>
              </w:rPr>
              <w:t>0 . 1 %</w:t>
            </w:r>
          </w:p>
        </w:tc>
        <w:tc>
          <w:tcPr>
            <w:tcW w:w="1638" w:type="dxa"/>
          </w:tcPr>
          <w:p>
            <w:pPr>
              <w:pStyle w:val="TableParagraph"/>
              <w:spacing w:line="152" w:lineRule="exact" w:before="8"/>
              <w:ind w:right="427"/>
              <w:jc w:val="right"/>
              <w:rPr>
                <w:sz w:val="14"/>
              </w:rPr>
            </w:pPr>
            <w:r>
              <w:rPr>
                <w:sz w:val="14"/>
              </w:rPr>
              <w:t>1,699 .2</w:t>
            </w:r>
          </w:p>
        </w:tc>
        <w:tc>
          <w:tcPr>
            <w:tcW w:w="1252" w:type="dxa"/>
          </w:tcPr>
          <w:p>
            <w:pPr>
              <w:pStyle w:val="TableParagraph"/>
              <w:spacing w:line="152" w:lineRule="exact" w:before="8"/>
              <w:ind w:right="248"/>
              <w:jc w:val="right"/>
              <w:rPr>
                <w:sz w:val="14"/>
              </w:rPr>
            </w:pPr>
            <w:r>
              <w:rPr>
                <w:sz w:val="14"/>
              </w:rPr>
              <w:t>0 . 1 %</w:t>
            </w:r>
          </w:p>
        </w:tc>
        <w:tc>
          <w:tcPr>
            <w:tcW w:w="1437" w:type="dxa"/>
          </w:tcPr>
          <w:p>
            <w:pPr>
              <w:pStyle w:val="TableParagraph"/>
              <w:spacing w:line="152" w:lineRule="exact" w:before="8"/>
              <w:ind w:right="341"/>
              <w:jc w:val="right"/>
              <w:rPr>
                <w:sz w:val="14"/>
              </w:rPr>
            </w:pPr>
            <w:r>
              <w:rPr>
                <w:sz w:val="14"/>
              </w:rPr>
              <w:t>1,994 .5</w:t>
            </w:r>
          </w:p>
        </w:tc>
        <w:tc>
          <w:tcPr>
            <w:tcW w:w="949" w:type="dxa"/>
          </w:tcPr>
          <w:p>
            <w:pPr>
              <w:pStyle w:val="TableParagraph"/>
              <w:spacing w:line="152" w:lineRule="exact" w:before="8"/>
              <w:ind w:right="28"/>
              <w:jc w:val="right"/>
              <w:rPr>
                <w:sz w:val="14"/>
              </w:rPr>
            </w:pPr>
            <w:r>
              <w:rPr>
                <w:sz w:val="14"/>
              </w:rPr>
              <w:t>0 . 1 %</w:t>
            </w:r>
          </w:p>
        </w:tc>
      </w:tr>
      <w:tr>
        <w:trPr>
          <w:trHeight w:val="180" w:hRule="atLeast"/>
        </w:trPr>
        <w:tc>
          <w:tcPr>
            <w:tcW w:w="5418" w:type="dxa"/>
          </w:tcPr>
          <w:p>
            <w:pPr>
              <w:pStyle w:val="TableParagraph"/>
              <w:spacing w:line="154" w:lineRule="exact" w:before="5"/>
              <w:ind w:left="374"/>
              <w:rPr>
                <w:b/>
                <w:i/>
                <w:sz w:val="14"/>
              </w:rPr>
            </w:pPr>
            <w:r>
              <w:rPr>
                <w:b/>
                <w:i/>
                <w:sz w:val="14"/>
              </w:rPr>
              <w:t>Grants to Tertiary Educational Institutions</w:t>
            </w:r>
          </w:p>
        </w:tc>
        <w:tc>
          <w:tcPr>
            <w:tcW w:w="1843" w:type="dxa"/>
          </w:tcPr>
          <w:p>
            <w:pPr>
              <w:pStyle w:val="TableParagraph"/>
              <w:spacing w:line="154" w:lineRule="exact" w:before="5"/>
              <w:ind w:right="422"/>
              <w:jc w:val="right"/>
              <w:rPr>
                <w:b/>
                <w:sz w:val="14"/>
              </w:rPr>
            </w:pPr>
            <w:r>
              <w:rPr>
                <w:b/>
                <w:sz w:val="14"/>
              </w:rPr>
              <w:t>82,215.8</w:t>
            </w:r>
          </w:p>
        </w:tc>
        <w:tc>
          <w:tcPr>
            <w:tcW w:w="1343" w:type="dxa"/>
          </w:tcPr>
          <w:p>
            <w:pPr>
              <w:pStyle w:val="TableParagraph"/>
              <w:spacing w:line="154" w:lineRule="exact" w:before="5"/>
              <w:ind w:right="363"/>
              <w:jc w:val="right"/>
              <w:rPr>
                <w:sz w:val="14"/>
              </w:rPr>
            </w:pPr>
            <w:r>
              <w:rPr>
                <w:sz w:val="14"/>
              </w:rPr>
              <w:t>4 . 0 %</w:t>
            </w:r>
          </w:p>
        </w:tc>
        <w:tc>
          <w:tcPr>
            <w:tcW w:w="1638" w:type="dxa"/>
          </w:tcPr>
          <w:p>
            <w:pPr>
              <w:pStyle w:val="TableParagraph"/>
              <w:spacing w:line="154" w:lineRule="exact" w:before="5"/>
              <w:ind w:right="436"/>
              <w:jc w:val="right"/>
              <w:rPr>
                <w:sz w:val="14"/>
              </w:rPr>
            </w:pPr>
            <w:r>
              <w:rPr>
                <w:sz w:val="14"/>
              </w:rPr>
              <w:t>86,156.9</w:t>
            </w:r>
          </w:p>
        </w:tc>
        <w:tc>
          <w:tcPr>
            <w:tcW w:w="1252" w:type="dxa"/>
          </w:tcPr>
          <w:p>
            <w:pPr>
              <w:pStyle w:val="TableParagraph"/>
              <w:spacing w:line="154" w:lineRule="exact" w:before="5"/>
              <w:ind w:right="248"/>
              <w:jc w:val="right"/>
              <w:rPr>
                <w:sz w:val="14"/>
              </w:rPr>
            </w:pPr>
            <w:r>
              <w:rPr>
                <w:sz w:val="14"/>
              </w:rPr>
              <w:t>4 . 1 %</w:t>
            </w:r>
          </w:p>
        </w:tc>
        <w:tc>
          <w:tcPr>
            <w:tcW w:w="1437" w:type="dxa"/>
          </w:tcPr>
          <w:p>
            <w:pPr>
              <w:pStyle w:val="TableParagraph"/>
              <w:spacing w:line="154" w:lineRule="exact" w:before="5"/>
              <w:ind w:right="350"/>
              <w:jc w:val="right"/>
              <w:rPr>
                <w:sz w:val="14"/>
              </w:rPr>
            </w:pPr>
            <w:r>
              <w:rPr>
                <w:sz w:val="14"/>
              </w:rPr>
              <w:t>103,412.0</w:t>
            </w:r>
          </w:p>
        </w:tc>
        <w:tc>
          <w:tcPr>
            <w:tcW w:w="949" w:type="dxa"/>
          </w:tcPr>
          <w:p>
            <w:pPr>
              <w:pStyle w:val="TableParagraph"/>
              <w:spacing w:line="154" w:lineRule="exact" w:before="5"/>
              <w:ind w:right="28"/>
              <w:jc w:val="right"/>
              <w:rPr>
                <w:sz w:val="14"/>
              </w:rPr>
            </w:pPr>
            <w:r>
              <w:rPr>
                <w:sz w:val="14"/>
              </w:rPr>
              <w:t>5 . 0 %</w:t>
            </w:r>
          </w:p>
        </w:tc>
      </w:tr>
      <w:tr>
        <w:trPr>
          <w:trHeight w:val="180" w:hRule="atLeast"/>
        </w:trPr>
        <w:tc>
          <w:tcPr>
            <w:tcW w:w="5418" w:type="dxa"/>
          </w:tcPr>
          <w:p>
            <w:pPr>
              <w:pStyle w:val="TableParagraph"/>
              <w:spacing w:line="152" w:lineRule="exact" w:before="8"/>
              <w:ind w:left="375"/>
              <w:rPr>
                <w:b/>
                <w:i/>
                <w:sz w:val="14"/>
              </w:rPr>
            </w:pPr>
            <w:r>
              <w:rPr>
                <w:b/>
                <w:i/>
                <w:sz w:val="14"/>
              </w:rPr>
              <w:t>Transfer to Road Maintenance Fund</w:t>
            </w:r>
          </w:p>
        </w:tc>
        <w:tc>
          <w:tcPr>
            <w:tcW w:w="1843" w:type="dxa"/>
          </w:tcPr>
          <w:p>
            <w:pPr>
              <w:pStyle w:val="TableParagraph"/>
              <w:spacing w:line="152" w:lineRule="exact" w:before="8"/>
              <w:ind w:right="425"/>
              <w:jc w:val="right"/>
              <w:rPr>
                <w:b/>
                <w:sz w:val="14"/>
              </w:rPr>
            </w:pPr>
            <w:r>
              <w:rPr>
                <w:b/>
                <w:sz w:val="14"/>
              </w:rPr>
              <w:t>124,829.0</w:t>
            </w:r>
          </w:p>
        </w:tc>
        <w:tc>
          <w:tcPr>
            <w:tcW w:w="1343" w:type="dxa"/>
          </w:tcPr>
          <w:p>
            <w:pPr>
              <w:pStyle w:val="TableParagraph"/>
              <w:spacing w:line="152" w:lineRule="exact" w:before="8"/>
              <w:ind w:right="363"/>
              <w:jc w:val="right"/>
              <w:rPr>
                <w:sz w:val="14"/>
              </w:rPr>
            </w:pPr>
            <w:r>
              <w:rPr>
                <w:sz w:val="14"/>
              </w:rPr>
              <w:t>6 . 0 %</w:t>
            </w:r>
          </w:p>
        </w:tc>
        <w:tc>
          <w:tcPr>
            <w:tcW w:w="1638" w:type="dxa"/>
          </w:tcPr>
          <w:p>
            <w:pPr>
              <w:pStyle w:val="TableParagraph"/>
              <w:spacing w:line="152" w:lineRule="exact" w:before="8"/>
              <w:ind w:right="434"/>
              <w:jc w:val="right"/>
              <w:rPr>
                <w:sz w:val="14"/>
              </w:rPr>
            </w:pPr>
            <w:r>
              <w:rPr>
                <w:sz w:val="14"/>
              </w:rPr>
              <w:t>145,368.6</w:t>
            </w:r>
          </w:p>
        </w:tc>
        <w:tc>
          <w:tcPr>
            <w:tcW w:w="1252" w:type="dxa"/>
          </w:tcPr>
          <w:p>
            <w:pPr>
              <w:pStyle w:val="TableParagraph"/>
              <w:spacing w:line="152" w:lineRule="exact" w:before="8"/>
              <w:ind w:right="248"/>
              <w:jc w:val="right"/>
              <w:rPr>
                <w:sz w:val="14"/>
              </w:rPr>
            </w:pPr>
            <w:r>
              <w:rPr>
                <w:sz w:val="14"/>
              </w:rPr>
              <w:t>7 . 0 %</w:t>
            </w:r>
          </w:p>
        </w:tc>
        <w:tc>
          <w:tcPr>
            <w:tcW w:w="1437" w:type="dxa"/>
          </w:tcPr>
          <w:p>
            <w:pPr>
              <w:pStyle w:val="TableParagraph"/>
              <w:spacing w:line="152" w:lineRule="exact" w:before="8"/>
              <w:ind w:right="349"/>
              <w:jc w:val="right"/>
              <w:rPr>
                <w:sz w:val="14"/>
              </w:rPr>
            </w:pPr>
            <w:r>
              <w:rPr>
                <w:sz w:val="14"/>
              </w:rPr>
              <w:t>174,442.3</w:t>
            </w:r>
          </w:p>
        </w:tc>
        <w:tc>
          <w:tcPr>
            <w:tcW w:w="949" w:type="dxa"/>
          </w:tcPr>
          <w:p>
            <w:pPr>
              <w:pStyle w:val="TableParagraph"/>
              <w:spacing w:line="152" w:lineRule="exact" w:before="8"/>
              <w:ind w:right="28"/>
              <w:jc w:val="right"/>
              <w:rPr>
                <w:sz w:val="14"/>
              </w:rPr>
            </w:pPr>
            <w:r>
              <w:rPr>
                <w:sz w:val="14"/>
              </w:rPr>
              <w:t>8 . 4 %</w:t>
            </w:r>
          </w:p>
        </w:tc>
      </w:tr>
      <w:tr>
        <w:trPr>
          <w:trHeight w:val="180" w:hRule="atLeast"/>
        </w:trPr>
        <w:tc>
          <w:tcPr>
            <w:tcW w:w="5418" w:type="dxa"/>
          </w:tcPr>
          <w:p>
            <w:pPr>
              <w:pStyle w:val="TableParagraph"/>
              <w:spacing w:line="154" w:lineRule="exact" w:before="5"/>
              <w:ind w:left="375"/>
              <w:rPr>
                <w:b/>
                <w:i/>
                <w:sz w:val="14"/>
              </w:rPr>
            </w:pPr>
            <w:r>
              <w:rPr>
                <w:b/>
                <w:i/>
                <w:sz w:val="14"/>
              </w:rPr>
              <w:t>Transfers to Other Agencies</w:t>
            </w:r>
          </w:p>
        </w:tc>
        <w:tc>
          <w:tcPr>
            <w:tcW w:w="1843" w:type="dxa"/>
          </w:tcPr>
          <w:p>
            <w:pPr>
              <w:pStyle w:val="TableParagraph"/>
              <w:spacing w:line="154" w:lineRule="exact" w:before="5"/>
              <w:ind w:right="425"/>
              <w:jc w:val="right"/>
              <w:rPr>
                <w:b/>
                <w:sz w:val="14"/>
              </w:rPr>
            </w:pPr>
            <w:r>
              <w:rPr>
                <w:b/>
                <w:sz w:val="14"/>
              </w:rPr>
              <w:t>330,753.1</w:t>
            </w:r>
          </w:p>
        </w:tc>
        <w:tc>
          <w:tcPr>
            <w:tcW w:w="1343" w:type="dxa"/>
          </w:tcPr>
          <w:p>
            <w:pPr>
              <w:pStyle w:val="TableParagraph"/>
              <w:spacing w:line="154" w:lineRule="exact" w:before="5"/>
              <w:ind w:right="367"/>
              <w:jc w:val="right"/>
              <w:rPr>
                <w:sz w:val="14"/>
              </w:rPr>
            </w:pPr>
            <w:r>
              <w:rPr>
                <w:sz w:val="14"/>
              </w:rPr>
              <w:t>1 5 . 9 %</w:t>
            </w:r>
          </w:p>
        </w:tc>
        <w:tc>
          <w:tcPr>
            <w:tcW w:w="1638" w:type="dxa"/>
          </w:tcPr>
          <w:p>
            <w:pPr>
              <w:pStyle w:val="TableParagraph"/>
              <w:spacing w:line="154" w:lineRule="exact" w:before="5"/>
              <w:ind w:right="434"/>
              <w:jc w:val="right"/>
              <w:rPr>
                <w:sz w:val="14"/>
              </w:rPr>
            </w:pPr>
            <w:r>
              <w:rPr>
                <w:sz w:val="14"/>
              </w:rPr>
              <w:t>284,653.0</w:t>
            </w:r>
          </w:p>
        </w:tc>
        <w:tc>
          <w:tcPr>
            <w:tcW w:w="1252" w:type="dxa"/>
          </w:tcPr>
          <w:p>
            <w:pPr>
              <w:pStyle w:val="TableParagraph"/>
              <w:spacing w:line="154" w:lineRule="exact" w:before="5"/>
              <w:ind w:right="253"/>
              <w:jc w:val="right"/>
              <w:rPr>
                <w:sz w:val="14"/>
              </w:rPr>
            </w:pPr>
            <w:r>
              <w:rPr>
                <w:sz w:val="14"/>
              </w:rPr>
              <w:t>1 3 . 7 %</w:t>
            </w:r>
          </w:p>
        </w:tc>
        <w:tc>
          <w:tcPr>
            <w:tcW w:w="1437" w:type="dxa"/>
          </w:tcPr>
          <w:p>
            <w:pPr>
              <w:pStyle w:val="TableParagraph"/>
              <w:spacing w:line="154" w:lineRule="exact" w:before="5"/>
              <w:ind w:right="349"/>
              <w:jc w:val="right"/>
              <w:rPr>
                <w:sz w:val="14"/>
              </w:rPr>
            </w:pPr>
            <w:r>
              <w:rPr>
                <w:sz w:val="14"/>
              </w:rPr>
              <w:t>341,583.6</w:t>
            </w:r>
          </w:p>
        </w:tc>
        <w:tc>
          <w:tcPr>
            <w:tcW w:w="949" w:type="dxa"/>
          </w:tcPr>
          <w:p>
            <w:pPr>
              <w:pStyle w:val="TableParagraph"/>
              <w:spacing w:line="154" w:lineRule="exact" w:before="5"/>
              <w:ind w:right="27"/>
              <w:jc w:val="right"/>
              <w:rPr>
                <w:sz w:val="14"/>
              </w:rPr>
            </w:pPr>
            <w:r>
              <w:rPr>
                <w:sz w:val="14"/>
              </w:rPr>
              <w:t>1 6 . 4 %</w:t>
            </w:r>
          </w:p>
        </w:tc>
      </w:tr>
      <w:tr>
        <w:trPr>
          <w:trHeight w:val="180" w:hRule="atLeast"/>
        </w:trPr>
        <w:tc>
          <w:tcPr>
            <w:tcW w:w="5418" w:type="dxa"/>
          </w:tcPr>
          <w:p>
            <w:pPr>
              <w:pStyle w:val="TableParagraph"/>
              <w:spacing w:line="152" w:lineRule="exact" w:before="8"/>
              <w:ind w:left="375"/>
              <w:rPr>
                <w:b/>
                <w:i/>
                <w:sz w:val="14"/>
              </w:rPr>
            </w:pPr>
            <w:r>
              <w:rPr>
                <w:b/>
                <w:i/>
                <w:sz w:val="14"/>
              </w:rPr>
              <w:t>Transfer to ECOWAS Fund</w:t>
            </w:r>
          </w:p>
        </w:tc>
        <w:tc>
          <w:tcPr>
            <w:tcW w:w="1843" w:type="dxa"/>
          </w:tcPr>
          <w:p>
            <w:pPr>
              <w:pStyle w:val="TableParagraph"/>
              <w:spacing w:line="152" w:lineRule="exact" w:before="8"/>
              <w:ind w:right="416"/>
              <w:jc w:val="right"/>
              <w:rPr>
                <w:b/>
                <w:sz w:val="14"/>
              </w:rPr>
            </w:pPr>
            <w:r>
              <w:rPr>
                <w:b/>
                <w:sz w:val="14"/>
              </w:rPr>
              <w:t>30,105.0</w:t>
            </w:r>
          </w:p>
        </w:tc>
        <w:tc>
          <w:tcPr>
            <w:tcW w:w="1343" w:type="dxa"/>
          </w:tcPr>
          <w:p>
            <w:pPr>
              <w:pStyle w:val="TableParagraph"/>
              <w:spacing w:line="152" w:lineRule="exact" w:before="8"/>
              <w:ind w:right="363"/>
              <w:jc w:val="right"/>
              <w:rPr>
                <w:sz w:val="14"/>
              </w:rPr>
            </w:pPr>
            <w:r>
              <w:rPr>
                <w:sz w:val="14"/>
              </w:rPr>
              <w:t>1 . 4 %</w:t>
            </w:r>
          </w:p>
        </w:tc>
        <w:tc>
          <w:tcPr>
            <w:tcW w:w="1638" w:type="dxa"/>
          </w:tcPr>
          <w:p>
            <w:pPr>
              <w:pStyle w:val="TableParagraph"/>
              <w:spacing w:line="152" w:lineRule="exact" w:before="8"/>
              <w:ind w:right="433"/>
              <w:jc w:val="right"/>
              <w:rPr>
                <w:sz w:val="14"/>
              </w:rPr>
            </w:pPr>
            <w:r>
              <w:rPr>
                <w:sz w:val="14"/>
              </w:rPr>
              <w:t>31,000.0</w:t>
            </w:r>
          </w:p>
        </w:tc>
        <w:tc>
          <w:tcPr>
            <w:tcW w:w="1252" w:type="dxa"/>
          </w:tcPr>
          <w:p>
            <w:pPr>
              <w:pStyle w:val="TableParagraph"/>
              <w:spacing w:line="152" w:lineRule="exact" w:before="8"/>
              <w:ind w:right="248"/>
              <w:jc w:val="right"/>
              <w:rPr>
                <w:sz w:val="14"/>
              </w:rPr>
            </w:pPr>
            <w:r>
              <w:rPr>
                <w:sz w:val="14"/>
              </w:rPr>
              <w:t>1 . 5 %</w:t>
            </w:r>
          </w:p>
        </w:tc>
        <w:tc>
          <w:tcPr>
            <w:tcW w:w="1437" w:type="dxa"/>
          </w:tcPr>
          <w:p>
            <w:pPr>
              <w:pStyle w:val="TableParagraph"/>
              <w:spacing w:line="152" w:lineRule="exact" w:before="8"/>
              <w:ind w:right="343"/>
              <w:jc w:val="right"/>
              <w:rPr>
                <w:sz w:val="14"/>
              </w:rPr>
            </w:pPr>
            <w:r>
              <w:rPr>
                <w:sz w:val="14"/>
              </w:rPr>
              <w:t>33,000.0</w:t>
            </w:r>
          </w:p>
        </w:tc>
        <w:tc>
          <w:tcPr>
            <w:tcW w:w="949" w:type="dxa"/>
          </w:tcPr>
          <w:p>
            <w:pPr>
              <w:pStyle w:val="TableParagraph"/>
              <w:spacing w:line="152" w:lineRule="exact" w:before="8"/>
              <w:ind w:right="28"/>
              <w:jc w:val="right"/>
              <w:rPr>
                <w:sz w:val="14"/>
              </w:rPr>
            </w:pPr>
            <w:r>
              <w:rPr>
                <w:sz w:val="14"/>
              </w:rPr>
              <w:t>1 . 6 %</w:t>
            </w:r>
          </w:p>
        </w:tc>
      </w:tr>
      <w:tr>
        <w:trPr>
          <w:trHeight w:val="180" w:hRule="atLeast"/>
        </w:trPr>
        <w:tc>
          <w:tcPr>
            <w:tcW w:w="5418" w:type="dxa"/>
          </w:tcPr>
          <w:p>
            <w:pPr>
              <w:pStyle w:val="TableParagraph"/>
              <w:spacing w:line="154" w:lineRule="exact" w:before="5"/>
              <w:ind w:left="374"/>
              <w:rPr>
                <w:b/>
                <w:i/>
                <w:sz w:val="14"/>
              </w:rPr>
            </w:pPr>
            <w:r>
              <w:rPr>
                <w:b/>
                <w:i/>
                <w:sz w:val="14"/>
              </w:rPr>
              <w:t>National Revenue Authority</w:t>
            </w:r>
          </w:p>
        </w:tc>
        <w:tc>
          <w:tcPr>
            <w:tcW w:w="1843" w:type="dxa"/>
          </w:tcPr>
          <w:p>
            <w:pPr>
              <w:pStyle w:val="TableParagraph"/>
              <w:spacing w:line="154" w:lineRule="exact" w:before="5"/>
              <w:ind w:right="425"/>
              <w:jc w:val="right"/>
              <w:rPr>
                <w:b/>
                <w:sz w:val="14"/>
              </w:rPr>
            </w:pPr>
            <w:r>
              <w:rPr>
                <w:b/>
                <w:sz w:val="14"/>
              </w:rPr>
              <w:t>193,860.8</w:t>
            </w:r>
          </w:p>
        </w:tc>
        <w:tc>
          <w:tcPr>
            <w:tcW w:w="1343" w:type="dxa"/>
          </w:tcPr>
          <w:p>
            <w:pPr>
              <w:pStyle w:val="TableParagraph"/>
              <w:spacing w:line="154" w:lineRule="exact" w:before="5"/>
              <w:ind w:right="363"/>
              <w:jc w:val="right"/>
              <w:rPr>
                <w:sz w:val="14"/>
              </w:rPr>
            </w:pPr>
            <w:r>
              <w:rPr>
                <w:sz w:val="14"/>
              </w:rPr>
              <w:t>9 . 3 %</w:t>
            </w:r>
          </w:p>
        </w:tc>
        <w:tc>
          <w:tcPr>
            <w:tcW w:w="1638" w:type="dxa"/>
          </w:tcPr>
          <w:p>
            <w:pPr>
              <w:pStyle w:val="TableParagraph"/>
              <w:spacing w:line="154" w:lineRule="exact" w:before="5"/>
              <w:ind w:right="434"/>
              <w:jc w:val="right"/>
              <w:rPr>
                <w:sz w:val="14"/>
              </w:rPr>
            </w:pPr>
            <w:r>
              <w:rPr>
                <w:sz w:val="14"/>
              </w:rPr>
              <w:t>228,082.2</w:t>
            </w:r>
          </w:p>
        </w:tc>
        <w:tc>
          <w:tcPr>
            <w:tcW w:w="1252" w:type="dxa"/>
          </w:tcPr>
          <w:p>
            <w:pPr>
              <w:pStyle w:val="TableParagraph"/>
              <w:spacing w:line="154" w:lineRule="exact" w:before="5"/>
              <w:ind w:right="253"/>
              <w:jc w:val="right"/>
              <w:rPr>
                <w:sz w:val="14"/>
              </w:rPr>
            </w:pPr>
            <w:r>
              <w:rPr>
                <w:sz w:val="14"/>
              </w:rPr>
              <w:t>1 1 . 0 %</w:t>
            </w:r>
          </w:p>
        </w:tc>
        <w:tc>
          <w:tcPr>
            <w:tcW w:w="1437" w:type="dxa"/>
          </w:tcPr>
          <w:p>
            <w:pPr>
              <w:pStyle w:val="TableParagraph"/>
              <w:spacing w:line="154" w:lineRule="exact" w:before="5"/>
              <w:ind w:right="349"/>
              <w:jc w:val="right"/>
              <w:rPr>
                <w:sz w:val="14"/>
              </w:rPr>
            </w:pPr>
            <w:r>
              <w:rPr>
                <w:sz w:val="14"/>
              </w:rPr>
              <w:t>270,169.8</w:t>
            </w:r>
          </w:p>
        </w:tc>
        <w:tc>
          <w:tcPr>
            <w:tcW w:w="949" w:type="dxa"/>
          </w:tcPr>
          <w:p>
            <w:pPr>
              <w:pStyle w:val="TableParagraph"/>
              <w:spacing w:line="154" w:lineRule="exact" w:before="5"/>
              <w:ind w:right="27"/>
              <w:jc w:val="right"/>
              <w:rPr>
                <w:sz w:val="14"/>
              </w:rPr>
            </w:pPr>
            <w:r>
              <w:rPr>
                <w:sz w:val="14"/>
              </w:rPr>
              <w:t>1 3 . 0 %</w:t>
            </w:r>
          </w:p>
        </w:tc>
      </w:tr>
      <w:tr>
        <w:trPr>
          <w:trHeight w:val="180" w:hRule="atLeast"/>
        </w:trPr>
        <w:tc>
          <w:tcPr>
            <w:tcW w:w="5418" w:type="dxa"/>
          </w:tcPr>
          <w:p>
            <w:pPr>
              <w:pStyle w:val="TableParagraph"/>
              <w:spacing w:line="152" w:lineRule="exact" w:before="8"/>
              <w:ind w:left="375"/>
              <w:rPr>
                <w:b/>
                <w:i/>
                <w:sz w:val="14"/>
              </w:rPr>
            </w:pPr>
            <w:r>
              <w:rPr>
                <w:b/>
                <w:i/>
                <w:sz w:val="14"/>
              </w:rPr>
              <w:t>Energy Subsidies(Incl. Fuel)</w:t>
            </w:r>
          </w:p>
        </w:tc>
        <w:tc>
          <w:tcPr>
            <w:tcW w:w="1843" w:type="dxa"/>
          </w:tcPr>
          <w:p>
            <w:pPr>
              <w:pStyle w:val="TableParagraph"/>
              <w:spacing w:line="152" w:lineRule="exact" w:before="8"/>
              <w:ind w:right="429"/>
              <w:jc w:val="right"/>
              <w:rPr>
                <w:b/>
                <w:sz w:val="14"/>
              </w:rPr>
            </w:pPr>
            <w:r>
              <w:rPr>
                <w:b/>
                <w:sz w:val="14"/>
              </w:rPr>
              <w:t>124,152.9</w:t>
            </w:r>
          </w:p>
        </w:tc>
        <w:tc>
          <w:tcPr>
            <w:tcW w:w="1343" w:type="dxa"/>
          </w:tcPr>
          <w:p>
            <w:pPr>
              <w:pStyle w:val="TableParagraph"/>
              <w:spacing w:line="152" w:lineRule="exact" w:before="8"/>
              <w:ind w:right="363"/>
              <w:jc w:val="right"/>
              <w:rPr>
                <w:sz w:val="14"/>
              </w:rPr>
            </w:pPr>
            <w:r>
              <w:rPr>
                <w:sz w:val="14"/>
              </w:rPr>
              <w:t>6 . 0 %</w:t>
            </w:r>
          </w:p>
        </w:tc>
        <w:tc>
          <w:tcPr>
            <w:tcW w:w="1638" w:type="dxa"/>
          </w:tcPr>
          <w:p>
            <w:pPr>
              <w:pStyle w:val="TableParagraph"/>
              <w:spacing w:line="152" w:lineRule="exact" w:before="8"/>
              <w:ind w:right="440"/>
              <w:jc w:val="right"/>
              <w:rPr>
                <w:sz w:val="14"/>
              </w:rPr>
            </w:pPr>
            <w:r>
              <w:rPr>
                <w:sz w:val="14"/>
              </w:rPr>
              <w:t>179,236.9</w:t>
            </w:r>
          </w:p>
        </w:tc>
        <w:tc>
          <w:tcPr>
            <w:tcW w:w="1252" w:type="dxa"/>
          </w:tcPr>
          <w:p>
            <w:pPr>
              <w:pStyle w:val="TableParagraph"/>
              <w:spacing w:line="152" w:lineRule="exact" w:before="8"/>
              <w:ind w:right="248"/>
              <w:jc w:val="right"/>
              <w:rPr>
                <w:sz w:val="14"/>
              </w:rPr>
            </w:pPr>
            <w:r>
              <w:rPr>
                <w:sz w:val="14"/>
              </w:rPr>
              <w:t>8 . 6 %</w:t>
            </w:r>
          </w:p>
        </w:tc>
        <w:tc>
          <w:tcPr>
            <w:tcW w:w="1437" w:type="dxa"/>
          </w:tcPr>
          <w:p>
            <w:pPr>
              <w:pStyle w:val="TableParagraph"/>
              <w:spacing w:line="152" w:lineRule="exact" w:before="8"/>
              <w:ind w:right="350"/>
              <w:jc w:val="right"/>
              <w:rPr>
                <w:sz w:val="14"/>
              </w:rPr>
            </w:pPr>
            <w:r>
              <w:rPr>
                <w:sz w:val="14"/>
              </w:rPr>
              <w:t>106,211.2</w:t>
            </w:r>
          </w:p>
        </w:tc>
        <w:tc>
          <w:tcPr>
            <w:tcW w:w="949" w:type="dxa"/>
          </w:tcPr>
          <w:p>
            <w:pPr>
              <w:pStyle w:val="TableParagraph"/>
              <w:spacing w:line="152" w:lineRule="exact" w:before="8"/>
              <w:ind w:right="28"/>
              <w:jc w:val="right"/>
              <w:rPr>
                <w:sz w:val="14"/>
              </w:rPr>
            </w:pPr>
            <w:r>
              <w:rPr>
                <w:sz w:val="14"/>
              </w:rPr>
              <w:t>5 . 1 %</w:t>
            </w:r>
          </w:p>
        </w:tc>
      </w:tr>
      <w:tr>
        <w:trPr>
          <w:trHeight w:val="180" w:hRule="atLeast"/>
        </w:trPr>
        <w:tc>
          <w:tcPr>
            <w:tcW w:w="5418" w:type="dxa"/>
          </w:tcPr>
          <w:p>
            <w:pPr>
              <w:pStyle w:val="TableParagraph"/>
              <w:spacing w:line="154" w:lineRule="exact" w:before="5"/>
              <w:ind w:left="542"/>
              <w:rPr>
                <w:i/>
                <w:sz w:val="14"/>
              </w:rPr>
            </w:pPr>
            <w:r>
              <w:rPr>
                <w:i/>
                <w:sz w:val="14"/>
              </w:rPr>
              <w:t>Energy Subsidies for IPPs</w:t>
            </w:r>
          </w:p>
        </w:tc>
        <w:tc>
          <w:tcPr>
            <w:tcW w:w="1843" w:type="dxa"/>
          </w:tcPr>
          <w:p>
            <w:pPr>
              <w:pStyle w:val="TableParagraph"/>
              <w:spacing w:line="154" w:lineRule="exact" w:before="5"/>
              <w:ind w:right="429"/>
              <w:jc w:val="right"/>
              <w:rPr>
                <w:b/>
                <w:sz w:val="14"/>
              </w:rPr>
            </w:pPr>
            <w:r>
              <w:rPr>
                <w:b/>
                <w:sz w:val="14"/>
              </w:rPr>
              <w:t>102,735.0</w:t>
            </w:r>
          </w:p>
        </w:tc>
        <w:tc>
          <w:tcPr>
            <w:tcW w:w="1343" w:type="dxa"/>
          </w:tcPr>
          <w:p>
            <w:pPr>
              <w:pStyle w:val="TableParagraph"/>
              <w:spacing w:line="154" w:lineRule="exact" w:before="5"/>
              <w:ind w:right="363"/>
              <w:jc w:val="right"/>
              <w:rPr>
                <w:sz w:val="14"/>
              </w:rPr>
            </w:pPr>
            <w:r>
              <w:rPr>
                <w:sz w:val="14"/>
              </w:rPr>
              <w:t>4 . 9 %</w:t>
            </w:r>
          </w:p>
        </w:tc>
        <w:tc>
          <w:tcPr>
            <w:tcW w:w="1638" w:type="dxa"/>
          </w:tcPr>
          <w:p>
            <w:pPr>
              <w:pStyle w:val="TableParagraph"/>
              <w:spacing w:line="154" w:lineRule="exact" w:before="5"/>
              <w:ind w:right="440"/>
              <w:jc w:val="right"/>
              <w:rPr>
                <w:sz w:val="14"/>
              </w:rPr>
            </w:pPr>
            <w:r>
              <w:rPr>
                <w:sz w:val="14"/>
              </w:rPr>
              <w:t>156,748.1</w:t>
            </w:r>
          </w:p>
        </w:tc>
        <w:tc>
          <w:tcPr>
            <w:tcW w:w="1252" w:type="dxa"/>
          </w:tcPr>
          <w:p>
            <w:pPr>
              <w:pStyle w:val="TableParagraph"/>
              <w:spacing w:line="154" w:lineRule="exact" w:before="5"/>
              <w:ind w:right="248"/>
              <w:jc w:val="right"/>
              <w:rPr>
                <w:sz w:val="14"/>
              </w:rPr>
            </w:pPr>
            <w:r>
              <w:rPr>
                <w:sz w:val="14"/>
              </w:rPr>
              <w:t>7 . 5 %</w:t>
            </w:r>
          </w:p>
        </w:tc>
        <w:tc>
          <w:tcPr>
            <w:tcW w:w="1437" w:type="dxa"/>
          </w:tcPr>
          <w:p>
            <w:pPr>
              <w:pStyle w:val="TableParagraph"/>
              <w:spacing w:line="154" w:lineRule="exact" w:before="5"/>
              <w:ind w:right="346"/>
              <w:jc w:val="right"/>
              <w:rPr>
                <w:sz w:val="14"/>
              </w:rPr>
            </w:pPr>
            <w:r>
              <w:rPr>
                <w:sz w:val="14"/>
              </w:rPr>
              <w:t>79,224.7</w:t>
            </w:r>
          </w:p>
        </w:tc>
        <w:tc>
          <w:tcPr>
            <w:tcW w:w="949" w:type="dxa"/>
          </w:tcPr>
          <w:p>
            <w:pPr>
              <w:pStyle w:val="TableParagraph"/>
              <w:spacing w:line="154" w:lineRule="exact" w:before="5"/>
              <w:ind w:right="28"/>
              <w:jc w:val="right"/>
              <w:rPr>
                <w:sz w:val="14"/>
              </w:rPr>
            </w:pPr>
            <w:r>
              <w:rPr>
                <w:sz w:val="14"/>
              </w:rPr>
              <w:t>3 . 8 %</w:t>
            </w:r>
          </w:p>
        </w:tc>
      </w:tr>
      <w:tr>
        <w:trPr>
          <w:trHeight w:val="180" w:hRule="atLeast"/>
        </w:trPr>
        <w:tc>
          <w:tcPr>
            <w:tcW w:w="5418" w:type="dxa"/>
          </w:tcPr>
          <w:p>
            <w:pPr>
              <w:pStyle w:val="TableParagraph"/>
              <w:spacing w:line="152" w:lineRule="exact" w:before="8"/>
              <w:ind w:left="542"/>
              <w:rPr>
                <w:i/>
                <w:sz w:val="14"/>
              </w:rPr>
            </w:pPr>
            <w:r>
              <w:rPr>
                <w:i/>
                <w:sz w:val="14"/>
              </w:rPr>
              <w:t>Other SOEs Loans and Structural Interventions</w:t>
            </w:r>
          </w:p>
        </w:tc>
        <w:tc>
          <w:tcPr>
            <w:tcW w:w="1843" w:type="dxa"/>
          </w:tcPr>
          <w:p>
            <w:pPr>
              <w:pStyle w:val="TableParagraph"/>
              <w:spacing w:line="152" w:lineRule="exact" w:before="8"/>
              <w:ind w:right="422"/>
              <w:jc w:val="right"/>
              <w:rPr>
                <w:b/>
                <w:sz w:val="14"/>
              </w:rPr>
            </w:pPr>
            <w:r>
              <w:rPr>
                <w:b/>
                <w:sz w:val="14"/>
              </w:rPr>
              <w:t>21,417.9</w:t>
            </w:r>
          </w:p>
        </w:tc>
        <w:tc>
          <w:tcPr>
            <w:tcW w:w="1343" w:type="dxa"/>
          </w:tcPr>
          <w:p>
            <w:pPr>
              <w:pStyle w:val="TableParagraph"/>
              <w:spacing w:line="152" w:lineRule="exact" w:before="8"/>
              <w:ind w:right="363"/>
              <w:jc w:val="right"/>
              <w:rPr>
                <w:sz w:val="14"/>
              </w:rPr>
            </w:pPr>
            <w:r>
              <w:rPr>
                <w:sz w:val="14"/>
              </w:rPr>
              <w:t>1 . 0 %</w:t>
            </w:r>
          </w:p>
        </w:tc>
        <w:tc>
          <w:tcPr>
            <w:tcW w:w="1638" w:type="dxa"/>
          </w:tcPr>
          <w:p>
            <w:pPr>
              <w:pStyle w:val="TableParagraph"/>
              <w:spacing w:line="152" w:lineRule="exact" w:before="8"/>
              <w:ind w:right="436"/>
              <w:jc w:val="right"/>
              <w:rPr>
                <w:sz w:val="14"/>
              </w:rPr>
            </w:pPr>
            <w:r>
              <w:rPr>
                <w:sz w:val="14"/>
              </w:rPr>
              <w:t>22,488.8</w:t>
            </w:r>
          </w:p>
        </w:tc>
        <w:tc>
          <w:tcPr>
            <w:tcW w:w="1252" w:type="dxa"/>
          </w:tcPr>
          <w:p>
            <w:pPr>
              <w:pStyle w:val="TableParagraph"/>
              <w:spacing w:line="152" w:lineRule="exact" w:before="8"/>
              <w:ind w:right="248"/>
              <w:jc w:val="right"/>
              <w:rPr>
                <w:sz w:val="14"/>
              </w:rPr>
            </w:pPr>
            <w:r>
              <w:rPr>
                <w:sz w:val="14"/>
              </w:rPr>
              <w:t>1 . 1 %</w:t>
            </w:r>
          </w:p>
        </w:tc>
        <w:tc>
          <w:tcPr>
            <w:tcW w:w="1437" w:type="dxa"/>
          </w:tcPr>
          <w:p>
            <w:pPr>
              <w:pStyle w:val="TableParagraph"/>
              <w:spacing w:line="152" w:lineRule="exact" w:before="8"/>
              <w:ind w:right="346"/>
              <w:jc w:val="right"/>
              <w:rPr>
                <w:sz w:val="14"/>
              </w:rPr>
            </w:pPr>
            <w:r>
              <w:rPr>
                <w:sz w:val="14"/>
              </w:rPr>
              <w:t>26,986.5</w:t>
            </w:r>
          </w:p>
        </w:tc>
        <w:tc>
          <w:tcPr>
            <w:tcW w:w="949" w:type="dxa"/>
          </w:tcPr>
          <w:p>
            <w:pPr>
              <w:pStyle w:val="TableParagraph"/>
              <w:spacing w:line="152" w:lineRule="exact" w:before="8"/>
              <w:ind w:right="28"/>
              <w:jc w:val="right"/>
              <w:rPr>
                <w:sz w:val="14"/>
              </w:rPr>
            </w:pPr>
            <w:r>
              <w:rPr>
                <w:sz w:val="14"/>
              </w:rPr>
              <w:t>1 . 3 %</w:t>
            </w:r>
          </w:p>
        </w:tc>
      </w:tr>
      <w:tr>
        <w:trPr>
          <w:trHeight w:val="180" w:hRule="atLeast"/>
        </w:trPr>
        <w:tc>
          <w:tcPr>
            <w:tcW w:w="5418" w:type="dxa"/>
          </w:tcPr>
          <w:p>
            <w:pPr>
              <w:pStyle w:val="TableParagraph"/>
              <w:spacing w:line="154" w:lineRule="exact" w:before="5"/>
              <w:ind w:left="375"/>
              <w:rPr>
                <w:b/>
                <w:sz w:val="14"/>
              </w:rPr>
            </w:pPr>
            <w:r>
              <w:rPr>
                <w:b/>
                <w:sz w:val="14"/>
              </w:rPr>
              <w:t>Elections and Democratisation - National Electoral Commission</w:t>
            </w:r>
          </w:p>
        </w:tc>
        <w:tc>
          <w:tcPr>
            <w:tcW w:w="1843" w:type="dxa"/>
          </w:tcPr>
          <w:p>
            <w:pPr>
              <w:pStyle w:val="TableParagraph"/>
              <w:spacing w:line="154" w:lineRule="exact" w:before="5"/>
              <w:ind w:right="422"/>
              <w:jc w:val="right"/>
              <w:rPr>
                <w:b/>
                <w:sz w:val="14"/>
              </w:rPr>
            </w:pPr>
            <w:r>
              <w:rPr>
                <w:b/>
                <w:sz w:val="14"/>
              </w:rPr>
              <w:t>18,900.0</w:t>
            </w:r>
          </w:p>
        </w:tc>
        <w:tc>
          <w:tcPr>
            <w:tcW w:w="1343" w:type="dxa"/>
          </w:tcPr>
          <w:p>
            <w:pPr>
              <w:pStyle w:val="TableParagraph"/>
              <w:spacing w:line="154" w:lineRule="exact" w:before="5"/>
              <w:ind w:right="363"/>
              <w:jc w:val="right"/>
              <w:rPr>
                <w:sz w:val="14"/>
              </w:rPr>
            </w:pPr>
            <w:r>
              <w:rPr>
                <w:sz w:val="14"/>
              </w:rPr>
              <w:t>0 . 9 %</w:t>
            </w:r>
          </w:p>
        </w:tc>
        <w:tc>
          <w:tcPr>
            <w:tcW w:w="1638" w:type="dxa"/>
          </w:tcPr>
          <w:p>
            <w:pPr>
              <w:pStyle w:val="TableParagraph"/>
              <w:spacing w:line="154" w:lineRule="exact" w:before="5"/>
              <w:ind w:right="436"/>
              <w:jc w:val="right"/>
              <w:rPr>
                <w:sz w:val="14"/>
              </w:rPr>
            </w:pPr>
            <w:r>
              <w:rPr>
                <w:sz w:val="14"/>
              </w:rPr>
              <w:t>86,867.0</w:t>
            </w:r>
          </w:p>
        </w:tc>
        <w:tc>
          <w:tcPr>
            <w:tcW w:w="1252" w:type="dxa"/>
          </w:tcPr>
          <w:p>
            <w:pPr>
              <w:pStyle w:val="TableParagraph"/>
              <w:spacing w:line="154" w:lineRule="exact" w:before="5"/>
              <w:ind w:right="248"/>
              <w:jc w:val="right"/>
              <w:rPr>
                <w:sz w:val="14"/>
              </w:rPr>
            </w:pPr>
            <w:r>
              <w:rPr>
                <w:sz w:val="14"/>
              </w:rPr>
              <w:t>4 . 2 %</w:t>
            </w:r>
          </w:p>
        </w:tc>
        <w:tc>
          <w:tcPr>
            <w:tcW w:w="1437" w:type="dxa"/>
          </w:tcPr>
          <w:p>
            <w:pPr>
              <w:pStyle w:val="TableParagraph"/>
              <w:spacing w:line="154" w:lineRule="exact" w:before="5"/>
              <w:ind w:right="350"/>
              <w:jc w:val="right"/>
              <w:rPr>
                <w:sz w:val="14"/>
              </w:rPr>
            </w:pPr>
            <w:r>
              <w:rPr>
                <w:sz w:val="14"/>
              </w:rPr>
              <w:t>203,369.0</w:t>
            </w:r>
          </w:p>
        </w:tc>
        <w:tc>
          <w:tcPr>
            <w:tcW w:w="949" w:type="dxa"/>
          </w:tcPr>
          <w:p>
            <w:pPr>
              <w:pStyle w:val="TableParagraph"/>
              <w:spacing w:line="154" w:lineRule="exact" w:before="5"/>
              <w:ind w:right="28"/>
              <w:jc w:val="right"/>
              <w:rPr>
                <w:sz w:val="14"/>
              </w:rPr>
            </w:pPr>
            <w:r>
              <w:rPr>
                <w:sz w:val="14"/>
              </w:rPr>
              <w:t>9 . 8 %</w:t>
            </w:r>
          </w:p>
        </w:tc>
      </w:tr>
      <w:tr>
        <w:trPr>
          <w:trHeight w:val="203" w:hRule="atLeast"/>
        </w:trPr>
        <w:tc>
          <w:tcPr>
            <w:tcW w:w="5418" w:type="dxa"/>
          </w:tcPr>
          <w:p>
            <w:pPr>
              <w:pStyle w:val="TableParagraph"/>
              <w:spacing w:before="8"/>
              <w:ind w:left="201"/>
              <w:rPr>
                <w:b/>
                <w:sz w:val="14"/>
              </w:rPr>
            </w:pPr>
            <w:r>
              <w:rPr>
                <w:b/>
                <w:sz w:val="14"/>
              </w:rPr>
              <w:t>Contingency Expenditure</w:t>
            </w:r>
          </w:p>
        </w:tc>
        <w:tc>
          <w:tcPr>
            <w:tcW w:w="1843" w:type="dxa"/>
          </w:tcPr>
          <w:p>
            <w:pPr>
              <w:pStyle w:val="TableParagraph"/>
              <w:spacing w:before="8"/>
              <w:ind w:right="407"/>
              <w:jc w:val="right"/>
              <w:rPr>
                <w:b/>
                <w:sz w:val="14"/>
              </w:rPr>
            </w:pPr>
            <w:r>
              <w:rPr>
                <w:b/>
                <w:w w:val="95"/>
                <w:sz w:val="14"/>
              </w:rPr>
              <w:t>3,759.7</w:t>
            </w:r>
          </w:p>
        </w:tc>
        <w:tc>
          <w:tcPr>
            <w:tcW w:w="1343" w:type="dxa"/>
          </w:tcPr>
          <w:p>
            <w:pPr>
              <w:pStyle w:val="TableParagraph"/>
              <w:spacing w:before="8"/>
              <w:ind w:right="363"/>
              <w:jc w:val="right"/>
              <w:rPr>
                <w:sz w:val="14"/>
              </w:rPr>
            </w:pPr>
            <w:r>
              <w:rPr>
                <w:sz w:val="14"/>
              </w:rPr>
              <w:t>0 . 2 %</w:t>
            </w:r>
          </w:p>
        </w:tc>
        <w:tc>
          <w:tcPr>
            <w:tcW w:w="1638" w:type="dxa"/>
          </w:tcPr>
          <w:p>
            <w:pPr>
              <w:pStyle w:val="TableParagraph"/>
              <w:spacing w:before="8"/>
              <w:ind w:right="433"/>
              <w:jc w:val="right"/>
              <w:rPr>
                <w:sz w:val="14"/>
              </w:rPr>
            </w:pPr>
            <w:r>
              <w:rPr>
                <w:sz w:val="14"/>
              </w:rPr>
              <w:t>90,012.0</w:t>
            </w:r>
          </w:p>
        </w:tc>
        <w:tc>
          <w:tcPr>
            <w:tcW w:w="1252" w:type="dxa"/>
          </w:tcPr>
          <w:p>
            <w:pPr>
              <w:pStyle w:val="TableParagraph"/>
              <w:spacing w:before="8"/>
              <w:ind w:right="248"/>
              <w:jc w:val="right"/>
              <w:rPr>
                <w:sz w:val="14"/>
              </w:rPr>
            </w:pPr>
            <w:r>
              <w:rPr>
                <w:sz w:val="14"/>
              </w:rPr>
              <w:t>4 . 3 %</w:t>
            </w:r>
          </w:p>
        </w:tc>
        <w:tc>
          <w:tcPr>
            <w:tcW w:w="1437" w:type="dxa"/>
          </w:tcPr>
          <w:p>
            <w:pPr>
              <w:pStyle w:val="TableParagraph"/>
              <w:spacing w:before="8"/>
              <w:ind w:right="343"/>
              <w:jc w:val="right"/>
              <w:rPr>
                <w:sz w:val="14"/>
              </w:rPr>
            </w:pPr>
            <w:r>
              <w:rPr>
                <w:sz w:val="14"/>
              </w:rPr>
              <w:t>90,000.0</w:t>
            </w:r>
          </w:p>
        </w:tc>
        <w:tc>
          <w:tcPr>
            <w:tcW w:w="949" w:type="dxa"/>
          </w:tcPr>
          <w:p>
            <w:pPr>
              <w:pStyle w:val="TableParagraph"/>
              <w:spacing w:before="8"/>
              <w:ind w:right="28"/>
              <w:jc w:val="right"/>
              <w:rPr>
                <w:sz w:val="14"/>
              </w:rPr>
            </w:pPr>
            <w:r>
              <w:rPr>
                <w:sz w:val="14"/>
              </w:rPr>
              <w:t>4 . 3 %</w:t>
            </w:r>
          </w:p>
        </w:tc>
      </w:tr>
    </w:tbl>
    <w:p>
      <w:pPr>
        <w:spacing w:after="0"/>
        <w:jc w:val="right"/>
        <w:rPr>
          <w:sz w:val="14"/>
        </w:rPr>
        <w:sectPr>
          <w:pgSz w:w="16840" w:h="11900" w:orient="landscape"/>
          <w:pgMar w:header="1064" w:footer="0" w:top="2700" w:bottom="280" w:left="880" w:right="920"/>
        </w:sectPr>
      </w:pPr>
    </w:p>
    <w:p>
      <w:pPr>
        <w:pStyle w:val="BodyText"/>
        <w:rPr>
          <w:rFonts w:ascii="Times New Roman"/>
          <w:sz w:val="6"/>
        </w:rPr>
      </w:pPr>
      <w:r>
        <w:rPr/>
        <w:pict>
          <v:shape style="position:absolute;margin-left:27.140491pt;margin-top:286.350006pt;width:14.35pt;height:18.95pt;mso-position-horizontal-relative:page;mso-position-vertical-relative:page;z-index:1456" type="#_x0000_t202" filled="false" stroked="false">
            <v:textbox inset="0,0,0,0" style="layout-flow:vertical">
              <w:txbxContent>
                <w:p>
                  <w:pPr>
                    <w:spacing w:before="13"/>
                    <w:ind w:left="20" w:right="0" w:firstLine="0"/>
                    <w:jc w:val="left"/>
                    <w:rPr>
                      <w:rFonts w:ascii="Arial"/>
                      <w:sz w:val="22"/>
                    </w:rPr>
                  </w:pPr>
                  <w:r>
                    <w:rPr>
                      <w:rFonts w:ascii="Arial"/>
                      <w:sz w:val="22"/>
                    </w:rPr>
                    <w:t>xvii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772"/>
        <w:gridCol w:w="1849"/>
        <w:gridCol w:w="1366"/>
        <w:gridCol w:w="1503"/>
        <w:gridCol w:w="1480"/>
        <w:gridCol w:w="1184"/>
        <w:gridCol w:w="1167"/>
      </w:tblGrid>
      <w:tr>
        <w:trPr>
          <w:trHeight w:val="567" w:hRule="atLeast"/>
        </w:trPr>
        <w:tc>
          <w:tcPr>
            <w:tcW w:w="8092" w:type="dxa"/>
            <w:gridSpan w:val="3"/>
            <w:tcBorders>
              <w:bottom w:val="single" w:sz="18" w:space="0" w:color="000000"/>
            </w:tcBorders>
          </w:tcPr>
          <w:p>
            <w:pPr>
              <w:pStyle w:val="TableParagraph"/>
              <w:spacing w:before="29"/>
              <w:ind w:right="594"/>
              <w:jc w:val="right"/>
              <w:rPr>
                <w:b/>
                <w:sz w:val="14"/>
              </w:rPr>
            </w:pPr>
            <w:r>
              <w:rPr>
                <w:b/>
                <w:spacing w:val="2"/>
                <w:sz w:val="14"/>
              </w:rPr>
              <w:t>FY</w:t>
            </w:r>
            <w:r>
              <w:rPr>
                <w:b/>
                <w:spacing w:val="6"/>
                <w:sz w:val="14"/>
              </w:rPr>
              <w:t> </w:t>
            </w:r>
            <w:r>
              <w:rPr>
                <w:b/>
                <w:spacing w:val="4"/>
                <w:sz w:val="14"/>
              </w:rPr>
              <w:t>2020</w:t>
            </w:r>
          </w:p>
          <w:p>
            <w:pPr>
              <w:pStyle w:val="TableParagraph"/>
              <w:spacing w:before="17"/>
              <w:ind w:right="585"/>
              <w:jc w:val="right"/>
              <w:rPr>
                <w:sz w:val="14"/>
              </w:rPr>
            </w:pPr>
            <w:r>
              <w:rPr>
                <w:sz w:val="14"/>
              </w:rPr>
              <w:t>Budget</w:t>
            </w:r>
          </w:p>
        </w:tc>
        <w:tc>
          <w:tcPr>
            <w:tcW w:w="1366" w:type="dxa"/>
            <w:tcBorders>
              <w:bottom w:val="single" w:sz="18" w:space="0" w:color="000000"/>
            </w:tcBorders>
          </w:tcPr>
          <w:p>
            <w:pPr>
              <w:pStyle w:val="TableParagraph"/>
              <w:spacing w:line="264" w:lineRule="auto" w:before="29"/>
              <w:ind w:left="197" w:right="210" w:firstLine="91"/>
              <w:rPr>
                <w:sz w:val="14"/>
              </w:rPr>
            </w:pPr>
            <w:r>
              <w:rPr>
                <w:sz w:val="14"/>
              </w:rPr>
              <w:t>% of Total Non Int/ Sal</w:t>
            </w:r>
          </w:p>
        </w:tc>
        <w:tc>
          <w:tcPr>
            <w:tcW w:w="1503" w:type="dxa"/>
            <w:tcBorders>
              <w:bottom w:val="single" w:sz="18" w:space="0" w:color="000000"/>
            </w:tcBorders>
          </w:tcPr>
          <w:p>
            <w:pPr>
              <w:pStyle w:val="TableParagraph"/>
              <w:spacing w:before="29"/>
              <w:ind w:left="541"/>
              <w:rPr>
                <w:b/>
                <w:sz w:val="14"/>
              </w:rPr>
            </w:pPr>
            <w:r>
              <w:rPr>
                <w:b/>
                <w:spacing w:val="2"/>
                <w:sz w:val="14"/>
              </w:rPr>
              <w:t>FY</w:t>
            </w:r>
            <w:r>
              <w:rPr>
                <w:b/>
                <w:spacing w:val="6"/>
                <w:sz w:val="14"/>
              </w:rPr>
              <w:t> </w:t>
            </w:r>
            <w:r>
              <w:rPr>
                <w:b/>
                <w:spacing w:val="4"/>
                <w:sz w:val="14"/>
              </w:rPr>
              <w:t>2021</w:t>
            </w:r>
          </w:p>
          <w:p>
            <w:pPr>
              <w:pStyle w:val="TableParagraph"/>
              <w:spacing w:before="17"/>
              <w:ind w:left="483"/>
              <w:rPr>
                <w:sz w:val="14"/>
              </w:rPr>
            </w:pPr>
            <w:r>
              <w:rPr>
                <w:spacing w:val="3"/>
                <w:sz w:val="14"/>
              </w:rPr>
              <w:t>Indicative</w:t>
            </w:r>
          </w:p>
        </w:tc>
        <w:tc>
          <w:tcPr>
            <w:tcW w:w="1480" w:type="dxa"/>
            <w:tcBorders>
              <w:bottom w:val="single" w:sz="18" w:space="0" w:color="000000"/>
            </w:tcBorders>
          </w:tcPr>
          <w:p>
            <w:pPr>
              <w:pStyle w:val="TableParagraph"/>
              <w:spacing w:line="249" w:lineRule="auto" w:before="29"/>
              <w:ind w:left="391" w:right="332" w:firstLine="86"/>
              <w:jc w:val="both"/>
              <w:rPr>
                <w:sz w:val="14"/>
              </w:rPr>
            </w:pPr>
            <w:r>
              <w:rPr>
                <w:sz w:val="14"/>
              </w:rPr>
              <w:t>% of Total Non Int/ Sal Recurr Exp</w:t>
            </w:r>
          </w:p>
        </w:tc>
        <w:tc>
          <w:tcPr>
            <w:tcW w:w="1184" w:type="dxa"/>
            <w:tcBorders>
              <w:bottom w:val="single" w:sz="18" w:space="0" w:color="000000"/>
            </w:tcBorders>
          </w:tcPr>
          <w:p>
            <w:pPr>
              <w:pStyle w:val="TableParagraph"/>
              <w:spacing w:before="29"/>
              <w:ind w:left="337"/>
              <w:rPr>
                <w:b/>
                <w:sz w:val="14"/>
              </w:rPr>
            </w:pPr>
            <w:r>
              <w:rPr>
                <w:b/>
                <w:sz w:val="14"/>
              </w:rPr>
              <w:t>FY 2022</w:t>
            </w:r>
          </w:p>
        </w:tc>
        <w:tc>
          <w:tcPr>
            <w:tcW w:w="1167" w:type="dxa"/>
            <w:tcBorders>
              <w:bottom w:val="single" w:sz="18" w:space="0" w:color="000000"/>
            </w:tcBorders>
          </w:tcPr>
          <w:p>
            <w:pPr>
              <w:pStyle w:val="TableParagraph"/>
              <w:spacing w:line="249" w:lineRule="auto" w:before="29"/>
              <w:ind w:left="107" w:right="302" w:firstLine="86"/>
              <w:jc w:val="both"/>
              <w:rPr>
                <w:sz w:val="14"/>
              </w:rPr>
            </w:pPr>
            <w:r>
              <w:rPr>
                <w:sz w:val="14"/>
              </w:rPr>
              <w:t>% of Total Non Int/ Sal Recurr Exp</w:t>
            </w:r>
          </w:p>
        </w:tc>
      </w:tr>
      <w:tr>
        <w:trPr>
          <w:trHeight w:val="392" w:hRule="atLeast"/>
        </w:trPr>
        <w:tc>
          <w:tcPr>
            <w:tcW w:w="8092" w:type="dxa"/>
            <w:gridSpan w:val="3"/>
            <w:tcBorders>
              <w:top w:val="single" w:sz="18" w:space="0" w:color="000000"/>
            </w:tcBorders>
          </w:tcPr>
          <w:p>
            <w:pPr>
              <w:pStyle w:val="TableParagraph"/>
              <w:tabs>
                <w:tab w:pos="7229" w:val="left" w:leader="none"/>
              </w:tabs>
              <w:spacing w:before="88"/>
              <w:rPr>
                <w:b/>
                <w:sz w:val="14"/>
              </w:rPr>
            </w:pPr>
            <w:r>
              <w:rPr>
                <w:b/>
                <w:spacing w:val="2"/>
                <w:sz w:val="14"/>
              </w:rPr>
              <w:t>CLUSTER </w:t>
            </w:r>
            <w:r>
              <w:rPr>
                <w:b/>
                <w:sz w:val="14"/>
              </w:rPr>
              <w:t>1   </w:t>
            </w:r>
            <w:r>
              <w:rPr>
                <w:b/>
                <w:spacing w:val="3"/>
                <w:sz w:val="14"/>
              </w:rPr>
              <w:t>EDUCATION</w:t>
            </w:r>
            <w:r>
              <w:rPr>
                <w:b/>
                <w:spacing w:val="-13"/>
                <w:sz w:val="14"/>
              </w:rPr>
              <w:t> </w:t>
            </w:r>
            <w:r>
              <w:rPr>
                <w:b/>
                <w:sz w:val="14"/>
              </w:rPr>
              <w:t>FOR</w:t>
            </w:r>
            <w:r>
              <w:rPr>
                <w:b/>
                <w:spacing w:val="5"/>
                <w:sz w:val="14"/>
              </w:rPr>
              <w:t> </w:t>
            </w:r>
            <w:r>
              <w:rPr>
                <w:b/>
                <w:spacing w:val="3"/>
                <w:sz w:val="14"/>
              </w:rPr>
              <w:t>DEVELOPMENT</w:t>
              <w:tab/>
            </w:r>
            <w:r>
              <w:rPr>
                <w:b/>
                <w:sz w:val="14"/>
              </w:rPr>
              <w:t>160,342.3</w:t>
            </w:r>
          </w:p>
        </w:tc>
        <w:tc>
          <w:tcPr>
            <w:tcW w:w="1366" w:type="dxa"/>
            <w:tcBorders>
              <w:top w:val="single" w:sz="18" w:space="0" w:color="000000"/>
            </w:tcBorders>
          </w:tcPr>
          <w:p>
            <w:pPr>
              <w:pStyle w:val="TableParagraph"/>
              <w:spacing w:before="88"/>
              <w:ind w:right="401"/>
              <w:jc w:val="right"/>
              <w:rPr>
                <w:sz w:val="14"/>
              </w:rPr>
            </w:pPr>
            <w:r>
              <w:rPr>
                <w:sz w:val="14"/>
              </w:rPr>
              <w:t>6 . 9 %</w:t>
            </w:r>
          </w:p>
        </w:tc>
        <w:tc>
          <w:tcPr>
            <w:tcW w:w="1503" w:type="dxa"/>
            <w:tcBorders>
              <w:top w:val="single" w:sz="18" w:space="0" w:color="000000"/>
            </w:tcBorders>
          </w:tcPr>
          <w:p>
            <w:pPr>
              <w:pStyle w:val="TableParagraph"/>
              <w:spacing w:before="88"/>
              <w:ind w:right="401"/>
              <w:jc w:val="right"/>
              <w:rPr>
                <w:sz w:val="14"/>
              </w:rPr>
            </w:pPr>
            <w:r>
              <w:rPr>
                <w:sz w:val="14"/>
              </w:rPr>
              <w:t>236,742.1</w:t>
            </w:r>
          </w:p>
        </w:tc>
        <w:tc>
          <w:tcPr>
            <w:tcW w:w="1480" w:type="dxa"/>
            <w:tcBorders>
              <w:top w:val="single" w:sz="18" w:space="0" w:color="000000"/>
            </w:tcBorders>
          </w:tcPr>
          <w:p>
            <w:pPr>
              <w:pStyle w:val="TableParagraph"/>
              <w:spacing w:before="88"/>
              <w:ind w:right="552"/>
              <w:jc w:val="right"/>
              <w:rPr>
                <w:sz w:val="14"/>
              </w:rPr>
            </w:pPr>
            <w:r>
              <w:rPr>
                <w:sz w:val="14"/>
              </w:rPr>
              <w:t>1 0 . 2 %</w:t>
            </w:r>
          </w:p>
        </w:tc>
        <w:tc>
          <w:tcPr>
            <w:tcW w:w="1184" w:type="dxa"/>
            <w:tcBorders>
              <w:top w:val="single" w:sz="18" w:space="0" w:color="000000"/>
            </w:tcBorders>
          </w:tcPr>
          <w:p>
            <w:pPr>
              <w:pStyle w:val="TableParagraph"/>
              <w:spacing w:before="88"/>
              <w:ind w:right="113"/>
              <w:jc w:val="right"/>
              <w:rPr>
                <w:sz w:val="14"/>
              </w:rPr>
            </w:pPr>
            <w:r>
              <w:rPr>
                <w:sz w:val="14"/>
              </w:rPr>
              <w:t>324,184.3</w:t>
            </w:r>
          </w:p>
        </w:tc>
        <w:tc>
          <w:tcPr>
            <w:tcW w:w="1167" w:type="dxa"/>
            <w:tcBorders>
              <w:top w:val="single" w:sz="18" w:space="0" w:color="000000"/>
            </w:tcBorders>
          </w:tcPr>
          <w:p>
            <w:pPr>
              <w:pStyle w:val="TableParagraph"/>
              <w:spacing w:before="88"/>
              <w:ind w:right="297"/>
              <w:jc w:val="right"/>
              <w:rPr>
                <w:sz w:val="14"/>
              </w:rPr>
            </w:pPr>
            <w:r>
              <w:rPr>
                <w:sz w:val="14"/>
              </w:rPr>
              <w:t>1 4 . 0 %</w:t>
            </w:r>
          </w:p>
        </w:tc>
      </w:tr>
      <w:tr>
        <w:trPr>
          <w:trHeight w:val="439" w:hRule="atLeast"/>
        </w:trPr>
        <w:tc>
          <w:tcPr>
            <w:tcW w:w="471" w:type="dxa"/>
          </w:tcPr>
          <w:p>
            <w:pPr>
              <w:pStyle w:val="TableParagraph"/>
              <w:spacing w:before="137"/>
              <w:ind w:right="94"/>
              <w:jc w:val="right"/>
              <w:rPr>
                <w:b/>
                <w:sz w:val="14"/>
              </w:rPr>
            </w:pPr>
            <w:r>
              <w:rPr>
                <w:b/>
                <w:w w:val="95"/>
                <w:sz w:val="14"/>
              </w:rPr>
              <w:t>1.1</w:t>
            </w:r>
          </w:p>
        </w:tc>
        <w:tc>
          <w:tcPr>
            <w:tcW w:w="5772" w:type="dxa"/>
          </w:tcPr>
          <w:p>
            <w:pPr>
              <w:pStyle w:val="TableParagraph"/>
              <w:spacing w:before="137"/>
              <w:ind w:left="95"/>
              <w:rPr>
                <w:b/>
                <w:sz w:val="14"/>
              </w:rPr>
            </w:pPr>
            <w:r>
              <w:rPr>
                <w:b/>
                <w:sz w:val="14"/>
              </w:rPr>
              <w:t>DELIVERING FREE QUALITY EDUCATION</w:t>
            </w:r>
          </w:p>
        </w:tc>
        <w:tc>
          <w:tcPr>
            <w:tcW w:w="1849" w:type="dxa"/>
          </w:tcPr>
          <w:p>
            <w:pPr>
              <w:pStyle w:val="TableParagraph"/>
              <w:spacing w:before="137"/>
              <w:ind w:right="212"/>
              <w:jc w:val="right"/>
              <w:rPr>
                <w:b/>
                <w:sz w:val="14"/>
              </w:rPr>
            </w:pPr>
            <w:r>
              <w:rPr>
                <w:b/>
                <w:sz w:val="14"/>
              </w:rPr>
              <w:t>37,772.0</w:t>
            </w:r>
          </w:p>
        </w:tc>
        <w:tc>
          <w:tcPr>
            <w:tcW w:w="1366" w:type="dxa"/>
          </w:tcPr>
          <w:p>
            <w:pPr>
              <w:pStyle w:val="TableParagraph"/>
              <w:spacing w:before="137"/>
              <w:ind w:right="401"/>
              <w:jc w:val="right"/>
              <w:rPr>
                <w:sz w:val="14"/>
              </w:rPr>
            </w:pPr>
            <w:r>
              <w:rPr>
                <w:sz w:val="14"/>
              </w:rPr>
              <w:t>1 . 6 %</w:t>
            </w:r>
          </w:p>
        </w:tc>
        <w:tc>
          <w:tcPr>
            <w:tcW w:w="1503" w:type="dxa"/>
          </w:tcPr>
          <w:p>
            <w:pPr>
              <w:pStyle w:val="TableParagraph"/>
              <w:spacing w:before="137"/>
              <w:ind w:right="397"/>
              <w:jc w:val="right"/>
              <w:rPr>
                <w:sz w:val="14"/>
              </w:rPr>
            </w:pPr>
            <w:r>
              <w:rPr>
                <w:sz w:val="14"/>
              </w:rPr>
              <w:t>70,877.0</w:t>
            </w:r>
          </w:p>
        </w:tc>
        <w:tc>
          <w:tcPr>
            <w:tcW w:w="1480" w:type="dxa"/>
          </w:tcPr>
          <w:p>
            <w:pPr>
              <w:pStyle w:val="TableParagraph"/>
              <w:spacing w:before="137"/>
              <w:ind w:right="547"/>
              <w:jc w:val="right"/>
              <w:rPr>
                <w:sz w:val="14"/>
              </w:rPr>
            </w:pPr>
            <w:r>
              <w:rPr>
                <w:sz w:val="14"/>
              </w:rPr>
              <w:t>3 . 1 %</w:t>
            </w:r>
          </w:p>
        </w:tc>
        <w:tc>
          <w:tcPr>
            <w:tcW w:w="1184" w:type="dxa"/>
          </w:tcPr>
          <w:p>
            <w:pPr>
              <w:pStyle w:val="TableParagraph"/>
              <w:spacing w:before="137"/>
              <w:ind w:right="114"/>
              <w:jc w:val="right"/>
              <w:rPr>
                <w:sz w:val="14"/>
              </w:rPr>
            </w:pPr>
            <w:r>
              <w:rPr>
                <w:sz w:val="14"/>
              </w:rPr>
              <w:t>76,289.5</w:t>
            </w:r>
          </w:p>
        </w:tc>
        <w:tc>
          <w:tcPr>
            <w:tcW w:w="1167" w:type="dxa"/>
          </w:tcPr>
          <w:p>
            <w:pPr>
              <w:pStyle w:val="TableParagraph"/>
              <w:spacing w:before="137"/>
              <w:ind w:right="292"/>
              <w:jc w:val="right"/>
              <w:rPr>
                <w:sz w:val="14"/>
              </w:rPr>
            </w:pPr>
            <w:r>
              <w:rPr>
                <w:sz w:val="14"/>
              </w:rPr>
              <w:t>3 . 3 %</w:t>
            </w:r>
          </w:p>
        </w:tc>
      </w:tr>
      <w:tr>
        <w:trPr>
          <w:trHeight w:val="328" w:hRule="atLeast"/>
        </w:trPr>
        <w:tc>
          <w:tcPr>
            <w:tcW w:w="471" w:type="dxa"/>
          </w:tcPr>
          <w:p>
            <w:pPr>
              <w:pStyle w:val="TableParagraph"/>
              <w:spacing w:before="135"/>
              <w:ind w:right="92"/>
              <w:jc w:val="right"/>
              <w:rPr>
                <w:sz w:val="14"/>
              </w:rPr>
            </w:pPr>
            <w:r>
              <w:rPr>
                <w:w w:val="95"/>
                <w:sz w:val="14"/>
              </w:rPr>
              <w:t>301</w:t>
            </w:r>
          </w:p>
        </w:tc>
        <w:tc>
          <w:tcPr>
            <w:tcW w:w="5772" w:type="dxa"/>
          </w:tcPr>
          <w:p>
            <w:pPr>
              <w:pStyle w:val="TableParagraph"/>
              <w:spacing w:before="135"/>
              <w:ind w:left="96"/>
              <w:rPr>
                <w:sz w:val="14"/>
              </w:rPr>
            </w:pPr>
            <w:r>
              <w:rPr>
                <w:sz w:val="14"/>
              </w:rPr>
              <w:t>Ministry of Basic and Secondary Education</w:t>
            </w:r>
          </w:p>
        </w:tc>
        <w:tc>
          <w:tcPr>
            <w:tcW w:w="1849" w:type="dxa"/>
          </w:tcPr>
          <w:p>
            <w:pPr>
              <w:pStyle w:val="TableParagraph"/>
              <w:spacing w:before="135"/>
              <w:ind w:right="204"/>
              <w:jc w:val="right"/>
              <w:rPr>
                <w:b/>
                <w:sz w:val="14"/>
              </w:rPr>
            </w:pPr>
            <w:r>
              <w:rPr>
                <w:b/>
                <w:sz w:val="14"/>
              </w:rPr>
              <w:t>26,077.7</w:t>
            </w:r>
          </w:p>
        </w:tc>
        <w:tc>
          <w:tcPr>
            <w:tcW w:w="1366" w:type="dxa"/>
          </w:tcPr>
          <w:p>
            <w:pPr>
              <w:pStyle w:val="TableParagraph"/>
              <w:spacing w:before="135"/>
              <w:ind w:right="401"/>
              <w:jc w:val="right"/>
              <w:rPr>
                <w:sz w:val="14"/>
              </w:rPr>
            </w:pPr>
            <w:r>
              <w:rPr>
                <w:sz w:val="14"/>
              </w:rPr>
              <w:t>1 . 1 %</w:t>
            </w:r>
          </w:p>
        </w:tc>
        <w:tc>
          <w:tcPr>
            <w:tcW w:w="1503" w:type="dxa"/>
          </w:tcPr>
          <w:p>
            <w:pPr>
              <w:pStyle w:val="TableParagraph"/>
              <w:spacing w:before="135"/>
              <w:ind w:right="395"/>
              <w:jc w:val="right"/>
              <w:rPr>
                <w:sz w:val="14"/>
              </w:rPr>
            </w:pPr>
            <w:r>
              <w:rPr>
                <w:sz w:val="14"/>
              </w:rPr>
              <w:t>47,813.4</w:t>
            </w:r>
          </w:p>
        </w:tc>
        <w:tc>
          <w:tcPr>
            <w:tcW w:w="1480" w:type="dxa"/>
          </w:tcPr>
          <w:p>
            <w:pPr>
              <w:pStyle w:val="TableParagraph"/>
              <w:spacing w:before="135"/>
              <w:ind w:right="547"/>
              <w:jc w:val="right"/>
              <w:rPr>
                <w:sz w:val="14"/>
              </w:rPr>
            </w:pPr>
            <w:r>
              <w:rPr>
                <w:sz w:val="14"/>
              </w:rPr>
              <w:t>2 . 1 %</w:t>
            </w:r>
          </w:p>
        </w:tc>
        <w:tc>
          <w:tcPr>
            <w:tcW w:w="1184" w:type="dxa"/>
          </w:tcPr>
          <w:p>
            <w:pPr>
              <w:pStyle w:val="TableParagraph"/>
              <w:spacing w:before="135"/>
              <w:ind w:right="112"/>
              <w:jc w:val="right"/>
              <w:rPr>
                <w:sz w:val="14"/>
              </w:rPr>
            </w:pPr>
            <w:r>
              <w:rPr>
                <w:sz w:val="14"/>
              </w:rPr>
              <w:t>50,677.5</w:t>
            </w:r>
          </w:p>
        </w:tc>
        <w:tc>
          <w:tcPr>
            <w:tcW w:w="1167" w:type="dxa"/>
          </w:tcPr>
          <w:p>
            <w:pPr>
              <w:pStyle w:val="TableParagraph"/>
              <w:spacing w:before="135"/>
              <w:ind w:right="292"/>
              <w:jc w:val="right"/>
              <w:rPr>
                <w:sz w:val="14"/>
              </w:rPr>
            </w:pPr>
            <w:r>
              <w:rPr>
                <w:sz w:val="14"/>
              </w:rPr>
              <w:t>2 . 2 %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436"/>
              <w:rPr>
                <w:sz w:val="14"/>
              </w:rPr>
            </w:pPr>
            <w:r>
              <w:rPr>
                <w:sz w:val="14"/>
              </w:rPr>
              <w:t>Administrative and Operating Costs</w:t>
            </w:r>
          </w:p>
        </w:tc>
        <w:tc>
          <w:tcPr>
            <w:tcW w:w="1849" w:type="dxa"/>
          </w:tcPr>
          <w:p>
            <w:pPr>
              <w:pStyle w:val="TableParagraph"/>
              <w:spacing w:before="27"/>
              <w:ind w:right="205"/>
              <w:jc w:val="right"/>
              <w:rPr>
                <w:b/>
                <w:sz w:val="14"/>
              </w:rPr>
            </w:pPr>
            <w:r>
              <w:rPr>
                <w:b/>
                <w:sz w:val="14"/>
              </w:rPr>
              <w:t>4,092.4</w:t>
            </w:r>
          </w:p>
        </w:tc>
        <w:tc>
          <w:tcPr>
            <w:tcW w:w="1366" w:type="dxa"/>
          </w:tcPr>
          <w:p>
            <w:pPr>
              <w:pStyle w:val="TableParagraph"/>
              <w:spacing w:before="27"/>
              <w:ind w:right="401"/>
              <w:jc w:val="right"/>
              <w:rPr>
                <w:sz w:val="14"/>
              </w:rPr>
            </w:pPr>
            <w:r>
              <w:rPr>
                <w:sz w:val="14"/>
              </w:rPr>
              <w:t>0 . 2 %</w:t>
            </w:r>
          </w:p>
        </w:tc>
        <w:tc>
          <w:tcPr>
            <w:tcW w:w="1503" w:type="dxa"/>
          </w:tcPr>
          <w:p>
            <w:pPr>
              <w:pStyle w:val="TableParagraph"/>
              <w:spacing w:before="27"/>
              <w:ind w:right="397"/>
              <w:jc w:val="right"/>
              <w:rPr>
                <w:sz w:val="14"/>
              </w:rPr>
            </w:pPr>
            <w:r>
              <w:rPr>
                <w:sz w:val="14"/>
              </w:rPr>
              <w:t>11,041.0</w:t>
            </w:r>
          </w:p>
        </w:tc>
        <w:tc>
          <w:tcPr>
            <w:tcW w:w="1480" w:type="dxa"/>
          </w:tcPr>
          <w:p>
            <w:pPr>
              <w:pStyle w:val="TableParagraph"/>
              <w:spacing w:before="27"/>
              <w:ind w:right="547"/>
              <w:jc w:val="right"/>
              <w:rPr>
                <w:sz w:val="14"/>
              </w:rPr>
            </w:pPr>
            <w:r>
              <w:rPr>
                <w:sz w:val="14"/>
              </w:rPr>
              <w:t>0 . 5 %</w:t>
            </w:r>
          </w:p>
        </w:tc>
        <w:tc>
          <w:tcPr>
            <w:tcW w:w="1184" w:type="dxa"/>
          </w:tcPr>
          <w:p>
            <w:pPr>
              <w:pStyle w:val="TableParagraph"/>
              <w:spacing w:before="27"/>
              <w:ind w:right="114"/>
              <w:jc w:val="right"/>
              <w:rPr>
                <w:sz w:val="14"/>
              </w:rPr>
            </w:pPr>
            <w:r>
              <w:rPr>
                <w:sz w:val="14"/>
              </w:rPr>
              <w:t>11,702.4</w:t>
            </w:r>
          </w:p>
        </w:tc>
        <w:tc>
          <w:tcPr>
            <w:tcW w:w="1167" w:type="dxa"/>
          </w:tcPr>
          <w:p>
            <w:pPr>
              <w:pStyle w:val="TableParagraph"/>
              <w:spacing w:before="27"/>
              <w:ind w:right="292"/>
              <w:jc w:val="right"/>
              <w:rPr>
                <w:sz w:val="14"/>
              </w:rPr>
            </w:pPr>
            <w:r>
              <w:rPr>
                <w:sz w:val="14"/>
              </w:rPr>
              <w:t>0 . 5 %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96"/>
              <w:rPr>
                <w:sz w:val="14"/>
              </w:rPr>
            </w:pPr>
            <w:r>
              <w:rPr>
                <w:sz w:val="14"/>
              </w:rPr>
              <w:t>Improving Access to and Quality Education</w:t>
            </w:r>
          </w:p>
        </w:tc>
        <w:tc>
          <w:tcPr>
            <w:tcW w:w="1849" w:type="dxa"/>
          </w:tcPr>
          <w:p>
            <w:pPr>
              <w:pStyle w:val="TableParagraph"/>
              <w:spacing w:before="27"/>
              <w:ind w:right="204"/>
              <w:jc w:val="right"/>
              <w:rPr>
                <w:b/>
                <w:sz w:val="14"/>
              </w:rPr>
            </w:pPr>
            <w:r>
              <w:rPr>
                <w:b/>
                <w:sz w:val="14"/>
              </w:rPr>
              <w:t>21,985.3</w:t>
            </w:r>
          </w:p>
        </w:tc>
        <w:tc>
          <w:tcPr>
            <w:tcW w:w="1366" w:type="dxa"/>
          </w:tcPr>
          <w:p>
            <w:pPr>
              <w:pStyle w:val="TableParagraph"/>
              <w:spacing w:before="27"/>
              <w:ind w:right="401"/>
              <w:jc w:val="right"/>
              <w:rPr>
                <w:sz w:val="14"/>
              </w:rPr>
            </w:pPr>
            <w:r>
              <w:rPr>
                <w:sz w:val="14"/>
              </w:rPr>
              <w:t>1 . 0 %</w:t>
            </w:r>
          </w:p>
        </w:tc>
        <w:tc>
          <w:tcPr>
            <w:tcW w:w="1503" w:type="dxa"/>
          </w:tcPr>
          <w:p>
            <w:pPr>
              <w:pStyle w:val="TableParagraph"/>
              <w:spacing w:before="27"/>
              <w:ind w:right="395"/>
              <w:jc w:val="right"/>
              <w:rPr>
                <w:sz w:val="14"/>
              </w:rPr>
            </w:pPr>
            <w:r>
              <w:rPr>
                <w:sz w:val="14"/>
              </w:rPr>
              <w:t>36,772.4</w:t>
            </w:r>
          </w:p>
        </w:tc>
        <w:tc>
          <w:tcPr>
            <w:tcW w:w="1480" w:type="dxa"/>
          </w:tcPr>
          <w:p>
            <w:pPr>
              <w:pStyle w:val="TableParagraph"/>
              <w:spacing w:before="27"/>
              <w:ind w:right="547"/>
              <w:jc w:val="right"/>
              <w:rPr>
                <w:sz w:val="14"/>
              </w:rPr>
            </w:pPr>
            <w:r>
              <w:rPr>
                <w:sz w:val="14"/>
              </w:rPr>
              <w:t>1 . 6 %</w:t>
            </w:r>
          </w:p>
        </w:tc>
        <w:tc>
          <w:tcPr>
            <w:tcW w:w="1184" w:type="dxa"/>
          </w:tcPr>
          <w:p>
            <w:pPr>
              <w:pStyle w:val="TableParagraph"/>
              <w:spacing w:before="27"/>
              <w:ind w:right="112"/>
              <w:jc w:val="right"/>
              <w:rPr>
                <w:sz w:val="14"/>
              </w:rPr>
            </w:pPr>
            <w:r>
              <w:rPr>
                <w:sz w:val="14"/>
              </w:rPr>
              <w:t>38,975.1</w:t>
            </w:r>
          </w:p>
        </w:tc>
        <w:tc>
          <w:tcPr>
            <w:tcW w:w="1167" w:type="dxa"/>
          </w:tcPr>
          <w:p>
            <w:pPr>
              <w:pStyle w:val="TableParagraph"/>
              <w:spacing w:before="27"/>
              <w:ind w:right="292"/>
              <w:jc w:val="right"/>
              <w:rPr>
                <w:sz w:val="14"/>
              </w:rPr>
            </w:pPr>
            <w:r>
              <w:rPr>
                <w:sz w:val="14"/>
              </w:rPr>
              <w:t>1 . 7 %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Planning and Development Services</w:t>
            </w:r>
          </w:p>
        </w:tc>
        <w:tc>
          <w:tcPr>
            <w:tcW w:w="1849" w:type="dxa"/>
          </w:tcPr>
          <w:p>
            <w:pPr>
              <w:pStyle w:val="TableParagraph"/>
              <w:spacing w:before="27"/>
              <w:ind w:right="205"/>
              <w:jc w:val="right"/>
              <w:rPr>
                <w:b/>
                <w:sz w:val="14"/>
              </w:rPr>
            </w:pPr>
            <w:r>
              <w:rPr>
                <w:b/>
                <w:sz w:val="14"/>
              </w:rPr>
              <w:t>2,544.9</w:t>
            </w:r>
          </w:p>
        </w:tc>
        <w:tc>
          <w:tcPr>
            <w:tcW w:w="1366" w:type="dxa"/>
          </w:tcPr>
          <w:p>
            <w:pPr>
              <w:pStyle w:val="TableParagraph"/>
              <w:spacing w:before="27"/>
              <w:ind w:right="401"/>
              <w:jc w:val="right"/>
              <w:rPr>
                <w:sz w:val="14"/>
              </w:rPr>
            </w:pPr>
            <w:r>
              <w:rPr>
                <w:sz w:val="14"/>
              </w:rPr>
              <w:t>0 . 1 %</w:t>
            </w:r>
          </w:p>
        </w:tc>
        <w:tc>
          <w:tcPr>
            <w:tcW w:w="1503" w:type="dxa"/>
          </w:tcPr>
          <w:p>
            <w:pPr>
              <w:pStyle w:val="TableParagraph"/>
              <w:spacing w:before="27"/>
              <w:ind w:right="388"/>
              <w:jc w:val="right"/>
              <w:rPr>
                <w:sz w:val="14"/>
              </w:rPr>
            </w:pPr>
            <w:r>
              <w:rPr>
                <w:sz w:val="14"/>
              </w:rPr>
              <w:t>3,134 .8</w:t>
            </w:r>
          </w:p>
        </w:tc>
        <w:tc>
          <w:tcPr>
            <w:tcW w:w="1480" w:type="dxa"/>
          </w:tcPr>
          <w:p>
            <w:pPr>
              <w:pStyle w:val="TableParagraph"/>
              <w:spacing w:before="27"/>
              <w:ind w:right="547"/>
              <w:jc w:val="right"/>
              <w:rPr>
                <w:sz w:val="14"/>
              </w:rPr>
            </w:pPr>
            <w:r>
              <w:rPr>
                <w:sz w:val="14"/>
              </w:rPr>
              <w:t>0 . 1 %</w:t>
            </w:r>
          </w:p>
        </w:tc>
        <w:tc>
          <w:tcPr>
            <w:tcW w:w="1184" w:type="dxa"/>
          </w:tcPr>
          <w:p>
            <w:pPr>
              <w:pStyle w:val="TableParagraph"/>
              <w:spacing w:before="27"/>
              <w:ind w:right="104"/>
              <w:jc w:val="right"/>
              <w:rPr>
                <w:sz w:val="14"/>
              </w:rPr>
            </w:pPr>
            <w:r>
              <w:rPr>
                <w:sz w:val="14"/>
              </w:rPr>
              <w:t>3,322 .6</w:t>
            </w:r>
          </w:p>
        </w:tc>
        <w:tc>
          <w:tcPr>
            <w:tcW w:w="1167" w:type="dxa"/>
          </w:tcPr>
          <w:p>
            <w:pPr>
              <w:pStyle w:val="TableParagraph"/>
              <w:spacing w:before="27"/>
              <w:ind w:right="292"/>
              <w:jc w:val="right"/>
              <w:rPr>
                <w:sz w:val="14"/>
              </w:rPr>
            </w:pPr>
            <w:r>
              <w:rPr>
                <w:sz w:val="14"/>
              </w:rPr>
              <w:t>0 . 1 %</w:t>
            </w:r>
          </w:p>
        </w:tc>
      </w:tr>
      <w:tr>
        <w:trPr>
          <w:trHeight w:val="218"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Pre-primary and Primary Education</w:t>
            </w:r>
          </w:p>
        </w:tc>
        <w:tc>
          <w:tcPr>
            <w:tcW w:w="1849" w:type="dxa"/>
          </w:tcPr>
          <w:p>
            <w:pPr>
              <w:pStyle w:val="TableParagraph"/>
              <w:spacing w:before="27"/>
              <w:ind w:right="205"/>
              <w:jc w:val="right"/>
              <w:rPr>
                <w:b/>
                <w:sz w:val="14"/>
              </w:rPr>
            </w:pPr>
            <w:r>
              <w:rPr>
                <w:b/>
                <w:sz w:val="14"/>
              </w:rPr>
              <w:t>1,876.9</w:t>
            </w:r>
          </w:p>
        </w:tc>
        <w:tc>
          <w:tcPr>
            <w:tcW w:w="1366" w:type="dxa"/>
          </w:tcPr>
          <w:p>
            <w:pPr>
              <w:pStyle w:val="TableParagraph"/>
              <w:spacing w:before="27"/>
              <w:ind w:right="401"/>
              <w:jc w:val="right"/>
              <w:rPr>
                <w:sz w:val="14"/>
              </w:rPr>
            </w:pPr>
            <w:r>
              <w:rPr>
                <w:sz w:val="14"/>
              </w:rPr>
              <w:t>0 . 1 %</w:t>
            </w:r>
          </w:p>
        </w:tc>
        <w:tc>
          <w:tcPr>
            <w:tcW w:w="1503" w:type="dxa"/>
          </w:tcPr>
          <w:p>
            <w:pPr>
              <w:pStyle w:val="TableParagraph"/>
              <w:spacing w:before="27"/>
              <w:ind w:right="388"/>
              <w:jc w:val="right"/>
              <w:rPr>
                <w:sz w:val="14"/>
              </w:rPr>
            </w:pPr>
            <w:r>
              <w:rPr>
                <w:sz w:val="14"/>
              </w:rPr>
              <w:t>2,312 .0</w:t>
            </w:r>
          </w:p>
        </w:tc>
        <w:tc>
          <w:tcPr>
            <w:tcW w:w="1480" w:type="dxa"/>
          </w:tcPr>
          <w:p>
            <w:pPr>
              <w:pStyle w:val="TableParagraph"/>
              <w:spacing w:before="27"/>
              <w:ind w:right="547"/>
              <w:jc w:val="right"/>
              <w:rPr>
                <w:sz w:val="14"/>
              </w:rPr>
            </w:pPr>
            <w:r>
              <w:rPr>
                <w:sz w:val="14"/>
              </w:rPr>
              <w:t>0 . 1 %</w:t>
            </w:r>
          </w:p>
        </w:tc>
        <w:tc>
          <w:tcPr>
            <w:tcW w:w="1184" w:type="dxa"/>
          </w:tcPr>
          <w:p>
            <w:pPr>
              <w:pStyle w:val="TableParagraph"/>
              <w:spacing w:before="27"/>
              <w:ind w:right="104"/>
              <w:jc w:val="right"/>
              <w:rPr>
                <w:sz w:val="14"/>
              </w:rPr>
            </w:pPr>
            <w:r>
              <w:rPr>
                <w:sz w:val="14"/>
              </w:rPr>
              <w:t>2,450 .5</w:t>
            </w:r>
          </w:p>
        </w:tc>
        <w:tc>
          <w:tcPr>
            <w:tcW w:w="1167" w:type="dxa"/>
          </w:tcPr>
          <w:p>
            <w:pPr>
              <w:pStyle w:val="TableParagraph"/>
              <w:spacing w:before="27"/>
              <w:ind w:right="292"/>
              <w:jc w:val="right"/>
              <w:rPr>
                <w:sz w:val="14"/>
              </w:rPr>
            </w:pPr>
            <w:r>
              <w:rPr>
                <w:sz w:val="14"/>
              </w:rPr>
              <w:t>0 . 1 %</w:t>
            </w:r>
          </w:p>
        </w:tc>
      </w:tr>
      <w:tr>
        <w:trPr>
          <w:trHeight w:val="218" w:hRule="atLeast"/>
        </w:trPr>
        <w:tc>
          <w:tcPr>
            <w:tcW w:w="471" w:type="dxa"/>
          </w:tcPr>
          <w:p>
            <w:pPr>
              <w:pStyle w:val="TableParagraph"/>
              <w:rPr>
                <w:rFonts w:ascii="Times New Roman"/>
                <w:sz w:val="14"/>
              </w:rPr>
            </w:pPr>
          </w:p>
        </w:tc>
        <w:tc>
          <w:tcPr>
            <w:tcW w:w="5772" w:type="dxa"/>
          </w:tcPr>
          <w:p>
            <w:pPr>
              <w:pStyle w:val="TableParagraph"/>
              <w:spacing w:before="25"/>
              <w:ind w:left="436"/>
              <w:rPr>
                <w:sz w:val="14"/>
              </w:rPr>
            </w:pPr>
            <w:r>
              <w:rPr>
                <w:sz w:val="14"/>
              </w:rPr>
              <w:t>of which: Grants to Handicapped Schools</w:t>
            </w:r>
          </w:p>
        </w:tc>
        <w:tc>
          <w:tcPr>
            <w:tcW w:w="1849" w:type="dxa"/>
          </w:tcPr>
          <w:p>
            <w:pPr>
              <w:pStyle w:val="TableParagraph"/>
              <w:spacing w:before="25"/>
              <w:ind w:right="205"/>
              <w:jc w:val="right"/>
              <w:rPr>
                <w:b/>
                <w:sz w:val="14"/>
              </w:rPr>
            </w:pPr>
            <w:r>
              <w:rPr>
                <w:b/>
                <w:sz w:val="14"/>
              </w:rPr>
              <w:t>1,798.9</w:t>
            </w:r>
          </w:p>
        </w:tc>
        <w:tc>
          <w:tcPr>
            <w:tcW w:w="1366" w:type="dxa"/>
          </w:tcPr>
          <w:p>
            <w:pPr>
              <w:pStyle w:val="TableParagraph"/>
              <w:spacing w:before="25"/>
              <w:ind w:right="401"/>
              <w:jc w:val="right"/>
              <w:rPr>
                <w:sz w:val="14"/>
              </w:rPr>
            </w:pPr>
            <w:r>
              <w:rPr>
                <w:sz w:val="14"/>
              </w:rPr>
              <w:t>0 . 1 %</w:t>
            </w:r>
          </w:p>
        </w:tc>
        <w:tc>
          <w:tcPr>
            <w:tcW w:w="1503" w:type="dxa"/>
          </w:tcPr>
          <w:p>
            <w:pPr>
              <w:pStyle w:val="TableParagraph"/>
              <w:spacing w:before="25"/>
              <w:ind w:right="397"/>
              <w:jc w:val="right"/>
              <w:rPr>
                <w:sz w:val="14"/>
              </w:rPr>
            </w:pPr>
            <w:r>
              <w:rPr>
                <w:sz w:val="14"/>
              </w:rPr>
              <w:t>17,215.8</w:t>
            </w:r>
          </w:p>
        </w:tc>
        <w:tc>
          <w:tcPr>
            <w:tcW w:w="1480" w:type="dxa"/>
          </w:tcPr>
          <w:p>
            <w:pPr>
              <w:pStyle w:val="TableParagraph"/>
              <w:spacing w:before="25"/>
              <w:ind w:right="547"/>
              <w:jc w:val="right"/>
              <w:rPr>
                <w:sz w:val="14"/>
              </w:rPr>
            </w:pPr>
            <w:r>
              <w:rPr>
                <w:sz w:val="14"/>
              </w:rPr>
              <w:t>0 . 7 %</w:t>
            </w:r>
          </w:p>
        </w:tc>
        <w:tc>
          <w:tcPr>
            <w:tcW w:w="1184" w:type="dxa"/>
          </w:tcPr>
          <w:p>
            <w:pPr>
              <w:pStyle w:val="TableParagraph"/>
              <w:spacing w:before="25"/>
              <w:ind w:right="114"/>
              <w:jc w:val="right"/>
              <w:rPr>
                <w:sz w:val="14"/>
              </w:rPr>
            </w:pPr>
            <w:r>
              <w:rPr>
                <w:sz w:val="14"/>
              </w:rPr>
              <w:t>18,247.1</w:t>
            </w:r>
          </w:p>
        </w:tc>
        <w:tc>
          <w:tcPr>
            <w:tcW w:w="1167" w:type="dxa"/>
          </w:tcPr>
          <w:p>
            <w:pPr>
              <w:pStyle w:val="TableParagraph"/>
              <w:spacing w:before="25"/>
              <w:ind w:right="292"/>
              <w:jc w:val="right"/>
              <w:rPr>
                <w:sz w:val="14"/>
              </w:rPr>
            </w:pPr>
            <w:r>
              <w:rPr>
                <w:sz w:val="14"/>
              </w:rPr>
              <w:t>0 . 8 %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95"/>
              <w:rPr>
                <w:sz w:val="14"/>
              </w:rPr>
            </w:pPr>
            <w:r>
              <w:rPr>
                <w:sz w:val="14"/>
              </w:rPr>
              <w:t>Secondary Education</w:t>
            </w:r>
          </w:p>
        </w:tc>
        <w:tc>
          <w:tcPr>
            <w:tcW w:w="1849" w:type="dxa"/>
          </w:tcPr>
          <w:p>
            <w:pPr>
              <w:pStyle w:val="TableParagraph"/>
              <w:spacing w:before="27"/>
              <w:ind w:right="212"/>
              <w:jc w:val="right"/>
              <w:rPr>
                <w:b/>
                <w:sz w:val="14"/>
              </w:rPr>
            </w:pPr>
            <w:r>
              <w:rPr>
                <w:b/>
                <w:sz w:val="14"/>
              </w:rPr>
              <w:t>14,992.7</w:t>
            </w:r>
          </w:p>
        </w:tc>
        <w:tc>
          <w:tcPr>
            <w:tcW w:w="1366" w:type="dxa"/>
          </w:tcPr>
          <w:p>
            <w:pPr>
              <w:pStyle w:val="TableParagraph"/>
              <w:spacing w:before="27"/>
              <w:ind w:right="401"/>
              <w:jc w:val="right"/>
              <w:rPr>
                <w:sz w:val="14"/>
              </w:rPr>
            </w:pPr>
            <w:r>
              <w:rPr>
                <w:sz w:val="14"/>
              </w:rPr>
              <w:t>0 . 6 %</w:t>
            </w:r>
          </w:p>
        </w:tc>
        <w:tc>
          <w:tcPr>
            <w:tcW w:w="1503" w:type="dxa"/>
          </w:tcPr>
          <w:p>
            <w:pPr>
              <w:pStyle w:val="TableParagraph"/>
              <w:spacing w:before="27"/>
              <w:ind w:right="397"/>
              <w:jc w:val="right"/>
              <w:rPr>
                <w:sz w:val="14"/>
              </w:rPr>
            </w:pPr>
            <w:r>
              <w:rPr>
                <w:sz w:val="14"/>
              </w:rPr>
              <w:t>18,251.8</w:t>
            </w:r>
          </w:p>
        </w:tc>
        <w:tc>
          <w:tcPr>
            <w:tcW w:w="1480" w:type="dxa"/>
          </w:tcPr>
          <w:p>
            <w:pPr>
              <w:pStyle w:val="TableParagraph"/>
              <w:spacing w:before="27"/>
              <w:ind w:right="547"/>
              <w:jc w:val="right"/>
              <w:rPr>
                <w:sz w:val="14"/>
              </w:rPr>
            </w:pPr>
            <w:r>
              <w:rPr>
                <w:sz w:val="14"/>
              </w:rPr>
              <w:t>0 . 8 %</w:t>
            </w:r>
          </w:p>
        </w:tc>
        <w:tc>
          <w:tcPr>
            <w:tcW w:w="1184" w:type="dxa"/>
          </w:tcPr>
          <w:p>
            <w:pPr>
              <w:pStyle w:val="TableParagraph"/>
              <w:spacing w:before="27"/>
              <w:ind w:right="114"/>
              <w:jc w:val="right"/>
              <w:rPr>
                <w:sz w:val="14"/>
              </w:rPr>
            </w:pPr>
            <w:r>
              <w:rPr>
                <w:sz w:val="14"/>
              </w:rPr>
              <w:t>19,345.0</w:t>
            </w:r>
          </w:p>
        </w:tc>
        <w:tc>
          <w:tcPr>
            <w:tcW w:w="1167" w:type="dxa"/>
          </w:tcPr>
          <w:p>
            <w:pPr>
              <w:pStyle w:val="TableParagraph"/>
              <w:spacing w:before="27"/>
              <w:ind w:right="292"/>
              <w:jc w:val="right"/>
              <w:rPr>
                <w:sz w:val="14"/>
              </w:rPr>
            </w:pPr>
            <w:r>
              <w:rPr>
                <w:sz w:val="14"/>
              </w:rPr>
              <w:t>0 . 8 %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436"/>
              <w:rPr>
                <w:sz w:val="14"/>
              </w:rPr>
            </w:pPr>
            <w:r>
              <w:rPr>
                <w:sz w:val="14"/>
              </w:rPr>
              <w:t>of which: Grants in Aid to Government Boarding Schools</w:t>
            </w:r>
          </w:p>
        </w:tc>
        <w:tc>
          <w:tcPr>
            <w:tcW w:w="1849" w:type="dxa"/>
          </w:tcPr>
          <w:p>
            <w:pPr>
              <w:pStyle w:val="TableParagraph"/>
              <w:spacing w:before="27"/>
              <w:ind w:right="212"/>
              <w:jc w:val="right"/>
              <w:rPr>
                <w:b/>
                <w:sz w:val="14"/>
              </w:rPr>
            </w:pPr>
            <w:r>
              <w:rPr>
                <w:b/>
                <w:sz w:val="14"/>
              </w:rPr>
              <w:t>10,188.6</w:t>
            </w:r>
          </w:p>
        </w:tc>
        <w:tc>
          <w:tcPr>
            <w:tcW w:w="1366" w:type="dxa"/>
          </w:tcPr>
          <w:p>
            <w:pPr>
              <w:pStyle w:val="TableParagraph"/>
              <w:spacing w:before="27"/>
              <w:ind w:right="401"/>
              <w:jc w:val="right"/>
              <w:rPr>
                <w:sz w:val="14"/>
              </w:rPr>
            </w:pPr>
            <w:r>
              <w:rPr>
                <w:sz w:val="14"/>
              </w:rPr>
              <w:t>0 . 4 %</w:t>
            </w:r>
          </w:p>
        </w:tc>
        <w:tc>
          <w:tcPr>
            <w:tcW w:w="1503" w:type="dxa"/>
          </w:tcPr>
          <w:p>
            <w:pPr>
              <w:pStyle w:val="TableParagraph"/>
              <w:spacing w:before="27"/>
              <w:ind w:right="397"/>
              <w:jc w:val="right"/>
              <w:rPr>
                <w:sz w:val="14"/>
              </w:rPr>
            </w:pPr>
            <w:r>
              <w:rPr>
                <w:sz w:val="14"/>
              </w:rPr>
              <w:t>62,550.3</w:t>
            </w:r>
          </w:p>
        </w:tc>
        <w:tc>
          <w:tcPr>
            <w:tcW w:w="1480" w:type="dxa"/>
          </w:tcPr>
          <w:p>
            <w:pPr>
              <w:pStyle w:val="TableParagraph"/>
              <w:spacing w:before="27"/>
              <w:ind w:right="547"/>
              <w:jc w:val="right"/>
              <w:rPr>
                <w:sz w:val="14"/>
              </w:rPr>
            </w:pPr>
            <w:r>
              <w:rPr>
                <w:sz w:val="14"/>
              </w:rPr>
              <w:t>2 . 7 %</w:t>
            </w:r>
          </w:p>
        </w:tc>
        <w:tc>
          <w:tcPr>
            <w:tcW w:w="1184" w:type="dxa"/>
          </w:tcPr>
          <w:p>
            <w:pPr>
              <w:pStyle w:val="TableParagraph"/>
              <w:spacing w:before="27"/>
              <w:ind w:right="114"/>
              <w:jc w:val="right"/>
              <w:rPr>
                <w:sz w:val="14"/>
              </w:rPr>
            </w:pPr>
            <w:r>
              <w:rPr>
                <w:sz w:val="14"/>
              </w:rPr>
              <w:t>66,297.0</w:t>
            </w:r>
          </w:p>
        </w:tc>
        <w:tc>
          <w:tcPr>
            <w:tcW w:w="1167" w:type="dxa"/>
          </w:tcPr>
          <w:p>
            <w:pPr>
              <w:pStyle w:val="TableParagraph"/>
              <w:spacing w:before="27"/>
              <w:ind w:right="292"/>
              <w:jc w:val="right"/>
              <w:rPr>
                <w:sz w:val="14"/>
              </w:rPr>
            </w:pPr>
            <w:r>
              <w:rPr>
                <w:sz w:val="14"/>
              </w:rPr>
              <w:t>2 . 9 %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436"/>
              <w:rPr>
                <w:sz w:val="14"/>
              </w:rPr>
            </w:pPr>
            <w:r>
              <w:rPr>
                <w:sz w:val="14"/>
              </w:rPr>
              <w:t>of which: Free Quality Education Coordination Programme</w:t>
            </w:r>
          </w:p>
        </w:tc>
        <w:tc>
          <w:tcPr>
            <w:tcW w:w="1849" w:type="dxa"/>
          </w:tcPr>
          <w:p>
            <w:pPr>
              <w:pStyle w:val="TableParagraph"/>
              <w:spacing w:before="27"/>
              <w:ind w:right="205"/>
              <w:jc w:val="right"/>
              <w:rPr>
                <w:b/>
                <w:sz w:val="14"/>
              </w:rPr>
            </w:pPr>
            <w:r>
              <w:rPr>
                <w:b/>
                <w:sz w:val="14"/>
              </w:rPr>
              <w:t>4,004.1</w:t>
            </w:r>
          </w:p>
        </w:tc>
        <w:tc>
          <w:tcPr>
            <w:tcW w:w="1366" w:type="dxa"/>
          </w:tcPr>
          <w:p>
            <w:pPr>
              <w:pStyle w:val="TableParagraph"/>
              <w:spacing w:before="27"/>
              <w:ind w:right="401"/>
              <w:jc w:val="right"/>
              <w:rPr>
                <w:sz w:val="14"/>
              </w:rPr>
            </w:pPr>
            <w:r>
              <w:rPr>
                <w:sz w:val="14"/>
              </w:rPr>
              <w:t>0 . 2 %</w:t>
            </w:r>
          </w:p>
        </w:tc>
        <w:tc>
          <w:tcPr>
            <w:tcW w:w="1503" w:type="dxa"/>
          </w:tcPr>
          <w:p>
            <w:pPr>
              <w:pStyle w:val="TableParagraph"/>
              <w:spacing w:before="27"/>
              <w:ind w:right="388"/>
              <w:jc w:val="right"/>
              <w:rPr>
                <w:sz w:val="14"/>
              </w:rPr>
            </w:pPr>
            <w:r>
              <w:rPr>
                <w:sz w:val="14"/>
              </w:rPr>
              <w:t>4,932 .2</w:t>
            </w:r>
          </w:p>
        </w:tc>
        <w:tc>
          <w:tcPr>
            <w:tcW w:w="1480" w:type="dxa"/>
          </w:tcPr>
          <w:p>
            <w:pPr>
              <w:pStyle w:val="TableParagraph"/>
              <w:spacing w:before="27"/>
              <w:ind w:right="547"/>
              <w:jc w:val="right"/>
              <w:rPr>
                <w:sz w:val="14"/>
              </w:rPr>
            </w:pPr>
            <w:r>
              <w:rPr>
                <w:sz w:val="14"/>
              </w:rPr>
              <w:t>0 . 2 %</w:t>
            </w:r>
          </w:p>
        </w:tc>
        <w:tc>
          <w:tcPr>
            <w:tcW w:w="1184" w:type="dxa"/>
          </w:tcPr>
          <w:p>
            <w:pPr>
              <w:pStyle w:val="TableParagraph"/>
              <w:spacing w:before="27"/>
              <w:ind w:right="104"/>
              <w:jc w:val="right"/>
              <w:rPr>
                <w:sz w:val="14"/>
              </w:rPr>
            </w:pPr>
            <w:r>
              <w:rPr>
                <w:sz w:val="14"/>
              </w:rPr>
              <w:t>5,227 .6</w:t>
            </w:r>
          </w:p>
        </w:tc>
        <w:tc>
          <w:tcPr>
            <w:tcW w:w="1167" w:type="dxa"/>
          </w:tcPr>
          <w:p>
            <w:pPr>
              <w:pStyle w:val="TableParagraph"/>
              <w:spacing w:before="27"/>
              <w:ind w:right="292"/>
              <w:jc w:val="right"/>
              <w:rPr>
                <w:sz w:val="14"/>
              </w:rPr>
            </w:pPr>
            <w:r>
              <w:rPr>
                <w:sz w:val="14"/>
              </w:rPr>
              <w:t>0 . 2 %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96"/>
              <w:rPr>
                <w:sz w:val="14"/>
              </w:rPr>
            </w:pPr>
            <w:r>
              <w:rPr>
                <w:sz w:val="14"/>
              </w:rPr>
              <w:t>Inspectorate Division</w:t>
            </w:r>
          </w:p>
        </w:tc>
        <w:tc>
          <w:tcPr>
            <w:tcW w:w="1849" w:type="dxa"/>
          </w:tcPr>
          <w:p>
            <w:pPr>
              <w:pStyle w:val="TableParagraph"/>
              <w:spacing w:before="27"/>
              <w:ind w:right="205"/>
              <w:jc w:val="right"/>
              <w:rPr>
                <w:b/>
                <w:sz w:val="14"/>
              </w:rPr>
            </w:pPr>
            <w:r>
              <w:rPr>
                <w:b/>
                <w:sz w:val="14"/>
              </w:rPr>
              <w:t>1,216.8</w:t>
            </w:r>
          </w:p>
        </w:tc>
        <w:tc>
          <w:tcPr>
            <w:tcW w:w="1366" w:type="dxa"/>
          </w:tcPr>
          <w:p>
            <w:pPr>
              <w:pStyle w:val="TableParagraph"/>
              <w:spacing w:before="27"/>
              <w:ind w:right="401"/>
              <w:jc w:val="right"/>
              <w:rPr>
                <w:sz w:val="14"/>
              </w:rPr>
            </w:pPr>
            <w:r>
              <w:rPr>
                <w:sz w:val="14"/>
              </w:rPr>
              <w:t>0 . 1 %</w:t>
            </w:r>
          </w:p>
        </w:tc>
        <w:tc>
          <w:tcPr>
            <w:tcW w:w="1503" w:type="dxa"/>
          </w:tcPr>
          <w:p>
            <w:pPr>
              <w:pStyle w:val="TableParagraph"/>
              <w:spacing w:before="27"/>
              <w:ind w:right="388"/>
              <w:jc w:val="right"/>
              <w:rPr>
                <w:sz w:val="14"/>
              </w:rPr>
            </w:pPr>
            <w:r>
              <w:rPr>
                <w:sz w:val="14"/>
              </w:rPr>
              <w:t>6,498 .9</w:t>
            </w:r>
          </w:p>
        </w:tc>
        <w:tc>
          <w:tcPr>
            <w:tcW w:w="1480" w:type="dxa"/>
          </w:tcPr>
          <w:p>
            <w:pPr>
              <w:pStyle w:val="TableParagraph"/>
              <w:spacing w:before="27"/>
              <w:ind w:right="547"/>
              <w:jc w:val="right"/>
              <w:rPr>
                <w:sz w:val="14"/>
              </w:rPr>
            </w:pPr>
            <w:r>
              <w:rPr>
                <w:sz w:val="14"/>
              </w:rPr>
              <w:t>0 . 3 %</w:t>
            </w:r>
          </w:p>
        </w:tc>
        <w:tc>
          <w:tcPr>
            <w:tcW w:w="1184" w:type="dxa"/>
          </w:tcPr>
          <w:p>
            <w:pPr>
              <w:pStyle w:val="TableParagraph"/>
              <w:spacing w:before="27"/>
              <w:ind w:right="104"/>
              <w:jc w:val="right"/>
              <w:rPr>
                <w:sz w:val="14"/>
              </w:rPr>
            </w:pPr>
            <w:r>
              <w:rPr>
                <w:sz w:val="14"/>
              </w:rPr>
              <w:t>6,888 .2</w:t>
            </w:r>
          </w:p>
        </w:tc>
        <w:tc>
          <w:tcPr>
            <w:tcW w:w="1167" w:type="dxa"/>
          </w:tcPr>
          <w:p>
            <w:pPr>
              <w:pStyle w:val="TableParagraph"/>
              <w:spacing w:before="27"/>
              <w:ind w:right="292"/>
              <w:jc w:val="right"/>
              <w:rPr>
                <w:sz w:val="14"/>
              </w:rPr>
            </w:pPr>
            <w:r>
              <w:rPr>
                <w:sz w:val="14"/>
              </w:rPr>
              <w:t>0 . 3 %</w:t>
            </w:r>
          </w:p>
        </w:tc>
      </w:tr>
      <w:tr>
        <w:trPr>
          <w:trHeight w:val="328" w:hRule="atLeast"/>
        </w:trPr>
        <w:tc>
          <w:tcPr>
            <w:tcW w:w="471" w:type="dxa"/>
          </w:tcPr>
          <w:p>
            <w:pPr>
              <w:pStyle w:val="TableParagraph"/>
              <w:rPr>
                <w:rFonts w:ascii="Times New Roman"/>
                <w:sz w:val="14"/>
              </w:rPr>
            </w:pPr>
          </w:p>
        </w:tc>
        <w:tc>
          <w:tcPr>
            <w:tcW w:w="5772" w:type="dxa"/>
          </w:tcPr>
          <w:p>
            <w:pPr>
              <w:pStyle w:val="TableParagraph"/>
              <w:spacing w:before="27"/>
              <w:ind w:left="95"/>
              <w:rPr>
                <w:sz w:val="14"/>
              </w:rPr>
            </w:pPr>
            <w:r>
              <w:rPr>
                <w:sz w:val="14"/>
              </w:rPr>
              <w:t>Non Formal Education</w:t>
            </w:r>
          </w:p>
        </w:tc>
        <w:tc>
          <w:tcPr>
            <w:tcW w:w="1849" w:type="dxa"/>
          </w:tcPr>
          <w:p>
            <w:pPr>
              <w:pStyle w:val="TableParagraph"/>
              <w:spacing w:before="27"/>
              <w:ind w:right="194"/>
              <w:jc w:val="right"/>
              <w:rPr>
                <w:b/>
                <w:sz w:val="14"/>
              </w:rPr>
            </w:pPr>
            <w:r>
              <w:rPr>
                <w:b/>
                <w:sz w:val="14"/>
              </w:rPr>
              <w:t>953.9</w:t>
            </w:r>
          </w:p>
        </w:tc>
        <w:tc>
          <w:tcPr>
            <w:tcW w:w="1366" w:type="dxa"/>
          </w:tcPr>
          <w:p>
            <w:pPr>
              <w:pStyle w:val="TableParagraph"/>
              <w:spacing w:before="27"/>
              <w:ind w:right="401"/>
              <w:jc w:val="right"/>
              <w:rPr>
                <w:sz w:val="14"/>
              </w:rPr>
            </w:pPr>
            <w:r>
              <w:rPr>
                <w:sz w:val="14"/>
              </w:rPr>
              <w:t>0 . 0 %</w:t>
            </w:r>
          </w:p>
        </w:tc>
        <w:tc>
          <w:tcPr>
            <w:tcW w:w="1503" w:type="dxa"/>
          </w:tcPr>
          <w:p>
            <w:pPr>
              <w:pStyle w:val="TableParagraph"/>
              <w:spacing w:before="27"/>
              <w:ind w:right="388"/>
              <w:jc w:val="right"/>
              <w:rPr>
                <w:sz w:val="14"/>
              </w:rPr>
            </w:pPr>
            <w:r>
              <w:rPr>
                <w:sz w:val="14"/>
              </w:rPr>
              <w:t>6,175 .0</w:t>
            </w:r>
          </w:p>
        </w:tc>
        <w:tc>
          <w:tcPr>
            <w:tcW w:w="1480" w:type="dxa"/>
          </w:tcPr>
          <w:p>
            <w:pPr>
              <w:pStyle w:val="TableParagraph"/>
              <w:spacing w:before="27"/>
              <w:ind w:right="547"/>
              <w:jc w:val="right"/>
              <w:rPr>
                <w:sz w:val="14"/>
              </w:rPr>
            </w:pPr>
            <w:r>
              <w:rPr>
                <w:sz w:val="14"/>
              </w:rPr>
              <w:t>0 . 3 %</w:t>
            </w:r>
          </w:p>
        </w:tc>
        <w:tc>
          <w:tcPr>
            <w:tcW w:w="1184" w:type="dxa"/>
          </w:tcPr>
          <w:p>
            <w:pPr>
              <w:pStyle w:val="TableParagraph"/>
              <w:spacing w:before="27"/>
              <w:ind w:right="104"/>
              <w:jc w:val="right"/>
              <w:rPr>
                <w:sz w:val="14"/>
              </w:rPr>
            </w:pPr>
            <w:r>
              <w:rPr>
                <w:sz w:val="14"/>
              </w:rPr>
              <w:t>6,544 .8</w:t>
            </w:r>
          </w:p>
        </w:tc>
        <w:tc>
          <w:tcPr>
            <w:tcW w:w="1167" w:type="dxa"/>
          </w:tcPr>
          <w:p>
            <w:pPr>
              <w:pStyle w:val="TableParagraph"/>
              <w:spacing w:before="27"/>
              <w:ind w:right="292"/>
              <w:jc w:val="right"/>
              <w:rPr>
                <w:sz w:val="14"/>
              </w:rPr>
            </w:pPr>
            <w:r>
              <w:rPr>
                <w:sz w:val="14"/>
              </w:rPr>
              <w:t>0 . 3 %</w:t>
            </w:r>
          </w:p>
        </w:tc>
      </w:tr>
      <w:tr>
        <w:trPr>
          <w:trHeight w:val="439" w:hRule="atLeast"/>
        </w:trPr>
        <w:tc>
          <w:tcPr>
            <w:tcW w:w="471" w:type="dxa"/>
          </w:tcPr>
          <w:p>
            <w:pPr>
              <w:pStyle w:val="TableParagraph"/>
              <w:spacing w:before="135"/>
              <w:ind w:right="92"/>
              <w:jc w:val="right"/>
              <w:rPr>
                <w:sz w:val="14"/>
              </w:rPr>
            </w:pPr>
            <w:r>
              <w:rPr>
                <w:w w:val="95"/>
                <w:sz w:val="14"/>
              </w:rPr>
              <w:t>312</w:t>
            </w:r>
          </w:p>
        </w:tc>
        <w:tc>
          <w:tcPr>
            <w:tcW w:w="5772" w:type="dxa"/>
          </w:tcPr>
          <w:p>
            <w:pPr>
              <w:pStyle w:val="TableParagraph"/>
              <w:spacing w:before="135"/>
              <w:ind w:left="95"/>
              <w:rPr>
                <w:sz w:val="14"/>
              </w:rPr>
            </w:pPr>
            <w:r>
              <w:rPr>
                <w:sz w:val="14"/>
              </w:rPr>
              <w:t>Teaching Service Commission</w:t>
            </w:r>
          </w:p>
        </w:tc>
        <w:tc>
          <w:tcPr>
            <w:tcW w:w="1849" w:type="dxa"/>
          </w:tcPr>
          <w:p>
            <w:pPr>
              <w:pStyle w:val="TableParagraph"/>
              <w:spacing w:before="135"/>
              <w:ind w:right="205"/>
              <w:jc w:val="right"/>
              <w:rPr>
                <w:b/>
                <w:sz w:val="14"/>
              </w:rPr>
            </w:pPr>
            <w:r>
              <w:rPr>
                <w:b/>
                <w:sz w:val="14"/>
              </w:rPr>
              <w:t>2,287.4</w:t>
            </w:r>
          </w:p>
        </w:tc>
        <w:tc>
          <w:tcPr>
            <w:tcW w:w="1366" w:type="dxa"/>
          </w:tcPr>
          <w:p>
            <w:pPr>
              <w:pStyle w:val="TableParagraph"/>
              <w:spacing w:before="135"/>
              <w:ind w:right="401"/>
              <w:jc w:val="right"/>
              <w:rPr>
                <w:sz w:val="14"/>
              </w:rPr>
            </w:pPr>
            <w:r>
              <w:rPr>
                <w:sz w:val="14"/>
              </w:rPr>
              <w:t>0 . 1 %</w:t>
            </w:r>
          </w:p>
        </w:tc>
        <w:tc>
          <w:tcPr>
            <w:tcW w:w="1503" w:type="dxa"/>
          </w:tcPr>
          <w:p>
            <w:pPr>
              <w:pStyle w:val="TableParagraph"/>
              <w:spacing w:before="135"/>
              <w:ind w:right="397"/>
              <w:jc w:val="right"/>
              <w:rPr>
                <w:sz w:val="14"/>
              </w:rPr>
            </w:pPr>
            <w:r>
              <w:rPr>
                <w:sz w:val="14"/>
              </w:rPr>
              <w:t>12,817.6</w:t>
            </w:r>
          </w:p>
        </w:tc>
        <w:tc>
          <w:tcPr>
            <w:tcW w:w="1480" w:type="dxa"/>
          </w:tcPr>
          <w:p>
            <w:pPr>
              <w:pStyle w:val="TableParagraph"/>
              <w:spacing w:before="135"/>
              <w:ind w:right="547"/>
              <w:jc w:val="right"/>
              <w:rPr>
                <w:sz w:val="14"/>
              </w:rPr>
            </w:pPr>
            <w:r>
              <w:rPr>
                <w:sz w:val="14"/>
              </w:rPr>
              <w:t>0 . 6 %</w:t>
            </w:r>
          </w:p>
        </w:tc>
        <w:tc>
          <w:tcPr>
            <w:tcW w:w="1184" w:type="dxa"/>
          </w:tcPr>
          <w:p>
            <w:pPr>
              <w:pStyle w:val="TableParagraph"/>
              <w:spacing w:before="135"/>
              <w:ind w:right="114"/>
              <w:jc w:val="right"/>
              <w:rPr>
                <w:sz w:val="14"/>
              </w:rPr>
            </w:pPr>
            <w:r>
              <w:rPr>
                <w:sz w:val="14"/>
              </w:rPr>
              <w:t>13,585.4</w:t>
            </w:r>
          </w:p>
        </w:tc>
        <w:tc>
          <w:tcPr>
            <w:tcW w:w="1167" w:type="dxa"/>
          </w:tcPr>
          <w:p>
            <w:pPr>
              <w:pStyle w:val="TableParagraph"/>
              <w:spacing w:before="135"/>
              <w:ind w:right="292"/>
              <w:jc w:val="right"/>
              <w:rPr>
                <w:sz w:val="14"/>
              </w:rPr>
            </w:pPr>
            <w:r>
              <w:rPr>
                <w:sz w:val="14"/>
              </w:rPr>
              <w:t>0 . 6 %</w:t>
            </w:r>
          </w:p>
        </w:tc>
      </w:tr>
      <w:tr>
        <w:trPr>
          <w:trHeight w:val="441" w:hRule="atLeast"/>
        </w:trPr>
        <w:tc>
          <w:tcPr>
            <w:tcW w:w="471" w:type="dxa"/>
          </w:tcPr>
          <w:p>
            <w:pPr>
              <w:pStyle w:val="TableParagraph"/>
              <w:spacing w:before="137"/>
              <w:ind w:right="92"/>
              <w:jc w:val="right"/>
              <w:rPr>
                <w:sz w:val="14"/>
              </w:rPr>
            </w:pPr>
            <w:r>
              <w:rPr>
                <w:w w:val="95"/>
                <w:sz w:val="14"/>
              </w:rPr>
              <w:t>701</w:t>
            </w:r>
          </w:p>
        </w:tc>
        <w:tc>
          <w:tcPr>
            <w:tcW w:w="5772" w:type="dxa"/>
          </w:tcPr>
          <w:p>
            <w:pPr>
              <w:pStyle w:val="TableParagraph"/>
              <w:spacing w:before="137"/>
              <w:ind w:left="96"/>
              <w:rPr>
                <w:sz w:val="14"/>
              </w:rPr>
            </w:pPr>
            <w:r>
              <w:rPr>
                <w:sz w:val="14"/>
              </w:rPr>
              <w:t>Devolved Function - Education Services</w:t>
            </w:r>
          </w:p>
        </w:tc>
        <w:tc>
          <w:tcPr>
            <w:tcW w:w="1849" w:type="dxa"/>
          </w:tcPr>
          <w:p>
            <w:pPr>
              <w:pStyle w:val="TableParagraph"/>
              <w:spacing w:before="137"/>
              <w:ind w:right="205"/>
              <w:jc w:val="right"/>
              <w:rPr>
                <w:b/>
                <w:sz w:val="14"/>
              </w:rPr>
            </w:pPr>
            <w:r>
              <w:rPr>
                <w:b/>
                <w:sz w:val="14"/>
              </w:rPr>
              <w:t>9,406.9</w:t>
            </w:r>
          </w:p>
        </w:tc>
        <w:tc>
          <w:tcPr>
            <w:tcW w:w="1366" w:type="dxa"/>
          </w:tcPr>
          <w:p>
            <w:pPr>
              <w:pStyle w:val="TableParagraph"/>
              <w:spacing w:before="137"/>
              <w:ind w:right="401"/>
              <w:jc w:val="right"/>
              <w:rPr>
                <w:sz w:val="14"/>
              </w:rPr>
            </w:pPr>
            <w:r>
              <w:rPr>
                <w:sz w:val="14"/>
              </w:rPr>
              <w:t>0 . 4 %</w:t>
            </w:r>
          </w:p>
        </w:tc>
        <w:tc>
          <w:tcPr>
            <w:tcW w:w="1503" w:type="dxa"/>
          </w:tcPr>
          <w:p>
            <w:pPr>
              <w:pStyle w:val="TableParagraph"/>
              <w:spacing w:before="137"/>
              <w:ind w:right="397"/>
              <w:jc w:val="right"/>
              <w:rPr>
                <w:sz w:val="14"/>
              </w:rPr>
            </w:pPr>
            <w:r>
              <w:rPr>
                <w:sz w:val="14"/>
              </w:rPr>
              <w:t>10,245.9</w:t>
            </w:r>
          </w:p>
        </w:tc>
        <w:tc>
          <w:tcPr>
            <w:tcW w:w="1480" w:type="dxa"/>
          </w:tcPr>
          <w:p>
            <w:pPr>
              <w:pStyle w:val="TableParagraph"/>
              <w:spacing w:before="137"/>
              <w:ind w:right="547"/>
              <w:jc w:val="right"/>
              <w:rPr>
                <w:sz w:val="14"/>
              </w:rPr>
            </w:pPr>
            <w:r>
              <w:rPr>
                <w:sz w:val="14"/>
              </w:rPr>
              <w:t>0 . 4 %</w:t>
            </w:r>
          </w:p>
        </w:tc>
        <w:tc>
          <w:tcPr>
            <w:tcW w:w="1184" w:type="dxa"/>
          </w:tcPr>
          <w:p>
            <w:pPr>
              <w:pStyle w:val="TableParagraph"/>
              <w:spacing w:before="137"/>
              <w:ind w:right="114"/>
              <w:jc w:val="right"/>
              <w:rPr>
                <w:sz w:val="14"/>
              </w:rPr>
            </w:pPr>
            <w:r>
              <w:rPr>
                <w:sz w:val="14"/>
              </w:rPr>
              <w:t>12,026.7</w:t>
            </w:r>
          </w:p>
        </w:tc>
        <w:tc>
          <w:tcPr>
            <w:tcW w:w="1167" w:type="dxa"/>
          </w:tcPr>
          <w:p>
            <w:pPr>
              <w:pStyle w:val="TableParagraph"/>
              <w:spacing w:before="137"/>
              <w:ind w:right="292"/>
              <w:jc w:val="right"/>
              <w:rPr>
                <w:sz w:val="14"/>
              </w:rPr>
            </w:pPr>
            <w:r>
              <w:rPr>
                <w:sz w:val="14"/>
              </w:rPr>
              <w:t>0 . 5 %</w:t>
            </w:r>
          </w:p>
        </w:tc>
      </w:tr>
      <w:tr>
        <w:trPr>
          <w:trHeight w:val="439" w:hRule="atLeast"/>
        </w:trPr>
        <w:tc>
          <w:tcPr>
            <w:tcW w:w="471" w:type="dxa"/>
          </w:tcPr>
          <w:p>
            <w:pPr>
              <w:pStyle w:val="TableParagraph"/>
              <w:spacing w:before="137"/>
              <w:ind w:right="98"/>
              <w:jc w:val="right"/>
              <w:rPr>
                <w:b/>
                <w:sz w:val="14"/>
              </w:rPr>
            </w:pPr>
            <w:r>
              <w:rPr>
                <w:b/>
                <w:sz w:val="14"/>
              </w:rPr>
              <w:t>1. 2</w:t>
            </w:r>
          </w:p>
        </w:tc>
        <w:tc>
          <w:tcPr>
            <w:tcW w:w="5772" w:type="dxa"/>
          </w:tcPr>
          <w:p>
            <w:pPr>
              <w:pStyle w:val="TableParagraph"/>
              <w:spacing w:before="137"/>
              <w:ind w:left="95"/>
              <w:rPr>
                <w:b/>
                <w:sz w:val="14"/>
              </w:rPr>
            </w:pPr>
            <w:r>
              <w:rPr>
                <w:b/>
                <w:sz w:val="14"/>
              </w:rPr>
              <w:t>STRENGHTENING TECHNICAL AND HIGHER EDUCATION</w:t>
            </w:r>
          </w:p>
        </w:tc>
        <w:tc>
          <w:tcPr>
            <w:tcW w:w="1849" w:type="dxa"/>
          </w:tcPr>
          <w:p>
            <w:pPr>
              <w:pStyle w:val="TableParagraph"/>
              <w:spacing w:before="137"/>
              <w:ind w:right="219"/>
              <w:jc w:val="right"/>
              <w:rPr>
                <w:b/>
                <w:sz w:val="14"/>
              </w:rPr>
            </w:pPr>
            <w:r>
              <w:rPr>
                <w:b/>
                <w:sz w:val="14"/>
              </w:rPr>
              <w:t>122,570.3</w:t>
            </w:r>
          </w:p>
        </w:tc>
        <w:tc>
          <w:tcPr>
            <w:tcW w:w="1366" w:type="dxa"/>
          </w:tcPr>
          <w:p>
            <w:pPr>
              <w:pStyle w:val="TableParagraph"/>
              <w:spacing w:before="137"/>
              <w:ind w:right="401"/>
              <w:jc w:val="right"/>
              <w:rPr>
                <w:sz w:val="14"/>
              </w:rPr>
            </w:pPr>
            <w:r>
              <w:rPr>
                <w:sz w:val="14"/>
              </w:rPr>
              <w:t>5 . 3 %</w:t>
            </w:r>
          </w:p>
        </w:tc>
        <w:tc>
          <w:tcPr>
            <w:tcW w:w="1503" w:type="dxa"/>
          </w:tcPr>
          <w:p>
            <w:pPr>
              <w:pStyle w:val="TableParagraph"/>
              <w:spacing w:before="137"/>
              <w:ind w:right="401"/>
              <w:jc w:val="right"/>
              <w:rPr>
                <w:sz w:val="14"/>
              </w:rPr>
            </w:pPr>
            <w:r>
              <w:rPr>
                <w:sz w:val="14"/>
              </w:rPr>
              <w:t>165,865.1</w:t>
            </w:r>
          </w:p>
        </w:tc>
        <w:tc>
          <w:tcPr>
            <w:tcW w:w="1480" w:type="dxa"/>
          </w:tcPr>
          <w:p>
            <w:pPr>
              <w:pStyle w:val="TableParagraph"/>
              <w:spacing w:before="137"/>
              <w:ind w:right="547"/>
              <w:jc w:val="right"/>
              <w:rPr>
                <w:sz w:val="14"/>
              </w:rPr>
            </w:pPr>
            <w:r>
              <w:rPr>
                <w:sz w:val="14"/>
              </w:rPr>
              <w:t>7 . 2 %</w:t>
            </w:r>
          </w:p>
        </w:tc>
        <w:tc>
          <w:tcPr>
            <w:tcW w:w="1184" w:type="dxa"/>
          </w:tcPr>
          <w:p>
            <w:pPr>
              <w:pStyle w:val="TableParagraph"/>
              <w:spacing w:before="137"/>
              <w:ind w:right="113"/>
              <w:jc w:val="right"/>
              <w:rPr>
                <w:sz w:val="14"/>
              </w:rPr>
            </w:pPr>
            <w:r>
              <w:rPr>
                <w:sz w:val="14"/>
              </w:rPr>
              <w:t>247,894.8</w:t>
            </w:r>
          </w:p>
        </w:tc>
        <w:tc>
          <w:tcPr>
            <w:tcW w:w="1167" w:type="dxa"/>
          </w:tcPr>
          <w:p>
            <w:pPr>
              <w:pStyle w:val="TableParagraph"/>
              <w:spacing w:before="137"/>
              <w:ind w:right="297"/>
              <w:jc w:val="right"/>
              <w:rPr>
                <w:sz w:val="14"/>
              </w:rPr>
            </w:pPr>
            <w:r>
              <w:rPr>
                <w:sz w:val="14"/>
              </w:rPr>
              <w:t>1 0 . 7 %</w:t>
            </w:r>
          </w:p>
        </w:tc>
      </w:tr>
      <w:tr>
        <w:trPr>
          <w:trHeight w:val="328" w:hRule="atLeast"/>
        </w:trPr>
        <w:tc>
          <w:tcPr>
            <w:tcW w:w="471" w:type="dxa"/>
          </w:tcPr>
          <w:p>
            <w:pPr>
              <w:pStyle w:val="TableParagraph"/>
              <w:spacing w:before="135"/>
              <w:ind w:right="92"/>
              <w:jc w:val="right"/>
              <w:rPr>
                <w:sz w:val="14"/>
              </w:rPr>
            </w:pPr>
            <w:r>
              <w:rPr>
                <w:w w:val="95"/>
                <w:sz w:val="14"/>
              </w:rPr>
              <w:t>300</w:t>
            </w:r>
          </w:p>
        </w:tc>
        <w:tc>
          <w:tcPr>
            <w:tcW w:w="5772" w:type="dxa"/>
          </w:tcPr>
          <w:p>
            <w:pPr>
              <w:pStyle w:val="TableParagraph"/>
              <w:spacing w:before="135"/>
              <w:ind w:left="96"/>
              <w:rPr>
                <w:sz w:val="14"/>
              </w:rPr>
            </w:pPr>
            <w:r>
              <w:rPr>
                <w:sz w:val="14"/>
              </w:rPr>
              <w:t>Ministry of Technical and Higher Education</w:t>
            </w:r>
          </w:p>
        </w:tc>
        <w:tc>
          <w:tcPr>
            <w:tcW w:w="1849" w:type="dxa"/>
          </w:tcPr>
          <w:p>
            <w:pPr>
              <w:pStyle w:val="TableParagraph"/>
              <w:spacing w:before="135"/>
              <w:ind w:right="217"/>
              <w:jc w:val="right"/>
              <w:rPr>
                <w:b/>
                <w:sz w:val="14"/>
              </w:rPr>
            </w:pPr>
            <w:r>
              <w:rPr>
                <w:b/>
                <w:sz w:val="14"/>
              </w:rPr>
              <w:t>121,981.9</w:t>
            </w:r>
          </w:p>
        </w:tc>
        <w:tc>
          <w:tcPr>
            <w:tcW w:w="1366" w:type="dxa"/>
          </w:tcPr>
          <w:p>
            <w:pPr>
              <w:pStyle w:val="TableParagraph"/>
              <w:spacing w:before="135"/>
              <w:ind w:right="401"/>
              <w:jc w:val="right"/>
              <w:rPr>
                <w:sz w:val="14"/>
              </w:rPr>
            </w:pPr>
            <w:r>
              <w:rPr>
                <w:sz w:val="14"/>
              </w:rPr>
              <w:t>5 . 3 %</w:t>
            </w:r>
          </w:p>
        </w:tc>
        <w:tc>
          <w:tcPr>
            <w:tcW w:w="1503" w:type="dxa"/>
          </w:tcPr>
          <w:p>
            <w:pPr>
              <w:pStyle w:val="TableParagraph"/>
              <w:spacing w:before="135"/>
              <w:ind w:right="400"/>
              <w:jc w:val="right"/>
              <w:rPr>
                <w:sz w:val="14"/>
              </w:rPr>
            </w:pPr>
            <w:r>
              <w:rPr>
                <w:sz w:val="14"/>
              </w:rPr>
              <w:t>165,140.4</w:t>
            </w:r>
          </w:p>
        </w:tc>
        <w:tc>
          <w:tcPr>
            <w:tcW w:w="1480" w:type="dxa"/>
          </w:tcPr>
          <w:p>
            <w:pPr>
              <w:pStyle w:val="TableParagraph"/>
              <w:spacing w:before="135"/>
              <w:ind w:right="547"/>
              <w:jc w:val="right"/>
              <w:rPr>
                <w:sz w:val="14"/>
              </w:rPr>
            </w:pPr>
            <w:r>
              <w:rPr>
                <w:sz w:val="14"/>
              </w:rPr>
              <w:t>7 . 1 %</w:t>
            </w:r>
          </w:p>
        </w:tc>
        <w:tc>
          <w:tcPr>
            <w:tcW w:w="1184" w:type="dxa"/>
          </w:tcPr>
          <w:p>
            <w:pPr>
              <w:pStyle w:val="TableParagraph"/>
              <w:spacing w:before="135"/>
              <w:ind w:right="116"/>
              <w:jc w:val="right"/>
              <w:rPr>
                <w:sz w:val="14"/>
              </w:rPr>
            </w:pPr>
            <w:r>
              <w:rPr>
                <w:sz w:val="14"/>
              </w:rPr>
              <w:t>247,126.7</w:t>
            </w:r>
          </w:p>
        </w:tc>
        <w:tc>
          <w:tcPr>
            <w:tcW w:w="1167" w:type="dxa"/>
          </w:tcPr>
          <w:p>
            <w:pPr>
              <w:pStyle w:val="TableParagraph"/>
              <w:spacing w:before="135"/>
              <w:ind w:right="297"/>
              <w:jc w:val="right"/>
              <w:rPr>
                <w:sz w:val="14"/>
              </w:rPr>
            </w:pPr>
            <w:r>
              <w:rPr>
                <w:sz w:val="14"/>
              </w:rPr>
              <w:t>1 0 . 7 %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95"/>
              <w:rPr>
                <w:sz w:val="14"/>
              </w:rPr>
            </w:pPr>
            <w:r>
              <w:rPr>
                <w:sz w:val="14"/>
              </w:rPr>
              <w:t>Administrative and Operating Costs</w:t>
            </w:r>
          </w:p>
        </w:tc>
        <w:tc>
          <w:tcPr>
            <w:tcW w:w="1849" w:type="dxa"/>
          </w:tcPr>
          <w:p>
            <w:pPr>
              <w:pStyle w:val="TableParagraph"/>
              <w:spacing w:before="27"/>
              <w:ind w:right="212"/>
              <w:jc w:val="right"/>
              <w:rPr>
                <w:b/>
                <w:sz w:val="14"/>
              </w:rPr>
            </w:pPr>
            <w:r>
              <w:rPr>
                <w:b/>
                <w:sz w:val="14"/>
              </w:rPr>
              <w:t>11,254.7</w:t>
            </w:r>
          </w:p>
        </w:tc>
        <w:tc>
          <w:tcPr>
            <w:tcW w:w="1366" w:type="dxa"/>
          </w:tcPr>
          <w:p>
            <w:pPr>
              <w:pStyle w:val="TableParagraph"/>
              <w:spacing w:before="27"/>
              <w:ind w:right="401"/>
              <w:jc w:val="right"/>
              <w:rPr>
                <w:sz w:val="14"/>
              </w:rPr>
            </w:pPr>
            <w:r>
              <w:rPr>
                <w:sz w:val="14"/>
              </w:rPr>
              <w:t>0 . 5 %</w:t>
            </w:r>
          </w:p>
        </w:tc>
        <w:tc>
          <w:tcPr>
            <w:tcW w:w="1503" w:type="dxa"/>
          </w:tcPr>
          <w:p>
            <w:pPr>
              <w:pStyle w:val="TableParagraph"/>
              <w:spacing w:before="27"/>
              <w:ind w:right="397"/>
              <w:jc w:val="right"/>
              <w:rPr>
                <w:sz w:val="14"/>
              </w:rPr>
            </w:pPr>
            <w:r>
              <w:rPr>
                <w:sz w:val="14"/>
              </w:rPr>
              <w:t>33,863.4</w:t>
            </w:r>
          </w:p>
        </w:tc>
        <w:tc>
          <w:tcPr>
            <w:tcW w:w="1480" w:type="dxa"/>
          </w:tcPr>
          <w:p>
            <w:pPr>
              <w:pStyle w:val="TableParagraph"/>
              <w:spacing w:before="27"/>
              <w:ind w:right="547"/>
              <w:jc w:val="right"/>
              <w:rPr>
                <w:sz w:val="14"/>
              </w:rPr>
            </w:pPr>
            <w:r>
              <w:rPr>
                <w:sz w:val="14"/>
              </w:rPr>
              <w:t>1 . 5 %</w:t>
            </w:r>
          </w:p>
        </w:tc>
        <w:tc>
          <w:tcPr>
            <w:tcW w:w="1184" w:type="dxa"/>
          </w:tcPr>
          <w:p>
            <w:pPr>
              <w:pStyle w:val="TableParagraph"/>
              <w:spacing w:before="27"/>
              <w:ind w:right="114"/>
              <w:jc w:val="right"/>
              <w:rPr>
                <w:sz w:val="14"/>
              </w:rPr>
            </w:pPr>
            <w:r>
              <w:rPr>
                <w:sz w:val="14"/>
              </w:rPr>
              <w:t>35,891.8</w:t>
            </w:r>
          </w:p>
        </w:tc>
        <w:tc>
          <w:tcPr>
            <w:tcW w:w="1167" w:type="dxa"/>
          </w:tcPr>
          <w:p>
            <w:pPr>
              <w:pStyle w:val="TableParagraph"/>
              <w:spacing w:before="27"/>
              <w:ind w:right="292"/>
              <w:jc w:val="right"/>
              <w:rPr>
                <w:sz w:val="14"/>
              </w:rPr>
            </w:pPr>
            <w:r>
              <w:rPr>
                <w:sz w:val="14"/>
              </w:rPr>
              <w:t>1 . 6 %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95"/>
              <w:rPr>
                <w:sz w:val="14"/>
              </w:rPr>
            </w:pPr>
            <w:r>
              <w:rPr>
                <w:sz w:val="14"/>
              </w:rPr>
              <w:t>Tertiary Education and Technical and Vocational Education and Training</w:t>
            </w:r>
          </w:p>
        </w:tc>
        <w:tc>
          <w:tcPr>
            <w:tcW w:w="1849" w:type="dxa"/>
          </w:tcPr>
          <w:p>
            <w:pPr>
              <w:pStyle w:val="TableParagraph"/>
              <w:spacing w:before="27"/>
              <w:ind w:right="219"/>
              <w:jc w:val="right"/>
              <w:rPr>
                <w:b/>
                <w:sz w:val="14"/>
              </w:rPr>
            </w:pPr>
            <w:r>
              <w:rPr>
                <w:b/>
                <w:sz w:val="14"/>
              </w:rPr>
              <w:t>109,714.4</w:t>
            </w:r>
          </w:p>
        </w:tc>
        <w:tc>
          <w:tcPr>
            <w:tcW w:w="1366" w:type="dxa"/>
          </w:tcPr>
          <w:p>
            <w:pPr>
              <w:pStyle w:val="TableParagraph"/>
              <w:spacing w:before="27"/>
              <w:ind w:right="401"/>
              <w:jc w:val="right"/>
              <w:rPr>
                <w:sz w:val="14"/>
              </w:rPr>
            </w:pPr>
            <w:r>
              <w:rPr>
                <w:sz w:val="14"/>
              </w:rPr>
              <w:t>4 . 7 %</w:t>
            </w:r>
          </w:p>
        </w:tc>
        <w:tc>
          <w:tcPr>
            <w:tcW w:w="1503" w:type="dxa"/>
          </w:tcPr>
          <w:p>
            <w:pPr>
              <w:pStyle w:val="TableParagraph"/>
              <w:spacing w:before="27"/>
              <w:ind w:right="401"/>
              <w:jc w:val="right"/>
              <w:rPr>
                <w:sz w:val="14"/>
              </w:rPr>
            </w:pPr>
            <w:r>
              <w:rPr>
                <w:sz w:val="14"/>
              </w:rPr>
              <w:t>130,029.4</w:t>
            </w:r>
          </w:p>
        </w:tc>
        <w:tc>
          <w:tcPr>
            <w:tcW w:w="1480" w:type="dxa"/>
          </w:tcPr>
          <w:p>
            <w:pPr>
              <w:pStyle w:val="TableParagraph"/>
              <w:spacing w:before="27"/>
              <w:ind w:right="547"/>
              <w:jc w:val="right"/>
              <w:rPr>
                <w:sz w:val="14"/>
              </w:rPr>
            </w:pPr>
            <w:r>
              <w:rPr>
                <w:sz w:val="14"/>
              </w:rPr>
              <w:t>5 . 6 %</w:t>
            </w:r>
          </w:p>
        </w:tc>
        <w:tc>
          <w:tcPr>
            <w:tcW w:w="1184" w:type="dxa"/>
          </w:tcPr>
          <w:p>
            <w:pPr>
              <w:pStyle w:val="TableParagraph"/>
              <w:spacing w:before="27"/>
              <w:ind w:right="113"/>
              <w:jc w:val="right"/>
              <w:rPr>
                <w:sz w:val="14"/>
              </w:rPr>
            </w:pPr>
            <w:r>
              <w:rPr>
                <w:sz w:val="14"/>
              </w:rPr>
              <w:t>209,912.5</w:t>
            </w:r>
          </w:p>
        </w:tc>
        <w:tc>
          <w:tcPr>
            <w:tcW w:w="1167" w:type="dxa"/>
          </w:tcPr>
          <w:p>
            <w:pPr>
              <w:pStyle w:val="TableParagraph"/>
              <w:spacing w:before="27"/>
              <w:ind w:right="292"/>
              <w:jc w:val="right"/>
              <w:rPr>
                <w:sz w:val="14"/>
              </w:rPr>
            </w:pPr>
            <w:r>
              <w:rPr>
                <w:sz w:val="14"/>
              </w:rPr>
              <w:t>9 . 1 %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Grants-in-Aid</w:t>
            </w:r>
          </w:p>
        </w:tc>
        <w:tc>
          <w:tcPr>
            <w:tcW w:w="1849" w:type="dxa"/>
          </w:tcPr>
          <w:p>
            <w:pPr>
              <w:pStyle w:val="TableParagraph"/>
              <w:spacing w:before="27"/>
              <w:ind w:right="212"/>
              <w:jc w:val="right"/>
              <w:rPr>
                <w:b/>
                <w:sz w:val="14"/>
              </w:rPr>
            </w:pPr>
            <w:r>
              <w:rPr>
                <w:b/>
                <w:sz w:val="14"/>
              </w:rPr>
              <w:t>14,966.6</w:t>
            </w:r>
          </w:p>
        </w:tc>
        <w:tc>
          <w:tcPr>
            <w:tcW w:w="1366" w:type="dxa"/>
          </w:tcPr>
          <w:p>
            <w:pPr>
              <w:pStyle w:val="TableParagraph"/>
              <w:spacing w:before="27"/>
              <w:ind w:right="401"/>
              <w:jc w:val="right"/>
              <w:rPr>
                <w:sz w:val="14"/>
              </w:rPr>
            </w:pPr>
            <w:r>
              <w:rPr>
                <w:sz w:val="14"/>
              </w:rPr>
              <w:t>0 . 6 %</w:t>
            </w:r>
          </w:p>
        </w:tc>
        <w:tc>
          <w:tcPr>
            <w:tcW w:w="1503" w:type="dxa"/>
          </w:tcPr>
          <w:p>
            <w:pPr>
              <w:pStyle w:val="TableParagraph"/>
              <w:spacing w:before="27"/>
              <w:ind w:right="397"/>
              <w:jc w:val="right"/>
              <w:rPr>
                <w:sz w:val="14"/>
              </w:rPr>
            </w:pPr>
            <w:r>
              <w:rPr>
                <w:sz w:val="14"/>
              </w:rPr>
              <w:t>28,435.7</w:t>
            </w:r>
          </w:p>
        </w:tc>
        <w:tc>
          <w:tcPr>
            <w:tcW w:w="1480" w:type="dxa"/>
          </w:tcPr>
          <w:p>
            <w:pPr>
              <w:pStyle w:val="TableParagraph"/>
              <w:spacing w:before="27"/>
              <w:ind w:right="547"/>
              <w:jc w:val="right"/>
              <w:rPr>
                <w:sz w:val="14"/>
              </w:rPr>
            </w:pPr>
            <w:r>
              <w:rPr>
                <w:sz w:val="14"/>
              </w:rPr>
              <w:t>1 . 2 %</w:t>
            </w:r>
          </w:p>
        </w:tc>
        <w:tc>
          <w:tcPr>
            <w:tcW w:w="1184" w:type="dxa"/>
          </w:tcPr>
          <w:p>
            <w:pPr>
              <w:pStyle w:val="TableParagraph"/>
              <w:spacing w:before="27"/>
              <w:ind w:right="114"/>
              <w:jc w:val="right"/>
              <w:rPr>
                <w:sz w:val="14"/>
              </w:rPr>
            </w:pPr>
            <w:r>
              <w:rPr>
                <w:sz w:val="14"/>
              </w:rPr>
              <w:t>30,139.0</w:t>
            </w:r>
          </w:p>
        </w:tc>
        <w:tc>
          <w:tcPr>
            <w:tcW w:w="1167" w:type="dxa"/>
          </w:tcPr>
          <w:p>
            <w:pPr>
              <w:pStyle w:val="TableParagraph"/>
              <w:spacing w:before="27"/>
              <w:ind w:right="292"/>
              <w:jc w:val="right"/>
              <w:rPr>
                <w:sz w:val="14"/>
              </w:rPr>
            </w:pPr>
            <w:r>
              <w:rPr>
                <w:sz w:val="14"/>
              </w:rPr>
              <w:t>1 . 3 %</w:t>
            </w:r>
          </w:p>
        </w:tc>
      </w:tr>
      <w:tr>
        <w:trPr>
          <w:trHeight w:val="218"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Tertiary Education Commission</w:t>
            </w:r>
          </w:p>
        </w:tc>
        <w:tc>
          <w:tcPr>
            <w:tcW w:w="1849" w:type="dxa"/>
          </w:tcPr>
          <w:p>
            <w:pPr>
              <w:pStyle w:val="TableParagraph"/>
              <w:spacing w:before="27"/>
              <w:ind w:right="205"/>
              <w:jc w:val="right"/>
              <w:rPr>
                <w:b/>
                <w:sz w:val="14"/>
              </w:rPr>
            </w:pPr>
            <w:r>
              <w:rPr>
                <w:b/>
                <w:sz w:val="14"/>
              </w:rPr>
              <w:t>1,700.4</w:t>
            </w:r>
          </w:p>
        </w:tc>
        <w:tc>
          <w:tcPr>
            <w:tcW w:w="1366" w:type="dxa"/>
          </w:tcPr>
          <w:p>
            <w:pPr>
              <w:pStyle w:val="TableParagraph"/>
              <w:spacing w:before="27"/>
              <w:ind w:right="401"/>
              <w:jc w:val="right"/>
              <w:rPr>
                <w:sz w:val="14"/>
              </w:rPr>
            </w:pPr>
            <w:r>
              <w:rPr>
                <w:sz w:val="14"/>
              </w:rPr>
              <w:t>0 . 1 %</w:t>
            </w:r>
          </w:p>
        </w:tc>
        <w:tc>
          <w:tcPr>
            <w:tcW w:w="1503" w:type="dxa"/>
          </w:tcPr>
          <w:p>
            <w:pPr>
              <w:pStyle w:val="TableParagraph"/>
              <w:spacing w:before="27"/>
              <w:ind w:right="388"/>
              <w:jc w:val="right"/>
              <w:rPr>
                <w:sz w:val="14"/>
              </w:rPr>
            </w:pPr>
            <w:r>
              <w:rPr>
                <w:sz w:val="14"/>
              </w:rPr>
              <w:t>2,094 .6</w:t>
            </w:r>
          </w:p>
        </w:tc>
        <w:tc>
          <w:tcPr>
            <w:tcW w:w="1480" w:type="dxa"/>
          </w:tcPr>
          <w:p>
            <w:pPr>
              <w:pStyle w:val="TableParagraph"/>
              <w:spacing w:before="27"/>
              <w:ind w:right="547"/>
              <w:jc w:val="right"/>
              <w:rPr>
                <w:sz w:val="14"/>
              </w:rPr>
            </w:pPr>
            <w:r>
              <w:rPr>
                <w:sz w:val="14"/>
              </w:rPr>
              <w:t>0 . 1 %</w:t>
            </w:r>
          </w:p>
        </w:tc>
        <w:tc>
          <w:tcPr>
            <w:tcW w:w="1184" w:type="dxa"/>
          </w:tcPr>
          <w:p>
            <w:pPr>
              <w:pStyle w:val="TableParagraph"/>
              <w:spacing w:before="27"/>
              <w:ind w:right="104"/>
              <w:jc w:val="right"/>
              <w:rPr>
                <w:sz w:val="14"/>
              </w:rPr>
            </w:pPr>
            <w:r>
              <w:rPr>
                <w:sz w:val="14"/>
              </w:rPr>
              <w:t>2,220 .0</w:t>
            </w:r>
          </w:p>
        </w:tc>
        <w:tc>
          <w:tcPr>
            <w:tcW w:w="1167" w:type="dxa"/>
          </w:tcPr>
          <w:p>
            <w:pPr>
              <w:pStyle w:val="TableParagraph"/>
              <w:spacing w:before="27"/>
              <w:ind w:right="292"/>
              <w:jc w:val="right"/>
              <w:rPr>
                <w:sz w:val="14"/>
              </w:rPr>
            </w:pPr>
            <w:r>
              <w:rPr>
                <w:sz w:val="14"/>
              </w:rPr>
              <w:t>0 . 1 %</w:t>
            </w:r>
          </w:p>
        </w:tc>
      </w:tr>
      <w:tr>
        <w:trPr>
          <w:trHeight w:val="218" w:hRule="atLeast"/>
        </w:trPr>
        <w:tc>
          <w:tcPr>
            <w:tcW w:w="471" w:type="dxa"/>
          </w:tcPr>
          <w:p>
            <w:pPr>
              <w:pStyle w:val="TableParagraph"/>
              <w:rPr>
                <w:rFonts w:ascii="Times New Roman"/>
                <w:sz w:val="14"/>
              </w:rPr>
            </w:pPr>
          </w:p>
        </w:tc>
        <w:tc>
          <w:tcPr>
            <w:tcW w:w="5772" w:type="dxa"/>
          </w:tcPr>
          <w:p>
            <w:pPr>
              <w:pStyle w:val="TableParagraph"/>
              <w:spacing w:before="25"/>
              <w:ind w:left="263"/>
              <w:rPr>
                <w:sz w:val="14"/>
              </w:rPr>
            </w:pPr>
            <w:r>
              <w:rPr>
                <w:sz w:val="14"/>
              </w:rPr>
              <w:t>Tuition Fees Subsidies</w:t>
            </w:r>
          </w:p>
        </w:tc>
        <w:tc>
          <w:tcPr>
            <w:tcW w:w="1849" w:type="dxa"/>
          </w:tcPr>
          <w:p>
            <w:pPr>
              <w:pStyle w:val="TableParagraph"/>
              <w:spacing w:before="25"/>
              <w:ind w:right="205"/>
              <w:jc w:val="right"/>
              <w:rPr>
                <w:b/>
                <w:sz w:val="14"/>
              </w:rPr>
            </w:pPr>
            <w:r>
              <w:rPr>
                <w:b/>
                <w:sz w:val="14"/>
              </w:rPr>
              <w:t>2,215.8</w:t>
            </w:r>
          </w:p>
        </w:tc>
        <w:tc>
          <w:tcPr>
            <w:tcW w:w="1366" w:type="dxa"/>
          </w:tcPr>
          <w:p>
            <w:pPr>
              <w:pStyle w:val="TableParagraph"/>
              <w:spacing w:before="25"/>
              <w:ind w:right="401"/>
              <w:jc w:val="right"/>
              <w:rPr>
                <w:sz w:val="14"/>
              </w:rPr>
            </w:pPr>
            <w:r>
              <w:rPr>
                <w:sz w:val="14"/>
              </w:rPr>
              <w:t>0 . 1 %</w:t>
            </w:r>
          </w:p>
        </w:tc>
        <w:tc>
          <w:tcPr>
            <w:tcW w:w="1503" w:type="dxa"/>
          </w:tcPr>
          <w:p>
            <w:pPr>
              <w:pStyle w:val="TableParagraph"/>
              <w:spacing w:before="25"/>
              <w:ind w:right="388"/>
              <w:jc w:val="right"/>
              <w:rPr>
                <w:sz w:val="14"/>
              </w:rPr>
            </w:pPr>
            <w:r>
              <w:rPr>
                <w:sz w:val="14"/>
              </w:rPr>
              <w:t>2,130 .7</w:t>
            </w:r>
          </w:p>
        </w:tc>
        <w:tc>
          <w:tcPr>
            <w:tcW w:w="1480" w:type="dxa"/>
          </w:tcPr>
          <w:p>
            <w:pPr>
              <w:pStyle w:val="TableParagraph"/>
              <w:spacing w:before="25"/>
              <w:ind w:right="547"/>
              <w:jc w:val="right"/>
              <w:rPr>
                <w:sz w:val="14"/>
              </w:rPr>
            </w:pPr>
            <w:r>
              <w:rPr>
                <w:sz w:val="14"/>
              </w:rPr>
              <w:t>0 . 1 %</w:t>
            </w:r>
          </w:p>
        </w:tc>
        <w:tc>
          <w:tcPr>
            <w:tcW w:w="1184" w:type="dxa"/>
          </w:tcPr>
          <w:p>
            <w:pPr>
              <w:pStyle w:val="TableParagraph"/>
              <w:spacing w:before="25"/>
              <w:ind w:right="104"/>
              <w:jc w:val="right"/>
              <w:rPr>
                <w:sz w:val="14"/>
              </w:rPr>
            </w:pPr>
            <w:r>
              <w:rPr>
                <w:sz w:val="14"/>
              </w:rPr>
              <w:t>2,258 .3</w:t>
            </w:r>
          </w:p>
        </w:tc>
        <w:tc>
          <w:tcPr>
            <w:tcW w:w="1167" w:type="dxa"/>
          </w:tcPr>
          <w:p>
            <w:pPr>
              <w:pStyle w:val="TableParagraph"/>
              <w:spacing w:before="25"/>
              <w:ind w:right="292"/>
              <w:jc w:val="right"/>
              <w:rPr>
                <w:sz w:val="14"/>
              </w:rPr>
            </w:pPr>
            <w:r>
              <w:rPr>
                <w:sz w:val="14"/>
              </w:rPr>
              <w:t>0 . 1 %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Grants to Tertiary Education</w:t>
            </w:r>
          </w:p>
        </w:tc>
        <w:tc>
          <w:tcPr>
            <w:tcW w:w="1849" w:type="dxa"/>
          </w:tcPr>
          <w:p>
            <w:pPr>
              <w:pStyle w:val="TableParagraph"/>
              <w:spacing w:before="27"/>
              <w:ind w:right="212"/>
              <w:jc w:val="right"/>
              <w:rPr>
                <w:b/>
                <w:sz w:val="14"/>
              </w:rPr>
            </w:pPr>
            <w:r>
              <w:rPr>
                <w:b/>
                <w:sz w:val="14"/>
              </w:rPr>
              <w:t>80,000.0</w:t>
            </w:r>
          </w:p>
        </w:tc>
        <w:tc>
          <w:tcPr>
            <w:tcW w:w="1366" w:type="dxa"/>
          </w:tcPr>
          <w:p>
            <w:pPr>
              <w:pStyle w:val="TableParagraph"/>
              <w:spacing w:before="27"/>
              <w:ind w:right="401"/>
              <w:jc w:val="right"/>
              <w:rPr>
                <w:sz w:val="14"/>
              </w:rPr>
            </w:pPr>
            <w:r>
              <w:rPr>
                <w:sz w:val="14"/>
              </w:rPr>
              <w:t>3 . 5 %</w:t>
            </w:r>
          </w:p>
        </w:tc>
        <w:tc>
          <w:tcPr>
            <w:tcW w:w="1503" w:type="dxa"/>
          </w:tcPr>
          <w:p>
            <w:pPr>
              <w:pStyle w:val="TableParagraph"/>
              <w:spacing w:before="27"/>
              <w:ind w:right="397"/>
              <w:jc w:val="right"/>
              <w:rPr>
                <w:sz w:val="14"/>
              </w:rPr>
            </w:pPr>
            <w:r>
              <w:rPr>
                <w:sz w:val="14"/>
              </w:rPr>
              <w:t>84,026.2</w:t>
            </w:r>
          </w:p>
        </w:tc>
        <w:tc>
          <w:tcPr>
            <w:tcW w:w="1480" w:type="dxa"/>
          </w:tcPr>
          <w:p>
            <w:pPr>
              <w:pStyle w:val="TableParagraph"/>
              <w:spacing w:before="27"/>
              <w:ind w:right="547"/>
              <w:jc w:val="right"/>
              <w:rPr>
                <w:sz w:val="14"/>
              </w:rPr>
            </w:pPr>
            <w:r>
              <w:rPr>
                <w:sz w:val="14"/>
              </w:rPr>
              <w:t>3 . 6 %</w:t>
            </w:r>
          </w:p>
        </w:tc>
        <w:tc>
          <w:tcPr>
            <w:tcW w:w="1184" w:type="dxa"/>
          </w:tcPr>
          <w:p>
            <w:pPr>
              <w:pStyle w:val="TableParagraph"/>
              <w:spacing w:before="27"/>
              <w:ind w:right="113"/>
              <w:jc w:val="right"/>
              <w:rPr>
                <w:sz w:val="14"/>
              </w:rPr>
            </w:pPr>
            <w:r>
              <w:rPr>
                <w:sz w:val="14"/>
              </w:rPr>
              <w:t>101,153.7</w:t>
            </w:r>
          </w:p>
        </w:tc>
        <w:tc>
          <w:tcPr>
            <w:tcW w:w="1167" w:type="dxa"/>
          </w:tcPr>
          <w:p>
            <w:pPr>
              <w:pStyle w:val="TableParagraph"/>
              <w:spacing w:before="27"/>
              <w:ind w:right="292"/>
              <w:jc w:val="right"/>
              <w:rPr>
                <w:sz w:val="14"/>
              </w:rPr>
            </w:pPr>
            <w:r>
              <w:rPr>
                <w:sz w:val="14"/>
              </w:rPr>
              <w:t>4 . 4 %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Grants for Tertiary Entrance Application Forms</w:t>
            </w:r>
          </w:p>
        </w:tc>
        <w:tc>
          <w:tcPr>
            <w:tcW w:w="1849" w:type="dxa"/>
          </w:tcPr>
          <w:p>
            <w:pPr>
              <w:pStyle w:val="TableParagraph"/>
              <w:spacing w:before="27"/>
              <w:ind w:right="205"/>
              <w:jc w:val="right"/>
              <w:rPr>
                <w:b/>
                <w:sz w:val="14"/>
              </w:rPr>
            </w:pPr>
            <w:r>
              <w:rPr>
                <w:b/>
                <w:sz w:val="14"/>
              </w:rPr>
              <w:t>3,797.1</w:t>
            </w:r>
          </w:p>
        </w:tc>
        <w:tc>
          <w:tcPr>
            <w:tcW w:w="1366" w:type="dxa"/>
          </w:tcPr>
          <w:p>
            <w:pPr>
              <w:pStyle w:val="TableParagraph"/>
              <w:spacing w:before="27"/>
              <w:ind w:right="401"/>
              <w:jc w:val="right"/>
              <w:rPr>
                <w:sz w:val="14"/>
              </w:rPr>
            </w:pPr>
            <w:r>
              <w:rPr>
                <w:sz w:val="14"/>
              </w:rPr>
              <w:t>0 . 2 %</w:t>
            </w:r>
          </w:p>
        </w:tc>
        <w:tc>
          <w:tcPr>
            <w:tcW w:w="1503" w:type="dxa"/>
          </w:tcPr>
          <w:p>
            <w:pPr>
              <w:pStyle w:val="TableParagraph"/>
              <w:spacing w:before="27"/>
              <w:ind w:right="388"/>
              <w:jc w:val="right"/>
              <w:rPr>
                <w:sz w:val="14"/>
              </w:rPr>
            </w:pPr>
            <w:r>
              <w:rPr>
                <w:sz w:val="14"/>
              </w:rPr>
              <w:t>4,677 .2</w:t>
            </w:r>
          </w:p>
        </w:tc>
        <w:tc>
          <w:tcPr>
            <w:tcW w:w="1480" w:type="dxa"/>
          </w:tcPr>
          <w:p>
            <w:pPr>
              <w:pStyle w:val="TableParagraph"/>
              <w:spacing w:before="27"/>
              <w:ind w:right="547"/>
              <w:jc w:val="right"/>
              <w:rPr>
                <w:sz w:val="14"/>
              </w:rPr>
            </w:pPr>
            <w:r>
              <w:rPr>
                <w:sz w:val="14"/>
              </w:rPr>
              <w:t>0 . 2 %</w:t>
            </w:r>
          </w:p>
        </w:tc>
        <w:tc>
          <w:tcPr>
            <w:tcW w:w="1184" w:type="dxa"/>
          </w:tcPr>
          <w:p>
            <w:pPr>
              <w:pStyle w:val="TableParagraph"/>
              <w:spacing w:before="27"/>
              <w:ind w:right="104"/>
              <w:jc w:val="right"/>
              <w:rPr>
                <w:sz w:val="14"/>
              </w:rPr>
            </w:pPr>
            <w:r>
              <w:rPr>
                <w:sz w:val="14"/>
              </w:rPr>
              <w:t>4,957 .3</w:t>
            </w:r>
          </w:p>
        </w:tc>
        <w:tc>
          <w:tcPr>
            <w:tcW w:w="1167" w:type="dxa"/>
          </w:tcPr>
          <w:p>
            <w:pPr>
              <w:pStyle w:val="TableParagraph"/>
              <w:spacing w:before="27"/>
              <w:ind w:right="292"/>
              <w:jc w:val="right"/>
              <w:rPr>
                <w:sz w:val="14"/>
              </w:rPr>
            </w:pPr>
            <w:r>
              <w:rPr>
                <w:sz w:val="14"/>
              </w:rPr>
              <w:t>0 . 2 %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Student’s Loan Scheme</w:t>
            </w:r>
          </w:p>
        </w:tc>
        <w:tc>
          <w:tcPr>
            <w:tcW w:w="1849" w:type="dxa"/>
          </w:tcPr>
          <w:p>
            <w:pPr>
              <w:pStyle w:val="TableParagraph"/>
              <w:spacing w:before="27"/>
              <w:ind w:right="205"/>
              <w:jc w:val="right"/>
              <w:rPr>
                <w:b/>
                <w:sz w:val="14"/>
              </w:rPr>
            </w:pPr>
            <w:r>
              <w:rPr>
                <w:b/>
                <w:sz w:val="14"/>
              </w:rPr>
              <w:t>2,406.5</w:t>
            </w:r>
          </w:p>
        </w:tc>
        <w:tc>
          <w:tcPr>
            <w:tcW w:w="1366" w:type="dxa"/>
          </w:tcPr>
          <w:p>
            <w:pPr>
              <w:pStyle w:val="TableParagraph"/>
              <w:spacing w:before="27"/>
              <w:ind w:right="401"/>
              <w:jc w:val="right"/>
              <w:rPr>
                <w:sz w:val="14"/>
              </w:rPr>
            </w:pPr>
            <w:r>
              <w:rPr>
                <w:sz w:val="14"/>
              </w:rPr>
              <w:t>0 . 1 %</w:t>
            </w:r>
          </w:p>
        </w:tc>
        <w:tc>
          <w:tcPr>
            <w:tcW w:w="1503" w:type="dxa"/>
          </w:tcPr>
          <w:p>
            <w:pPr>
              <w:pStyle w:val="TableParagraph"/>
              <w:spacing w:before="27"/>
              <w:ind w:right="388"/>
              <w:jc w:val="right"/>
              <w:rPr>
                <w:sz w:val="14"/>
              </w:rPr>
            </w:pPr>
            <w:r>
              <w:rPr>
                <w:sz w:val="14"/>
              </w:rPr>
              <w:t>2,964 .2</w:t>
            </w:r>
          </w:p>
        </w:tc>
        <w:tc>
          <w:tcPr>
            <w:tcW w:w="1480" w:type="dxa"/>
          </w:tcPr>
          <w:p>
            <w:pPr>
              <w:pStyle w:val="TableParagraph"/>
              <w:spacing w:before="27"/>
              <w:ind w:right="547"/>
              <w:jc w:val="right"/>
              <w:rPr>
                <w:sz w:val="14"/>
              </w:rPr>
            </w:pPr>
            <w:r>
              <w:rPr>
                <w:sz w:val="14"/>
              </w:rPr>
              <w:t>0 . 1 %</w:t>
            </w:r>
          </w:p>
        </w:tc>
        <w:tc>
          <w:tcPr>
            <w:tcW w:w="1184" w:type="dxa"/>
          </w:tcPr>
          <w:p>
            <w:pPr>
              <w:pStyle w:val="TableParagraph"/>
              <w:spacing w:before="27"/>
              <w:ind w:right="114"/>
              <w:jc w:val="right"/>
              <w:rPr>
                <w:sz w:val="14"/>
              </w:rPr>
            </w:pPr>
            <w:r>
              <w:rPr>
                <w:sz w:val="14"/>
              </w:rPr>
              <w:t>63,141.8</w:t>
            </w:r>
          </w:p>
        </w:tc>
        <w:tc>
          <w:tcPr>
            <w:tcW w:w="1167" w:type="dxa"/>
          </w:tcPr>
          <w:p>
            <w:pPr>
              <w:pStyle w:val="TableParagraph"/>
              <w:spacing w:before="27"/>
              <w:ind w:right="292"/>
              <w:jc w:val="right"/>
              <w:rPr>
                <w:sz w:val="14"/>
              </w:rPr>
            </w:pPr>
            <w:r>
              <w:rPr>
                <w:sz w:val="14"/>
              </w:rPr>
              <w:t>2 . 7 %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Technical/ Vocational Education</w:t>
            </w:r>
          </w:p>
        </w:tc>
        <w:tc>
          <w:tcPr>
            <w:tcW w:w="1849" w:type="dxa"/>
          </w:tcPr>
          <w:p>
            <w:pPr>
              <w:pStyle w:val="TableParagraph"/>
              <w:spacing w:before="27"/>
              <w:ind w:right="205"/>
              <w:jc w:val="right"/>
              <w:rPr>
                <w:b/>
                <w:sz w:val="14"/>
              </w:rPr>
            </w:pPr>
            <w:r>
              <w:rPr>
                <w:b/>
                <w:sz w:val="14"/>
              </w:rPr>
              <w:t>4,628.1</w:t>
            </w:r>
          </w:p>
        </w:tc>
        <w:tc>
          <w:tcPr>
            <w:tcW w:w="1366" w:type="dxa"/>
          </w:tcPr>
          <w:p>
            <w:pPr>
              <w:pStyle w:val="TableParagraph"/>
              <w:spacing w:before="27"/>
              <w:ind w:right="401"/>
              <w:jc w:val="right"/>
              <w:rPr>
                <w:sz w:val="14"/>
              </w:rPr>
            </w:pPr>
            <w:r>
              <w:rPr>
                <w:sz w:val="14"/>
              </w:rPr>
              <w:t>0 . 2 %</w:t>
            </w:r>
          </w:p>
        </w:tc>
        <w:tc>
          <w:tcPr>
            <w:tcW w:w="1503" w:type="dxa"/>
          </w:tcPr>
          <w:p>
            <w:pPr>
              <w:pStyle w:val="TableParagraph"/>
              <w:spacing w:before="27"/>
              <w:ind w:right="388"/>
              <w:jc w:val="right"/>
              <w:rPr>
                <w:sz w:val="14"/>
              </w:rPr>
            </w:pPr>
            <w:r>
              <w:rPr>
                <w:sz w:val="14"/>
              </w:rPr>
              <w:t>5,700 .8</w:t>
            </w:r>
          </w:p>
        </w:tc>
        <w:tc>
          <w:tcPr>
            <w:tcW w:w="1480" w:type="dxa"/>
          </w:tcPr>
          <w:p>
            <w:pPr>
              <w:pStyle w:val="TableParagraph"/>
              <w:spacing w:before="27"/>
              <w:ind w:right="547"/>
              <w:jc w:val="right"/>
              <w:rPr>
                <w:sz w:val="14"/>
              </w:rPr>
            </w:pPr>
            <w:r>
              <w:rPr>
                <w:sz w:val="14"/>
              </w:rPr>
              <w:t>0 . 2 %</w:t>
            </w:r>
          </w:p>
        </w:tc>
        <w:tc>
          <w:tcPr>
            <w:tcW w:w="1184" w:type="dxa"/>
          </w:tcPr>
          <w:p>
            <w:pPr>
              <w:pStyle w:val="TableParagraph"/>
              <w:spacing w:before="27"/>
              <w:ind w:right="104"/>
              <w:jc w:val="right"/>
              <w:rPr>
                <w:sz w:val="14"/>
              </w:rPr>
            </w:pPr>
            <w:r>
              <w:rPr>
                <w:sz w:val="14"/>
              </w:rPr>
              <w:t>6,042 .3</w:t>
            </w:r>
          </w:p>
        </w:tc>
        <w:tc>
          <w:tcPr>
            <w:tcW w:w="1167" w:type="dxa"/>
          </w:tcPr>
          <w:p>
            <w:pPr>
              <w:pStyle w:val="TableParagraph"/>
              <w:spacing w:before="27"/>
              <w:ind w:right="292"/>
              <w:jc w:val="right"/>
              <w:rPr>
                <w:sz w:val="14"/>
              </w:rPr>
            </w:pPr>
            <w:r>
              <w:rPr>
                <w:sz w:val="14"/>
              </w:rPr>
              <w:t>0 . 3 %</w:t>
            </w:r>
          </w:p>
        </w:tc>
      </w:tr>
      <w:tr>
        <w:trPr>
          <w:trHeight w:val="218" w:hRule="atLeast"/>
        </w:trPr>
        <w:tc>
          <w:tcPr>
            <w:tcW w:w="471" w:type="dxa"/>
          </w:tcPr>
          <w:p>
            <w:pPr>
              <w:pStyle w:val="TableParagraph"/>
              <w:rPr>
                <w:rFonts w:ascii="Times New Roman"/>
                <w:sz w:val="14"/>
              </w:rPr>
            </w:pPr>
          </w:p>
        </w:tc>
        <w:tc>
          <w:tcPr>
            <w:tcW w:w="5772" w:type="dxa"/>
          </w:tcPr>
          <w:p>
            <w:pPr>
              <w:pStyle w:val="TableParagraph"/>
              <w:spacing w:before="27"/>
              <w:ind w:left="263"/>
              <w:rPr>
                <w:sz w:val="14"/>
              </w:rPr>
            </w:pPr>
            <w:r>
              <w:rPr>
                <w:sz w:val="14"/>
              </w:rPr>
              <w:t>Science and Technology Committee</w:t>
            </w:r>
          </w:p>
        </w:tc>
        <w:tc>
          <w:tcPr>
            <w:tcW w:w="1849" w:type="dxa"/>
          </w:tcPr>
          <w:p>
            <w:pPr>
              <w:pStyle w:val="TableParagraph"/>
              <w:spacing w:before="27"/>
              <w:ind w:right="194"/>
              <w:jc w:val="right"/>
              <w:rPr>
                <w:b/>
                <w:sz w:val="14"/>
              </w:rPr>
            </w:pPr>
            <w:r>
              <w:rPr>
                <w:b/>
                <w:sz w:val="14"/>
              </w:rPr>
              <w:t>277.1</w:t>
            </w:r>
          </w:p>
        </w:tc>
        <w:tc>
          <w:tcPr>
            <w:tcW w:w="1366" w:type="dxa"/>
          </w:tcPr>
          <w:p>
            <w:pPr>
              <w:pStyle w:val="TableParagraph"/>
              <w:spacing w:before="27"/>
              <w:ind w:right="401"/>
              <w:jc w:val="right"/>
              <w:rPr>
                <w:sz w:val="14"/>
              </w:rPr>
            </w:pPr>
            <w:r>
              <w:rPr>
                <w:sz w:val="14"/>
              </w:rPr>
              <w:t>0 . 0 %</w:t>
            </w:r>
          </w:p>
        </w:tc>
        <w:tc>
          <w:tcPr>
            <w:tcW w:w="1503" w:type="dxa"/>
          </w:tcPr>
          <w:p>
            <w:pPr>
              <w:pStyle w:val="TableParagraph"/>
              <w:spacing w:before="27"/>
              <w:ind w:right="385"/>
              <w:jc w:val="right"/>
              <w:rPr>
                <w:sz w:val="14"/>
              </w:rPr>
            </w:pPr>
            <w:r>
              <w:rPr>
                <w:sz w:val="14"/>
              </w:rPr>
              <w:t>341.4</w:t>
            </w:r>
          </w:p>
        </w:tc>
        <w:tc>
          <w:tcPr>
            <w:tcW w:w="1480" w:type="dxa"/>
          </w:tcPr>
          <w:p>
            <w:pPr>
              <w:pStyle w:val="TableParagraph"/>
              <w:spacing w:before="27"/>
              <w:ind w:right="547"/>
              <w:jc w:val="right"/>
              <w:rPr>
                <w:sz w:val="14"/>
              </w:rPr>
            </w:pPr>
            <w:r>
              <w:rPr>
                <w:sz w:val="14"/>
              </w:rPr>
              <w:t>0 . 0 %</w:t>
            </w:r>
          </w:p>
        </w:tc>
        <w:tc>
          <w:tcPr>
            <w:tcW w:w="1184" w:type="dxa"/>
          </w:tcPr>
          <w:p>
            <w:pPr>
              <w:pStyle w:val="TableParagraph"/>
              <w:spacing w:before="27"/>
              <w:ind w:right="102"/>
              <w:jc w:val="right"/>
              <w:rPr>
                <w:sz w:val="14"/>
              </w:rPr>
            </w:pPr>
            <w:r>
              <w:rPr>
                <w:sz w:val="14"/>
              </w:rPr>
              <w:t>361.8</w:t>
            </w:r>
          </w:p>
        </w:tc>
        <w:tc>
          <w:tcPr>
            <w:tcW w:w="1167" w:type="dxa"/>
          </w:tcPr>
          <w:p>
            <w:pPr>
              <w:pStyle w:val="TableParagraph"/>
              <w:spacing w:before="27"/>
              <w:ind w:right="292"/>
              <w:jc w:val="right"/>
              <w:rPr>
                <w:sz w:val="14"/>
              </w:rPr>
            </w:pPr>
            <w:r>
              <w:rPr>
                <w:sz w:val="14"/>
              </w:rPr>
              <w:t>0 . 0 %</w:t>
            </w:r>
          </w:p>
        </w:tc>
      </w:tr>
      <w:tr>
        <w:trPr>
          <w:trHeight w:val="220" w:hRule="atLeast"/>
        </w:trPr>
        <w:tc>
          <w:tcPr>
            <w:tcW w:w="471" w:type="dxa"/>
          </w:tcPr>
          <w:p>
            <w:pPr>
              <w:pStyle w:val="TableParagraph"/>
              <w:rPr>
                <w:rFonts w:ascii="Times New Roman"/>
                <w:sz w:val="14"/>
              </w:rPr>
            </w:pPr>
          </w:p>
        </w:tc>
        <w:tc>
          <w:tcPr>
            <w:tcW w:w="5772" w:type="dxa"/>
          </w:tcPr>
          <w:p>
            <w:pPr>
              <w:pStyle w:val="TableParagraph"/>
              <w:spacing w:before="25"/>
              <w:ind w:left="264"/>
              <w:rPr>
                <w:sz w:val="14"/>
              </w:rPr>
            </w:pPr>
            <w:r>
              <w:rPr>
                <w:sz w:val="14"/>
              </w:rPr>
              <w:t>Barefoot Solar Technicians Training Centre</w:t>
            </w:r>
          </w:p>
        </w:tc>
        <w:tc>
          <w:tcPr>
            <w:tcW w:w="1849" w:type="dxa"/>
          </w:tcPr>
          <w:p>
            <w:pPr>
              <w:pStyle w:val="TableParagraph"/>
              <w:spacing w:before="25"/>
              <w:ind w:right="194"/>
              <w:jc w:val="right"/>
              <w:rPr>
                <w:b/>
                <w:sz w:val="14"/>
              </w:rPr>
            </w:pPr>
            <w:r>
              <w:rPr>
                <w:b/>
                <w:sz w:val="14"/>
              </w:rPr>
              <w:t>735.7</w:t>
            </w:r>
          </w:p>
        </w:tc>
        <w:tc>
          <w:tcPr>
            <w:tcW w:w="1366" w:type="dxa"/>
          </w:tcPr>
          <w:p>
            <w:pPr>
              <w:pStyle w:val="TableParagraph"/>
              <w:spacing w:before="25"/>
              <w:ind w:right="401"/>
              <w:jc w:val="right"/>
              <w:rPr>
                <w:sz w:val="14"/>
              </w:rPr>
            </w:pPr>
            <w:r>
              <w:rPr>
                <w:sz w:val="14"/>
              </w:rPr>
              <w:t>0 . 0 %</w:t>
            </w:r>
          </w:p>
        </w:tc>
        <w:tc>
          <w:tcPr>
            <w:tcW w:w="1503" w:type="dxa"/>
          </w:tcPr>
          <w:p>
            <w:pPr>
              <w:pStyle w:val="TableParagraph"/>
              <w:spacing w:before="25"/>
              <w:ind w:right="385"/>
              <w:jc w:val="right"/>
              <w:rPr>
                <w:sz w:val="14"/>
              </w:rPr>
            </w:pPr>
            <w:r>
              <w:rPr>
                <w:sz w:val="14"/>
              </w:rPr>
              <w:t>906.2</w:t>
            </w:r>
          </w:p>
        </w:tc>
        <w:tc>
          <w:tcPr>
            <w:tcW w:w="1480" w:type="dxa"/>
          </w:tcPr>
          <w:p>
            <w:pPr>
              <w:pStyle w:val="TableParagraph"/>
              <w:spacing w:before="25"/>
              <w:ind w:right="547"/>
              <w:jc w:val="right"/>
              <w:rPr>
                <w:sz w:val="14"/>
              </w:rPr>
            </w:pPr>
            <w:r>
              <w:rPr>
                <w:sz w:val="14"/>
              </w:rPr>
              <w:t>0 . 0 %</w:t>
            </w:r>
          </w:p>
        </w:tc>
        <w:tc>
          <w:tcPr>
            <w:tcW w:w="1184" w:type="dxa"/>
          </w:tcPr>
          <w:p>
            <w:pPr>
              <w:pStyle w:val="TableParagraph"/>
              <w:spacing w:before="25"/>
              <w:ind w:right="102"/>
              <w:jc w:val="right"/>
              <w:rPr>
                <w:sz w:val="14"/>
              </w:rPr>
            </w:pPr>
            <w:r>
              <w:rPr>
                <w:sz w:val="14"/>
              </w:rPr>
              <w:t>960.5</w:t>
            </w:r>
          </w:p>
        </w:tc>
        <w:tc>
          <w:tcPr>
            <w:tcW w:w="1167" w:type="dxa"/>
          </w:tcPr>
          <w:p>
            <w:pPr>
              <w:pStyle w:val="TableParagraph"/>
              <w:spacing w:before="25"/>
              <w:ind w:right="292"/>
              <w:jc w:val="right"/>
              <w:rPr>
                <w:sz w:val="14"/>
              </w:rPr>
            </w:pPr>
            <w:r>
              <w:rPr>
                <w:sz w:val="14"/>
              </w:rPr>
              <w:t>0 . 0 %</w:t>
            </w:r>
          </w:p>
        </w:tc>
      </w:tr>
    </w:tbl>
    <w:p>
      <w:pPr>
        <w:spacing w:after="0"/>
        <w:jc w:val="right"/>
        <w:rPr>
          <w:sz w:val="14"/>
        </w:rPr>
        <w:sectPr>
          <w:headerReference w:type="default" r:id="rId8"/>
          <w:pgSz w:w="16840" w:h="11900" w:orient="landscape"/>
          <w:pgMar w:header="1059" w:footer="0" w:top="2460" w:bottom="280" w:left="880" w:right="920"/>
        </w:sectPr>
      </w:pPr>
    </w:p>
    <w:p>
      <w:pPr>
        <w:pStyle w:val="BodyText"/>
        <w:rPr>
          <w:rFonts w:ascii="Times New Roman"/>
          <w:sz w:val="6"/>
        </w:rPr>
      </w:pPr>
      <w:r>
        <w:rPr/>
        <w:pict>
          <v:shape style="position:absolute;margin-left:27.140491pt;margin-top:284.670013pt;width:14.35pt;height:21.9pt;mso-position-horizontal-relative:page;mso-position-vertical-relative:page;z-index:1480" type="#_x0000_t202" filled="false" stroked="false">
            <v:textbox inset="0,0,0,0" style="layout-flow:vertical">
              <w:txbxContent>
                <w:p>
                  <w:pPr>
                    <w:spacing w:before="13"/>
                    <w:ind w:left="20" w:right="0" w:firstLine="0"/>
                    <w:jc w:val="left"/>
                    <w:rPr>
                      <w:rFonts w:ascii="Arial"/>
                      <w:sz w:val="22"/>
                    </w:rPr>
                  </w:pPr>
                  <w:r>
                    <w:rPr>
                      <w:rFonts w:ascii="Arial"/>
                      <w:sz w:val="22"/>
                    </w:rPr>
                    <w:t>xviii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22"/>
        <w:gridCol w:w="1803"/>
        <w:gridCol w:w="566"/>
        <w:gridCol w:w="1366"/>
        <w:gridCol w:w="1503"/>
        <w:gridCol w:w="1480"/>
        <w:gridCol w:w="1184"/>
        <w:gridCol w:w="1167"/>
      </w:tblGrid>
      <w:tr>
        <w:trPr>
          <w:trHeight w:val="567" w:hRule="atLeast"/>
        </w:trPr>
        <w:tc>
          <w:tcPr>
            <w:tcW w:w="7525" w:type="dxa"/>
            <w:gridSpan w:val="2"/>
            <w:tcBorders>
              <w:bottom w:val="single" w:sz="18" w:space="0" w:color="000000"/>
            </w:tcBorders>
          </w:tcPr>
          <w:p>
            <w:pPr>
              <w:pStyle w:val="TableParagraph"/>
              <w:spacing w:before="29"/>
              <w:ind w:right="27"/>
              <w:jc w:val="right"/>
              <w:rPr>
                <w:b/>
                <w:sz w:val="14"/>
              </w:rPr>
            </w:pPr>
            <w:r>
              <w:rPr>
                <w:b/>
                <w:spacing w:val="2"/>
                <w:sz w:val="14"/>
              </w:rPr>
              <w:t>FY</w:t>
            </w:r>
            <w:r>
              <w:rPr>
                <w:b/>
                <w:spacing w:val="6"/>
                <w:sz w:val="14"/>
              </w:rPr>
              <w:t> </w:t>
            </w:r>
            <w:r>
              <w:rPr>
                <w:b/>
                <w:spacing w:val="4"/>
                <w:sz w:val="14"/>
              </w:rPr>
              <w:t>2020</w:t>
            </w:r>
          </w:p>
          <w:p>
            <w:pPr>
              <w:pStyle w:val="TableParagraph"/>
              <w:spacing w:before="17"/>
              <w:ind w:right="18"/>
              <w:jc w:val="right"/>
              <w:rPr>
                <w:sz w:val="14"/>
              </w:rPr>
            </w:pPr>
            <w:r>
              <w:rPr>
                <w:sz w:val="14"/>
              </w:rPr>
              <w:t>Budget</w:t>
            </w:r>
          </w:p>
        </w:tc>
        <w:tc>
          <w:tcPr>
            <w:tcW w:w="1932" w:type="dxa"/>
            <w:gridSpan w:val="2"/>
            <w:tcBorders>
              <w:bottom w:val="single" w:sz="18" w:space="0" w:color="000000"/>
            </w:tcBorders>
          </w:tcPr>
          <w:p>
            <w:pPr>
              <w:pStyle w:val="TableParagraph"/>
              <w:spacing w:line="264" w:lineRule="auto" w:before="29"/>
              <w:ind w:left="764" w:right="209" w:firstLine="91"/>
              <w:rPr>
                <w:sz w:val="14"/>
              </w:rPr>
            </w:pPr>
            <w:r>
              <w:rPr>
                <w:sz w:val="14"/>
              </w:rPr>
              <w:t>% of Total Non Int/ Sal</w:t>
            </w:r>
          </w:p>
        </w:tc>
        <w:tc>
          <w:tcPr>
            <w:tcW w:w="1503" w:type="dxa"/>
            <w:tcBorders>
              <w:bottom w:val="single" w:sz="18" w:space="0" w:color="000000"/>
            </w:tcBorders>
          </w:tcPr>
          <w:p>
            <w:pPr>
              <w:pStyle w:val="TableParagraph"/>
              <w:spacing w:before="29"/>
              <w:ind w:left="542"/>
              <w:rPr>
                <w:b/>
                <w:sz w:val="14"/>
              </w:rPr>
            </w:pPr>
            <w:r>
              <w:rPr>
                <w:b/>
                <w:spacing w:val="2"/>
                <w:sz w:val="14"/>
              </w:rPr>
              <w:t>FY</w:t>
            </w:r>
            <w:r>
              <w:rPr>
                <w:b/>
                <w:spacing w:val="6"/>
                <w:sz w:val="14"/>
              </w:rPr>
              <w:t> </w:t>
            </w:r>
            <w:r>
              <w:rPr>
                <w:b/>
                <w:spacing w:val="4"/>
                <w:sz w:val="14"/>
              </w:rPr>
              <w:t>2021</w:t>
            </w:r>
          </w:p>
          <w:p>
            <w:pPr>
              <w:pStyle w:val="TableParagraph"/>
              <w:spacing w:before="17"/>
              <w:ind w:left="484"/>
              <w:rPr>
                <w:sz w:val="14"/>
              </w:rPr>
            </w:pPr>
            <w:r>
              <w:rPr>
                <w:spacing w:val="3"/>
                <w:sz w:val="14"/>
              </w:rPr>
              <w:t>Indicative</w:t>
            </w:r>
          </w:p>
        </w:tc>
        <w:tc>
          <w:tcPr>
            <w:tcW w:w="1480" w:type="dxa"/>
            <w:tcBorders>
              <w:bottom w:val="single" w:sz="18" w:space="0" w:color="000000"/>
            </w:tcBorders>
          </w:tcPr>
          <w:p>
            <w:pPr>
              <w:pStyle w:val="TableParagraph"/>
              <w:spacing w:line="249" w:lineRule="auto" w:before="29"/>
              <w:ind w:left="392" w:right="331" w:firstLine="86"/>
              <w:jc w:val="both"/>
              <w:rPr>
                <w:sz w:val="14"/>
              </w:rPr>
            </w:pPr>
            <w:r>
              <w:rPr>
                <w:sz w:val="14"/>
              </w:rPr>
              <w:t>% of Total Non Int/ Sal Recurr Exp</w:t>
            </w:r>
          </w:p>
        </w:tc>
        <w:tc>
          <w:tcPr>
            <w:tcW w:w="1184" w:type="dxa"/>
            <w:tcBorders>
              <w:bottom w:val="single" w:sz="18" w:space="0" w:color="000000"/>
            </w:tcBorders>
          </w:tcPr>
          <w:p>
            <w:pPr>
              <w:pStyle w:val="TableParagraph"/>
              <w:spacing w:before="29"/>
              <w:ind w:left="338"/>
              <w:rPr>
                <w:b/>
                <w:sz w:val="14"/>
              </w:rPr>
            </w:pPr>
            <w:r>
              <w:rPr>
                <w:b/>
                <w:sz w:val="14"/>
              </w:rPr>
              <w:t>FY 2022</w:t>
            </w:r>
          </w:p>
        </w:tc>
        <w:tc>
          <w:tcPr>
            <w:tcW w:w="1167" w:type="dxa"/>
            <w:tcBorders>
              <w:bottom w:val="single" w:sz="18" w:space="0" w:color="000000"/>
            </w:tcBorders>
          </w:tcPr>
          <w:p>
            <w:pPr>
              <w:pStyle w:val="TableParagraph"/>
              <w:spacing w:line="249" w:lineRule="auto" w:before="29"/>
              <w:ind w:left="108" w:right="301" w:firstLine="86"/>
              <w:jc w:val="both"/>
              <w:rPr>
                <w:sz w:val="14"/>
              </w:rPr>
            </w:pPr>
            <w:r>
              <w:rPr>
                <w:sz w:val="14"/>
              </w:rPr>
              <w:t>% of Total Non Int/ Sal Recurr Exp</w:t>
            </w:r>
          </w:p>
        </w:tc>
      </w:tr>
      <w:tr>
        <w:trPr>
          <w:trHeight w:val="390" w:hRule="atLeast"/>
        </w:trPr>
        <w:tc>
          <w:tcPr>
            <w:tcW w:w="8091" w:type="dxa"/>
            <w:gridSpan w:val="3"/>
            <w:tcBorders>
              <w:top w:val="single" w:sz="18" w:space="0" w:color="000000"/>
            </w:tcBorders>
          </w:tcPr>
          <w:p>
            <w:pPr>
              <w:pStyle w:val="TableParagraph"/>
              <w:tabs>
                <w:tab w:pos="7895" w:val="right" w:leader="none"/>
              </w:tabs>
              <w:spacing w:before="88"/>
              <w:ind w:left="125"/>
              <w:rPr>
                <w:b/>
                <w:sz w:val="14"/>
              </w:rPr>
            </w:pPr>
            <w:r>
              <w:rPr>
                <w:spacing w:val="6"/>
                <w:sz w:val="14"/>
              </w:rPr>
              <w:t>316 </w:t>
            </w:r>
            <w:r>
              <w:rPr>
                <w:spacing w:val="5"/>
                <w:sz w:val="14"/>
              </w:rPr>
              <w:t>Civil </w:t>
            </w:r>
            <w:r>
              <w:rPr>
                <w:spacing w:val="4"/>
                <w:sz w:val="14"/>
              </w:rPr>
              <w:t>Service</w:t>
            </w:r>
            <w:r>
              <w:rPr>
                <w:spacing w:val="17"/>
                <w:sz w:val="14"/>
              </w:rPr>
              <w:t> </w:t>
            </w:r>
            <w:r>
              <w:rPr>
                <w:spacing w:val="6"/>
                <w:sz w:val="14"/>
              </w:rPr>
              <w:t>Training</w:t>
            </w:r>
            <w:r>
              <w:rPr>
                <w:spacing w:val="10"/>
                <w:sz w:val="14"/>
              </w:rPr>
              <w:t> </w:t>
            </w:r>
            <w:r>
              <w:rPr>
                <w:spacing w:val="2"/>
                <w:sz w:val="14"/>
              </w:rPr>
              <w:t>College</w:t>
              <w:tab/>
            </w:r>
            <w:r>
              <w:rPr>
                <w:b/>
                <w:sz w:val="14"/>
              </w:rPr>
              <w:t>588.3</w:t>
            </w:r>
          </w:p>
        </w:tc>
        <w:tc>
          <w:tcPr>
            <w:tcW w:w="1366" w:type="dxa"/>
            <w:tcBorders>
              <w:top w:val="single" w:sz="18" w:space="0" w:color="000000"/>
            </w:tcBorders>
          </w:tcPr>
          <w:p>
            <w:pPr>
              <w:pStyle w:val="TableParagraph"/>
              <w:spacing w:before="88"/>
              <w:ind w:right="400"/>
              <w:jc w:val="right"/>
              <w:rPr>
                <w:sz w:val="14"/>
              </w:rPr>
            </w:pPr>
            <w:r>
              <w:rPr>
                <w:sz w:val="14"/>
              </w:rPr>
              <w:t>0 . 0 %</w:t>
            </w:r>
          </w:p>
        </w:tc>
        <w:tc>
          <w:tcPr>
            <w:tcW w:w="1503" w:type="dxa"/>
            <w:tcBorders>
              <w:top w:val="single" w:sz="18" w:space="0" w:color="000000"/>
            </w:tcBorders>
          </w:tcPr>
          <w:p>
            <w:pPr>
              <w:pStyle w:val="TableParagraph"/>
              <w:spacing w:before="88"/>
              <w:ind w:right="384"/>
              <w:jc w:val="right"/>
              <w:rPr>
                <w:sz w:val="14"/>
              </w:rPr>
            </w:pPr>
            <w:r>
              <w:rPr>
                <w:sz w:val="14"/>
              </w:rPr>
              <w:t>724.7</w:t>
            </w:r>
          </w:p>
        </w:tc>
        <w:tc>
          <w:tcPr>
            <w:tcW w:w="1480" w:type="dxa"/>
            <w:tcBorders>
              <w:top w:val="single" w:sz="18" w:space="0" w:color="000000"/>
            </w:tcBorders>
          </w:tcPr>
          <w:p>
            <w:pPr>
              <w:pStyle w:val="TableParagraph"/>
              <w:spacing w:before="88"/>
              <w:ind w:right="546"/>
              <w:jc w:val="right"/>
              <w:rPr>
                <w:sz w:val="14"/>
              </w:rPr>
            </w:pPr>
            <w:r>
              <w:rPr>
                <w:sz w:val="14"/>
              </w:rPr>
              <w:t>0 . 0 %</w:t>
            </w:r>
          </w:p>
        </w:tc>
        <w:tc>
          <w:tcPr>
            <w:tcW w:w="1184" w:type="dxa"/>
            <w:tcBorders>
              <w:top w:val="single" w:sz="18" w:space="0" w:color="000000"/>
            </w:tcBorders>
          </w:tcPr>
          <w:p>
            <w:pPr>
              <w:pStyle w:val="TableParagraph"/>
              <w:spacing w:before="88"/>
              <w:ind w:right="101"/>
              <w:jc w:val="right"/>
              <w:rPr>
                <w:sz w:val="14"/>
              </w:rPr>
            </w:pPr>
            <w:r>
              <w:rPr>
                <w:sz w:val="14"/>
              </w:rPr>
              <w:t>768.1</w:t>
            </w:r>
          </w:p>
        </w:tc>
        <w:tc>
          <w:tcPr>
            <w:tcW w:w="1167" w:type="dxa"/>
            <w:tcBorders>
              <w:top w:val="single" w:sz="18" w:space="0" w:color="000000"/>
            </w:tcBorders>
          </w:tcPr>
          <w:p>
            <w:pPr>
              <w:pStyle w:val="TableParagraph"/>
              <w:spacing w:before="88"/>
              <w:ind w:right="291"/>
              <w:jc w:val="right"/>
              <w:rPr>
                <w:sz w:val="14"/>
              </w:rPr>
            </w:pPr>
            <w:r>
              <w:rPr>
                <w:sz w:val="14"/>
              </w:rPr>
              <w:t>0 . 0 %</w:t>
            </w:r>
          </w:p>
        </w:tc>
      </w:tr>
      <w:tr>
        <w:trPr>
          <w:trHeight w:val="439" w:hRule="atLeast"/>
        </w:trPr>
        <w:tc>
          <w:tcPr>
            <w:tcW w:w="5722" w:type="dxa"/>
          </w:tcPr>
          <w:p>
            <w:pPr>
              <w:pStyle w:val="TableParagraph"/>
              <w:spacing w:before="135"/>
              <w:ind w:left="43"/>
              <w:rPr>
                <w:b/>
                <w:sz w:val="14"/>
              </w:rPr>
            </w:pPr>
            <w:r>
              <w:rPr>
                <w:b/>
                <w:sz w:val="14"/>
              </w:rPr>
              <w:t>CLUSTER 2 OTHER HUMAN DEVELOPMENT</w:t>
            </w:r>
          </w:p>
        </w:tc>
        <w:tc>
          <w:tcPr>
            <w:tcW w:w="2369" w:type="dxa"/>
            <w:gridSpan w:val="2"/>
          </w:tcPr>
          <w:p>
            <w:pPr>
              <w:pStyle w:val="TableParagraph"/>
              <w:spacing w:before="135"/>
              <w:ind w:left="1507"/>
              <w:rPr>
                <w:b/>
                <w:sz w:val="14"/>
              </w:rPr>
            </w:pPr>
            <w:r>
              <w:rPr>
                <w:b/>
                <w:sz w:val="14"/>
              </w:rPr>
              <w:t>228,109.7</w:t>
            </w:r>
          </w:p>
        </w:tc>
        <w:tc>
          <w:tcPr>
            <w:tcW w:w="1366" w:type="dxa"/>
          </w:tcPr>
          <w:p>
            <w:pPr>
              <w:pStyle w:val="TableParagraph"/>
              <w:spacing w:before="135"/>
              <w:ind w:right="400"/>
              <w:jc w:val="right"/>
              <w:rPr>
                <w:sz w:val="14"/>
              </w:rPr>
            </w:pPr>
            <w:r>
              <w:rPr>
                <w:sz w:val="14"/>
              </w:rPr>
              <w:t>9 . 9 %</w:t>
            </w:r>
          </w:p>
        </w:tc>
        <w:tc>
          <w:tcPr>
            <w:tcW w:w="1503" w:type="dxa"/>
          </w:tcPr>
          <w:p>
            <w:pPr>
              <w:pStyle w:val="TableParagraph"/>
              <w:spacing w:before="135"/>
              <w:ind w:right="400"/>
              <w:jc w:val="right"/>
              <w:rPr>
                <w:sz w:val="14"/>
              </w:rPr>
            </w:pPr>
            <w:r>
              <w:rPr>
                <w:sz w:val="14"/>
              </w:rPr>
              <w:t>235,367.0</w:t>
            </w:r>
          </w:p>
        </w:tc>
        <w:tc>
          <w:tcPr>
            <w:tcW w:w="1480" w:type="dxa"/>
          </w:tcPr>
          <w:p>
            <w:pPr>
              <w:pStyle w:val="TableParagraph"/>
              <w:spacing w:before="135"/>
              <w:ind w:right="551"/>
              <w:jc w:val="right"/>
              <w:rPr>
                <w:sz w:val="14"/>
              </w:rPr>
            </w:pPr>
            <w:r>
              <w:rPr>
                <w:sz w:val="14"/>
              </w:rPr>
              <w:t>1 0 . 2 %</w:t>
            </w:r>
          </w:p>
        </w:tc>
        <w:tc>
          <w:tcPr>
            <w:tcW w:w="1184" w:type="dxa"/>
          </w:tcPr>
          <w:p>
            <w:pPr>
              <w:pStyle w:val="TableParagraph"/>
              <w:spacing w:before="135"/>
              <w:ind w:right="117"/>
              <w:jc w:val="right"/>
              <w:rPr>
                <w:sz w:val="14"/>
              </w:rPr>
            </w:pPr>
            <w:r>
              <w:rPr>
                <w:sz w:val="14"/>
              </w:rPr>
              <w:t>338,936.3</w:t>
            </w:r>
          </w:p>
        </w:tc>
        <w:tc>
          <w:tcPr>
            <w:tcW w:w="1167" w:type="dxa"/>
          </w:tcPr>
          <w:p>
            <w:pPr>
              <w:pStyle w:val="TableParagraph"/>
              <w:spacing w:before="135"/>
              <w:ind w:right="296"/>
              <w:jc w:val="right"/>
              <w:rPr>
                <w:sz w:val="14"/>
              </w:rPr>
            </w:pPr>
            <w:r>
              <w:rPr>
                <w:sz w:val="14"/>
              </w:rPr>
              <w:t>1 4 . 6 %</w:t>
            </w:r>
          </w:p>
        </w:tc>
      </w:tr>
      <w:tr>
        <w:trPr>
          <w:trHeight w:val="441" w:hRule="atLeast"/>
        </w:trPr>
        <w:tc>
          <w:tcPr>
            <w:tcW w:w="5722" w:type="dxa"/>
          </w:tcPr>
          <w:p>
            <w:pPr>
              <w:pStyle w:val="TableParagraph"/>
              <w:spacing w:before="137"/>
              <w:ind w:left="74"/>
              <w:rPr>
                <w:b/>
                <w:sz w:val="14"/>
              </w:rPr>
            </w:pPr>
            <w:r>
              <w:rPr>
                <w:b/>
                <w:sz w:val="14"/>
              </w:rPr>
              <w:t>2.1 HEALTHCARE IMPROVEMENT</w:t>
            </w:r>
          </w:p>
        </w:tc>
        <w:tc>
          <w:tcPr>
            <w:tcW w:w="2369" w:type="dxa"/>
            <w:gridSpan w:val="2"/>
          </w:tcPr>
          <w:p>
            <w:pPr>
              <w:pStyle w:val="TableParagraph"/>
              <w:spacing w:before="137"/>
              <w:ind w:left="1507"/>
              <w:rPr>
                <w:b/>
                <w:sz w:val="14"/>
              </w:rPr>
            </w:pPr>
            <w:r>
              <w:rPr>
                <w:b/>
                <w:sz w:val="14"/>
              </w:rPr>
              <w:t>148,590.1</w:t>
            </w:r>
          </w:p>
        </w:tc>
        <w:tc>
          <w:tcPr>
            <w:tcW w:w="1366" w:type="dxa"/>
          </w:tcPr>
          <w:p>
            <w:pPr>
              <w:pStyle w:val="TableParagraph"/>
              <w:spacing w:before="137"/>
              <w:ind w:right="400"/>
              <w:jc w:val="right"/>
              <w:rPr>
                <w:sz w:val="14"/>
              </w:rPr>
            </w:pPr>
            <w:r>
              <w:rPr>
                <w:sz w:val="14"/>
              </w:rPr>
              <w:t>6 . 4 %</w:t>
            </w:r>
          </w:p>
        </w:tc>
        <w:tc>
          <w:tcPr>
            <w:tcW w:w="1503" w:type="dxa"/>
          </w:tcPr>
          <w:p>
            <w:pPr>
              <w:pStyle w:val="TableParagraph"/>
              <w:spacing w:before="137"/>
              <w:ind w:right="400"/>
              <w:jc w:val="right"/>
              <w:rPr>
                <w:sz w:val="14"/>
              </w:rPr>
            </w:pPr>
            <w:r>
              <w:rPr>
                <w:sz w:val="14"/>
              </w:rPr>
              <w:t>136,455.3</w:t>
            </w:r>
          </w:p>
        </w:tc>
        <w:tc>
          <w:tcPr>
            <w:tcW w:w="1480" w:type="dxa"/>
          </w:tcPr>
          <w:p>
            <w:pPr>
              <w:pStyle w:val="TableParagraph"/>
              <w:spacing w:before="137"/>
              <w:ind w:right="546"/>
              <w:jc w:val="right"/>
              <w:rPr>
                <w:sz w:val="14"/>
              </w:rPr>
            </w:pPr>
            <w:r>
              <w:rPr>
                <w:sz w:val="14"/>
              </w:rPr>
              <w:t>5 . 9 %</w:t>
            </w:r>
          </w:p>
        </w:tc>
        <w:tc>
          <w:tcPr>
            <w:tcW w:w="1184" w:type="dxa"/>
          </w:tcPr>
          <w:p>
            <w:pPr>
              <w:pStyle w:val="TableParagraph"/>
              <w:spacing w:before="137"/>
              <w:ind w:right="117"/>
              <w:jc w:val="right"/>
              <w:rPr>
                <w:sz w:val="14"/>
              </w:rPr>
            </w:pPr>
            <w:r>
              <w:rPr>
                <w:sz w:val="14"/>
              </w:rPr>
              <w:t>232,514.0</w:t>
            </w:r>
          </w:p>
        </w:tc>
        <w:tc>
          <w:tcPr>
            <w:tcW w:w="1167" w:type="dxa"/>
          </w:tcPr>
          <w:p>
            <w:pPr>
              <w:pStyle w:val="TableParagraph"/>
              <w:spacing w:before="137"/>
              <w:ind w:right="296"/>
              <w:jc w:val="right"/>
              <w:rPr>
                <w:sz w:val="14"/>
              </w:rPr>
            </w:pPr>
            <w:r>
              <w:rPr>
                <w:sz w:val="14"/>
              </w:rPr>
              <w:t>1 0 . 0 %</w:t>
            </w:r>
          </w:p>
        </w:tc>
      </w:tr>
      <w:tr>
        <w:trPr>
          <w:trHeight w:val="331" w:hRule="atLeast"/>
        </w:trPr>
        <w:tc>
          <w:tcPr>
            <w:tcW w:w="5722" w:type="dxa"/>
          </w:tcPr>
          <w:p>
            <w:pPr>
              <w:pStyle w:val="TableParagraph"/>
              <w:spacing w:before="137"/>
              <w:ind w:left="125"/>
              <w:rPr>
                <w:sz w:val="14"/>
              </w:rPr>
            </w:pPr>
            <w:r>
              <w:rPr>
                <w:sz w:val="14"/>
              </w:rPr>
              <w:t>304 Ministry of Health and Sanitation</w:t>
            </w:r>
          </w:p>
        </w:tc>
        <w:tc>
          <w:tcPr>
            <w:tcW w:w="2369" w:type="dxa"/>
            <w:gridSpan w:val="2"/>
          </w:tcPr>
          <w:p>
            <w:pPr>
              <w:pStyle w:val="TableParagraph"/>
              <w:spacing w:before="137"/>
              <w:ind w:left="1564"/>
              <w:rPr>
                <w:b/>
                <w:sz w:val="14"/>
              </w:rPr>
            </w:pPr>
            <w:r>
              <w:rPr>
                <w:b/>
                <w:sz w:val="14"/>
              </w:rPr>
              <w:t>51,237.3</w:t>
            </w:r>
          </w:p>
        </w:tc>
        <w:tc>
          <w:tcPr>
            <w:tcW w:w="1366" w:type="dxa"/>
          </w:tcPr>
          <w:p>
            <w:pPr>
              <w:pStyle w:val="TableParagraph"/>
              <w:spacing w:before="137"/>
              <w:ind w:right="400"/>
              <w:jc w:val="right"/>
              <w:rPr>
                <w:sz w:val="14"/>
              </w:rPr>
            </w:pPr>
            <w:r>
              <w:rPr>
                <w:sz w:val="14"/>
              </w:rPr>
              <w:t>2 . 2 %</w:t>
            </w:r>
          </w:p>
        </w:tc>
        <w:tc>
          <w:tcPr>
            <w:tcW w:w="1503" w:type="dxa"/>
          </w:tcPr>
          <w:p>
            <w:pPr>
              <w:pStyle w:val="TableParagraph"/>
              <w:spacing w:before="137"/>
              <w:ind w:right="394"/>
              <w:jc w:val="right"/>
              <w:rPr>
                <w:sz w:val="14"/>
              </w:rPr>
            </w:pPr>
            <w:r>
              <w:rPr>
                <w:sz w:val="14"/>
              </w:rPr>
              <w:t>63,113.6</w:t>
            </w:r>
          </w:p>
        </w:tc>
        <w:tc>
          <w:tcPr>
            <w:tcW w:w="1480" w:type="dxa"/>
          </w:tcPr>
          <w:p>
            <w:pPr>
              <w:pStyle w:val="TableParagraph"/>
              <w:spacing w:before="137"/>
              <w:ind w:right="546"/>
              <w:jc w:val="right"/>
              <w:rPr>
                <w:sz w:val="14"/>
              </w:rPr>
            </w:pPr>
            <w:r>
              <w:rPr>
                <w:sz w:val="14"/>
              </w:rPr>
              <w:t>2 . 7 %</w:t>
            </w:r>
          </w:p>
        </w:tc>
        <w:tc>
          <w:tcPr>
            <w:tcW w:w="1184" w:type="dxa"/>
          </w:tcPr>
          <w:p>
            <w:pPr>
              <w:pStyle w:val="TableParagraph"/>
              <w:spacing w:before="137"/>
              <w:ind w:right="111"/>
              <w:jc w:val="right"/>
              <w:rPr>
                <w:sz w:val="14"/>
              </w:rPr>
            </w:pPr>
            <w:r>
              <w:rPr>
                <w:sz w:val="14"/>
              </w:rPr>
              <w:t>66,894.1</w:t>
            </w:r>
          </w:p>
        </w:tc>
        <w:tc>
          <w:tcPr>
            <w:tcW w:w="1167" w:type="dxa"/>
          </w:tcPr>
          <w:p>
            <w:pPr>
              <w:pStyle w:val="TableParagraph"/>
              <w:spacing w:before="137"/>
              <w:ind w:right="291"/>
              <w:jc w:val="right"/>
              <w:rPr>
                <w:sz w:val="14"/>
              </w:rPr>
            </w:pPr>
            <w:r>
              <w:rPr>
                <w:sz w:val="14"/>
              </w:rPr>
              <w:t>2 . 9 %</w:t>
            </w:r>
          </w:p>
        </w:tc>
      </w:tr>
      <w:tr>
        <w:trPr>
          <w:trHeight w:val="218" w:hRule="atLeast"/>
        </w:trPr>
        <w:tc>
          <w:tcPr>
            <w:tcW w:w="5722" w:type="dxa"/>
          </w:tcPr>
          <w:p>
            <w:pPr>
              <w:pStyle w:val="TableParagraph"/>
              <w:spacing w:before="27"/>
              <w:ind w:left="566"/>
              <w:rPr>
                <w:sz w:val="14"/>
              </w:rPr>
            </w:pPr>
            <w:r>
              <w:rPr>
                <w:sz w:val="14"/>
              </w:rPr>
              <w:t>Administrative and Operating Costs</w:t>
            </w:r>
          </w:p>
        </w:tc>
        <w:tc>
          <w:tcPr>
            <w:tcW w:w="2369" w:type="dxa"/>
            <w:gridSpan w:val="2"/>
          </w:tcPr>
          <w:p>
            <w:pPr>
              <w:pStyle w:val="TableParagraph"/>
              <w:spacing w:before="27"/>
              <w:ind w:right="204"/>
              <w:jc w:val="right"/>
              <w:rPr>
                <w:b/>
                <w:sz w:val="14"/>
              </w:rPr>
            </w:pPr>
            <w:r>
              <w:rPr>
                <w:b/>
                <w:sz w:val="14"/>
              </w:rPr>
              <w:t>6,317.9</w:t>
            </w:r>
          </w:p>
        </w:tc>
        <w:tc>
          <w:tcPr>
            <w:tcW w:w="1366" w:type="dxa"/>
          </w:tcPr>
          <w:p>
            <w:pPr>
              <w:pStyle w:val="TableParagraph"/>
              <w:spacing w:before="27"/>
              <w:ind w:right="400"/>
              <w:jc w:val="right"/>
              <w:rPr>
                <w:sz w:val="14"/>
              </w:rPr>
            </w:pPr>
            <w:r>
              <w:rPr>
                <w:sz w:val="14"/>
              </w:rPr>
              <w:t>0 . 3 %</w:t>
            </w:r>
          </w:p>
        </w:tc>
        <w:tc>
          <w:tcPr>
            <w:tcW w:w="1503" w:type="dxa"/>
          </w:tcPr>
          <w:p>
            <w:pPr>
              <w:pStyle w:val="TableParagraph"/>
              <w:spacing w:before="27"/>
              <w:ind w:right="387"/>
              <w:jc w:val="right"/>
              <w:rPr>
                <w:sz w:val="14"/>
              </w:rPr>
            </w:pPr>
            <w:r>
              <w:rPr>
                <w:sz w:val="14"/>
              </w:rPr>
              <w:t>7,782 .4</w:t>
            </w:r>
          </w:p>
        </w:tc>
        <w:tc>
          <w:tcPr>
            <w:tcW w:w="1480" w:type="dxa"/>
          </w:tcPr>
          <w:p>
            <w:pPr>
              <w:pStyle w:val="TableParagraph"/>
              <w:spacing w:before="27"/>
              <w:ind w:right="546"/>
              <w:jc w:val="right"/>
              <w:rPr>
                <w:sz w:val="14"/>
              </w:rPr>
            </w:pPr>
            <w:r>
              <w:rPr>
                <w:sz w:val="14"/>
              </w:rPr>
              <w:t>0 . 3 %</w:t>
            </w:r>
          </w:p>
        </w:tc>
        <w:tc>
          <w:tcPr>
            <w:tcW w:w="1184" w:type="dxa"/>
          </w:tcPr>
          <w:p>
            <w:pPr>
              <w:pStyle w:val="TableParagraph"/>
              <w:spacing w:before="27"/>
              <w:ind w:right="103"/>
              <w:jc w:val="right"/>
              <w:rPr>
                <w:sz w:val="14"/>
              </w:rPr>
            </w:pPr>
            <w:r>
              <w:rPr>
                <w:sz w:val="14"/>
              </w:rPr>
              <w:t>8,248 .5</w:t>
            </w:r>
          </w:p>
        </w:tc>
        <w:tc>
          <w:tcPr>
            <w:tcW w:w="1167" w:type="dxa"/>
          </w:tcPr>
          <w:p>
            <w:pPr>
              <w:pStyle w:val="TableParagraph"/>
              <w:spacing w:before="27"/>
              <w:ind w:right="291"/>
              <w:jc w:val="right"/>
              <w:rPr>
                <w:sz w:val="14"/>
              </w:rPr>
            </w:pPr>
            <w:r>
              <w:rPr>
                <w:sz w:val="14"/>
              </w:rPr>
              <w:t>0 . 4 %</w:t>
            </w:r>
          </w:p>
        </w:tc>
      </w:tr>
      <w:tr>
        <w:trPr>
          <w:trHeight w:val="218" w:hRule="atLeast"/>
        </w:trPr>
        <w:tc>
          <w:tcPr>
            <w:tcW w:w="5722" w:type="dxa"/>
          </w:tcPr>
          <w:p>
            <w:pPr>
              <w:pStyle w:val="TableParagraph"/>
              <w:spacing w:before="25"/>
              <w:ind w:left="567"/>
              <w:rPr>
                <w:sz w:val="14"/>
              </w:rPr>
            </w:pPr>
            <w:r>
              <w:rPr>
                <w:sz w:val="14"/>
              </w:rPr>
              <w:t>Improving Access and Quality of Basic Health Services</w:t>
            </w:r>
          </w:p>
        </w:tc>
        <w:tc>
          <w:tcPr>
            <w:tcW w:w="2369" w:type="dxa"/>
            <w:gridSpan w:val="2"/>
          </w:tcPr>
          <w:p>
            <w:pPr>
              <w:pStyle w:val="TableParagraph"/>
              <w:spacing w:before="25"/>
              <w:ind w:right="211"/>
              <w:jc w:val="right"/>
              <w:rPr>
                <w:b/>
                <w:sz w:val="14"/>
              </w:rPr>
            </w:pPr>
            <w:r>
              <w:rPr>
                <w:b/>
                <w:sz w:val="14"/>
              </w:rPr>
              <w:t>22,391.0</w:t>
            </w:r>
          </w:p>
        </w:tc>
        <w:tc>
          <w:tcPr>
            <w:tcW w:w="1366" w:type="dxa"/>
          </w:tcPr>
          <w:p>
            <w:pPr>
              <w:pStyle w:val="TableParagraph"/>
              <w:spacing w:before="25"/>
              <w:ind w:right="400"/>
              <w:jc w:val="right"/>
              <w:rPr>
                <w:sz w:val="14"/>
              </w:rPr>
            </w:pPr>
            <w:r>
              <w:rPr>
                <w:sz w:val="14"/>
              </w:rPr>
              <w:t>1 . 0 %</w:t>
            </w:r>
          </w:p>
        </w:tc>
        <w:tc>
          <w:tcPr>
            <w:tcW w:w="1503" w:type="dxa"/>
          </w:tcPr>
          <w:p>
            <w:pPr>
              <w:pStyle w:val="TableParagraph"/>
              <w:spacing w:before="25"/>
              <w:ind w:right="396"/>
              <w:jc w:val="right"/>
              <w:rPr>
                <w:sz w:val="14"/>
              </w:rPr>
            </w:pPr>
            <w:r>
              <w:rPr>
                <w:sz w:val="14"/>
              </w:rPr>
              <w:t>27,581.0</w:t>
            </w:r>
          </w:p>
        </w:tc>
        <w:tc>
          <w:tcPr>
            <w:tcW w:w="1480" w:type="dxa"/>
          </w:tcPr>
          <w:p>
            <w:pPr>
              <w:pStyle w:val="TableParagraph"/>
              <w:spacing w:before="25"/>
              <w:ind w:right="546"/>
              <w:jc w:val="right"/>
              <w:rPr>
                <w:sz w:val="14"/>
              </w:rPr>
            </w:pPr>
            <w:r>
              <w:rPr>
                <w:sz w:val="14"/>
              </w:rPr>
              <w:t>1 . 2 %</w:t>
            </w:r>
          </w:p>
        </w:tc>
        <w:tc>
          <w:tcPr>
            <w:tcW w:w="1184" w:type="dxa"/>
          </w:tcPr>
          <w:p>
            <w:pPr>
              <w:pStyle w:val="TableParagraph"/>
              <w:spacing w:before="25"/>
              <w:ind w:right="113"/>
              <w:jc w:val="right"/>
              <w:rPr>
                <w:sz w:val="14"/>
              </w:rPr>
            </w:pPr>
            <w:r>
              <w:rPr>
                <w:sz w:val="14"/>
              </w:rPr>
              <w:t>29,233.1</w:t>
            </w:r>
          </w:p>
        </w:tc>
        <w:tc>
          <w:tcPr>
            <w:tcW w:w="1167" w:type="dxa"/>
          </w:tcPr>
          <w:p>
            <w:pPr>
              <w:pStyle w:val="TableParagraph"/>
              <w:spacing w:before="25"/>
              <w:ind w:right="291"/>
              <w:jc w:val="right"/>
              <w:rPr>
                <w:sz w:val="14"/>
              </w:rPr>
            </w:pPr>
            <w:r>
              <w:rPr>
                <w:sz w:val="14"/>
              </w:rPr>
              <w:t>1 . 3 %</w:t>
            </w:r>
          </w:p>
        </w:tc>
      </w:tr>
      <w:tr>
        <w:trPr>
          <w:trHeight w:val="220" w:hRule="atLeast"/>
        </w:trPr>
        <w:tc>
          <w:tcPr>
            <w:tcW w:w="5722" w:type="dxa"/>
          </w:tcPr>
          <w:p>
            <w:pPr>
              <w:pStyle w:val="TableParagraph"/>
              <w:spacing w:before="27"/>
              <w:ind w:left="903"/>
              <w:rPr>
                <w:sz w:val="14"/>
              </w:rPr>
            </w:pPr>
            <w:r>
              <w:rPr>
                <w:sz w:val="14"/>
              </w:rPr>
              <w:t>Human Resources Management</w:t>
            </w:r>
          </w:p>
        </w:tc>
        <w:tc>
          <w:tcPr>
            <w:tcW w:w="2369" w:type="dxa"/>
            <w:gridSpan w:val="2"/>
          </w:tcPr>
          <w:p>
            <w:pPr>
              <w:pStyle w:val="TableParagraph"/>
              <w:spacing w:before="27"/>
              <w:ind w:right="204"/>
              <w:jc w:val="right"/>
              <w:rPr>
                <w:b/>
                <w:sz w:val="14"/>
              </w:rPr>
            </w:pPr>
            <w:r>
              <w:rPr>
                <w:b/>
                <w:sz w:val="14"/>
              </w:rPr>
              <w:t>3,747.9</w:t>
            </w:r>
          </w:p>
        </w:tc>
        <w:tc>
          <w:tcPr>
            <w:tcW w:w="1366" w:type="dxa"/>
          </w:tcPr>
          <w:p>
            <w:pPr>
              <w:pStyle w:val="TableParagraph"/>
              <w:spacing w:before="27"/>
              <w:ind w:right="400"/>
              <w:jc w:val="right"/>
              <w:rPr>
                <w:sz w:val="14"/>
              </w:rPr>
            </w:pPr>
            <w:r>
              <w:rPr>
                <w:sz w:val="14"/>
              </w:rPr>
              <w:t>0 . 2 %</w:t>
            </w:r>
          </w:p>
        </w:tc>
        <w:tc>
          <w:tcPr>
            <w:tcW w:w="1503" w:type="dxa"/>
          </w:tcPr>
          <w:p>
            <w:pPr>
              <w:pStyle w:val="TableParagraph"/>
              <w:spacing w:before="27"/>
              <w:ind w:right="387"/>
              <w:jc w:val="right"/>
              <w:rPr>
                <w:sz w:val="14"/>
              </w:rPr>
            </w:pPr>
            <w:r>
              <w:rPr>
                <w:sz w:val="14"/>
              </w:rPr>
              <w:t>4,616 .6</w:t>
            </w:r>
          </w:p>
        </w:tc>
        <w:tc>
          <w:tcPr>
            <w:tcW w:w="1480" w:type="dxa"/>
          </w:tcPr>
          <w:p>
            <w:pPr>
              <w:pStyle w:val="TableParagraph"/>
              <w:spacing w:before="27"/>
              <w:ind w:right="546"/>
              <w:jc w:val="right"/>
              <w:rPr>
                <w:sz w:val="14"/>
              </w:rPr>
            </w:pPr>
            <w:r>
              <w:rPr>
                <w:sz w:val="14"/>
              </w:rPr>
              <w:t>0 . 2 %</w:t>
            </w:r>
          </w:p>
        </w:tc>
        <w:tc>
          <w:tcPr>
            <w:tcW w:w="1184" w:type="dxa"/>
          </w:tcPr>
          <w:p>
            <w:pPr>
              <w:pStyle w:val="TableParagraph"/>
              <w:spacing w:before="27"/>
              <w:ind w:right="103"/>
              <w:jc w:val="right"/>
              <w:rPr>
                <w:sz w:val="14"/>
              </w:rPr>
            </w:pPr>
            <w:r>
              <w:rPr>
                <w:sz w:val="14"/>
              </w:rPr>
              <w:t>4,893 .1</w:t>
            </w:r>
          </w:p>
        </w:tc>
        <w:tc>
          <w:tcPr>
            <w:tcW w:w="1167" w:type="dxa"/>
          </w:tcPr>
          <w:p>
            <w:pPr>
              <w:pStyle w:val="TableParagraph"/>
              <w:spacing w:before="27"/>
              <w:ind w:right="291"/>
              <w:jc w:val="right"/>
              <w:rPr>
                <w:sz w:val="14"/>
              </w:rPr>
            </w:pPr>
            <w:r>
              <w:rPr>
                <w:sz w:val="14"/>
              </w:rPr>
              <w:t>0 . 2 %</w:t>
            </w:r>
          </w:p>
        </w:tc>
      </w:tr>
      <w:tr>
        <w:trPr>
          <w:trHeight w:val="220" w:hRule="atLeast"/>
        </w:trPr>
        <w:tc>
          <w:tcPr>
            <w:tcW w:w="5722" w:type="dxa"/>
          </w:tcPr>
          <w:p>
            <w:pPr>
              <w:pStyle w:val="TableParagraph"/>
              <w:spacing w:before="27"/>
              <w:ind w:left="902"/>
              <w:rPr>
                <w:sz w:val="14"/>
              </w:rPr>
            </w:pPr>
            <w:r>
              <w:rPr>
                <w:sz w:val="14"/>
              </w:rPr>
              <w:t>Primary Health Care Services</w:t>
            </w:r>
          </w:p>
        </w:tc>
        <w:tc>
          <w:tcPr>
            <w:tcW w:w="2369" w:type="dxa"/>
            <w:gridSpan w:val="2"/>
          </w:tcPr>
          <w:p>
            <w:pPr>
              <w:pStyle w:val="TableParagraph"/>
              <w:spacing w:before="27"/>
              <w:ind w:right="211"/>
              <w:jc w:val="right"/>
              <w:rPr>
                <w:b/>
                <w:sz w:val="14"/>
              </w:rPr>
            </w:pPr>
            <w:r>
              <w:rPr>
                <w:b/>
                <w:sz w:val="14"/>
              </w:rPr>
              <w:t>13,140.3</w:t>
            </w:r>
          </w:p>
        </w:tc>
        <w:tc>
          <w:tcPr>
            <w:tcW w:w="1366" w:type="dxa"/>
          </w:tcPr>
          <w:p>
            <w:pPr>
              <w:pStyle w:val="TableParagraph"/>
              <w:spacing w:before="27"/>
              <w:ind w:right="400"/>
              <w:jc w:val="right"/>
              <w:rPr>
                <w:sz w:val="14"/>
              </w:rPr>
            </w:pPr>
            <w:r>
              <w:rPr>
                <w:sz w:val="14"/>
              </w:rPr>
              <w:t>0 . 6 %</w:t>
            </w:r>
          </w:p>
        </w:tc>
        <w:tc>
          <w:tcPr>
            <w:tcW w:w="1503" w:type="dxa"/>
          </w:tcPr>
          <w:p>
            <w:pPr>
              <w:pStyle w:val="TableParagraph"/>
              <w:spacing w:before="27"/>
              <w:ind w:right="396"/>
              <w:jc w:val="right"/>
              <w:rPr>
                <w:sz w:val="14"/>
              </w:rPr>
            </w:pPr>
            <w:r>
              <w:rPr>
                <w:sz w:val="14"/>
              </w:rPr>
              <w:t>16,186.1</w:t>
            </w:r>
          </w:p>
        </w:tc>
        <w:tc>
          <w:tcPr>
            <w:tcW w:w="1480" w:type="dxa"/>
          </w:tcPr>
          <w:p>
            <w:pPr>
              <w:pStyle w:val="TableParagraph"/>
              <w:spacing w:before="27"/>
              <w:ind w:right="546"/>
              <w:jc w:val="right"/>
              <w:rPr>
                <w:sz w:val="14"/>
              </w:rPr>
            </w:pPr>
            <w:r>
              <w:rPr>
                <w:sz w:val="14"/>
              </w:rPr>
              <w:t>0 . 7 %</w:t>
            </w:r>
          </w:p>
        </w:tc>
        <w:tc>
          <w:tcPr>
            <w:tcW w:w="1184" w:type="dxa"/>
          </w:tcPr>
          <w:p>
            <w:pPr>
              <w:pStyle w:val="TableParagraph"/>
              <w:spacing w:before="27"/>
              <w:ind w:right="113"/>
              <w:jc w:val="right"/>
              <w:rPr>
                <w:sz w:val="14"/>
              </w:rPr>
            </w:pPr>
            <w:r>
              <w:rPr>
                <w:sz w:val="14"/>
              </w:rPr>
              <w:t>17,155.7</w:t>
            </w:r>
          </w:p>
        </w:tc>
        <w:tc>
          <w:tcPr>
            <w:tcW w:w="1167" w:type="dxa"/>
          </w:tcPr>
          <w:p>
            <w:pPr>
              <w:pStyle w:val="TableParagraph"/>
              <w:spacing w:before="27"/>
              <w:ind w:right="291"/>
              <w:jc w:val="right"/>
              <w:rPr>
                <w:sz w:val="14"/>
              </w:rPr>
            </w:pPr>
            <w:r>
              <w:rPr>
                <w:sz w:val="14"/>
              </w:rPr>
              <w:t>0 . 7 %</w:t>
            </w:r>
          </w:p>
        </w:tc>
      </w:tr>
      <w:tr>
        <w:trPr>
          <w:trHeight w:val="220" w:hRule="atLeast"/>
        </w:trPr>
        <w:tc>
          <w:tcPr>
            <w:tcW w:w="5722" w:type="dxa"/>
          </w:tcPr>
          <w:p>
            <w:pPr>
              <w:pStyle w:val="TableParagraph"/>
              <w:spacing w:before="27"/>
              <w:ind w:left="567"/>
              <w:rPr>
                <w:sz w:val="14"/>
              </w:rPr>
            </w:pPr>
            <w:r>
              <w:rPr>
                <w:sz w:val="14"/>
              </w:rPr>
              <w:t>Malaria Prevention and Control</w:t>
            </w:r>
          </w:p>
        </w:tc>
        <w:tc>
          <w:tcPr>
            <w:tcW w:w="2369" w:type="dxa"/>
            <w:gridSpan w:val="2"/>
          </w:tcPr>
          <w:p>
            <w:pPr>
              <w:pStyle w:val="TableParagraph"/>
              <w:spacing w:before="27"/>
              <w:ind w:right="204"/>
              <w:jc w:val="right"/>
              <w:rPr>
                <w:b/>
                <w:sz w:val="14"/>
              </w:rPr>
            </w:pPr>
            <w:r>
              <w:rPr>
                <w:b/>
                <w:sz w:val="14"/>
              </w:rPr>
              <w:t>5,058.2</w:t>
            </w:r>
          </w:p>
        </w:tc>
        <w:tc>
          <w:tcPr>
            <w:tcW w:w="1366" w:type="dxa"/>
          </w:tcPr>
          <w:p>
            <w:pPr>
              <w:pStyle w:val="TableParagraph"/>
              <w:spacing w:before="27"/>
              <w:ind w:right="400"/>
              <w:jc w:val="right"/>
              <w:rPr>
                <w:sz w:val="14"/>
              </w:rPr>
            </w:pPr>
            <w:r>
              <w:rPr>
                <w:sz w:val="14"/>
              </w:rPr>
              <w:t>0 . 2 %</w:t>
            </w:r>
          </w:p>
        </w:tc>
        <w:tc>
          <w:tcPr>
            <w:tcW w:w="1503" w:type="dxa"/>
          </w:tcPr>
          <w:p>
            <w:pPr>
              <w:pStyle w:val="TableParagraph"/>
              <w:spacing w:before="27"/>
              <w:ind w:right="387"/>
              <w:jc w:val="right"/>
              <w:rPr>
                <w:sz w:val="14"/>
              </w:rPr>
            </w:pPr>
            <w:r>
              <w:rPr>
                <w:sz w:val="14"/>
              </w:rPr>
              <w:t>6,230 .7</w:t>
            </w:r>
          </w:p>
        </w:tc>
        <w:tc>
          <w:tcPr>
            <w:tcW w:w="1480" w:type="dxa"/>
          </w:tcPr>
          <w:p>
            <w:pPr>
              <w:pStyle w:val="TableParagraph"/>
              <w:spacing w:before="27"/>
              <w:ind w:right="546"/>
              <w:jc w:val="right"/>
              <w:rPr>
                <w:sz w:val="14"/>
              </w:rPr>
            </w:pPr>
            <w:r>
              <w:rPr>
                <w:sz w:val="14"/>
              </w:rPr>
              <w:t>0 . 3 %</w:t>
            </w:r>
          </w:p>
        </w:tc>
        <w:tc>
          <w:tcPr>
            <w:tcW w:w="1184" w:type="dxa"/>
          </w:tcPr>
          <w:p>
            <w:pPr>
              <w:pStyle w:val="TableParagraph"/>
              <w:spacing w:before="27"/>
              <w:ind w:right="103"/>
              <w:jc w:val="right"/>
              <w:rPr>
                <w:sz w:val="14"/>
              </w:rPr>
            </w:pPr>
            <w:r>
              <w:rPr>
                <w:sz w:val="14"/>
              </w:rPr>
              <w:t>6,603 .9</w:t>
            </w:r>
          </w:p>
        </w:tc>
        <w:tc>
          <w:tcPr>
            <w:tcW w:w="1167" w:type="dxa"/>
          </w:tcPr>
          <w:p>
            <w:pPr>
              <w:pStyle w:val="TableParagraph"/>
              <w:spacing w:before="27"/>
              <w:ind w:right="291"/>
              <w:jc w:val="right"/>
              <w:rPr>
                <w:sz w:val="14"/>
              </w:rPr>
            </w:pPr>
            <w:r>
              <w:rPr>
                <w:sz w:val="14"/>
              </w:rPr>
              <w:t>0 . 3 %</w:t>
            </w:r>
          </w:p>
        </w:tc>
      </w:tr>
      <w:tr>
        <w:trPr>
          <w:trHeight w:val="220" w:hRule="atLeast"/>
        </w:trPr>
        <w:tc>
          <w:tcPr>
            <w:tcW w:w="5722" w:type="dxa"/>
          </w:tcPr>
          <w:p>
            <w:pPr>
              <w:pStyle w:val="TableParagraph"/>
              <w:spacing w:before="27"/>
              <w:ind w:left="566"/>
              <w:rPr>
                <w:sz w:val="14"/>
              </w:rPr>
            </w:pPr>
            <w:r>
              <w:rPr>
                <w:sz w:val="14"/>
              </w:rPr>
              <w:t>STI/ HIV/ AIDS Prevention and Control Programme</w:t>
            </w:r>
          </w:p>
        </w:tc>
        <w:tc>
          <w:tcPr>
            <w:tcW w:w="2369" w:type="dxa"/>
            <w:gridSpan w:val="2"/>
          </w:tcPr>
          <w:p>
            <w:pPr>
              <w:pStyle w:val="TableParagraph"/>
              <w:spacing w:before="27"/>
              <w:ind w:right="204"/>
              <w:jc w:val="right"/>
              <w:rPr>
                <w:b/>
                <w:sz w:val="14"/>
              </w:rPr>
            </w:pPr>
            <w:r>
              <w:rPr>
                <w:b/>
                <w:sz w:val="14"/>
              </w:rPr>
              <w:t>2,636.9</w:t>
            </w:r>
          </w:p>
        </w:tc>
        <w:tc>
          <w:tcPr>
            <w:tcW w:w="1366" w:type="dxa"/>
          </w:tcPr>
          <w:p>
            <w:pPr>
              <w:pStyle w:val="TableParagraph"/>
              <w:spacing w:before="27"/>
              <w:ind w:right="400"/>
              <w:jc w:val="right"/>
              <w:rPr>
                <w:sz w:val="14"/>
              </w:rPr>
            </w:pPr>
            <w:r>
              <w:rPr>
                <w:sz w:val="14"/>
              </w:rPr>
              <w:t>0 . 1 %</w:t>
            </w:r>
          </w:p>
        </w:tc>
        <w:tc>
          <w:tcPr>
            <w:tcW w:w="1503" w:type="dxa"/>
          </w:tcPr>
          <w:p>
            <w:pPr>
              <w:pStyle w:val="TableParagraph"/>
              <w:spacing w:before="27"/>
              <w:ind w:right="387"/>
              <w:jc w:val="right"/>
              <w:rPr>
                <w:sz w:val="14"/>
              </w:rPr>
            </w:pPr>
            <w:r>
              <w:rPr>
                <w:sz w:val="14"/>
              </w:rPr>
              <w:t>3,248 .1</w:t>
            </w:r>
          </w:p>
        </w:tc>
        <w:tc>
          <w:tcPr>
            <w:tcW w:w="1480" w:type="dxa"/>
          </w:tcPr>
          <w:p>
            <w:pPr>
              <w:pStyle w:val="TableParagraph"/>
              <w:spacing w:before="27"/>
              <w:ind w:right="546"/>
              <w:jc w:val="right"/>
              <w:rPr>
                <w:sz w:val="14"/>
              </w:rPr>
            </w:pPr>
            <w:r>
              <w:rPr>
                <w:sz w:val="14"/>
              </w:rPr>
              <w:t>0 . 1 %</w:t>
            </w:r>
          </w:p>
        </w:tc>
        <w:tc>
          <w:tcPr>
            <w:tcW w:w="1184" w:type="dxa"/>
          </w:tcPr>
          <w:p>
            <w:pPr>
              <w:pStyle w:val="TableParagraph"/>
              <w:spacing w:before="27"/>
              <w:ind w:right="103"/>
              <w:jc w:val="right"/>
              <w:rPr>
                <w:sz w:val="14"/>
              </w:rPr>
            </w:pPr>
            <w:r>
              <w:rPr>
                <w:sz w:val="14"/>
              </w:rPr>
              <w:t>3,442 .7</w:t>
            </w:r>
          </w:p>
        </w:tc>
        <w:tc>
          <w:tcPr>
            <w:tcW w:w="1167" w:type="dxa"/>
          </w:tcPr>
          <w:p>
            <w:pPr>
              <w:pStyle w:val="TableParagraph"/>
              <w:spacing w:before="27"/>
              <w:ind w:right="291"/>
              <w:jc w:val="right"/>
              <w:rPr>
                <w:sz w:val="14"/>
              </w:rPr>
            </w:pPr>
            <w:r>
              <w:rPr>
                <w:sz w:val="14"/>
              </w:rPr>
              <w:t>0 . 1 %</w:t>
            </w:r>
          </w:p>
        </w:tc>
      </w:tr>
      <w:tr>
        <w:trPr>
          <w:trHeight w:val="218" w:hRule="atLeast"/>
        </w:trPr>
        <w:tc>
          <w:tcPr>
            <w:tcW w:w="5722" w:type="dxa"/>
          </w:tcPr>
          <w:p>
            <w:pPr>
              <w:pStyle w:val="TableParagraph"/>
              <w:spacing w:before="27"/>
              <w:ind w:left="734"/>
              <w:rPr>
                <w:sz w:val="14"/>
              </w:rPr>
            </w:pPr>
            <w:r>
              <w:rPr>
                <w:sz w:val="14"/>
              </w:rPr>
              <w:t>Tuberculosis and Leprosy Control Programme</w:t>
            </w:r>
          </w:p>
        </w:tc>
        <w:tc>
          <w:tcPr>
            <w:tcW w:w="2369" w:type="dxa"/>
            <w:gridSpan w:val="2"/>
          </w:tcPr>
          <w:p>
            <w:pPr>
              <w:pStyle w:val="TableParagraph"/>
              <w:spacing w:before="27"/>
              <w:ind w:right="204"/>
              <w:jc w:val="right"/>
              <w:rPr>
                <w:b/>
                <w:sz w:val="14"/>
              </w:rPr>
            </w:pPr>
            <w:r>
              <w:rPr>
                <w:b/>
                <w:sz w:val="14"/>
              </w:rPr>
              <w:t>1,456.4</w:t>
            </w:r>
          </w:p>
        </w:tc>
        <w:tc>
          <w:tcPr>
            <w:tcW w:w="1366" w:type="dxa"/>
          </w:tcPr>
          <w:p>
            <w:pPr>
              <w:pStyle w:val="TableParagraph"/>
              <w:spacing w:before="27"/>
              <w:ind w:right="400"/>
              <w:jc w:val="right"/>
              <w:rPr>
                <w:sz w:val="14"/>
              </w:rPr>
            </w:pPr>
            <w:r>
              <w:rPr>
                <w:sz w:val="14"/>
              </w:rPr>
              <w:t>0 . 1 %</w:t>
            </w:r>
          </w:p>
        </w:tc>
        <w:tc>
          <w:tcPr>
            <w:tcW w:w="1503" w:type="dxa"/>
          </w:tcPr>
          <w:p>
            <w:pPr>
              <w:pStyle w:val="TableParagraph"/>
              <w:spacing w:before="27"/>
              <w:ind w:right="387"/>
              <w:jc w:val="right"/>
              <w:rPr>
                <w:sz w:val="14"/>
              </w:rPr>
            </w:pPr>
            <w:r>
              <w:rPr>
                <w:sz w:val="14"/>
              </w:rPr>
              <w:t>1,793 .9</w:t>
            </w:r>
          </w:p>
        </w:tc>
        <w:tc>
          <w:tcPr>
            <w:tcW w:w="1480" w:type="dxa"/>
          </w:tcPr>
          <w:p>
            <w:pPr>
              <w:pStyle w:val="TableParagraph"/>
              <w:spacing w:before="27"/>
              <w:ind w:right="546"/>
              <w:jc w:val="right"/>
              <w:rPr>
                <w:sz w:val="14"/>
              </w:rPr>
            </w:pPr>
            <w:r>
              <w:rPr>
                <w:sz w:val="14"/>
              </w:rPr>
              <w:t>0 . 1 %</w:t>
            </w:r>
          </w:p>
        </w:tc>
        <w:tc>
          <w:tcPr>
            <w:tcW w:w="1184" w:type="dxa"/>
          </w:tcPr>
          <w:p>
            <w:pPr>
              <w:pStyle w:val="TableParagraph"/>
              <w:spacing w:before="27"/>
              <w:ind w:right="103"/>
              <w:jc w:val="right"/>
              <w:rPr>
                <w:sz w:val="14"/>
              </w:rPr>
            </w:pPr>
            <w:r>
              <w:rPr>
                <w:sz w:val="14"/>
              </w:rPr>
              <w:t>1,901 .4</w:t>
            </w:r>
          </w:p>
        </w:tc>
        <w:tc>
          <w:tcPr>
            <w:tcW w:w="1167" w:type="dxa"/>
          </w:tcPr>
          <w:p>
            <w:pPr>
              <w:pStyle w:val="TableParagraph"/>
              <w:spacing w:before="27"/>
              <w:ind w:right="291"/>
              <w:jc w:val="right"/>
              <w:rPr>
                <w:sz w:val="14"/>
              </w:rPr>
            </w:pPr>
            <w:r>
              <w:rPr>
                <w:sz w:val="14"/>
              </w:rPr>
              <w:t>0 . 1 %</w:t>
            </w:r>
          </w:p>
        </w:tc>
      </w:tr>
      <w:tr>
        <w:trPr>
          <w:trHeight w:val="218" w:hRule="atLeast"/>
        </w:trPr>
        <w:tc>
          <w:tcPr>
            <w:tcW w:w="5722" w:type="dxa"/>
          </w:tcPr>
          <w:p>
            <w:pPr>
              <w:pStyle w:val="TableParagraph"/>
              <w:spacing w:before="25"/>
              <w:ind w:left="566"/>
              <w:rPr>
                <w:sz w:val="14"/>
              </w:rPr>
            </w:pPr>
            <w:r>
              <w:rPr>
                <w:sz w:val="14"/>
              </w:rPr>
              <w:t>Reproductive and Child Health Care Services</w:t>
            </w:r>
          </w:p>
        </w:tc>
        <w:tc>
          <w:tcPr>
            <w:tcW w:w="2369" w:type="dxa"/>
            <w:gridSpan w:val="2"/>
          </w:tcPr>
          <w:p>
            <w:pPr>
              <w:pStyle w:val="TableParagraph"/>
              <w:spacing w:before="25"/>
              <w:ind w:right="204"/>
              <w:jc w:val="right"/>
              <w:rPr>
                <w:b/>
                <w:sz w:val="14"/>
              </w:rPr>
            </w:pPr>
            <w:r>
              <w:rPr>
                <w:b/>
                <w:sz w:val="14"/>
              </w:rPr>
              <w:t>5,502.8</w:t>
            </w:r>
          </w:p>
        </w:tc>
        <w:tc>
          <w:tcPr>
            <w:tcW w:w="1366" w:type="dxa"/>
          </w:tcPr>
          <w:p>
            <w:pPr>
              <w:pStyle w:val="TableParagraph"/>
              <w:spacing w:before="25"/>
              <w:ind w:right="400"/>
              <w:jc w:val="right"/>
              <w:rPr>
                <w:sz w:val="14"/>
              </w:rPr>
            </w:pPr>
            <w:r>
              <w:rPr>
                <w:sz w:val="14"/>
              </w:rPr>
              <w:t>0 . 2 %</w:t>
            </w:r>
          </w:p>
        </w:tc>
        <w:tc>
          <w:tcPr>
            <w:tcW w:w="1503" w:type="dxa"/>
          </w:tcPr>
          <w:p>
            <w:pPr>
              <w:pStyle w:val="TableParagraph"/>
              <w:spacing w:before="25"/>
              <w:ind w:right="387"/>
              <w:jc w:val="right"/>
              <w:rPr>
                <w:sz w:val="14"/>
              </w:rPr>
            </w:pPr>
            <w:r>
              <w:rPr>
                <w:sz w:val="14"/>
              </w:rPr>
              <w:t>6,778 .3</w:t>
            </w:r>
          </w:p>
        </w:tc>
        <w:tc>
          <w:tcPr>
            <w:tcW w:w="1480" w:type="dxa"/>
          </w:tcPr>
          <w:p>
            <w:pPr>
              <w:pStyle w:val="TableParagraph"/>
              <w:spacing w:before="25"/>
              <w:ind w:right="546"/>
              <w:jc w:val="right"/>
              <w:rPr>
                <w:sz w:val="14"/>
              </w:rPr>
            </w:pPr>
            <w:r>
              <w:rPr>
                <w:sz w:val="14"/>
              </w:rPr>
              <w:t>0 . 3 %</w:t>
            </w:r>
          </w:p>
        </w:tc>
        <w:tc>
          <w:tcPr>
            <w:tcW w:w="1184" w:type="dxa"/>
          </w:tcPr>
          <w:p>
            <w:pPr>
              <w:pStyle w:val="TableParagraph"/>
              <w:spacing w:before="25"/>
              <w:ind w:right="103"/>
              <w:jc w:val="right"/>
              <w:rPr>
                <w:sz w:val="14"/>
              </w:rPr>
            </w:pPr>
            <w:r>
              <w:rPr>
                <w:sz w:val="14"/>
              </w:rPr>
              <w:t>7,184 .3</w:t>
            </w:r>
          </w:p>
        </w:tc>
        <w:tc>
          <w:tcPr>
            <w:tcW w:w="1167" w:type="dxa"/>
          </w:tcPr>
          <w:p>
            <w:pPr>
              <w:pStyle w:val="TableParagraph"/>
              <w:spacing w:before="25"/>
              <w:ind w:right="291"/>
              <w:jc w:val="right"/>
              <w:rPr>
                <w:sz w:val="14"/>
              </w:rPr>
            </w:pPr>
            <w:r>
              <w:rPr>
                <w:sz w:val="14"/>
              </w:rPr>
              <w:t>0 . 3 %</w:t>
            </w:r>
          </w:p>
        </w:tc>
      </w:tr>
      <w:tr>
        <w:trPr>
          <w:trHeight w:val="220" w:hRule="atLeast"/>
        </w:trPr>
        <w:tc>
          <w:tcPr>
            <w:tcW w:w="5722" w:type="dxa"/>
          </w:tcPr>
          <w:p>
            <w:pPr>
              <w:pStyle w:val="TableParagraph"/>
              <w:spacing w:before="27"/>
              <w:ind w:left="734"/>
              <w:rPr>
                <w:sz w:val="14"/>
              </w:rPr>
            </w:pPr>
            <w:r>
              <w:rPr>
                <w:sz w:val="14"/>
              </w:rPr>
              <w:t>National School Health Programme</w:t>
            </w:r>
          </w:p>
        </w:tc>
        <w:tc>
          <w:tcPr>
            <w:tcW w:w="2369" w:type="dxa"/>
            <w:gridSpan w:val="2"/>
          </w:tcPr>
          <w:p>
            <w:pPr>
              <w:pStyle w:val="TableParagraph"/>
              <w:spacing w:before="27"/>
              <w:ind w:right="204"/>
              <w:jc w:val="right"/>
              <w:rPr>
                <w:b/>
                <w:sz w:val="14"/>
              </w:rPr>
            </w:pPr>
            <w:r>
              <w:rPr>
                <w:b/>
                <w:sz w:val="14"/>
              </w:rPr>
              <w:t>1,305.2</w:t>
            </w:r>
          </w:p>
        </w:tc>
        <w:tc>
          <w:tcPr>
            <w:tcW w:w="1366" w:type="dxa"/>
          </w:tcPr>
          <w:p>
            <w:pPr>
              <w:pStyle w:val="TableParagraph"/>
              <w:spacing w:before="27"/>
              <w:ind w:right="400"/>
              <w:jc w:val="right"/>
              <w:rPr>
                <w:sz w:val="14"/>
              </w:rPr>
            </w:pPr>
            <w:r>
              <w:rPr>
                <w:sz w:val="14"/>
              </w:rPr>
              <w:t>0 . 1 %</w:t>
            </w:r>
          </w:p>
        </w:tc>
        <w:tc>
          <w:tcPr>
            <w:tcW w:w="1503" w:type="dxa"/>
          </w:tcPr>
          <w:p>
            <w:pPr>
              <w:pStyle w:val="TableParagraph"/>
              <w:spacing w:before="27"/>
              <w:ind w:right="387"/>
              <w:jc w:val="right"/>
              <w:rPr>
                <w:sz w:val="14"/>
              </w:rPr>
            </w:pPr>
            <w:r>
              <w:rPr>
                <w:sz w:val="14"/>
              </w:rPr>
              <w:t>1,607 .7</w:t>
            </w:r>
          </w:p>
        </w:tc>
        <w:tc>
          <w:tcPr>
            <w:tcW w:w="1480" w:type="dxa"/>
          </w:tcPr>
          <w:p>
            <w:pPr>
              <w:pStyle w:val="TableParagraph"/>
              <w:spacing w:before="27"/>
              <w:ind w:right="546"/>
              <w:jc w:val="right"/>
              <w:rPr>
                <w:sz w:val="14"/>
              </w:rPr>
            </w:pPr>
            <w:r>
              <w:rPr>
                <w:sz w:val="14"/>
              </w:rPr>
              <w:t>0 . 1 %</w:t>
            </w:r>
          </w:p>
        </w:tc>
        <w:tc>
          <w:tcPr>
            <w:tcW w:w="1184" w:type="dxa"/>
          </w:tcPr>
          <w:p>
            <w:pPr>
              <w:pStyle w:val="TableParagraph"/>
              <w:spacing w:before="27"/>
              <w:ind w:right="103"/>
              <w:jc w:val="right"/>
              <w:rPr>
                <w:sz w:val="14"/>
              </w:rPr>
            </w:pPr>
            <w:r>
              <w:rPr>
                <w:sz w:val="14"/>
              </w:rPr>
              <w:t>1,704 .0</w:t>
            </w:r>
          </w:p>
        </w:tc>
        <w:tc>
          <w:tcPr>
            <w:tcW w:w="1167" w:type="dxa"/>
          </w:tcPr>
          <w:p>
            <w:pPr>
              <w:pStyle w:val="TableParagraph"/>
              <w:spacing w:before="27"/>
              <w:ind w:right="291"/>
              <w:jc w:val="right"/>
              <w:rPr>
                <w:sz w:val="14"/>
              </w:rPr>
            </w:pPr>
            <w:r>
              <w:rPr>
                <w:sz w:val="14"/>
              </w:rPr>
              <w:t>0 . 1 %</w:t>
            </w:r>
          </w:p>
        </w:tc>
      </w:tr>
      <w:tr>
        <w:trPr>
          <w:trHeight w:val="220" w:hRule="atLeast"/>
        </w:trPr>
        <w:tc>
          <w:tcPr>
            <w:tcW w:w="5722" w:type="dxa"/>
          </w:tcPr>
          <w:p>
            <w:pPr>
              <w:pStyle w:val="TableParagraph"/>
              <w:spacing w:before="27"/>
              <w:ind w:left="735"/>
              <w:rPr>
                <w:sz w:val="14"/>
              </w:rPr>
            </w:pPr>
            <w:r>
              <w:rPr>
                <w:sz w:val="14"/>
              </w:rPr>
              <w:t>Immunization Programme/ EPI</w:t>
            </w:r>
          </w:p>
        </w:tc>
        <w:tc>
          <w:tcPr>
            <w:tcW w:w="2369" w:type="dxa"/>
            <w:gridSpan w:val="2"/>
          </w:tcPr>
          <w:p>
            <w:pPr>
              <w:pStyle w:val="TableParagraph"/>
              <w:spacing w:before="27"/>
              <w:ind w:right="204"/>
              <w:jc w:val="right"/>
              <w:rPr>
                <w:b/>
                <w:sz w:val="14"/>
              </w:rPr>
            </w:pPr>
            <w:r>
              <w:rPr>
                <w:b/>
                <w:sz w:val="14"/>
              </w:rPr>
              <w:t>3,747.9</w:t>
            </w:r>
          </w:p>
        </w:tc>
        <w:tc>
          <w:tcPr>
            <w:tcW w:w="1366" w:type="dxa"/>
          </w:tcPr>
          <w:p>
            <w:pPr>
              <w:pStyle w:val="TableParagraph"/>
              <w:spacing w:before="27"/>
              <w:ind w:right="400"/>
              <w:jc w:val="right"/>
              <w:rPr>
                <w:sz w:val="14"/>
              </w:rPr>
            </w:pPr>
            <w:r>
              <w:rPr>
                <w:sz w:val="14"/>
              </w:rPr>
              <w:t>0 . 2 %</w:t>
            </w:r>
          </w:p>
        </w:tc>
        <w:tc>
          <w:tcPr>
            <w:tcW w:w="1503" w:type="dxa"/>
          </w:tcPr>
          <w:p>
            <w:pPr>
              <w:pStyle w:val="TableParagraph"/>
              <w:spacing w:before="27"/>
              <w:ind w:right="387"/>
              <w:jc w:val="right"/>
              <w:rPr>
                <w:sz w:val="14"/>
              </w:rPr>
            </w:pPr>
            <w:r>
              <w:rPr>
                <w:sz w:val="14"/>
              </w:rPr>
              <w:t>4,616 .6</w:t>
            </w:r>
          </w:p>
        </w:tc>
        <w:tc>
          <w:tcPr>
            <w:tcW w:w="1480" w:type="dxa"/>
          </w:tcPr>
          <w:p>
            <w:pPr>
              <w:pStyle w:val="TableParagraph"/>
              <w:spacing w:before="27"/>
              <w:ind w:right="546"/>
              <w:jc w:val="right"/>
              <w:rPr>
                <w:sz w:val="14"/>
              </w:rPr>
            </w:pPr>
            <w:r>
              <w:rPr>
                <w:sz w:val="14"/>
              </w:rPr>
              <w:t>0 . 2 %</w:t>
            </w:r>
          </w:p>
        </w:tc>
        <w:tc>
          <w:tcPr>
            <w:tcW w:w="1184" w:type="dxa"/>
          </w:tcPr>
          <w:p>
            <w:pPr>
              <w:pStyle w:val="TableParagraph"/>
              <w:spacing w:before="27"/>
              <w:ind w:right="103"/>
              <w:jc w:val="right"/>
              <w:rPr>
                <w:sz w:val="14"/>
              </w:rPr>
            </w:pPr>
            <w:r>
              <w:rPr>
                <w:sz w:val="14"/>
              </w:rPr>
              <w:t>4,893 .1</w:t>
            </w:r>
          </w:p>
        </w:tc>
        <w:tc>
          <w:tcPr>
            <w:tcW w:w="1167" w:type="dxa"/>
          </w:tcPr>
          <w:p>
            <w:pPr>
              <w:pStyle w:val="TableParagraph"/>
              <w:spacing w:before="27"/>
              <w:ind w:right="291"/>
              <w:jc w:val="right"/>
              <w:rPr>
                <w:sz w:val="14"/>
              </w:rPr>
            </w:pPr>
            <w:r>
              <w:rPr>
                <w:sz w:val="14"/>
              </w:rPr>
              <w:t>0 . 2 %</w:t>
            </w:r>
          </w:p>
        </w:tc>
      </w:tr>
      <w:tr>
        <w:trPr>
          <w:trHeight w:val="220" w:hRule="atLeast"/>
        </w:trPr>
        <w:tc>
          <w:tcPr>
            <w:tcW w:w="5722" w:type="dxa"/>
          </w:tcPr>
          <w:p>
            <w:pPr>
              <w:pStyle w:val="TableParagraph"/>
              <w:spacing w:before="27"/>
              <w:ind w:left="734"/>
              <w:rPr>
                <w:sz w:val="14"/>
              </w:rPr>
            </w:pPr>
            <w:r>
              <w:rPr>
                <w:sz w:val="14"/>
              </w:rPr>
              <w:t>Reproductive Health/ Family Planning</w:t>
            </w:r>
          </w:p>
        </w:tc>
        <w:tc>
          <w:tcPr>
            <w:tcW w:w="2369" w:type="dxa"/>
            <w:gridSpan w:val="2"/>
          </w:tcPr>
          <w:p>
            <w:pPr>
              <w:pStyle w:val="TableParagraph"/>
              <w:spacing w:before="27"/>
              <w:ind w:right="193"/>
              <w:jc w:val="right"/>
              <w:rPr>
                <w:b/>
                <w:sz w:val="14"/>
              </w:rPr>
            </w:pPr>
            <w:r>
              <w:rPr>
                <w:b/>
                <w:sz w:val="14"/>
              </w:rPr>
              <w:t>449.8</w:t>
            </w:r>
          </w:p>
        </w:tc>
        <w:tc>
          <w:tcPr>
            <w:tcW w:w="1366" w:type="dxa"/>
          </w:tcPr>
          <w:p>
            <w:pPr>
              <w:pStyle w:val="TableParagraph"/>
              <w:spacing w:before="27"/>
              <w:ind w:right="400"/>
              <w:jc w:val="right"/>
              <w:rPr>
                <w:sz w:val="14"/>
              </w:rPr>
            </w:pPr>
            <w:r>
              <w:rPr>
                <w:sz w:val="14"/>
              </w:rPr>
              <w:t>0 . 0 %</w:t>
            </w:r>
          </w:p>
        </w:tc>
        <w:tc>
          <w:tcPr>
            <w:tcW w:w="1503" w:type="dxa"/>
          </w:tcPr>
          <w:p>
            <w:pPr>
              <w:pStyle w:val="TableParagraph"/>
              <w:spacing w:before="27"/>
              <w:ind w:right="384"/>
              <w:jc w:val="right"/>
              <w:rPr>
                <w:sz w:val="14"/>
              </w:rPr>
            </w:pPr>
            <w:r>
              <w:rPr>
                <w:sz w:val="14"/>
              </w:rPr>
              <w:t>554.0</w:t>
            </w:r>
          </w:p>
        </w:tc>
        <w:tc>
          <w:tcPr>
            <w:tcW w:w="1480" w:type="dxa"/>
          </w:tcPr>
          <w:p>
            <w:pPr>
              <w:pStyle w:val="TableParagraph"/>
              <w:spacing w:before="27"/>
              <w:ind w:right="546"/>
              <w:jc w:val="right"/>
              <w:rPr>
                <w:sz w:val="14"/>
              </w:rPr>
            </w:pPr>
            <w:r>
              <w:rPr>
                <w:sz w:val="14"/>
              </w:rPr>
              <w:t>0 . 0 %</w:t>
            </w:r>
          </w:p>
        </w:tc>
        <w:tc>
          <w:tcPr>
            <w:tcW w:w="1184" w:type="dxa"/>
          </w:tcPr>
          <w:p>
            <w:pPr>
              <w:pStyle w:val="TableParagraph"/>
              <w:spacing w:before="27"/>
              <w:ind w:right="101"/>
              <w:jc w:val="right"/>
              <w:rPr>
                <w:sz w:val="14"/>
              </w:rPr>
            </w:pPr>
            <w:r>
              <w:rPr>
                <w:sz w:val="14"/>
              </w:rPr>
              <w:t>587.2</w:t>
            </w:r>
          </w:p>
        </w:tc>
        <w:tc>
          <w:tcPr>
            <w:tcW w:w="1167" w:type="dxa"/>
          </w:tcPr>
          <w:p>
            <w:pPr>
              <w:pStyle w:val="TableParagraph"/>
              <w:spacing w:before="27"/>
              <w:ind w:right="291"/>
              <w:jc w:val="right"/>
              <w:rPr>
                <w:sz w:val="14"/>
              </w:rPr>
            </w:pPr>
            <w:r>
              <w:rPr>
                <w:sz w:val="14"/>
              </w:rPr>
              <w:t>0 . 0 %</w:t>
            </w:r>
          </w:p>
        </w:tc>
      </w:tr>
      <w:tr>
        <w:trPr>
          <w:trHeight w:val="220" w:hRule="atLeast"/>
        </w:trPr>
        <w:tc>
          <w:tcPr>
            <w:tcW w:w="5722" w:type="dxa"/>
          </w:tcPr>
          <w:p>
            <w:pPr>
              <w:pStyle w:val="TableParagraph"/>
              <w:spacing w:before="27"/>
              <w:ind w:left="566"/>
              <w:rPr>
                <w:sz w:val="14"/>
              </w:rPr>
            </w:pPr>
            <w:r>
              <w:rPr>
                <w:sz w:val="14"/>
              </w:rPr>
              <w:t>Secondary Health Care Services</w:t>
            </w:r>
          </w:p>
        </w:tc>
        <w:tc>
          <w:tcPr>
            <w:tcW w:w="2369" w:type="dxa"/>
            <w:gridSpan w:val="2"/>
          </w:tcPr>
          <w:p>
            <w:pPr>
              <w:pStyle w:val="TableParagraph"/>
              <w:spacing w:before="27"/>
              <w:ind w:right="193"/>
              <w:jc w:val="right"/>
              <w:rPr>
                <w:b/>
                <w:sz w:val="14"/>
              </w:rPr>
            </w:pPr>
            <w:r>
              <w:rPr>
                <w:b/>
                <w:sz w:val="14"/>
              </w:rPr>
              <w:t>764.6</w:t>
            </w:r>
          </w:p>
        </w:tc>
        <w:tc>
          <w:tcPr>
            <w:tcW w:w="1366" w:type="dxa"/>
          </w:tcPr>
          <w:p>
            <w:pPr>
              <w:pStyle w:val="TableParagraph"/>
              <w:spacing w:before="27"/>
              <w:ind w:right="400"/>
              <w:jc w:val="right"/>
              <w:rPr>
                <w:sz w:val="14"/>
              </w:rPr>
            </w:pPr>
            <w:r>
              <w:rPr>
                <w:sz w:val="14"/>
              </w:rPr>
              <w:t>0 . 0 %</w:t>
            </w:r>
          </w:p>
        </w:tc>
        <w:tc>
          <w:tcPr>
            <w:tcW w:w="1503" w:type="dxa"/>
          </w:tcPr>
          <w:p>
            <w:pPr>
              <w:pStyle w:val="TableParagraph"/>
              <w:spacing w:before="27"/>
              <w:ind w:right="384"/>
              <w:jc w:val="right"/>
              <w:rPr>
                <w:sz w:val="14"/>
              </w:rPr>
            </w:pPr>
            <w:r>
              <w:rPr>
                <w:sz w:val="14"/>
              </w:rPr>
              <w:t>941.9</w:t>
            </w:r>
          </w:p>
        </w:tc>
        <w:tc>
          <w:tcPr>
            <w:tcW w:w="1480" w:type="dxa"/>
          </w:tcPr>
          <w:p>
            <w:pPr>
              <w:pStyle w:val="TableParagraph"/>
              <w:spacing w:before="27"/>
              <w:ind w:right="546"/>
              <w:jc w:val="right"/>
              <w:rPr>
                <w:sz w:val="14"/>
              </w:rPr>
            </w:pPr>
            <w:r>
              <w:rPr>
                <w:sz w:val="14"/>
              </w:rPr>
              <w:t>0 . 0 %</w:t>
            </w:r>
          </w:p>
        </w:tc>
        <w:tc>
          <w:tcPr>
            <w:tcW w:w="1184" w:type="dxa"/>
          </w:tcPr>
          <w:p>
            <w:pPr>
              <w:pStyle w:val="TableParagraph"/>
              <w:spacing w:before="27"/>
              <w:ind w:right="101"/>
              <w:jc w:val="right"/>
              <w:rPr>
                <w:sz w:val="14"/>
              </w:rPr>
            </w:pPr>
            <w:r>
              <w:rPr>
                <w:sz w:val="14"/>
              </w:rPr>
              <w:t>998.3</w:t>
            </w:r>
          </w:p>
        </w:tc>
        <w:tc>
          <w:tcPr>
            <w:tcW w:w="1167" w:type="dxa"/>
          </w:tcPr>
          <w:p>
            <w:pPr>
              <w:pStyle w:val="TableParagraph"/>
              <w:spacing w:before="27"/>
              <w:ind w:right="291"/>
              <w:jc w:val="right"/>
              <w:rPr>
                <w:sz w:val="14"/>
              </w:rPr>
            </w:pPr>
            <w:r>
              <w:rPr>
                <w:sz w:val="14"/>
              </w:rPr>
              <w:t>0 . 0 %</w:t>
            </w:r>
          </w:p>
        </w:tc>
      </w:tr>
      <w:tr>
        <w:trPr>
          <w:trHeight w:val="218" w:hRule="atLeast"/>
        </w:trPr>
        <w:tc>
          <w:tcPr>
            <w:tcW w:w="5722" w:type="dxa"/>
          </w:tcPr>
          <w:p>
            <w:pPr>
              <w:pStyle w:val="TableParagraph"/>
              <w:spacing w:before="27"/>
              <w:ind w:left="567"/>
              <w:rPr>
                <w:sz w:val="14"/>
              </w:rPr>
            </w:pPr>
            <w:r>
              <w:rPr>
                <w:sz w:val="14"/>
              </w:rPr>
              <w:t>Hospitals and Ambulances</w:t>
            </w:r>
          </w:p>
        </w:tc>
        <w:tc>
          <w:tcPr>
            <w:tcW w:w="2369" w:type="dxa"/>
            <w:gridSpan w:val="2"/>
          </w:tcPr>
          <w:p>
            <w:pPr>
              <w:pStyle w:val="TableParagraph"/>
              <w:spacing w:before="27"/>
              <w:ind w:right="211"/>
              <w:jc w:val="right"/>
              <w:rPr>
                <w:b/>
                <w:sz w:val="14"/>
              </w:rPr>
            </w:pPr>
            <w:r>
              <w:rPr>
                <w:b/>
                <w:sz w:val="14"/>
              </w:rPr>
              <w:t>19,178.9</w:t>
            </w:r>
          </w:p>
        </w:tc>
        <w:tc>
          <w:tcPr>
            <w:tcW w:w="1366" w:type="dxa"/>
          </w:tcPr>
          <w:p>
            <w:pPr>
              <w:pStyle w:val="TableParagraph"/>
              <w:spacing w:before="27"/>
              <w:ind w:right="400"/>
              <w:jc w:val="right"/>
              <w:rPr>
                <w:sz w:val="14"/>
              </w:rPr>
            </w:pPr>
            <w:r>
              <w:rPr>
                <w:sz w:val="14"/>
              </w:rPr>
              <w:t>0 . 8 %</w:t>
            </w:r>
          </w:p>
        </w:tc>
        <w:tc>
          <w:tcPr>
            <w:tcW w:w="1503" w:type="dxa"/>
          </w:tcPr>
          <w:p>
            <w:pPr>
              <w:pStyle w:val="TableParagraph"/>
              <w:spacing w:before="27"/>
              <w:ind w:right="396"/>
              <w:jc w:val="right"/>
              <w:rPr>
                <w:sz w:val="14"/>
              </w:rPr>
            </w:pPr>
            <w:r>
              <w:rPr>
                <w:sz w:val="14"/>
              </w:rPr>
              <w:t>23,624.4</w:t>
            </w:r>
          </w:p>
        </w:tc>
        <w:tc>
          <w:tcPr>
            <w:tcW w:w="1480" w:type="dxa"/>
          </w:tcPr>
          <w:p>
            <w:pPr>
              <w:pStyle w:val="TableParagraph"/>
              <w:spacing w:before="27"/>
              <w:ind w:right="546"/>
              <w:jc w:val="right"/>
              <w:rPr>
                <w:sz w:val="14"/>
              </w:rPr>
            </w:pPr>
            <w:r>
              <w:rPr>
                <w:sz w:val="14"/>
              </w:rPr>
              <w:t>1 . 0 %</w:t>
            </w:r>
          </w:p>
        </w:tc>
        <w:tc>
          <w:tcPr>
            <w:tcW w:w="1184" w:type="dxa"/>
          </w:tcPr>
          <w:p>
            <w:pPr>
              <w:pStyle w:val="TableParagraph"/>
              <w:spacing w:before="27"/>
              <w:ind w:right="113"/>
              <w:jc w:val="right"/>
              <w:rPr>
                <w:sz w:val="14"/>
              </w:rPr>
            </w:pPr>
            <w:r>
              <w:rPr>
                <w:sz w:val="14"/>
              </w:rPr>
              <w:t>25,039.5</w:t>
            </w:r>
          </w:p>
        </w:tc>
        <w:tc>
          <w:tcPr>
            <w:tcW w:w="1167" w:type="dxa"/>
          </w:tcPr>
          <w:p>
            <w:pPr>
              <w:pStyle w:val="TableParagraph"/>
              <w:spacing w:before="27"/>
              <w:ind w:right="291"/>
              <w:jc w:val="right"/>
              <w:rPr>
                <w:sz w:val="14"/>
              </w:rPr>
            </w:pPr>
            <w:r>
              <w:rPr>
                <w:sz w:val="14"/>
              </w:rPr>
              <w:t>1 . 1 %</w:t>
            </w:r>
          </w:p>
        </w:tc>
      </w:tr>
      <w:tr>
        <w:trPr>
          <w:trHeight w:val="218" w:hRule="atLeast"/>
        </w:trPr>
        <w:tc>
          <w:tcPr>
            <w:tcW w:w="5722" w:type="dxa"/>
          </w:tcPr>
          <w:p>
            <w:pPr>
              <w:pStyle w:val="TableParagraph"/>
              <w:spacing w:before="25"/>
              <w:ind w:left="567"/>
              <w:rPr>
                <w:sz w:val="14"/>
              </w:rPr>
            </w:pPr>
            <w:r>
              <w:rPr>
                <w:sz w:val="14"/>
              </w:rPr>
              <w:t>Directorate of Hospitals and Laboratory</w:t>
            </w:r>
          </w:p>
        </w:tc>
        <w:tc>
          <w:tcPr>
            <w:tcW w:w="2369" w:type="dxa"/>
            <w:gridSpan w:val="2"/>
          </w:tcPr>
          <w:p>
            <w:pPr>
              <w:pStyle w:val="TableParagraph"/>
              <w:spacing w:before="25"/>
              <w:ind w:right="204"/>
              <w:jc w:val="right"/>
              <w:rPr>
                <w:b/>
                <w:sz w:val="14"/>
              </w:rPr>
            </w:pPr>
            <w:r>
              <w:rPr>
                <w:b/>
                <w:sz w:val="14"/>
              </w:rPr>
              <w:t>1,087.0</w:t>
            </w:r>
          </w:p>
        </w:tc>
        <w:tc>
          <w:tcPr>
            <w:tcW w:w="1366" w:type="dxa"/>
          </w:tcPr>
          <w:p>
            <w:pPr>
              <w:pStyle w:val="TableParagraph"/>
              <w:spacing w:before="25"/>
              <w:ind w:right="400"/>
              <w:jc w:val="right"/>
              <w:rPr>
                <w:sz w:val="14"/>
              </w:rPr>
            </w:pPr>
            <w:r>
              <w:rPr>
                <w:sz w:val="14"/>
              </w:rPr>
              <w:t>0 . 0 %</w:t>
            </w:r>
          </w:p>
        </w:tc>
        <w:tc>
          <w:tcPr>
            <w:tcW w:w="1503" w:type="dxa"/>
          </w:tcPr>
          <w:p>
            <w:pPr>
              <w:pStyle w:val="TableParagraph"/>
              <w:spacing w:before="25"/>
              <w:ind w:right="387"/>
              <w:jc w:val="right"/>
              <w:rPr>
                <w:sz w:val="14"/>
              </w:rPr>
            </w:pPr>
            <w:r>
              <w:rPr>
                <w:sz w:val="14"/>
              </w:rPr>
              <w:t>1,338 .9</w:t>
            </w:r>
          </w:p>
        </w:tc>
        <w:tc>
          <w:tcPr>
            <w:tcW w:w="1480" w:type="dxa"/>
          </w:tcPr>
          <w:p>
            <w:pPr>
              <w:pStyle w:val="TableParagraph"/>
              <w:spacing w:before="25"/>
              <w:ind w:right="546"/>
              <w:jc w:val="right"/>
              <w:rPr>
                <w:sz w:val="14"/>
              </w:rPr>
            </w:pPr>
            <w:r>
              <w:rPr>
                <w:sz w:val="14"/>
              </w:rPr>
              <w:t>0 . 1 %</w:t>
            </w:r>
          </w:p>
        </w:tc>
        <w:tc>
          <w:tcPr>
            <w:tcW w:w="1184" w:type="dxa"/>
          </w:tcPr>
          <w:p>
            <w:pPr>
              <w:pStyle w:val="TableParagraph"/>
              <w:spacing w:before="25"/>
              <w:ind w:right="103"/>
              <w:jc w:val="right"/>
              <w:rPr>
                <w:sz w:val="14"/>
              </w:rPr>
            </w:pPr>
            <w:r>
              <w:rPr>
                <w:sz w:val="14"/>
              </w:rPr>
              <w:t>1,419 .1</w:t>
            </w:r>
          </w:p>
        </w:tc>
        <w:tc>
          <w:tcPr>
            <w:tcW w:w="1167" w:type="dxa"/>
          </w:tcPr>
          <w:p>
            <w:pPr>
              <w:pStyle w:val="TableParagraph"/>
              <w:spacing w:before="25"/>
              <w:ind w:right="291"/>
              <w:jc w:val="right"/>
              <w:rPr>
                <w:sz w:val="14"/>
              </w:rPr>
            </w:pPr>
            <w:r>
              <w:rPr>
                <w:sz w:val="14"/>
              </w:rPr>
              <w:t>0 . 1 %</w:t>
            </w:r>
          </w:p>
        </w:tc>
      </w:tr>
      <w:tr>
        <w:trPr>
          <w:trHeight w:val="220" w:hRule="atLeast"/>
        </w:trPr>
        <w:tc>
          <w:tcPr>
            <w:tcW w:w="5722" w:type="dxa"/>
          </w:tcPr>
          <w:p>
            <w:pPr>
              <w:pStyle w:val="TableParagraph"/>
              <w:spacing w:before="27"/>
              <w:ind w:left="567"/>
              <w:rPr>
                <w:sz w:val="14"/>
              </w:rPr>
            </w:pPr>
            <w:r>
              <w:rPr>
                <w:sz w:val="14"/>
              </w:rPr>
              <w:t>Drugs and Medical Supplies</w:t>
            </w:r>
          </w:p>
        </w:tc>
        <w:tc>
          <w:tcPr>
            <w:tcW w:w="2369" w:type="dxa"/>
            <w:gridSpan w:val="2"/>
          </w:tcPr>
          <w:p>
            <w:pPr>
              <w:pStyle w:val="TableParagraph"/>
              <w:spacing w:before="27"/>
              <w:ind w:right="193"/>
              <w:jc w:val="right"/>
              <w:rPr>
                <w:b/>
                <w:sz w:val="14"/>
              </w:rPr>
            </w:pPr>
            <w:r>
              <w:rPr>
                <w:b/>
                <w:sz w:val="14"/>
              </w:rPr>
              <w:t>293.5</w:t>
            </w:r>
          </w:p>
        </w:tc>
        <w:tc>
          <w:tcPr>
            <w:tcW w:w="1366" w:type="dxa"/>
          </w:tcPr>
          <w:p>
            <w:pPr>
              <w:pStyle w:val="TableParagraph"/>
              <w:spacing w:before="27"/>
              <w:ind w:right="400"/>
              <w:jc w:val="right"/>
              <w:rPr>
                <w:sz w:val="14"/>
              </w:rPr>
            </w:pPr>
            <w:r>
              <w:rPr>
                <w:sz w:val="14"/>
              </w:rPr>
              <w:t>0 . 0 %</w:t>
            </w:r>
          </w:p>
        </w:tc>
        <w:tc>
          <w:tcPr>
            <w:tcW w:w="1503" w:type="dxa"/>
          </w:tcPr>
          <w:p>
            <w:pPr>
              <w:pStyle w:val="TableParagraph"/>
              <w:spacing w:before="27"/>
              <w:ind w:right="384"/>
              <w:jc w:val="right"/>
              <w:rPr>
                <w:sz w:val="14"/>
              </w:rPr>
            </w:pPr>
            <w:r>
              <w:rPr>
                <w:sz w:val="14"/>
              </w:rPr>
              <w:t>361.5</w:t>
            </w:r>
          </w:p>
        </w:tc>
        <w:tc>
          <w:tcPr>
            <w:tcW w:w="1480" w:type="dxa"/>
          </w:tcPr>
          <w:p>
            <w:pPr>
              <w:pStyle w:val="TableParagraph"/>
              <w:spacing w:before="27"/>
              <w:ind w:right="546"/>
              <w:jc w:val="right"/>
              <w:rPr>
                <w:sz w:val="14"/>
              </w:rPr>
            </w:pPr>
            <w:r>
              <w:rPr>
                <w:sz w:val="14"/>
              </w:rPr>
              <w:t>0 . 0 %</w:t>
            </w:r>
          </w:p>
        </w:tc>
        <w:tc>
          <w:tcPr>
            <w:tcW w:w="1184" w:type="dxa"/>
          </w:tcPr>
          <w:p>
            <w:pPr>
              <w:pStyle w:val="TableParagraph"/>
              <w:spacing w:before="27"/>
              <w:ind w:right="101"/>
              <w:jc w:val="right"/>
              <w:rPr>
                <w:sz w:val="14"/>
              </w:rPr>
            </w:pPr>
            <w:r>
              <w:rPr>
                <w:sz w:val="14"/>
              </w:rPr>
              <w:t>383.2</w:t>
            </w:r>
          </w:p>
        </w:tc>
        <w:tc>
          <w:tcPr>
            <w:tcW w:w="1167" w:type="dxa"/>
          </w:tcPr>
          <w:p>
            <w:pPr>
              <w:pStyle w:val="TableParagraph"/>
              <w:spacing w:before="27"/>
              <w:ind w:right="291"/>
              <w:jc w:val="right"/>
              <w:rPr>
                <w:sz w:val="14"/>
              </w:rPr>
            </w:pPr>
            <w:r>
              <w:rPr>
                <w:sz w:val="14"/>
              </w:rPr>
              <w:t>0 . 0 %</w:t>
            </w:r>
          </w:p>
        </w:tc>
      </w:tr>
      <w:tr>
        <w:trPr>
          <w:trHeight w:val="220" w:hRule="atLeast"/>
        </w:trPr>
        <w:tc>
          <w:tcPr>
            <w:tcW w:w="5722" w:type="dxa"/>
          </w:tcPr>
          <w:p>
            <w:pPr>
              <w:pStyle w:val="TableParagraph"/>
              <w:spacing w:before="27"/>
              <w:ind w:left="567"/>
              <w:rPr>
                <w:sz w:val="14"/>
              </w:rPr>
            </w:pPr>
            <w:r>
              <w:rPr>
                <w:sz w:val="14"/>
              </w:rPr>
              <w:t>Directorate of Support Services</w:t>
            </w:r>
          </w:p>
        </w:tc>
        <w:tc>
          <w:tcPr>
            <w:tcW w:w="2369" w:type="dxa"/>
            <w:gridSpan w:val="2"/>
          </w:tcPr>
          <w:p>
            <w:pPr>
              <w:pStyle w:val="TableParagraph"/>
              <w:spacing w:before="27"/>
              <w:ind w:right="193"/>
              <w:jc w:val="right"/>
              <w:rPr>
                <w:b/>
                <w:sz w:val="14"/>
              </w:rPr>
            </w:pPr>
            <w:r>
              <w:rPr>
                <w:b/>
                <w:sz w:val="14"/>
              </w:rPr>
              <w:t>234.8</w:t>
            </w:r>
          </w:p>
        </w:tc>
        <w:tc>
          <w:tcPr>
            <w:tcW w:w="1366" w:type="dxa"/>
          </w:tcPr>
          <w:p>
            <w:pPr>
              <w:pStyle w:val="TableParagraph"/>
              <w:spacing w:before="27"/>
              <w:ind w:right="400"/>
              <w:jc w:val="right"/>
              <w:rPr>
                <w:sz w:val="14"/>
              </w:rPr>
            </w:pPr>
            <w:r>
              <w:rPr>
                <w:sz w:val="14"/>
              </w:rPr>
              <w:t>0 . 0 %</w:t>
            </w:r>
          </w:p>
        </w:tc>
        <w:tc>
          <w:tcPr>
            <w:tcW w:w="1503" w:type="dxa"/>
          </w:tcPr>
          <w:p>
            <w:pPr>
              <w:pStyle w:val="TableParagraph"/>
              <w:spacing w:before="27"/>
              <w:ind w:right="384"/>
              <w:jc w:val="right"/>
              <w:rPr>
                <w:sz w:val="14"/>
              </w:rPr>
            </w:pPr>
            <w:r>
              <w:rPr>
                <w:sz w:val="14"/>
              </w:rPr>
              <w:t>289.2</w:t>
            </w:r>
          </w:p>
        </w:tc>
        <w:tc>
          <w:tcPr>
            <w:tcW w:w="1480" w:type="dxa"/>
          </w:tcPr>
          <w:p>
            <w:pPr>
              <w:pStyle w:val="TableParagraph"/>
              <w:spacing w:before="27"/>
              <w:ind w:right="546"/>
              <w:jc w:val="right"/>
              <w:rPr>
                <w:sz w:val="14"/>
              </w:rPr>
            </w:pPr>
            <w:r>
              <w:rPr>
                <w:sz w:val="14"/>
              </w:rPr>
              <w:t>0 . 0 %</w:t>
            </w:r>
          </w:p>
        </w:tc>
        <w:tc>
          <w:tcPr>
            <w:tcW w:w="1184" w:type="dxa"/>
          </w:tcPr>
          <w:p>
            <w:pPr>
              <w:pStyle w:val="TableParagraph"/>
              <w:spacing w:before="27"/>
              <w:ind w:right="101"/>
              <w:jc w:val="right"/>
              <w:rPr>
                <w:sz w:val="14"/>
              </w:rPr>
            </w:pPr>
            <w:r>
              <w:rPr>
                <w:sz w:val="14"/>
              </w:rPr>
              <w:t>306.5</w:t>
            </w:r>
          </w:p>
        </w:tc>
        <w:tc>
          <w:tcPr>
            <w:tcW w:w="1167" w:type="dxa"/>
          </w:tcPr>
          <w:p>
            <w:pPr>
              <w:pStyle w:val="TableParagraph"/>
              <w:spacing w:before="27"/>
              <w:ind w:right="291"/>
              <w:jc w:val="right"/>
              <w:rPr>
                <w:sz w:val="14"/>
              </w:rPr>
            </w:pPr>
            <w:r>
              <w:rPr>
                <w:sz w:val="14"/>
              </w:rPr>
              <w:t>0 . 0 %</w:t>
            </w:r>
          </w:p>
        </w:tc>
      </w:tr>
      <w:tr>
        <w:trPr>
          <w:trHeight w:val="220" w:hRule="atLeast"/>
        </w:trPr>
        <w:tc>
          <w:tcPr>
            <w:tcW w:w="5722" w:type="dxa"/>
          </w:tcPr>
          <w:p>
            <w:pPr>
              <w:pStyle w:val="TableParagraph"/>
              <w:spacing w:before="27"/>
              <w:ind w:left="566"/>
              <w:rPr>
                <w:sz w:val="14"/>
              </w:rPr>
            </w:pPr>
            <w:r>
              <w:rPr>
                <w:sz w:val="14"/>
              </w:rPr>
              <w:t>Policy Planning and Information</w:t>
            </w:r>
          </w:p>
        </w:tc>
        <w:tc>
          <w:tcPr>
            <w:tcW w:w="2369" w:type="dxa"/>
            <w:gridSpan w:val="2"/>
          </w:tcPr>
          <w:p>
            <w:pPr>
              <w:pStyle w:val="TableParagraph"/>
              <w:spacing w:before="27"/>
              <w:ind w:right="193"/>
              <w:jc w:val="right"/>
              <w:rPr>
                <w:b/>
                <w:sz w:val="14"/>
              </w:rPr>
            </w:pPr>
            <w:r>
              <w:rPr>
                <w:b/>
                <w:sz w:val="14"/>
              </w:rPr>
              <w:t>352.2</w:t>
            </w:r>
          </w:p>
        </w:tc>
        <w:tc>
          <w:tcPr>
            <w:tcW w:w="1366" w:type="dxa"/>
          </w:tcPr>
          <w:p>
            <w:pPr>
              <w:pStyle w:val="TableParagraph"/>
              <w:spacing w:before="27"/>
              <w:ind w:right="400"/>
              <w:jc w:val="right"/>
              <w:rPr>
                <w:sz w:val="14"/>
              </w:rPr>
            </w:pPr>
            <w:r>
              <w:rPr>
                <w:sz w:val="14"/>
              </w:rPr>
              <w:t>0 . 0 %</w:t>
            </w:r>
          </w:p>
        </w:tc>
        <w:tc>
          <w:tcPr>
            <w:tcW w:w="1503" w:type="dxa"/>
          </w:tcPr>
          <w:p>
            <w:pPr>
              <w:pStyle w:val="TableParagraph"/>
              <w:spacing w:before="27"/>
              <w:ind w:right="384"/>
              <w:jc w:val="right"/>
              <w:rPr>
                <w:sz w:val="14"/>
              </w:rPr>
            </w:pPr>
            <w:r>
              <w:rPr>
                <w:sz w:val="14"/>
              </w:rPr>
              <w:t>433.8</w:t>
            </w:r>
          </w:p>
        </w:tc>
        <w:tc>
          <w:tcPr>
            <w:tcW w:w="1480" w:type="dxa"/>
          </w:tcPr>
          <w:p>
            <w:pPr>
              <w:pStyle w:val="TableParagraph"/>
              <w:spacing w:before="27"/>
              <w:ind w:right="546"/>
              <w:jc w:val="right"/>
              <w:rPr>
                <w:sz w:val="14"/>
              </w:rPr>
            </w:pPr>
            <w:r>
              <w:rPr>
                <w:sz w:val="14"/>
              </w:rPr>
              <w:t>0 . 0 %</w:t>
            </w:r>
          </w:p>
        </w:tc>
        <w:tc>
          <w:tcPr>
            <w:tcW w:w="1184" w:type="dxa"/>
          </w:tcPr>
          <w:p>
            <w:pPr>
              <w:pStyle w:val="TableParagraph"/>
              <w:spacing w:before="27"/>
              <w:ind w:right="101"/>
              <w:jc w:val="right"/>
              <w:rPr>
                <w:sz w:val="14"/>
              </w:rPr>
            </w:pPr>
            <w:r>
              <w:rPr>
                <w:sz w:val="14"/>
              </w:rPr>
              <w:t>459.8</w:t>
            </w:r>
          </w:p>
        </w:tc>
        <w:tc>
          <w:tcPr>
            <w:tcW w:w="1167" w:type="dxa"/>
          </w:tcPr>
          <w:p>
            <w:pPr>
              <w:pStyle w:val="TableParagraph"/>
              <w:spacing w:before="27"/>
              <w:ind w:right="291"/>
              <w:jc w:val="right"/>
              <w:rPr>
                <w:sz w:val="14"/>
              </w:rPr>
            </w:pPr>
            <w:r>
              <w:rPr>
                <w:sz w:val="14"/>
              </w:rPr>
              <w:t>0 . 0 %</w:t>
            </w:r>
          </w:p>
        </w:tc>
      </w:tr>
      <w:tr>
        <w:trPr>
          <w:trHeight w:val="328" w:hRule="atLeast"/>
        </w:trPr>
        <w:tc>
          <w:tcPr>
            <w:tcW w:w="5722" w:type="dxa"/>
          </w:tcPr>
          <w:p>
            <w:pPr>
              <w:pStyle w:val="TableParagraph"/>
              <w:spacing w:before="27"/>
              <w:ind w:left="567"/>
              <w:rPr>
                <w:sz w:val="14"/>
              </w:rPr>
            </w:pPr>
            <w:r>
              <w:rPr>
                <w:sz w:val="14"/>
              </w:rPr>
              <w:t>Mental Health and Non Communicable Diseases</w:t>
            </w:r>
          </w:p>
        </w:tc>
        <w:tc>
          <w:tcPr>
            <w:tcW w:w="2369" w:type="dxa"/>
            <w:gridSpan w:val="2"/>
          </w:tcPr>
          <w:p>
            <w:pPr>
              <w:pStyle w:val="TableParagraph"/>
              <w:spacing w:before="27"/>
              <w:ind w:right="193"/>
              <w:jc w:val="right"/>
              <w:rPr>
                <w:b/>
                <w:sz w:val="14"/>
              </w:rPr>
            </w:pPr>
            <w:r>
              <w:rPr>
                <w:b/>
                <w:sz w:val="14"/>
              </w:rPr>
              <w:t>617.4</w:t>
            </w:r>
          </w:p>
        </w:tc>
        <w:tc>
          <w:tcPr>
            <w:tcW w:w="1366" w:type="dxa"/>
          </w:tcPr>
          <w:p>
            <w:pPr>
              <w:pStyle w:val="TableParagraph"/>
              <w:spacing w:before="27"/>
              <w:ind w:right="400"/>
              <w:jc w:val="right"/>
              <w:rPr>
                <w:sz w:val="14"/>
              </w:rPr>
            </w:pPr>
            <w:r>
              <w:rPr>
                <w:sz w:val="14"/>
              </w:rPr>
              <w:t>0 . 0 %</w:t>
            </w:r>
          </w:p>
        </w:tc>
        <w:tc>
          <w:tcPr>
            <w:tcW w:w="1503" w:type="dxa"/>
          </w:tcPr>
          <w:p>
            <w:pPr>
              <w:pStyle w:val="TableParagraph"/>
              <w:spacing w:before="27"/>
              <w:ind w:right="384"/>
              <w:jc w:val="right"/>
              <w:rPr>
                <w:sz w:val="14"/>
              </w:rPr>
            </w:pPr>
            <w:r>
              <w:rPr>
                <w:sz w:val="14"/>
              </w:rPr>
              <w:t>760.5</w:t>
            </w:r>
          </w:p>
        </w:tc>
        <w:tc>
          <w:tcPr>
            <w:tcW w:w="1480" w:type="dxa"/>
          </w:tcPr>
          <w:p>
            <w:pPr>
              <w:pStyle w:val="TableParagraph"/>
              <w:spacing w:before="27"/>
              <w:ind w:right="546"/>
              <w:jc w:val="right"/>
              <w:rPr>
                <w:sz w:val="14"/>
              </w:rPr>
            </w:pPr>
            <w:r>
              <w:rPr>
                <w:sz w:val="14"/>
              </w:rPr>
              <w:t>0 . 0 %</w:t>
            </w:r>
          </w:p>
        </w:tc>
        <w:tc>
          <w:tcPr>
            <w:tcW w:w="1184" w:type="dxa"/>
          </w:tcPr>
          <w:p>
            <w:pPr>
              <w:pStyle w:val="TableParagraph"/>
              <w:spacing w:before="27"/>
              <w:ind w:right="101"/>
              <w:jc w:val="right"/>
              <w:rPr>
                <w:sz w:val="14"/>
              </w:rPr>
            </w:pPr>
            <w:r>
              <w:rPr>
                <w:sz w:val="14"/>
              </w:rPr>
              <w:t>806.0</w:t>
            </w:r>
          </w:p>
        </w:tc>
        <w:tc>
          <w:tcPr>
            <w:tcW w:w="1167" w:type="dxa"/>
          </w:tcPr>
          <w:p>
            <w:pPr>
              <w:pStyle w:val="TableParagraph"/>
              <w:spacing w:before="27"/>
              <w:ind w:right="291"/>
              <w:jc w:val="right"/>
              <w:rPr>
                <w:sz w:val="14"/>
              </w:rPr>
            </w:pPr>
            <w:r>
              <w:rPr>
                <w:sz w:val="14"/>
              </w:rPr>
              <w:t>0 . 0 %</w:t>
            </w:r>
          </w:p>
        </w:tc>
      </w:tr>
      <w:tr>
        <w:trPr>
          <w:trHeight w:val="328" w:hRule="atLeast"/>
        </w:trPr>
        <w:tc>
          <w:tcPr>
            <w:tcW w:w="5722" w:type="dxa"/>
          </w:tcPr>
          <w:p>
            <w:pPr>
              <w:pStyle w:val="TableParagraph"/>
              <w:spacing w:before="135"/>
              <w:ind w:left="125"/>
              <w:rPr>
                <w:sz w:val="14"/>
              </w:rPr>
            </w:pPr>
            <w:r>
              <w:rPr>
                <w:sz w:val="14"/>
              </w:rPr>
              <w:t>307 National Medical Supplies Agency</w:t>
            </w:r>
          </w:p>
        </w:tc>
        <w:tc>
          <w:tcPr>
            <w:tcW w:w="2369" w:type="dxa"/>
            <w:gridSpan w:val="2"/>
          </w:tcPr>
          <w:p>
            <w:pPr>
              <w:pStyle w:val="TableParagraph"/>
              <w:spacing w:before="135"/>
              <w:ind w:right="211"/>
              <w:jc w:val="right"/>
              <w:rPr>
                <w:b/>
                <w:sz w:val="14"/>
              </w:rPr>
            </w:pPr>
            <w:r>
              <w:rPr>
                <w:b/>
                <w:sz w:val="14"/>
              </w:rPr>
              <w:t>51,304.5</w:t>
            </w:r>
          </w:p>
        </w:tc>
        <w:tc>
          <w:tcPr>
            <w:tcW w:w="1366" w:type="dxa"/>
          </w:tcPr>
          <w:p>
            <w:pPr>
              <w:pStyle w:val="TableParagraph"/>
              <w:spacing w:before="135"/>
              <w:ind w:right="400"/>
              <w:jc w:val="right"/>
              <w:rPr>
                <w:sz w:val="14"/>
              </w:rPr>
            </w:pPr>
            <w:r>
              <w:rPr>
                <w:sz w:val="14"/>
              </w:rPr>
              <w:t>2 . 2 %</w:t>
            </w:r>
          </w:p>
        </w:tc>
        <w:tc>
          <w:tcPr>
            <w:tcW w:w="1503" w:type="dxa"/>
          </w:tcPr>
          <w:p>
            <w:pPr>
              <w:pStyle w:val="TableParagraph"/>
              <w:spacing w:before="135"/>
              <w:ind w:right="387"/>
              <w:jc w:val="right"/>
              <w:rPr>
                <w:sz w:val="14"/>
              </w:rPr>
            </w:pPr>
            <w:r>
              <w:rPr>
                <w:sz w:val="14"/>
              </w:rPr>
              <w:t>7,313 .8</w:t>
            </w:r>
          </w:p>
        </w:tc>
        <w:tc>
          <w:tcPr>
            <w:tcW w:w="1480" w:type="dxa"/>
          </w:tcPr>
          <w:p>
            <w:pPr>
              <w:pStyle w:val="TableParagraph"/>
              <w:spacing w:before="135"/>
              <w:ind w:right="546"/>
              <w:jc w:val="right"/>
              <w:rPr>
                <w:sz w:val="14"/>
              </w:rPr>
            </w:pPr>
            <w:r>
              <w:rPr>
                <w:sz w:val="14"/>
              </w:rPr>
              <w:t>0 . 3 %</w:t>
            </w:r>
          </w:p>
        </w:tc>
        <w:tc>
          <w:tcPr>
            <w:tcW w:w="1184" w:type="dxa"/>
          </w:tcPr>
          <w:p>
            <w:pPr>
              <w:pStyle w:val="TableParagraph"/>
              <w:spacing w:before="135"/>
              <w:ind w:right="113"/>
              <w:jc w:val="right"/>
              <w:rPr>
                <w:sz w:val="14"/>
              </w:rPr>
            </w:pPr>
            <w:r>
              <w:rPr>
                <w:sz w:val="14"/>
              </w:rPr>
              <w:t>88,751.9</w:t>
            </w:r>
          </w:p>
        </w:tc>
        <w:tc>
          <w:tcPr>
            <w:tcW w:w="1167" w:type="dxa"/>
          </w:tcPr>
          <w:p>
            <w:pPr>
              <w:pStyle w:val="TableParagraph"/>
              <w:spacing w:before="135"/>
              <w:ind w:right="291"/>
              <w:jc w:val="right"/>
              <w:rPr>
                <w:sz w:val="14"/>
              </w:rPr>
            </w:pPr>
            <w:r>
              <w:rPr>
                <w:sz w:val="14"/>
              </w:rPr>
              <w:t>3 . 8 %</w:t>
            </w:r>
          </w:p>
        </w:tc>
      </w:tr>
      <w:tr>
        <w:trPr>
          <w:trHeight w:val="331" w:hRule="atLeast"/>
        </w:trPr>
        <w:tc>
          <w:tcPr>
            <w:tcW w:w="5722" w:type="dxa"/>
          </w:tcPr>
          <w:p>
            <w:pPr>
              <w:pStyle w:val="TableParagraph"/>
              <w:spacing w:before="27"/>
              <w:ind w:left="734"/>
              <w:rPr>
                <w:sz w:val="14"/>
              </w:rPr>
            </w:pPr>
            <w:r>
              <w:rPr>
                <w:sz w:val="14"/>
              </w:rPr>
              <w:t>Administrative and Operating Costs</w:t>
            </w:r>
          </w:p>
        </w:tc>
        <w:tc>
          <w:tcPr>
            <w:tcW w:w="2369" w:type="dxa"/>
            <w:gridSpan w:val="2"/>
          </w:tcPr>
          <w:p>
            <w:pPr>
              <w:pStyle w:val="TableParagraph"/>
              <w:spacing w:before="27"/>
              <w:ind w:right="204"/>
              <w:jc w:val="right"/>
              <w:rPr>
                <w:b/>
                <w:sz w:val="14"/>
              </w:rPr>
            </w:pPr>
            <w:r>
              <w:rPr>
                <w:b/>
                <w:sz w:val="14"/>
              </w:rPr>
              <w:t>1,878.4</w:t>
            </w:r>
          </w:p>
        </w:tc>
        <w:tc>
          <w:tcPr>
            <w:tcW w:w="1366" w:type="dxa"/>
          </w:tcPr>
          <w:p>
            <w:pPr>
              <w:pStyle w:val="TableParagraph"/>
              <w:spacing w:before="27"/>
              <w:ind w:right="400"/>
              <w:jc w:val="right"/>
              <w:rPr>
                <w:sz w:val="14"/>
              </w:rPr>
            </w:pPr>
            <w:r>
              <w:rPr>
                <w:sz w:val="14"/>
              </w:rPr>
              <w:t>0 . 1 %</w:t>
            </w:r>
          </w:p>
        </w:tc>
        <w:tc>
          <w:tcPr>
            <w:tcW w:w="1503" w:type="dxa"/>
          </w:tcPr>
          <w:p>
            <w:pPr>
              <w:pStyle w:val="TableParagraph"/>
              <w:spacing w:before="27"/>
              <w:ind w:right="387"/>
              <w:jc w:val="right"/>
              <w:rPr>
                <w:sz w:val="14"/>
              </w:rPr>
            </w:pPr>
            <w:r>
              <w:rPr>
                <w:sz w:val="14"/>
              </w:rPr>
              <w:t>7,313 .8</w:t>
            </w:r>
          </w:p>
        </w:tc>
        <w:tc>
          <w:tcPr>
            <w:tcW w:w="1480" w:type="dxa"/>
          </w:tcPr>
          <w:p>
            <w:pPr>
              <w:pStyle w:val="TableParagraph"/>
              <w:spacing w:before="27"/>
              <w:ind w:right="546"/>
              <w:jc w:val="right"/>
              <w:rPr>
                <w:sz w:val="14"/>
              </w:rPr>
            </w:pPr>
            <w:r>
              <w:rPr>
                <w:sz w:val="14"/>
              </w:rPr>
              <w:t>0 . 3 %</w:t>
            </w:r>
          </w:p>
        </w:tc>
        <w:tc>
          <w:tcPr>
            <w:tcW w:w="1184" w:type="dxa"/>
          </w:tcPr>
          <w:p>
            <w:pPr>
              <w:pStyle w:val="TableParagraph"/>
              <w:spacing w:before="27"/>
              <w:ind w:right="103"/>
              <w:jc w:val="right"/>
              <w:rPr>
                <w:sz w:val="14"/>
              </w:rPr>
            </w:pPr>
            <w:r>
              <w:rPr>
                <w:sz w:val="14"/>
              </w:rPr>
              <w:t>7,751 .9</w:t>
            </w:r>
          </w:p>
        </w:tc>
        <w:tc>
          <w:tcPr>
            <w:tcW w:w="1167" w:type="dxa"/>
          </w:tcPr>
          <w:p>
            <w:pPr>
              <w:pStyle w:val="TableParagraph"/>
              <w:spacing w:before="27"/>
              <w:ind w:right="291"/>
              <w:jc w:val="right"/>
              <w:rPr>
                <w:sz w:val="14"/>
              </w:rPr>
            </w:pPr>
            <w:r>
              <w:rPr>
                <w:sz w:val="14"/>
              </w:rPr>
              <w:t>0 . 3 %</w:t>
            </w:r>
          </w:p>
        </w:tc>
      </w:tr>
      <w:tr>
        <w:trPr>
          <w:trHeight w:val="441" w:hRule="atLeast"/>
        </w:trPr>
        <w:tc>
          <w:tcPr>
            <w:tcW w:w="5722" w:type="dxa"/>
          </w:tcPr>
          <w:p>
            <w:pPr>
              <w:pStyle w:val="TableParagraph"/>
              <w:spacing w:before="137"/>
              <w:ind w:left="125"/>
              <w:rPr>
                <w:sz w:val="14"/>
              </w:rPr>
            </w:pPr>
            <w:r>
              <w:rPr>
                <w:sz w:val="14"/>
              </w:rPr>
              <w:t>309 Dental and Medical Board</w:t>
            </w:r>
          </w:p>
        </w:tc>
        <w:tc>
          <w:tcPr>
            <w:tcW w:w="2369" w:type="dxa"/>
            <w:gridSpan w:val="2"/>
          </w:tcPr>
          <w:p>
            <w:pPr>
              <w:pStyle w:val="TableParagraph"/>
              <w:spacing w:before="137"/>
              <w:ind w:right="193"/>
              <w:jc w:val="right"/>
              <w:rPr>
                <w:b/>
                <w:sz w:val="14"/>
              </w:rPr>
            </w:pPr>
            <w:r>
              <w:rPr>
                <w:b/>
                <w:sz w:val="14"/>
              </w:rPr>
              <w:t>541.1</w:t>
            </w:r>
          </w:p>
        </w:tc>
        <w:tc>
          <w:tcPr>
            <w:tcW w:w="1366" w:type="dxa"/>
          </w:tcPr>
          <w:p>
            <w:pPr>
              <w:pStyle w:val="TableParagraph"/>
              <w:spacing w:before="137"/>
              <w:ind w:right="400"/>
              <w:jc w:val="right"/>
              <w:rPr>
                <w:sz w:val="14"/>
              </w:rPr>
            </w:pPr>
            <w:r>
              <w:rPr>
                <w:sz w:val="14"/>
              </w:rPr>
              <w:t>0 . 0 %</w:t>
            </w:r>
          </w:p>
        </w:tc>
        <w:tc>
          <w:tcPr>
            <w:tcW w:w="1503" w:type="dxa"/>
          </w:tcPr>
          <w:p>
            <w:pPr>
              <w:pStyle w:val="TableParagraph"/>
              <w:spacing w:before="137"/>
              <w:ind w:right="384"/>
              <w:jc w:val="right"/>
              <w:rPr>
                <w:sz w:val="14"/>
              </w:rPr>
            </w:pPr>
            <w:r>
              <w:rPr>
                <w:sz w:val="14"/>
              </w:rPr>
              <w:t>296.9</w:t>
            </w:r>
          </w:p>
        </w:tc>
        <w:tc>
          <w:tcPr>
            <w:tcW w:w="1480" w:type="dxa"/>
          </w:tcPr>
          <w:p>
            <w:pPr>
              <w:pStyle w:val="TableParagraph"/>
              <w:spacing w:before="137"/>
              <w:ind w:right="546"/>
              <w:jc w:val="right"/>
              <w:rPr>
                <w:sz w:val="14"/>
              </w:rPr>
            </w:pPr>
            <w:r>
              <w:rPr>
                <w:sz w:val="14"/>
              </w:rPr>
              <w:t>0 . 0 %</w:t>
            </w:r>
          </w:p>
        </w:tc>
        <w:tc>
          <w:tcPr>
            <w:tcW w:w="1184" w:type="dxa"/>
          </w:tcPr>
          <w:p>
            <w:pPr>
              <w:pStyle w:val="TableParagraph"/>
              <w:spacing w:before="137"/>
              <w:ind w:right="101"/>
              <w:jc w:val="right"/>
              <w:rPr>
                <w:sz w:val="14"/>
              </w:rPr>
            </w:pPr>
            <w:r>
              <w:rPr>
                <w:sz w:val="14"/>
              </w:rPr>
              <w:t>314.7</w:t>
            </w:r>
          </w:p>
        </w:tc>
        <w:tc>
          <w:tcPr>
            <w:tcW w:w="1167" w:type="dxa"/>
          </w:tcPr>
          <w:p>
            <w:pPr>
              <w:pStyle w:val="TableParagraph"/>
              <w:spacing w:before="137"/>
              <w:ind w:right="291"/>
              <w:jc w:val="right"/>
              <w:rPr>
                <w:sz w:val="14"/>
              </w:rPr>
            </w:pPr>
            <w:r>
              <w:rPr>
                <w:sz w:val="14"/>
              </w:rPr>
              <w:t>0 . 0 %</w:t>
            </w:r>
          </w:p>
        </w:tc>
      </w:tr>
      <w:tr>
        <w:trPr>
          <w:trHeight w:val="439" w:hRule="atLeast"/>
        </w:trPr>
        <w:tc>
          <w:tcPr>
            <w:tcW w:w="5722" w:type="dxa"/>
          </w:tcPr>
          <w:p>
            <w:pPr>
              <w:pStyle w:val="TableParagraph"/>
              <w:spacing w:before="137"/>
              <w:ind w:left="125"/>
              <w:rPr>
                <w:sz w:val="14"/>
              </w:rPr>
            </w:pPr>
            <w:r>
              <w:rPr>
                <w:sz w:val="14"/>
              </w:rPr>
              <w:t>311 Health Service Commission</w:t>
            </w:r>
          </w:p>
        </w:tc>
        <w:tc>
          <w:tcPr>
            <w:tcW w:w="2369" w:type="dxa"/>
            <w:gridSpan w:val="2"/>
          </w:tcPr>
          <w:p>
            <w:pPr>
              <w:pStyle w:val="TableParagraph"/>
              <w:spacing w:before="137"/>
              <w:ind w:right="204"/>
              <w:jc w:val="right"/>
              <w:rPr>
                <w:b/>
                <w:sz w:val="14"/>
              </w:rPr>
            </w:pPr>
            <w:r>
              <w:rPr>
                <w:b/>
                <w:sz w:val="14"/>
              </w:rPr>
              <w:t>1,034.0</w:t>
            </w:r>
          </w:p>
        </w:tc>
        <w:tc>
          <w:tcPr>
            <w:tcW w:w="1366" w:type="dxa"/>
          </w:tcPr>
          <w:p>
            <w:pPr>
              <w:pStyle w:val="TableParagraph"/>
              <w:spacing w:before="137"/>
              <w:ind w:right="400"/>
              <w:jc w:val="right"/>
              <w:rPr>
                <w:sz w:val="14"/>
              </w:rPr>
            </w:pPr>
            <w:r>
              <w:rPr>
                <w:sz w:val="14"/>
              </w:rPr>
              <w:t>0 . 0 %</w:t>
            </w:r>
          </w:p>
        </w:tc>
        <w:tc>
          <w:tcPr>
            <w:tcW w:w="1503" w:type="dxa"/>
          </w:tcPr>
          <w:p>
            <w:pPr>
              <w:pStyle w:val="TableParagraph"/>
              <w:spacing w:before="137"/>
              <w:ind w:right="396"/>
              <w:jc w:val="right"/>
              <w:rPr>
                <w:sz w:val="14"/>
              </w:rPr>
            </w:pPr>
            <w:r>
              <w:rPr>
                <w:sz w:val="14"/>
              </w:rPr>
              <w:t>10,904.1</w:t>
            </w:r>
          </w:p>
        </w:tc>
        <w:tc>
          <w:tcPr>
            <w:tcW w:w="1480" w:type="dxa"/>
          </w:tcPr>
          <w:p>
            <w:pPr>
              <w:pStyle w:val="TableParagraph"/>
              <w:spacing w:before="137"/>
              <w:ind w:right="546"/>
              <w:jc w:val="right"/>
              <w:rPr>
                <w:sz w:val="14"/>
              </w:rPr>
            </w:pPr>
            <w:r>
              <w:rPr>
                <w:sz w:val="14"/>
              </w:rPr>
              <w:t>0 . 5 %</w:t>
            </w:r>
          </w:p>
        </w:tc>
        <w:tc>
          <w:tcPr>
            <w:tcW w:w="1184" w:type="dxa"/>
          </w:tcPr>
          <w:p>
            <w:pPr>
              <w:pStyle w:val="TableParagraph"/>
              <w:spacing w:before="137"/>
              <w:ind w:right="113"/>
              <w:jc w:val="right"/>
              <w:rPr>
                <w:sz w:val="14"/>
              </w:rPr>
            </w:pPr>
            <w:r>
              <w:rPr>
                <w:sz w:val="14"/>
              </w:rPr>
              <w:t>11,557.3</w:t>
            </w:r>
          </w:p>
        </w:tc>
        <w:tc>
          <w:tcPr>
            <w:tcW w:w="1167" w:type="dxa"/>
          </w:tcPr>
          <w:p>
            <w:pPr>
              <w:pStyle w:val="TableParagraph"/>
              <w:spacing w:before="137"/>
              <w:ind w:right="291"/>
              <w:jc w:val="right"/>
              <w:rPr>
                <w:sz w:val="14"/>
              </w:rPr>
            </w:pPr>
            <w:r>
              <w:rPr>
                <w:sz w:val="14"/>
              </w:rPr>
              <w:t>0 . 5 %</w:t>
            </w:r>
          </w:p>
        </w:tc>
      </w:tr>
      <w:tr>
        <w:trPr>
          <w:trHeight w:val="330" w:hRule="atLeast"/>
        </w:trPr>
        <w:tc>
          <w:tcPr>
            <w:tcW w:w="5722" w:type="dxa"/>
          </w:tcPr>
          <w:p>
            <w:pPr>
              <w:pStyle w:val="TableParagraph"/>
              <w:spacing w:before="135"/>
              <w:ind w:left="125"/>
              <w:rPr>
                <w:sz w:val="14"/>
              </w:rPr>
            </w:pPr>
            <w:r>
              <w:rPr>
                <w:sz w:val="14"/>
              </w:rPr>
              <w:t>314 National HIV and AIDS Commission</w:t>
            </w:r>
          </w:p>
        </w:tc>
        <w:tc>
          <w:tcPr>
            <w:tcW w:w="2369" w:type="dxa"/>
            <w:gridSpan w:val="2"/>
          </w:tcPr>
          <w:p>
            <w:pPr>
              <w:pStyle w:val="TableParagraph"/>
              <w:spacing w:before="135"/>
              <w:ind w:right="204"/>
              <w:jc w:val="right"/>
              <w:rPr>
                <w:b/>
                <w:sz w:val="14"/>
              </w:rPr>
            </w:pPr>
            <w:r>
              <w:rPr>
                <w:b/>
                <w:sz w:val="14"/>
              </w:rPr>
              <w:t>2,074.3</w:t>
            </w:r>
          </w:p>
        </w:tc>
        <w:tc>
          <w:tcPr>
            <w:tcW w:w="1366" w:type="dxa"/>
          </w:tcPr>
          <w:p>
            <w:pPr>
              <w:pStyle w:val="TableParagraph"/>
              <w:spacing w:before="135"/>
              <w:ind w:right="400"/>
              <w:jc w:val="right"/>
              <w:rPr>
                <w:sz w:val="14"/>
              </w:rPr>
            </w:pPr>
            <w:r>
              <w:rPr>
                <w:sz w:val="14"/>
              </w:rPr>
              <w:t>0 . 1 %</w:t>
            </w:r>
          </w:p>
        </w:tc>
        <w:tc>
          <w:tcPr>
            <w:tcW w:w="1503" w:type="dxa"/>
          </w:tcPr>
          <w:p>
            <w:pPr>
              <w:pStyle w:val="TableParagraph"/>
              <w:spacing w:before="135"/>
              <w:ind w:right="387"/>
              <w:jc w:val="right"/>
              <w:rPr>
                <w:sz w:val="14"/>
              </w:rPr>
            </w:pPr>
            <w:r>
              <w:rPr>
                <w:sz w:val="14"/>
              </w:rPr>
              <w:t>7,308 .7</w:t>
            </w:r>
          </w:p>
        </w:tc>
        <w:tc>
          <w:tcPr>
            <w:tcW w:w="1480" w:type="dxa"/>
          </w:tcPr>
          <w:p>
            <w:pPr>
              <w:pStyle w:val="TableParagraph"/>
              <w:spacing w:before="135"/>
              <w:ind w:right="546"/>
              <w:jc w:val="right"/>
              <w:rPr>
                <w:sz w:val="14"/>
              </w:rPr>
            </w:pPr>
            <w:r>
              <w:rPr>
                <w:sz w:val="14"/>
              </w:rPr>
              <w:t>0 . 3 %</w:t>
            </w:r>
          </w:p>
        </w:tc>
        <w:tc>
          <w:tcPr>
            <w:tcW w:w="1184" w:type="dxa"/>
          </w:tcPr>
          <w:p>
            <w:pPr>
              <w:pStyle w:val="TableParagraph"/>
              <w:spacing w:before="135"/>
              <w:ind w:right="103"/>
              <w:jc w:val="right"/>
              <w:rPr>
                <w:sz w:val="14"/>
              </w:rPr>
            </w:pPr>
            <w:r>
              <w:rPr>
                <w:sz w:val="14"/>
              </w:rPr>
              <w:t>7,746 .5</w:t>
            </w:r>
          </w:p>
        </w:tc>
        <w:tc>
          <w:tcPr>
            <w:tcW w:w="1167" w:type="dxa"/>
          </w:tcPr>
          <w:p>
            <w:pPr>
              <w:pStyle w:val="TableParagraph"/>
              <w:spacing w:before="135"/>
              <w:ind w:right="291"/>
              <w:jc w:val="right"/>
              <w:rPr>
                <w:sz w:val="14"/>
              </w:rPr>
            </w:pPr>
            <w:r>
              <w:rPr>
                <w:sz w:val="14"/>
              </w:rPr>
              <w:t>0 . 3 %</w:t>
            </w:r>
          </w:p>
        </w:tc>
      </w:tr>
    </w:tbl>
    <w:p>
      <w:pPr>
        <w:spacing w:after="0"/>
        <w:jc w:val="right"/>
        <w:rPr>
          <w:sz w:val="14"/>
        </w:rPr>
        <w:sectPr>
          <w:pgSz w:w="16840" w:h="11900" w:orient="landscape"/>
          <w:pgMar w:header="1059" w:footer="0" w:top="2520" w:bottom="280" w:left="880" w:right="920"/>
        </w:sectPr>
      </w:pPr>
    </w:p>
    <w:p>
      <w:pPr>
        <w:pStyle w:val="BodyText"/>
        <w:rPr>
          <w:rFonts w:ascii="Times New Roman"/>
          <w:sz w:val="6"/>
        </w:rPr>
      </w:pPr>
      <w:r>
        <w:rPr/>
        <w:pict>
          <v:shape style="position:absolute;margin-left:27.140491pt;margin-top:287.790009pt;width:14.35pt;height:16.4pt;mso-position-horizontal-relative:page;mso-position-vertical-relative:page;z-index:1504" type="#_x0000_t202" filled="false" stroked="false">
            <v:textbox inset="0,0,0,0" style="layout-flow:vertical">
              <w:txbxContent>
                <w:p>
                  <w:pPr>
                    <w:spacing w:before="13"/>
                    <w:ind w:left="20" w:right="0" w:firstLine="0"/>
                    <w:jc w:val="left"/>
                    <w:rPr>
                      <w:rFonts w:ascii="Arial"/>
                      <w:sz w:val="22"/>
                    </w:rPr>
                  </w:pPr>
                  <w:r>
                    <w:rPr>
                      <w:rFonts w:ascii="Arial"/>
                      <w:sz w:val="22"/>
                    </w:rPr>
                    <w:t>xix</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273"/>
        <w:gridCol w:w="2341"/>
        <w:gridCol w:w="1331"/>
        <w:gridCol w:w="1542"/>
        <w:gridCol w:w="1430"/>
        <w:gridCol w:w="1233"/>
        <w:gridCol w:w="1168"/>
      </w:tblGrid>
      <w:tr>
        <w:trPr>
          <w:trHeight w:val="567" w:hRule="atLeast"/>
        </w:trPr>
        <w:tc>
          <w:tcPr>
            <w:tcW w:w="5744" w:type="dxa"/>
            <w:gridSpan w:val="2"/>
            <w:tcBorders>
              <w:bottom w:val="single" w:sz="18" w:space="0" w:color="000000"/>
            </w:tcBorders>
          </w:tcPr>
          <w:p>
            <w:pPr>
              <w:pStyle w:val="TableParagraph"/>
              <w:rPr>
                <w:rFonts w:ascii="Times New Roman"/>
                <w:sz w:val="14"/>
              </w:rPr>
            </w:pPr>
          </w:p>
        </w:tc>
        <w:tc>
          <w:tcPr>
            <w:tcW w:w="2341" w:type="dxa"/>
            <w:tcBorders>
              <w:bottom w:val="single" w:sz="18" w:space="0" w:color="000000"/>
            </w:tcBorders>
          </w:tcPr>
          <w:p>
            <w:pPr>
              <w:pStyle w:val="TableParagraph"/>
              <w:spacing w:before="29"/>
              <w:ind w:left="1165" w:right="562"/>
              <w:jc w:val="center"/>
              <w:rPr>
                <w:b/>
                <w:sz w:val="14"/>
              </w:rPr>
            </w:pPr>
            <w:r>
              <w:rPr>
                <w:b/>
                <w:spacing w:val="2"/>
                <w:sz w:val="14"/>
              </w:rPr>
              <w:t>FY</w:t>
            </w:r>
            <w:r>
              <w:rPr>
                <w:b/>
                <w:spacing w:val="6"/>
                <w:sz w:val="14"/>
              </w:rPr>
              <w:t> </w:t>
            </w:r>
            <w:r>
              <w:rPr>
                <w:b/>
                <w:spacing w:val="4"/>
                <w:sz w:val="14"/>
              </w:rPr>
              <w:t>2020</w:t>
            </w:r>
          </w:p>
          <w:p>
            <w:pPr>
              <w:pStyle w:val="TableParagraph"/>
              <w:spacing w:before="17"/>
              <w:ind w:left="1174" w:right="442"/>
              <w:jc w:val="center"/>
              <w:rPr>
                <w:sz w:val="14"/>
              </w:rPr>
            </w:pPr>
            <w:r>
              <w:rPr>
                <w:sz w:val="14"/>
              </w:rPr>
              <w:t>Budget</w:t>
            </w:r>
          </w:p>
        </w:tc>
        <w:tc>
          <w:tcPr>
            <w:tcW w:w="1331" w:type="dxa"/>
            <w:tcBorders>
              <w:bottom w:val="single" w:sz="18" w:space="0" w:color="000000"/>
            </w:tcBorders>
          </w:tcPr>
          <w:p>
            <w:pPr>
              <w:pStyle w:val="TableParagraph"/>
              <w:spacing w:line="264" w:lineRule="auto" w:before="29"/>
              <w:ind w:left="204" w:right="168" w:firstLine="91"/>
              <w:rPr>
                <w:sz w:val="14"/>
              </w:rPr>
            </w:pPr>
            <w:r>
              <w:rPr>
                <w:sz w:val="14"/>
              </w:rPr>
              <w:t>% of Total Non Int/ Sal</w:t>
            </w:r>
          </w:p>
        </w:tc>
        <w:tc>
          <w:tcPr>
            <w:tcW w:w="1542" w:type="dxa"/>
            <w:tcBorders>
              <w:bottom w:val="single" w:sz="18" w:space="0" w:color="000000"/>
            </w:tcBorders>
          </w:tcPr>
          <w:p>
            <w:pPr>
              <w:pStyle w:val="TableParagraph"/>
              <w:spacing w:before="29"/>
              <w:ind w:left="583"/>
              <w:rPr>
                <w:b/>
                <w:sz w:val="14"/>
              </w:rPr>
            </w:pPr>
            <w:r>
              <w:rPr>
                <w:b/>
                <w:spacing w:val="2"/>
                <w:sz w:val="14"/>
              </w:rPr>
              <w:t>FY</w:t>
            </w:r>
            <w:r>
              <w:rPr>
                <w:b/>
                <w:spacing w:val="6"/>
                <w:sz w:val="14"/>
              </w:rPr>
              <w:t> </w:t>
            </w:r>
            <w:r>
              <w:rPr>
                <w:b/>
                <w:spacing w:val="4"/>
                <w:sz w:val="14"/>
              </w:rPr>
              <w:t>2021</w:t>
            </w:r>
          </w:p>
          <w:p>
            <w:pPr>
              <w:pStyle w:val="TableParagraph"/>
              <w:spacing w:before="17"/>
              <w:ind w:left="525"/>
              <w:rPr>
                <w:sz w:val="14"/>
              </w:rPr>
            </w:pPr>
            <w:r>
              <w:rPr>
                <w:spacing w:val="3"/>
                <w:sz w:val="14"/>
              </w:rPr>
              <w:t>Indicative</w:t>
            </w:r>
          </w:p>
        </w:tc>
        <w:tc>
          <w:tcPr>
            <w:tcW w:w="1430" w:type="dxa"/>
            <w:tcBorders>
              <w:bottom w:val="single" w:sz="18" w:space="0" w:color="000000"/>
            </w:tcBorders>
          </w:tcPr>
          <w:p>
            <w:pPr>
              <w:pStyle w:val="TableParagraph"/>
              <w:spacing w:line="249" w:lineRule="auto" w:before="29"/>
              <w:ind w:left="394" w:right="279" w:firstLine="86"/>
              <w:jc w:val="both"/>
              <w:rPr>
                <w:sz w:val="14"/>
              </w:rPr>
            </w:pPr>
            <w:r>
              <w:rPr>
                <w:sz w:val="14"/>
              </w:rPr>
              <w:t>% of Total Non Int/ Sal Recurr Exp</w:t>
            </w:r>
          </w:p>
        </w:tc>
        <w:tc>
          <w:tcPr>
            <w:tcW w:w="1233" w:type="dxa"/>
            <w:tcBorders>
              <w:bottom w:val="single" w:sz="18" w:space="0" w:color="000000"/>
            </w:tcBorders>
          </w:tcPr>
          <w:p>
            <w:pPr>
              <w:pStyle w:val="TableParagraph"/>
              <w:spacing w:before="29"/>
              <w:ind w:left="390"/>
              <w:rPr>
                <w:b/>
                <w:sz w:val="14"/>
              </w:rPr>
            </w:pPr>
            <w:r>
              <w:rPr>
                <w:b/>
                <w:sz w:val="14"/>
              </w:rPr>
              <w:t>FY 2022</w:t>
            </w:r>
          </w:p>
        </w:tc>
        <w:tc>
          <w:tcPr>
            <w:tcW w:w="1168" w:type="dxa"/>
            <w:tcBorders>
              <w:bottom w:val="single" w:sz="18" w:space="0" w:color="000000"/>
            </w:tcBorders>
          </w:tcPr>
          <w:p>
            <w:pPr>
              <w:pStyle w:val="TableParagraph"/>
              <w:spacing w:line="249" w:lineRule="auto" w:before="29"/>
              <w:ind w:left="111" w:right="299" w:firstLine="86"/>
              <w:jc w:val="both"/>
              <w:rPr>
                <w:sz w:val="14"/>
              </w:rPr>
            </w:pPr>
            <w:r>
              <w:rPr>
                <w:sz w:val="14"/>
              </w:rPr>
              <w:t>% of Total Non Int/ Sal Recurr Exp</w:t>
            </w:r>
          </w:p>
        </w:tc>
      </w:tr>
      <w:tr>
        <w:trPr>
          <w:trHeight w:val="610" w:hRule="atLeast"/>
        </w:trPr>
        <w:tc>
          <w:tcPr>
            <w:tcW w:w="471" w:type="dxa"/>
            <w:tcBorders>
              <w:top w:val="single" w:sz="18" w:space="0" w:color="000000"/>
            </w:tcBorders>
          </w:tcPr>
          <w:p>
            <w:pPr>
              <w:pStyle w:val="TableParagraph"/>
              <w:rPr>
                <w:rFonts w:ascii="Times New Roman"/>
                <w:sz w:val="16"/>
              </w:rPr>
            </w:pPr>
          </w:p>
          <w:p>
            <w:pPr>
              <w:pStyle w:val="TableParagraph"/>
              <w:spacing w:before="125"/>
              <w:ind w:right="92"/>
              <w:jc w:val="right"/>
              <w:rPr>
                <w:sz w:val="14"/>
              </w:rPr>
            </w:pPr>
            <w:r>
              <w:rPr>
                <w:w w:val="95"/>
                <w:sz w:val="14"/>
              </w:rPr>
              <w:t>315</w:t>
            </w:r>
          </w:p>
        </w:tc>
        <w:tc>
          <w:tcPr>
            <w:tcW w:w="5273" w:type="dxa"/>
            <w:tcBorders>
              <w:top w:val="single" w:sz="18" w:space="0" w:color="000000"/>
            </w:tcBorders>
          </w:tcPr>
          <w:p>
            <w:pPr>
              <w:pStyle w:val="TableParagraph"/>
              <w:rPr>
                <w:rFonts w:ascii="Times New Roman"/>
                <w:sz w:val="16"/>
              </w:rPr>
            </w:pPr>
          </w:p>
          <w:p>
            <w:pPr>
              <w:pStyle w:val="TableParagraph"/>
              <w:spacing w:before="125"/>
              <w:ind w:left="95"/>
              <w:rPr>
                <w:sz w:val="14"/>
              </w:rPr>
            </w:pPr>
            <w:r>
              <w:rPr>
                <w:sz w:val="14"/>
              </w:rPr>
              <w:t>Teaching Hospitals Complex Administration</w:t>
            </w:r>
          </w:p>
        </w:tc>
        <w:tc>
          <w:tcPr>
            <w:tcW w:w="2341" w:type="dxa"/>
            <w:tcBorders>
              <w:top w:val="single" w:sz="18" w:space="0" w:color="000000"/>
            </w:tcBorders>
          </w:tcPr>
          <w:p>
            <w:pPr>
              <w:pStyle w:val="TableParagraph"/>
              <w:rPr>
                <w:rFonts w:ascii="Times New Roman"/>
                <w:sz w:val="16"/>
              </w:rPr>
            </w:pPr>
          </w:p>
          <w:p>
            <w:pPr>
              <w:pStyle w:val="TableParagraph"/>
              <w:spacing w:before="125"/>
              <w:ind w:right="198"/>
              <w:jc w:val="right"/>
              <w:rPr>
                <w:b/>
                <w:sz w:val="14"/>
              </w:rPr>
            </w:pPr>
            <w:r>
              <w:rPr>
                <w:b/>
                <w:sz w:val="14"/>
              </w:rPr>
              <w:t>1,648.7</w:t>
            </w:r>
          </w:p>
        </w:tc>
        <w:tc>
          <w:tcPr>
            <w:tcW w:w="1331" w:type="dxa"/>
            <w:tcBorders>
              <w:top w:val="single" w:sz="18" w:space="0" w:color="000000"/>
            </w:tcBorders>
          </w:tcPr>
          <w:p>
            <w:pPr>
              <w:pStyle w:val="TableParagraph"/>
              <w:rPr>
                <w:rFonts w:ascii="Times New Roman"/>
                <w:sz w:val="16"/>
              </w:rPr>
            </w:pPr>
          </w:p>
          <w:p>
            <w:pPr>
              <w:pStyle w:val="TableParagraph"/>
              <w:spacing w:before="125"/>
              <w:ind w:left="594"/>
              <w:rPr>
                <w:sz w:val="14"/>
              </w:rPr>
            </w:pPr>
            <w:r>
              <w:rPr>
                <w:sz w:val="14"/>
              </w:rPr>
              <w:t>0 . 1 %</w:t>
            </w:r>
          </w:p>
        </w:tc>
        <w:tc>
          <w:tcPr>
            <w:tcW w:w="1542" w:type="dxa"/>
            <w:tcBorders>
              <w:top w:val="single" w:sz="18" w:space="0" w:color="000000"/>
            </w:tcBorders>
          </w:tcPr>
          <w:p>
            <w:pPr>
              <w:pStyle w:val="TableParagraph"/>
              <w:rPr>
                <w:rFonts w:ascii="Times New Roman"/>
                <w:sz w:val="16"/>
              </w:rPr>
            </w:pPr>
          </w:p>
          <w:p>
            <w:pPr>
              <w:pStyle w:val="TableParagraph"/>
              <w:spacing w:before="125"/>
              <w:ind w:left="631"/>
              <w:rPr>
                <w:sz w:val="14"/>
              </w:rPr>
            </w:pPr>
            <w:r>
              <w:rPr>
                <w:sz w:val="14"/>
              </w:rPr>
              <w:t>7,030 .8</w:t>
            </w:r>
          </w:p>
        </w:tc>
        <w:tc>
          <w:tcPr>
            <w:tcW w:w="1430" w:type="dxa"/>
            <w:tcBorders>
              <w:top w:val="single" w:sz="18" w:space="0" w:color="000000"/>
            </w:tcBorders>
          </w:tcPr>
          <w:p>
            <w:pPr>
              <w:pStyle w:val="TableParagraph"/>
              <w:rPr>
                <w:rFonts w:ascii="Times New Roman"/>
                <w:sz w:val="16"/>
              </w:rPr>
            </w:pPr>
          </w:p>
          <w:p>
            <w:pPr>
              <w:pStyle w:val="TableParagraph"/>
              <w:spacing w:before="125"/>
              <w:ind w:left="507" w:right="447"/>
              <w:jc w:val="center"/>
              <w:rPr>
                <w:sz w:val="14"/>
              </w:rPr>
            </w:pPr>
            <w:r>
              <w:rPr>
                <w:sz w:val="14"/>
              </w:rPr>
              <w:t>0 . 3 %</w:t>
            </w:r>
          </w:p>
        </w:tc>
        <w:tc>
          <w:tcPr>
            <w:tcW w:w="1233" w:type="dxa"/>
            <w:tcBorders>
              <w:top w:val="single" w:sz="18" w:space="0" w:color="000000"/>
            </w:tcBorders>
          </w:tcPr>
          <w:p>
            <w:pPr>
              <w:pStyle w:val="TableParagraph"/>
              <w:rPr>
                <w:rFonts w:ascii="Times New Roman"/>
                <w:sz w:val="16"/>
              </w:rPr>
            </w:pPr>
          </w:p>
          <w:p>
            <w:pPr>
              <w:pStyle w:val="TableParagraph"/>
              <w:spacing w:before="125"/>
              <w:ind w:left="606"/>
              <w:rPr>
                <w:sz w:val="14"/>
              </w:rPr>
            </w:pPr>
            <w:r>
              <w:rPr>
                <w:sz w:val="14"/>
              </w:rPr>
              <w:t>7,452 .0</w:t>
            </w:r>
          </w:p>
        </w:tc>
        <w:tc>
          <w:tcPr>
            <w:tcW w:w="1168" w:type="dxa"/>
            <w:tcBorders>
              <w:top w:val="single" w:sz="18" w:space="0" w:color="000000"/>
            </w:tcBorders>
          </w:tcPr>
          <w:p>
            <w:pPr>
              <w:pStyle w:val="TableParagraph"/>
              <w:rPr>
                <w:rFonts w:ascii="Times New Roman"/>
                <w:sz w:val="16"/>
              </w:rPr>
            </w:pPr>
          </w:p>
          <w:p>
            <w:pPr>
              <w:pStyle w:val="TableParagraph"/>
              <w:spacing w:before="125"/>
              <w:ind w:right="289"/>
              <w:jc w:val="right"/>
              <w:rPr>
                <w:sz w:val="14"/>
              </w:rPr>
            </w:pPr>
            <w:r>
              <w:rPr>
                <w:sz w:val="14"/>
              </w:rPr>
              <w:t>0 . 3 %</w:t>
            </w:r>
          </w:p>
        </w:tc>
      </w:tr>
      <w:tr>
        <w:trPr>
          <w:trHeight w:val="439" w:hRule="atLeast"/>
        </w:trPr>
        <w:tc>
          <w:tcPr>
            <w:tcW w:w="471" w:type="dxa"/>
          </w:tcPr>
          <w:p>
            <w:pPr>
              <w:pStyle w:val="TableParagraph"/>
              <w:spacing w:before="135"/>
              <w:ind w:right="92"/>
              <w:jc w:val="right"/>
              <w:rPr>
                <w:sz w:val="14"/>
              </w:rPr>
            </w:pPr>
            <w:r>
              <w:rPr>
                <w:w w:val="95"/>
                <w:sz w:val="14"/>
              </w:rPr>
              <w:t>317</w:t>
            </w:r>
          </w:p>
        </w:tc>
        <w:tc>
          <w:tcPr>
            <w:tcW w:w="5273" w:type="dxa"/>
          </w:tcPr>
          <w:p>
            <w:pPr>
              <w:pStyle w:val="TableParagraph"/>
              <w:spacing w:before="135"/>
              <w:ind w:left="95"/>
              <w:rPr>
                <w:sz w:val="14"/>
              </w:rPr>
            </w:pPr>
            <w:r>
              <w:rPr>
                <w:sz w:val="14"/>
              </w:rPr>
              <w:t>Post Graduate College of Health Specialists</w:t>
            </w:r>
          </w:p>
        </w:tc>
        <w:tc>
          <w:tcPr>
            <w:tcW w:w="2341" w:type="dxa"/>
          </w:tcPr>
          <w:p>
            <w:pPr>
              <w:pStyle w:val="TableParagraph"/>
              <w:spacing w:before="135"/>
              <w:ind w:left="1327"/>
              <w:rPr>
                <w:b/>
                <w:sz w:val="14"/>
              </w:rPr>
            </w:pPr>
            <w:r>
              <w:rPr>
                <w:b/>
                <w:sz w:val="14"/>
              </w:rPr>
              <w:t>1,510.0</w:t>
            </w:r>
          </w:p>
        </w:tc>
        <w:tc>
          <w:tcPr>
            <w:tcW w:w="1331" w:type="dxa"/>
          </w:tcPr>
          <w:p>
            <w:pPr>
              <w:pStyle w:val="TableParagraph"/>
              <w:spacing w:before="135"/>
              <w:ind w:left="368"/>
              <w:rPr>
                <w:sz w:val="14"/>
              </w:rPr>
            </w:pPr>
            <w:r>
              <w:rPr>
                <w:sz w:val="14"/>
              </w:rPr>
              <w:t>0 . 1 %</w:t>
            </w:r>
          </w:p>
        </w:tc>
        <w:tc>
          <w:tcPr>
            <w:tcW w:w="1542" w:type="dxa"/>
          </w:tcPr>
          <w:p>
            <w:pPr>
              <w:pStyle w:val="TableParagraph"/>
              <w:spacing w:before="135"/>
              <w:ind w:left="458"/>
              <w:rPr>
                <w:sz w:val="14"/>
              </w:rPr>
            </w:pPr>
            <w:r>
              <w:rPr>
                <w:sz w:val="14"/>
              </w:rPr>
              <w:t>1,452 .0</w:t>
            </w:r>
          </w:p>
        </w:tc>
        <w:tc>
          <w:tcPr>
            <w:tcW w:w="1430" w:type="dxa"/>
          </w:tcPr>
          <w:p>
            <w:pPr>
              <w:pStyle w:val="TableParagraph"/>
              <w:spacing w:before="135"/>
              <w:ind w:left="507" w:right="447"/>
              <w:jc w:val="center"/>
              <w:rPr>
                <w:sz w:val="14"/>
              </w:rPr>
            </w:pPr>
            <w:r>
              <w:rPr>
                <w:sz w:val="14"/>
              </w:rPr>
              <w:t>0 . 1 %</w:t>
            </w:r>
          </w:p>
        </w:tc>
        <w:tc>
          <w:tcPr>
            <w:tcW w:w="1233" w:type="dxa"/>
          </w:tcPr>
          <w:p>
            <w:pPr>
              <w:pStyle w:val="TableParagraph"/>
              <w:spacing w:before="135"/>
              <w:ind w:left="380"/>
              <w:rPr>
                <w:sz w:val="14"/>
              </w:rPr>
            </w:pPr>
            <w:r>
              <w:rPr>
                <w:sz w:val="14"/>
              </w:rPr>
              <w:t>1,539 .0</w:t>
            </w:r>
          </w:p>
        </w:tc>
        <w:tc>
          <w:tcPr>
            <w:tcW w:w="1168" w:type="dxa"/>
          </w:tcPr>
          <w:p>
            <w:pPr>
              <w:pStyle w:val="TableParagraph"/>
              <w:spacing w:before="135"/>
              <w:ind w:right="289"/>
              <w:jc w:val="right"/>
              <w:rPr>
                <w:sz w:val="14"/>
              </w:rPr>
            </w:pPr>
            <w:r>
              <w:rPr>
                <w:sz w:val="14"/>
              </w:rPr>
              <w:t>0 . 1 %</w:t>
            </w:r>
          </w:p>
        </w:tc>
      </w:tr>
      <w:tr>
        <w:trPr>
          <w:trHeight w:val="441" w:hRule="atLeast"/>
        </w:trPr>
        <w:tc>
          <w:tcPr>
            <w:tcW w:w="471" w:type="dxa"/>
          </w:tcPr>
          <w:p>
            <w:pPr>
              <w:pStyle w:val="TableParagraph"/>
              <w:spacing w:before="137"/>
              <w:ind w:right="92"/>
              <w:jc w:val="right"/>
              <w:rPr>
                <w:sz w:val="14"/>
              </w:rPr>
            </w:pPr>
            <w:r>
              <w:rPr>
                <w:w w:val="95"/>
                <w:sz w:val="14"/>
              </w:rPr>
              <w:t>345</w:t>
            </w:r>
          </w:p>
        </w:tc>
        <w:tc>
          <w:tcPr>
            <w:tcW w:w="5273" w:type="dxa"/>
          </w:tcPr>
          <w:p>
            <w:pPr>
              <w:pStyle w:val="TableParagraph"/>
              <w:spacing w:before="137"/>
              <w:ind w:left="95"/>
              <w:rPr>
                <w:sz w:val="14"/>
              </w:rPr>
            </w:pPr>
            <w:r>
              <w:rPr>
                <w:sz w:val="14"/>
              </w:rPr>
              <w:t>Pharmacy Board Services</w:t>
            </w:r>
          </w:p>
        </w:tc>
        <w:tc>
          <w:tcPr>
            <w:tcW w:w="2341" w:type="dxa"/>
          </w:tcPr>
          <w:p>
            <w:pPr>
              <w:pStyle w:val="TableParagraph"/>
              <w:spacing w:before="137"/>
              <w:ind w:left="1327"/>
              <w:rPr>
                <w:b/>
                <w:sz w:val="14"/>
              </w:rPr>
            </w:pPr>
            <w:r>
              <w:rPr>
                <w:b/>
                <w:sz w:val="14"/>
              </w:rPr>
              <w:t>4,011.0</w:t>
            </w:r>
          </w:p>
        </w:tc>
        <w:tc>
          <w:tcPr>
            <w:tcW w:w="1331" w:type="dxa"/>
          </w:tcPr>
          <w:p>
            <w:pPr>
              <w:pStyle w:val="TableParagraph"/>
              <w:spacing w:before="137"/>
              <w:ind w:left="368"/>
              <w:rPr>
                <w:sz w:val="14"/>
              </w:rPr>
            </w:pPr>
            <w:r>
              <w:rPr>
                <w:sz w:val="14"/>
              </w:rPr>
              <w:t>0 . 2 %</w:t>
            </w:r>
          </w:p>
        </w:tc>
        <w:tc>
          <w:tcPr>
            <w:tcW w:w="1542" w:type="dxa"/>
          </w:tcPr>
          <w:p>
            <w:pPr>
              <w:pStyle w:val="TableParagraph"/>
              <w:spacing w:before="137"/>
              <w:ind w:left="458"/>
              <w:rPr>
                <w:sz w:val="14"/>
              </w:rPr>
            </w:pPr>
            <w:r>
              <w:rPr>
                <w:sz w:val="14"/>
              </w:rPr>
              <w:t>4,940 .7</w:t>
            </w:r>
          </w:p>
        </w:tc>
        <w:tc>
          <w:tcPr>
            <w:tcW w:w="1430" w:type="dxa"/>
          </w:tcPr>
          <w:p>
            <w:pPr>
              <w:pStyle w:val="TableParagraph"/>
              <w:spacing w:before="137"/>
              <w:ind w:left="507" w:right="447"/>
              <w:jc w:val="center"/>
              <w:rPr>
                <w:sz w:val="14"/>
              </w:rPr>
            </w:pPr>
            <w:r>
              <w:rPr>
                <w:sz w:val="14"/>
              </w:rPr>
              <w:t>0 . 2 %</w:t>
            </w:r>
          </w:p>
        </w:tc>
        <w:tc>
          <w:tcPr>
            <w:tcW w:w="1233" w:type="dxa"/>
          </w:tcPr>
          <w:p>
            <w:pPr>
              <w:pStyle w:val="TableParagraph"/>
              <w:spacing w:before="137"/>
              <w:ind w:left="380"/>
              <w:rPr>
                <w:sz w:val="14"/>
              </w:rPr>
            </w:pPr>
            <w:r>
              <w:rPr>
                <w:sz w:val="14"/>
              </w:rPr>
              <w:t>5,236 .7</w:t>
            </w:r>
          </w:p>
        </w:tc>
        <w:tc>
          <w:tcPr>
            <w:tcW w:w="1168" w:type="dxa"/>
          </w:tcPr>
          <w:p>
            <w:pPr>
              <w:pStyle w:val="TableParagraph"/>
              <w:spacing w:before="137"/>
              <w:ind w:right="289"/>
              <w:jc w:val="right"/>
              <w:rPr>
                <w:sz w:val="14"/>
              </w:rPr>
            </w:pPr>
            <w:r>
              <w:rPr>
                <w:sz w:val="14"/>
              </w:rPr>
              <w:t>0 . 2 %</w:t>
            </w:r>
          </w:p>
        </w:tc>
      </w:tr>
      <w:tr>
        <w:trPr>
          <w:trHeight w:val="439" w:hRule="atLeast"/>
        </w:trPr>
        <w:tc>
          <w:tcPr>
            <w:tcW w:w="471" w:type="dxa"/>
          </w:tcPr>
          <w:p>
            <w:pPr>
              <w:pStyle w:val="TableParagraph"/>
              <w:spacing w:before="137"/>
              <w:ind w:right="92"/>
              <w:jc w:val="right"/>
              <w:rPr>
                <w:sz w:val="14"/>
              </w:rPr>
            </w:pPr>
            <w:r>
              <w:rPr>
                <w:w w:val="95"/>
                <w:sz w:val="14"/>
              </w:rPr>
              <w:t>701</w:t>
            </w:r>
          </w:p>
        </w:tc>
        <w:tc>
          <w:tcPr>
            <w:tcW w:w="5273" w:type="dxa"/>
          </w:tcPr>
          <w:p>
            <w:pPr>
              <w:pStyle w:val="TableParagraph"/>
              <w:spacing w:before="137"/>
              <w:ind w:left="96"/>
              <w:rPr>
                <w:sz w:val="14"/>
              </w:rPr>
            </w:pPr>
            <w:r>
              <w:rPr>
                <w:sz w:val="14"/>
              </w:rPr>
              <w:t>Devolved Function - Health Care Services</w:t>
            </w:r>
          </w:p>
        </w:tc>
        <w:tc>
          <w:tcPr>
            <w:tcW w:w="2341" w:type="dxa"/>
          </w:tcPr>
          <w:p>
            <w:pPr>
              <w:pStyle w:val="TableParagraph"/>
              <w:spacing w:before="137"/>
              <w:ind w:left="1236"/>
              <w:rPr>
                <w:b/>
                <w:sz w:val="14"/>
              </w:rPr>
            </w:pPr>
            <w:r>
              <w:rPr>
                <w:b/>
                <w:sz w:val="14"/>
              </w:rPr>
              <w:t>35,229.2</w:t>
            </w:r>
          </w:p>
        </w:tc>
        <w:tc>
          <w:tcPr>
            <w:tcW w:w="1331" w:type="dxa"/>
          </w:tcPr>
          <w:p>
            <w:pPr>
              <w:pStyle w:val="TableParagraph"/>
              <w:spacing w:before="137"/>
              <w:ind w:left="368"/>
              <w:rPr>
                <w:sz w:val="14"/>
              </w:rPr>
            </w:pPr>
            <w:r>
              <w:rPr>
                <w:sz w:val="14"/>
              </w:rPr>
              <w:t>1 . 5 %</w:t>
            </w:r>
          </w:p>
        </w:tc>
        <w:tc>
          <w:tcPr>
            <w:tcW w:w="1542" w:type="dxa"/>
          </w:tcPr>
          <w:p>
            <w:pPr>
              <w:pStyle w:val="TableParagraph"/>
              <w:spacing w:before="137"/>
              <w:ind w:left="367"/>
              <w:rPr>
                <w:sz w:val="14"/>
              </w:rPr>
            </w:pPr>
            <w:r>
              <w:rPr>
                <w:sz w:val="14"/>
              </w:rPr>
              <w:t>34,094.5</w:t>
            </w:r>
          </w:p>
        </w:tc>
        <w:tc>
          <w:tcPr>
            <w:tcW w:w="1430" w:type="dxa"/>
          </w:tcPr>
          <w:p>
            <w:pPr>
              <w:pStyle w:val="TableParagraph"/>
              <w:spacing w:before="137"/>
              <w:ind w:left="507" w:right="447"/>
              <w:jc w:val="center"/>
              <w:rPr>
                <w:sz w:val="14"/>
              </w:rPr>
            </w:pPr>
            <w:r>
              <w:rPr>
                <w:sz w:val="14"/>
              </w:rPr>
              <w:t>1 . 5 %</w:t>
            </w:r>
          </w:p>
        </w:tc>
        <w:tc>
          <w:tcPr>
            <w:tcW w:w="1233" w:type="dxa"/>
          </w:tcPr>
          <w:p>
            <w:pPr>
              <w:pStyle w:val="TableParagraph"/>
              <w:spacing w:before="137"/>
              <w:ind w:left="289"/>
              <w:rPr>
                <w:sz w:val="14"/>
              </w:rPr>
            </w:pPr>
            <w:r>
              <w:rPr>
                <w:sz w:val="14"/>
              </w:rPr>
              <w:t>43,021.8</w:t>
            </w:r>
          </w:p>
        </w:tc>
        <w:tc>
          <w:tcPr>
            <w:tcW w:w="1168" w:type="dxa"/>
          </w:tcPr>
          <w:p>
            <w:pPr>
              <w:pStyle w:val="TableParagraph"/>
              <w:spacing w:before="137"/>
              <w:ind w:right="289"/>
              <w:jc w:val="right"/>
              <w:rPr>
                <w:sz w:val="14"/>
              </w:rPr>
            </w:pPr>
            <w:r>
              <w:rPr>
                <w:sz w:val="14"/>
              </w:rPr>
              <w:t>1 . 9 %</w:t>
            </w:r>
          </w:p>
        </w:tc>
      </w:tr>
      <w:tr>
        <w:trPr>
          <w:trHeight w:val="439" w:hRule="atLeast"/>
        </w:trPr>
        <w:tc>
          <w:tcPr>
            <w:tcW w:w="471" w:type="dxa"/>
          </w:tcPr>
          <w:p>
            <w:pPr>
              <w:pStyle w:val="TableParagraph"/>
              <w:spacing w:before="135"/>
              <w:ind w:right="98"/>
              <w:jc w:val="right"/>
              <w:rPr>
                <w:b/>
                <w:sz w:val="14"/>
              </w:rPr>
            </w:pPr>
            <w:r>
              <w:rPr>
                <w:b/>
                <w:sz w:val="14"/>
              </w:rPr>
              <w:t>2. 2</w:t>
            </w:r>
          </w:p>
        </w:tc>
        <w:tc>
          <w:tcPr>
            <w:tcW w:w="5273" w:type="dxa"/>
          </w:tcPr>
          <w:p>
            <w:pPr>
              <w:pStyle w:val="TableParagraph"/>
              <w:spacing w:before="135"/>
              <w:ind w:left="96"/>
              <w:rPr>
                <w:b/>
                <w:sz w:val="14"/>
              </w:rPr>
            </w:pPr>
            <w:r>
              <w:rPr>
                <w:b/>
                <w:sz w:val="14"/>
              </w:rPr>
              <w:t>IMPROVING WATER SANITATION</w:t>
            </w:r>
          </w:p>
        </w:tc>
        <w:tc>
          <w:tcPr>
            <w:tcW w:w="2341" w:type="dxa"/>
          </w:tcPr>
          <w:p>
            <w:pPr>
              <w:pStyle w:val="TableParagraph"/>
              <w:spacing w:before="135"/>
              <w:ind w:left="1236"/>
              <w:rPr>
                <w:b/>
                <w:sz w:val="14"/>
              </w:rPr>
            </w:pPr>
            <w:r>
              <w:rPr>
                <w:b/>
                <w:sz w:val="14"/>
              </w:rPr>
              <w:t>21,900.2</w:t>
            </w:r>
          </w:p>
        </w:tc>
        <w:tc>
          <w:tcPr>
            <w:tcW w:w="1331" w:type="dxa"/>
          </w:tcPr>
          <w:p>
            <w:pPr>
              <w:pStyle w:val="TableParagraph"/>
              <w:spacing w:before="135"/>
              <w:ind w:left="368"/>
              <w:rPr>
                <w:sz w:val="14"/>
              </w:rPr>
            </w:pPr>
            <w:r>
              <w:rPr>
                <w:sz w:val="14"/>
              </w:rPr>
              <w:t>0 . 9 %</w:t>
            </w:r>
          </w:p>
        </w:tc>
        <w:tc>
          <w:tcPr>
            <w:tcW w:w="1542" w:type="dxa"/>
          </w:tcPr>
          <w:p>
            <w:pPr>
              <w:pStyle w:val="TableParagraph"/>
              <w:spacing w:before="135"/>
              <w:ind w:left="367"/>
              <w:rPr>
                <w:sz w:val="14"/>
              </w:rPr>
            </w:pPr>
            <w:r>
              <w:rPr>
                <w:sz w:val="14"/>
              </w:rPr>
              <w:t>25,466.7</w:t>
            </w:r>
          </w:p>
        </w:tc>
        <w:tc>
          <w:tcPr>
            <w:tcW w:w="1430" w:type="dxa"/>
          </w:tcPr>
          <w:p>
            <w:pPr>
              <w:pStyle w:val="TableParagraph"/>
              <w:spacing w:before="135"/>
              <w:ind w:left="507" w:right="447"/>
              <w:jc w:val="center"/>
              <w:rPr>
                <w:sz w:val="14"/>
              </w:rPr>
            </w:pPr>
            <w:r>
              <w:rPr>
                <w:sz w:val="14"/>
              </w:rPr>
              <w:t>1 . 1 %</w:t>
            </w:r>
          </w:p>
        </w:tc>
        <w:tc>
          <w:tcPr>
            <w:tcW w:w="1233" w:type="dxa"/>
          </w:tcPr>
          <w:p>
            <w:pPr>
              <w:pStyle w:val="TableParagraph"/>
              <w:spacing w:before="135"/>
              <w:ind w:left="289"/>
              <w:rPr>
                <w:sz w:val="14"/>
              </w:rPr>
            </w:pPr>
            <w:r>
              <w:rPr>
                <w:sz w:val="14"/>
              </w:rPr>
              <w:t>28,305.7</w:t>
            </w:r>
          </w:p>
        </w:tc>
        <w:tc>
          <w:tcPr>
            <w:tcW w:w="1168" w:type="dxa"/>
          </w:tcPr>
          <w:p>
            <w:pPr>
              <w:pStyle w:val="TableParagraph"/>
              <w:spacing w:before="135"/>
              <w:ind w:right="289"/>
              <w:jc w:val="right"/>
              <w:rPr>
                <w:sz w:val="14"/>
              </w:rPr>
            </w:pPr>
            <w:r>
              <w:rPr>
                <w:sz w:val="14"/>
              </w:rPr>
              <w:t>1 . 2 %</w:t>
            </w:r>
          </w:p>
        </w:tc>
      </w:tr>
      <w:tr>
        <w:trPr>
          <w:trHeight w:val="441" w:hRule="atLeast"/>
        </w:trPr>
        <w:tc>
          <w:tcPr>
            <w:tcW w:w="471" w:type="dxa"/>
          </w:tcPr>
          <w:p>
            <w:pPr>
              <w:pStyle w:val="TableParagraph"/>
              <w:spacing w:before="137"/>
              <w:ind w:right="92"/>
              <w:jc w:val="right"/>
              <w:rPr>
                <w:sz w:val="14"/>
              </w:rPr>
            </w:pPr>
            <w:r>
              <w:rPr>
                <w:w w:val="95"/>
                <w:sz w:val="14"/>
              </w:rPr>
              <w:t>414</w:t>
            </w:r>
          </w:p>
        </w:tc>
        <w:tc>
          <w:tcPr>
            <w:tcW w:w="5273" w:type="dxa"/>
          </w:tcPr>
          <w:p>
            <w:pPr>
              <w:pStyle w:val="TableParagraph"/>
              <w:spacing w:before="137"/>
              <w:ind w:left="96"/>
              <w:rPr>
                <w:sz w:val="14"/>
              </w:rPr>
            </w:pPr>
            <w:r>
              <w:rPr>
                <w:sz w:val="14"/>
              </w:rPr>
              <w:t>Ministry of Water Resources</w:t>
            </w:r>
          </w:p>
        </w:tc>
        <w:tc>
          <w:tcPr>
            <w:tcW w:w="2341" w:type="dxa"/>
          </w:tcPr>
          <w:p>
            <w:pPr>
              <w:pStyle w:val="TableParagraph"/>
              <w:spacing w:before="137"/>
              <w:ind w:left="1236"/>
              <w:rPr>
                <w:b/>
                <w:sz w:val="14"/>
              </w:rPr>
            </w:pPr>
            <w:r>
              <w:rPr>
                <w:b/>
                <w:sz w:val="14"/>
              </w:rPr>
              <w:t>11,312.2</w:t>
            </w:r>
          </w:p>
        </w:tc>
        <w:tc>
          <w:tcPr>
            <w:tcW w:w="1331" w:type="dxa"/>
          </w:tcPr>
          <w:p>
            <w:pPr>
              <w:pStyle w:val="TableParagraph"/>
              <w:spacing w:before="137"/>
              <w:ind w:left="368"/>
              <w:rPr>
                <w:sz w:val="14"/>
              </w:rPr>
            </w:pPr>
            <w:r>
              <w:rPr>
                <w:sz w:val="14"/>
              </w:rPr>
              <w:t>0 . 5 %</w:t>
            </w:r>
          </w:p>
        </w:tc>
        <w:tc>
          <w:tcPr>
            <w:tcW w:w="1542" w:type="dxa"/>
          </w:tcPr>
          <w:p>
            <w:pPr>
              <w:pStyle w:val="TableParagraph"/>
              <w:spacing w:before="137"/>
              <w:ind w:left="367"/>
              <w:rPr>
                <w:sz w:val="14"/>
              </w:rPr>
            </w:pPr>
            <w:r>
              <w:rPr>
                <w:sz w:val="14"/>
              </w:rPr>
              <w:t>13,934.2</w:t>
            </w:r>
          </w:p>
        </w:tc>
        <w:tc>
          <w:tcPr>
            <w:tcW w:w="1430" w:type="dxa"/>
          </w:tcPr>
          <w:p>
            <w:pPr>
              <w:pStyle w:val="TableParagraph"/>
              <w:spacing w:before="137"/>
              <w:ind w:left="507" w:right="447"/>
              <w:jc w:val="center"/>
              <w:rPr>
                <w:sz w:val="14"/>
              </w:rPr>
            </w:pPr>
            <w:r>
              <w:rPr>
                <w:sz w:val="14"/>
              </w:rPr>
              <w:t>0 . 6 %</w:t>
            </w:r>
          </w:p>
        </w:tc>
        <w:tc>
          <w:tcPr>
            <w:tcW w:w="1233" w:type="dxa"/>
          </w:tcPr>
          <w:p>
            <w:pPr>
              <w:pStyle w:val="TableParagraph"/>
              <w:spacing w:before="137"/>
              <w:ind w:left="289"/>
              <w:rPr>
                <w:sz w:val="14"/>
              </w:rPr>
            </w:pPr>
            <w:r>
              <w:rPr>
                <w:sz w:val="14"/>
              </w:rPr>
              <w:t>14,768.9</w:t>
            </w:r>
          </w:p>
        </w:tc>
        <w:tc>
          <w:tcPr>
            <w:tcW w:w="1168" w:type="dxa"/>
          </w:tcPr>
          <w:p>
            <w:pPr>
              <w:pStyle w:val="TableParagraph"/>
              <w:spacing w:before="137"/>
              <w:ind w:right="289"/>
              <w:jc w:val="right"/>
              <w:rPr>
                <w:sz w:val="14"/>
              </w:rPr>
            </w:pPr>
            <w:r>
              <w:rPr>
                <w:sz w:val="14"/>
              </w:rPr>
              <w:t>0 . 6 %</w:t>
            </w:r>
          </w:p>
        </w:tc>
      </w:tr>
      <w:tr>
        <w:trPr>
          <w:trHeight w:val="439" w:hRule="atLeast"/>
        </w:trPr>
        <w:tc>
          <w:tcPr>
            <w:tcW w:w="471" w:type="dxa"/>
          </w:tcPr>
          <w:p>
            <w:pPr>
              <w:pStyle w:val="TableParagraph"/>
              <w:spacing w:before="137"/>
              <w:ind w:right="92"/>
              <w:jc w:val="right"/>
              <w:rPr>
                <w:sz w:val="14"/>
              </w:rPr>
            </w:pPr>
            <w:r>
              <w:rPr>
                <w:w w:val="95"/>
                <w:sz w:val="14"/>
              </w:rPr>
              <w:t>701</w:t>
            </w:r>
          </w:p>
        </w:tc>
        <w:tc>
          <w:tcPr>
            <w:tcW w:w="5273" w:type="dxa"/>
          </w:tcPr>
          <w:p>
            <w:pPr>
              <w:pStyle w:val="TableParagraph"/>
              <w:spacing w:before="137"/>
              <w:ind w:left="96"/>
              <w:rPr>
                <w:sz w:val="14"/>
              </w:rPr>
            </w:pPr>
            <w:r>
              <w:rPr>
                <w:sz w:val="14"/>
              </w:rPr>
              <w:t>Devolved Function - Solid Waste Management Services</w:t>
            </w:r>
          </w:p>
        </w:tc>
        <w:tc>
          <w:tcPr>
            <w:tcW w:w="2341" w:type="dxa"/>
          </w:tcPr>
          <w:p>
            <w:pPr>
              <w:pStyle w:val="TableParagraph"/>
              <w:spacing w:before="137"/>
              <w:ind w:left="1327"/>
              <w:rPr>
                <w:b/>
                <w:sz w:val="14"/>
              </w:rPr>
            </w:pPr>
            <w:r>
              <w:rPr>
                <w:b/>
                <w:sz w:val="14"/>
              </w:rPr>
              <w:t>8,271.3</w:t>
            </w:r>
          </w:p>
        </w:tc>
        <w:tc>
          <w:tcPr>
            <w:tcW w:w="1331" w:type="dxa"/>
          </w:tcPr>
          <w:p>
            <w:pPr>
              <w:pStyle w:val="TableParagraph"/>
              <w:spacing w:before="137"/>
              <w:ind w:left="368"/>
              <w:rPr>
                <w:sz w:val="14"/>
              </w:rPr>
            </w:pPr>
            <w:r>
              <w:rPr>
                <w:sz w:val="14"/>
              </w:rPr>
              <w:t>0 . 4 %</w:t>
            </w:r>
          </w:p>
        </w:tc>
        <w:tc>
          <w:tcPr>
            <w:tcW w:w="1542" w:type="dxa"/>
          </w:tcPr>
          <w:p>
            <w:pPr>
              <w:pStyle w:val="TableParagraph"/>
              <w:spacing w:before="137"/>
              <w:ind w:left="458"/>
              <w:rPr>
                <w:sz w:val="14"/>
              </w:rPr>
            </w:pPr>
            <w:r>
              <w:rPr>
                <w:sz w:val="14"/>
              </w:rPr>
              <w:t>9,009 .0</w:t>
            </w:r>
          </w:p>
        </w:tc>
        <w:tc>
          <w:tcPr>
            <w:tcW w:w="1430" w:type="dxa"/>
          </w:tcPr>
          <w:p>
            <w:pPr>
              <w:pStyle w:val="TableParagraph"/>
              <w:spacing w:before="137"/>
              <w:ind w:left="507" w:right="447"/>
              <w:jc w:val="center"/>
              <w:rPr>
                <w:sz w:val="14"/>
              </w:rPr>
            </w:pPr>
            <w:r>
              <w:rPr>
                <w:sz w:val="14"/>
              </w:rPr>
              <w:t>0 . 4 %</w:t>
            </w:r>
          </w:p>
        </w:tc>
        <w:tc>
          <w:tcPr>
            <w:tcW w:w="1233" w:type="dxa"/>
          </w:tcPr>
          <w:p>
            <w:pPr>
              <w:pStyle w:val="TableParagraph"/>
              <w:spacing w:before="137"/>
              <w:ind w:left="289"/>
              <w:rPr>
                <w:sz w:val="14"/>
              </w:rPr>
            </w:pPr>
            <w:r>
              <w:rPr>
                <w:sz w:val="14"/>
              </w:rPr>
              <w:t>10,574.8</w:t>
            </w:r>
          </w:p>
        </w:tc>
        <w:tc>
          <w:tcPr>
            <w:tcW w:w="1168" w:type="dxa"/>
          </w:tcPr>
          <w:p>
            <w:pPr>
              <w:pStyle w:val="TableParagraph"/>
              <w:spacing w:before="137"/>
              <w:ind w:right="289"/>
              <w:jc w:val="right"/>
              <w:rPr>
                <w:sz w:val="14"/>
              </w:rPr>
            </w:pPr>
            <w:r>
              <w:rPr>
                <w:sz w:val="14"/>
              </w:rPr>
              <w:t>0 . 5 %</w:t>
            </w:r>
          </w:p>
        </w:tc>
      </w:tr>
      <w:tr>
        <w:trPr>
          <w:trHeight w:val="439" w:hRule="atLeast"/>
        </w:trPr>
        <w:tc>
          <w:tcPr>
            <w:tcW w:w="471" w:type="dxa"/>
          </w:tcPr>
          <w:p>
            <w:pPr>
              <w:pStyle w:val="TableParagraph"/>
              <w:spacing w:before="135"/>
              <w:ind w:right="92"/>
              <w:jc w:val="right"/>
              <w:rPr>
                <w:sz w:val="14"/>
              </w:rPr>
            </w:pPr>
            <w:r>
              <w:rPr>
                <w:w w:val="95"/>
                <w:sz w:val="14"/>
              </w:rPr>
              <w:t>701</w:t>
            </w:r>
          </w:p>
        </w:tc>
        <w:tc>
          <w:tcPr>
            <w:tcW w:w="5273" w:type="dxa"/>
          </w:tcPr>
          <w:p>
            <w:pPr>
              <w:pStyle w:val="TableParagraph"/>
              <w:spacing w:before="135"/>
              <w:ind w:left="96"/>
              <w:rPr>
                <w:sz w:val="14"/>
              </w:rPr>
            </w:pPr>
            <w:r>
              <w:rPr>
                <w:sz w:val="14"/>
              </w:rPr>
              <w:t>Devolved Function - Rural Water Services</w:t>
            </w:r>
          </w:p>
        </w:tc>
        <w:tc>
          <w:tcPr>
            <w:tcW w:w="2341" w:type="dxa"/>
          </w:tcPr>
          <w:p>
            <w:pPr>
              <w:pStyle w:val="TableParagraph"/>
              <w:spacing w:before="135"/>
              <w:ind w:left="1327"/>
              <w:rPr>
                <w:b/>
                <w:sz w:val="14"/>
              </w:rPr>
            </w:pPr>
            <w:r>
              <w:rPr>
                <w:b/>
                <w:sz w:val="14"/>
              </w:rPr>
              <w:t>2,316.8</w:t>
            </w:r>
          </w:p>
        </w:tc>
        <w:tc>
          <w:tcPr>
            <w:tcW w:w="1331" w:type="dxa"/>
          </w:tcPr>
          <w:p>
            <w:pPr>
              <w:pStyle w:val="TableParagraph"/>
              <w:spacing w:before="135"/>
              <w:ind w:left="368"/>
              <w:rPr>
                <w:sz w:val="14"/>
              </w:rPr>
            </w:pPr>
            <w:r>
              <w:rPr>
                <w:sz w:val="14"/>
              </w:rPr>
              <w:t>0 . 1 %</w:t>
            </w:r>
          </w:p>
        </w:tc>
        <w:tc>
          <w:tcPr>
            <w:tcW w:w="1542" w:type="dxa"/>
          </w:tcPr>
          <w:p>
            <w:pPr>
              <w:pStyle w:val="TableParagraph"/>
              <w:spacing w:before="135"/>
              <w:ind w:left="458"/>
              <w:rPr>
                <w:sz w:val="14"/>
              </w:rPr>
            </w:pPr>
            <w:r>
              <w:rPr>
                <w:sz w:val="14"/>
              </w:rPr>
              <w:t>2,523 .4</w:t>
            </w:r>
          </w:p>
        </w:tc>
        <w:tc>
          <w:tcPr>
            <w:tcW w:w="1430" w:type="dxa"/>
          </w:tcPr>
          <w:p>
            <w:pPr>
              <w:pStyle w:val="TableParagraph"/>
              <w:spacing w:before="135"/>
              <w:ind w:left="507" w:right="447"/>
              <w:jc w:val="center"/>
              <w:rPr>
                <w:sz w:val="14"/>
              </w:rPr>
            </w:pPr>
            <w:r>
              <w:rPr>
                <w:sz w:val="14"/>
              </w:rPr>
              <w:t>0 . 1 %</w:t>
            </w:r>
          </w:p>
        </w:tc>
        <w:tc>
          <w:tcPr>
            <w:tcW w:w="1233" w:type="dxa"/>
          </w:tcPr>
          <w:p>
            <w:pPr>
              <w:pStyle w:val="TableParagraph"/>
              <w:spacing w:before="135"/>
              <w:ind w:left="380"/>
              <w:rPr>
                <w:sz w:val="14"/>
              </w:rPr>
            </w:pPr>
            <w:r>
              <w:rPr>
                <w:sz w:val="14"/>
              </w:rPr>
              <w:t>2,962 .0</w:t>
            </w:r>
          </w:p>
        </w:tc>
        <w:tc>
          <w:tcPr>
            <w:tcW w:w="1168" w:type="dxa"/>
          </w:tcPr>
          <w:p>
            <w:pPr>
              <w:pStyle w:val="TableParagraph"/>
              <w:spacing w:before="135"/>
              <w:ind w:right="289"/>
              <w:jc w:val="right"/>
              <w:rPr>
                <w:sz w:val="14"/>
              </w:rPr>
            </w:pPr>
            <w:r>
              <w:rPr>
                <w:sz w:val="14"/>
              </w:rPr>
              <w:t>0 . 1 %</w:t>
            </w:r>
          </w:p>
        </w:tc>
      </w:tr>
      <w:tr>
        <w:trPr>
          <w:trHeight w:val="441" w:hRule="atLeast"/>
        </w:trPr>
        <w:tc>
          <w:tcPr>
            <w:tcW w:w="471" w:type="dxa"/>
          </w:tcPr>
          <w:p>
            <w:pPr>
              <w:pStyle w:val="TableParagraph"/>
              <w:spacing w:before="137"/>
              <w:ind w:right="99"/>
              <w:jc w:val="right"/>
              <w:rPr>
                <w:b/>
                <w:sz w:val="14"/>
              </w:rPr>
            </w:pPr>
            <w:r>
              <w:rPr>
                <w:b/>
                <w:w w:val="95"/>
                <w:sz w:val="14"/>
              </w:rPr>
              <w:t>2.3</w:t>
            </w:r>
          </w:p>
        </w:tc>
        <w:tc>
          <w:tcPr>
            <w:tcW w:w="5273" w:type="dxa"/>
          </w:tcPr>
          <w:p>
            <w:pPr>
              <w:pStyle w:val="TableParagraph"/>
              <w:spacing w:before="137"/>
              <w:ind w:left="95"/>
              <w:rPr>
                <w:b/>
                <w:sz w:val="14"/>
              </w:rPr>
            </w:pPr>
            <w:r>
              <w:rPr>
                <w:b/>
                <w:sz w:val="14"/>
              </w:rPr>
              <w:t>EMPLOYMENT, YOUTH EMPOWERMENT AND MIGRATION</w:t>
            </w:r>
          </w:p>
        </w:tc>
        <w:tc>
          <w:tcPr>
            <w:tcW w:w="2341" w:type="dxa"/>
          </w:tcPr>
          <w:p>
            <w:pPr>
              <w:pStyle w:val="TableParagraph"/>
              <w:spacing w:before="137"/>
              <w:ind w:left="1236"/>
              <w:rPr>
                <w:b/>
                <w:sz w:val="14"/>
              </w:rPr>
            </w:pPr>
            <w:r>
              <w:rPr>
                <w:b/>
                <w:sz w:val="14"/>
              </w:rPr>
              <w:t>31,134.3</w:t>
            </w:r>
          </w:p>
        </w:tc>
        <w:tc>
          <w:tcPr>
            <w:tcW w:w="1331" w:type="dxa"/>
          </w:tcPr>
          <w:p>
            <w:pPr>
              <w:pStyle w:val="TableParagraph"/>
              <w:spacing w:before="137"/>
              <w:ind w:left="426"/>
              <w:rPr>
                <w:b/>
                <w:sz w:val="14"/>
              </w:rPr>
            </w:pPr>
            <w:r>
              <w:rPr>
                <w:b/>
                <w:sz w:val="14"/>
              </w:rPr>
              <w:t>1.3%</w:t>
            </w:r>
          </w:p>
        </w:tc>
        <w:tc>
          <w:tcPr>
            <w:tcW w:w="1542" w:type="dxa"/>
          </w:tcPr>
          <w:p>
            <w:pPr>
              <w:pStyle w:val="TableParagraph"/>
              <w:spacing w:before="137"/>
              <w:ind w:left="401"/>
              <w:rPr>
                <w:b/>
                <w:sz w:val="14"/>
              </w:rPr>
            </w:pPr>
            <w:r>
              <w:rPr>
                <w:b/>
                <w:sz w:val="14"/>
              </w:rPr>
              <w:t>37,052.5</w:t>
            </w:r>
          </w:p>
        </w:tc>
        <w:tc>
          <w:tcPr>
            <w:tcW w:w="1430" w:type="dxa"/>
          </w:tcPr>
          <w:p>
            <w:pPr>
              <w:pStyle w:val="TableParagraph"/>
              <w:spacing w:before="137"/>
              <w:ind w:left="507" w:right="399"/>
              <w:jc w:val="center"/>
              <w:rPr>
                <w:b/>
                <w:sz w:val="14"/>
              </w:rPr>
            </w:pPr>
            <w:r>
              <w:rPr>
                <w:b/>
                <w:sz w:val="14"/>
              </w:rPr>
              <w:t>1.6%</w:t>
            </w:r>
          </w:p>
        </w:tc>
        <w:tc>
          <w:tcPr>
            <w:tcW w:w="1233" w:type="dxa"/>
          </w:tcPr>
          <w:p>
            <w:pPr>
              <w:pStyle w:val="TableParagraph"/>
              <w:spacing w:before="137"/>
              <w:ind w:left="318"/>
              <w:rPr>
                <w:b/>
                <w:sz w:val="14"/>
              </w:rPr>
            </w:pPr>
            <w:r>
              <w:rPr>
                <w:b/>
                <w:sz w:val="14"/>
              </w:rPr>
              <w:t>39,544.3</w:t>
            </w:r>
          </w:p>
        </w:tc>
        <w:tc>
          <w:tcPr>
            <w:tcW w:w="1168" w:type="dxa"/>
          </w:tcPr>
          <w:p>
            <w:pPr>
              <w:pStyle w:val="TableParagraph"/>
              <w:spacing w:before="137"/>
              <w:ind w:right="300"/>
              <w:jc w:val="right"/>
              <w:rPr>
                <w:b/>
                <w:sz w:val="14"/>
              </w:rPr>
            </w:pPr>
            <w:r>
              <w:rPr>
                <w:b/>
                <w:sz w:val="14"/>
              </w:rPr>
              <w:t>1.7%</w:t>
            </w:r>
          </w:p>
        </w:tc>
      </w:tr>
      <w:tr>
        <w:trPr>
          <w:trHeight w:val="439" w:hRule="atLeast"/>
        </w:trPr>
        <w:tc>
          <w:tcPr>
            <w:tcW w:w="471" w:type="dxa"/>
          </w:tcPr>
          <w:p>
            <w:pPr>
              <w:pStyle w:val="TableParagraph"/>
              <w:spacing w:before="137"/>
              <w:ind w:right="92"/>
              <w:jc w:val="right"/>
              <w:rPr>
                <w:sz w:val="14"/>
              </w:rPr>
            </w:pPr>
            <w:r>
              <w:rPr>
                <w:w w:val="95"/>
                <w:sz w:val="14"/>
              </w:rPr>
              <w:t>302</w:t>
            </w:r>
          </w:p>
        </w:tc>
        <w:tc>
          <w:tcPr>
            <w:tcW w:w="5273" w:type="dxa"/>
          </w:tcPr>
          <w:p>
            <w:pPr>
              <w:pStyle w:val="TableParagraph"/>
              <w:spacing w:before="137"/>
              <w:ind w:left="96"/>
              <w:rPr>
                <w:sz w:val="14"/>
              </w:rPr>
            </w:pPr>
            <w:r>
              <w:rPr>
                <w:sz w:val="14"/>
              </w:rPr>
              <w:t>Ministry of Sports</w:t>
            </w:r>
          </w:p>
        </w:tc>
        <w:tc>
          <w:tcPr>
            <w:tcW w:w="2341" w:type="dxa"/>
          </w:tcPr>
          <w:p>
            <w:pPr>
              <w:pStyle w:val="TableParagraph"/>
              <w:spacing w:before="137"/>
              <w:ind w:left="1236"/>
              <w:rPr>
                <w:b/>
                <w:sz w:val="14"/>
              </w:rPr>
            </w:pPr>
            <w:r>
              <w:rPr>
                <w:b/>
                <w:sz w:val="14"/>
              </w:rPr>
              <w:t>16,611.3</w:t>
            </w:r>
          </w:p>
        </w:tc>
        <w:tc>
          <w:tcPr>
            <w:tcW w:w="1331" w:type="dxa"/>
          </w:tcPr>
          <w:p>
            <w:pPr>
              <w:pStyle w:val="TableParagraph"/>
              <w:spacing w:before="137"/>
              <w:ind w:left="368"/>
              <w:rPr>
                <w:sz w:val="14"/>
              </w:rPr>
            </w:pPr>
            <w:r>
              <w:rPr>
                <w:sz w:val="14"/>
              </w:rPr>
              <w:t>0 . 7 %</w:t>
            </w:r>
          </w:p>
        </w:tc>
        <w:tc>
          <w:tcPr>
            <w:tcW w:w="1542" w:type="dxa"/>
          </w:tcPr>
          <w:p>
            <w:pPr>
              <w:pStyle w:val="TableParagraph"/>
              <w:spacing w:before="137"/>
              <w:ind w:left="458"/>
              <w:rPr>
                <w:sz w:val="14"/>
              </w:rPr>
            </w:pPr>
            <w:r>
              <w:rPr>
                <w:sz w:val="14"/>
              </w:rPr>
              <w:t>5,461 .6</w:t>
            </w:r>
          </w:p>
        </w:tc>
        <w:tc>
          <w:tcPr>
            <w:tcW w:w="1430" w:type="dxa"/>
          </w:tcPr>
          <w:p>
            <w:pPr>
              <w:pStyle w:val="TableParagraph"/>
              <w:spacing w:before="137"/>
              <w:ind w:left="507" w:right="447"/>
              <w:jc w:val="center"/>
              <w:rPr>
                <w:sz w:val="14"/>
              </w:rPr>
            </w:pPr>
            <w:r>
              <w:rPr>
                <w:sz w:val="14"/>
              </w:rPr>
              <w:t>0 . 2 %</w:t>
            </w:r>
          </w:p>
        </w:tc>
        <w:tc>
          <w:tcPr>
            <w:tcW w:w="1233" w:type="dxa"/>
          </w:tcPr>
          <w:p>
            <w:pPr>
              <w:pStyle w:val="TableParagraph"/>
              <w:spacing w:before="137"/>
              <w:ind w:left="380"/>
              <w:rPr>
                <w:sz w:val="14"/>
              </w:rPr>
            </w:pPr>
            <w:r>
              <w:rPr>
                <w:sz w:val="14"/>
              </w:rPr>
              <w:t>5,788 .8</w:t>
            </w:r>
          </w:p>
        </w:tc>
        <w:tc>
          <w:tcPr>
            <w:tcW w:w="1168" w:type="dxa"/>
          </w:tcPr>
          <w:p>
            <w:pPr>
              <w:pStyle w:val="TableParagraph"/>
              <w:spacing w:before="137"/>
              <w:ind w:right="289"/>
              <w:jc w:val="right"/>
              <w:rPr>
                <w:sz w:val="14"/>
              </w:rPr>
            </w:pPr>
            <w:r>
              <w:rPr>
                <w:sz w:val="14"/>
              </w:rPr>
              <w:t>0 . 3 %</w:t>
            </w:r>
          </w:p>
        </w:tc>
      </w:tr>
      <w:tr>
        <w:trPr>
          <w:trHeight w:val="439" w:hRule="atLeast"/>
        </w:trPr>
        <w:tc>
          <w:tcPr>
            <w:tcW w:w="471" w:type="dxa"/>
          </w:tcPr>
          <w:p>
            <w:pPr>
              <w:pStyle w:val="TableParagraph"/>
              <w:spacing w:before="135"/>
              <w:ind w:right="92"/>
              <w:jc w:val="right"/>
              <w:rPr>
                <w:sz w:val="14"/>
              </w:rPr>
            </w:pPr>
            <w:r>
              <w:rPr>
                <w:w w:val="95"/>
                <w:sz w:val="14"/>
              </w:rPr>
              <w:t>310</w:t>
            </w:r>
          </w:p>
        </w:tc>
        <w:tc>
          <w:tcPr>
            <w:tcW w:w="5273" w:type="dxa"/>
          </w:tcPr>
          <w:p>
            <w:pPr>
              <w:pStyle w:val="TableParagraph"/>
              <w:spacing w:before="135"/>
              <w:ind w:left="96"/>
              <w:rPr>
                <w:sz w:val="14"/>
              </w:rPr>
            </w:pPr>
            <w:r>
              <w:rPr>
                <w:sz w:val="14"/>
              </w:rPr>
              <w:t>Ministry of Youth Affairs</w:t>
            </w:r>
          </w:p>
        </w:tc>
        <w:tc>
          <w:tcPr>
            <w:tcW w:w="2341" w:type="dxa"/>
          </w:tcPr>
          <w:p>
            <w:pPr>
              <w:pStyle w:val="TableParagraph"/>
              <w:spacing w:before="135"/>
              <w:ind w:left="1327"/>
              <w:rPr>
                <w:b/>
                <w:sz w:val="14"/>
              </w:rPr>
            </w:pPr>
            <w:r>
              <w:rPr>
                <w:b/>
                <w:sz w:val="14"/>
              </w:rPr>
              <w:t>2,413.0</w:t>
            </w:r>
          </w:p>
        </w:tc>
        <w:tc>
          <w:tcPr>
            <w:tcW w:w="1331" w:type="dxa"/>
          </w:tcPr>
          <w:p>
            <w:pPr>
              <w:pStyle w:val="TableParagraph"/>
              <w:spacing w:before="135"/>
              <w:ind w:left="368"/>
              <w:rPr>
                <w:sz w:val="14"/>
              </w:rPr>
            </w:pPr>
            <w:r>
              <w:rPr>
                <w:sz w:val="14"/>
              </w:rPr>
              <w:t>0 . 1 %</w:t>
            </w:r>
          </w:p>
        </w:tc>
        <w:tc>
          <w:tcPr>
            <w:tcW w:w="1542" w:type="dxa"/>
          </w:tcPr>
          <w:p>
            <w:pPr>
              <w:pStyle w:val="TableParagraph"/>
              <w:spacing w:before="135"/>
              <w:ind w:left="367"/>
              <w:rPr>
                <w:sz w:val="14"/>
              </w:rPr>
            </w:pPr>
            <w:r>
              <w:rPr>
                <w:sz w:val="14"/>
              </w:rPr>
              <w:t>12,233.2</w:t>
            </w:r>
          </w:p>
        </w:tc>
        <w:tc>
          <w:tcPr>
            <w:tcW w:w="1430" w:type="dxa"/>
          </w:tcPr>
          <w:p>
            <w:pPr>
              <w:pStyle w:val="TableParagraph"/>
              <w:spacing w:before="135"/>
              <w:ind w:left="507" w:right="447"/>
              <w:jc w:val="center"/>
              <w:rPr>
                <w:sz w:val="14"/>
              </w:rPr>
            </w:pPr>
            <w:r>
              <w:rPr>
                <w:sz w:val="14"/>
              </w:rPr>
              <w:t>0 . 5 %</w:t>
            </w:r>
          </w:p>
        </w:tc>
        <w:tc>
          <w:tcPr>
            <w:tcW w:w="1233" w:type="dxa"/>
          </w:tcPr>
          <w:p>
            <w:pPr>
              <w:pStyle w:val="TableParagraph"/>
              <w:spacing w:before="135"/>
              <w:ind w:left="289"/>
              <w:rPr>
                <w:sz w:val="14"/>
              </w:rPr>
            </w:pPr>
            <w:r>
              <w:rPr>
                <w:sz w:val="14"/>
              </w:rPr>
              <w:t>12,966.0</w:t>
            </w:r>
          </w:p>
        </w:tc>
        <w:tc>
          <w:tcPr>
            <w:tcW w:w="1168" w:type="dxa"/>
          </w:tcPr>
          <w:p>
            <w:pPr>
              <w:pStyle w:val="TableParagraph"/>
              <w:spacing w:before="135"/>
              <w:ind w:right="289"/>
              <w:jc w:val="right"/>
              <w:rPr>
                <w:sz w:val="14"/>
              </w:rPr>
            </w:pPr>
            <w:r>
              <w:rPr>
                <w:sz w:val="14"/>
              </w:rPr>
              <w:t>0 . 6 %</w:t>
            </w:r>
          </w:p>
        </w:tc>
      </w:tr>
      <w:tr>
        <w:trPr>
          <w:trHeight w:val="441" w:hRule="atLeast"/>
        </w:trPr>
        <w:tc>
          <w:tcPr>
            <w:tcW w:w="471" w:type="dxa"/>
          </w:tcPr>
          <w:p>
            <w:pPr>
              <w:pStyle w:val="TableParagraph"/>
              <w:spacing w:before="137"/>
              <w:ind w:right="92"/>
              <w:jc w:val="right"/>
              <w:rPr>
                <w:sz w:val="14"/>
              </w:rPr>
            </w:pPr>
            <w:r>
              <w:rPr>
                <w:w w:val="95"/>
                <w:sz w:val="14"/>
              </w:rPr>
              <w:t>310</w:t>
            </w:r>
          </w:p>
        </w:tc>
        <w:tc>
          <w:tcPr>
            <w:tcW w:w="5273" w:type="dxa"/>
          </w:tcPr>
          <w:p>
            <w:pPr>
              <w:pStyle w:val="TableParagraph"/>
              <w:spacing w:before="137"/>
              <w:ind w:left="95"/>
              <w:rPr>
                <w:sz w:val="14"/>
              </w:rPr>
            </w:pPr>
            <w:r>
              <w:rPr>
                <w:sz w:val="14"/>
              </w:rPr>
              <w:t>National Youth Commission</w:t>
            </w:r>
          </w:p>
        </w:tc>
        <w:tc>
          <w:tcPr>
            <w:tcW w:w="2341" w:type="dxa"/>
          </w:tcPr>
          <w:p>
            <w:pPr>
              <w:pStyle w:val="TableParagraph"/>
              <w:spacing w:before="137"/>
              <w:ind w:left="1327"/>
              <w:rPr>
                <w:b/>
                <w:sz w:val="14"/>
              </w:rPr>
            </w:pPr>
            <w:r>
              <w:rPr>
                <w:b/>
                <w:sz w:val="14"/>
              </w:rPr>
              <w:t>3,076.3</w:t>
            </w:r>
          </w:p>
        </w:tc>
        <w:tc>
          <w:tcPr>
            <w:tcW w:w="1331" w:type="dxa"/>
          </w:tcPr>
          <w:p>
            <w:pPr>
              <w:pStyle w:val="TableParagraph"/>
              <w:spacing w:before="137"/>
              <w:ind w:left="368"/>
              <w:rPr>
                <w:sz w:val="14"/>
              </w:rPr>
            </w:pPr>
            <w:r>
              <w:rPr>
                <w:sz w:val="14"/>
              </w:rPr>
              <w:t>0 . 1 %</w:t>
            </w:r>
          </w:p>
        </w:tc>
        <w:tc>
          <w:tcPr>
            <w:tcW w:w="1542" w:type="dxa"/>
          </w:tcPr>
          <w:p>
            <w:pPr>
              <w:pStyle w:val="TableParagraph"/>
              <w:spacing w:before="137"/>
              <w:ind w:left="458"/>
              <w:rPr>
                <w:sz w:val="14"/>
              </w:rPr>
            </w:pPr>
            <w:r>
              <w:rPr>
                <w:sz w:val="14"/>
              </w:rPr>
              <w:t>8,543 .0</w:t>
            </w:r>
          </w:p>
        </w:tc>
        <w:tc>
          <w:tcPr>
            <w:tcW w:w="1430" w:type="dxa"/>
          </w:tcPr>
          <w:p>
            <w:pPr>
              <w:pStyle w:val="TableParagraph"/>
              <w:spacing w:before="137"/>
              <w:ind w:left="507" w:right="447"/>
              <w:jc w:val="center"/>
              <w:rPr>
                <w:sz w:val="14"/>
              </w:rPr>
            </w:pPr>
            <w:r>
              <w:rPr>
                <w:sz w:val="14"/>
              </w:rPr>
              <w:t>0 . 4 %</w:t>
            </w:r>
          </w:p>
        </w:tc>
        <w:tc>
          <w:tcPr>
            <w:tcW w:w="1233" w:type="dxa"/>
          </w:tcPr>
          <w:p>
            <w:pPr>
              <w:pStyle w:val="TableParagraph"/>
              <w:spacing w:before="137"/>
              <w:ind w:left="380"/>
              <w:rPr>
                <w:sz w:val="14"/>
              </w:rPr>
            </w:pPr>
            <w:r>
              <w:rPr>
                <w:sz w:val="14"/>
              </w:rPr>
              <w:t>9,054 .7</w:t>
            </w:r>
          </w:p>
        </w:tc>
        <w:tc>
          <w:tcPr>
            <w:tcW w:w="1168" w:type="dxa"/>
          </w:tcPr>
          <w:p>
            <w:pPr>
              <w:pStyle w:val="TableParagraph"/>
              <w:spacing w:before="137"/>
              <w:ind w:right="289"/>
              <w:jc w:val="right"/>
              <w:rPr>
                <w:sz w:val="14"/>
              </w:rPr>
            </w:pPr>
            <w:r>
              <w:rPr>
                <w:sz w:val="14"/>
              </w:rPr>
              <w:t>0 . 4 %</w:t>
            </w:r>
          </w:p>
        </w:tc>
      </w:tr>
      <w:tr>
        <w:trPr>
          <w:trHeight w:val="439" w:hRule="atLeast"/>
        </w:trPr>
        <w:tc>
          <w:tcPr>
            <w:tcW w:w="471" w:type="dxa"/>
          </w:tcPr>
          <w:p>
            <w:pPr>
              <w:pStyle w:val="TableParagraph"/>
              <w:spacing w:before="137"/>
              <w:ind w:right="92"/>
              <w:jc w:val="right"/>
              <w:rPr>
                <w:sz w:val="14"/>
              </w:rPr>
            </w:pPr>
            <w:r>
              <w:rPr>
                <w:w w:val="95"/>
                <w:sz w:val="14"/>
              </w:rPr>
              <w:t>313</w:t>
            </w:r>
          </w:p>
        </w:tc>
        <w:tc>
          <w:tcPr>
            <w:tcW w:w="5273" w:type="dxa"/>
          </w:tcPr>
          <w:p>
            <w:pPr>
              <w:pStyle w:val="TableParagraph"/>
              <w:spacing w:before="137"/>
              <w:ind w:left="95"/>
              <w:rPr>
                <w:sz w:val="14"/>
              </w:rPr>
            </w:pPr>
            <w:r>
              <w:rPr>
                <w:sz w:val="14"/>
              </w:rPr>
              <w:t>National Youth Service</w:t>
            </w:r>
          </w:p>
        </w:tc>
        <w:tc>
          <w:tcPr>
            <w:tcW w:w="2341" w:type="dxa"/>
          </w:tcPr>
          <w:p>
            <w:pPr>
              <w:pStyle w:val="TableParagraph"/>
              <w:spacing w:before="137"/>
              <w:ind w:left="1327"/>
              <w:rPr>
                <w:b/>
                <w:sz w:val="14"/>
              </w:rPr>
            </w:pPr>
            <w:r>
              <w:rPr>
                <w:b/>
                <w:sz w:val="14"/>
              </w:rPr>
              <w:t>2,406.7</w:t>
            </w:r>
          </w:p>
        </w:tc>
        <w:tc>
          <w:tcPr>
            <w:tcW w:w="1331" w:type="dxa"/>
          </w:tcPr>
          <w:p>
            <w:pPr>
              <w:pStyle w:val="TableParagraph"/>
              <w:spacing w:before="137"/>
              <w:ind w:left="368"/>
              <w:rPr>
                <w:sz w:val="14"/>
              </w:rPr>
            </w:pPr>
            <w:r>
              <w:rPr>
                <w:sz w:val="14"/>
              </w:rPr>
              <w:t>0 . 1 %</w:t>
            </w:r>
          </w:p>
        </w:tc>
        <w:tc>
          <w:tcPr>
            <w:tcW w:w="1542" w:type="dxa"/>
          </w:tcPr>
          <w:p>
            <w:pPr>
              <w:pStyle w:val="TableParagraph"/>
              <w:spacing w:before="137"/>
              <w:ind w:left="458"/>
              <w:rPr>
                <w:sz w:val="14"/>
              </w:rPr>
            </w:pPr>
            <w:r>
              <w:rPr>
                <w:sz w:val="14"/>
              </w:rPr>
              <w:t>2,964 .5</w:t>
            </w:r>
          </w:p>
        </w:tc>
        <w:tc>
          <w:tcPr>
            <w:tcW w:w="1430" w:type="dxa"/>
          </w:tcPr>
          <w:p>
            <w:pPr>
              <w:pStyle w:val="TableParagraph"/>
              <w:spacing w:before="137"/>
              <w:ind w:left="507" w:right="447"/>
              <w:jc w:val="center"/>
              <w:rPr>
                <w:sz w:val="14"/>
              </w:rPr>
            </w:pPr>
            <w:r>
              <w:rPr>
                <w:sz w:val="14"/>
              </w:rPr>
              <w:t>0 . 1 %</w:t>
            </w:r>
          </w:p>
        </w:tc>
        <w:tc>
          <w:tcPr>
            <w:tcW w:w="1233" w:type="dxa"/>
          </w:tcPr>
          <w:p>
            <w:pPr>
              <w:pStyle w:val="TableParagraph"/>
              <w:spacing w:before="137"/>
              <w:ind w:left="380"/>
              <w:rPr>
                <w:sz w:val="14"/>
              </w:rPr>
            </w:pPr>
            <w:r>
              <w:rPr>
                <w:sz w:val="14"/>
              </w:rPr>
              <w:t>3,142 .1</w:t>
            </w:r>
          </w:p>
        </w:tc>
        <w:tc>
          <w:tcPr>
            <w:tcW w:w="1168" w:type="dxa"/>
          </w:tcPr>
          <w:p>
            <w:pPr>
              <w:pStyle w:val="TableParagraph"/>
              <w:spacing w:before="137"/>
              <w:ind w:right="289"/>
              <w:jc w:val="right"/>
              <w:rPr>
                <w:sz w:val="14"/>
              </w:rPr>
            </w:pPr>
            <w:r>
              <w:rPr>
                <w:sz w:val="14"/>
              </w:rPr>
              <w:t>0 . 1 %</w:t>
            </w:r>
          </w:p>
        </w:tc>
      </w:tr>
      <w:tr>
        <w:trPr>
          <w:trHeight w:val="439" w:hRule="atLeast"/>
        </w:trPr>
        <w:tc>
          <w:tcPr>
            <w:tcW w:w="471" w:type="dxa"/>
          </w:tcPr>
          <w:p>
            <w:pPr>
              <w:pStyle w:val="TableParagraph"/>
              <w:spacing w:before="135"/>
              <w:ind w:right="92"/>
              <w:jc w:val="right"/>
              <w:rPr>
                <w:sz w:val="14"/>
              </w:rPr>
            </w:pPr>
            <w:r>
              <w:rPr>
                <w:w w:val="95"/>
                <w:sz w:val="14"/>
              </w:rPr>
              <w:t>407</w:t>
            </w:r>
          </w:p>
        </w:tc>
        <w:tc>
          <w:tcPr>
            <w:tcW w:w="5273" w:type="dxa"/>
          </w:tcPr>
          <w:p>
            <w:pPr>
              <w:pStyle w:val="TableParagraph"/>
              <w:spacing w:before="135"/>
              <w:ind w:left="96"/>
              <w:rPr>
                <w:sz w:val="14"/>
              </w:rPr>
            </w:pPr>
            <w:r>
              <w:rPr>
                <w:sz w:val="14"/>
              </w:rPr>
              <w:t>Ministry of Labour and Social Security</w:t>
            </w:r>
          </w:p>
        </w:tc>
        <w:tc>
          <w:tcPr>
            <w:tcW w:w="2341" w:type="dxa"/>
          </w:tcPr>
          <w:p>
            <w:pPr>
              <w:pStyle w:val="TableParagraph"/>
              <w:spacing w:before="135"/>
              <w:ind w:left="1327"/>
              <w:rPr>
                <w:b/>
                <w:sz w:val="14"/>
              </w:rPr>
            </w:pPr>
            <w:r>
              <w:rPr>
                <w:b/>
                <w:sz w:val="14"/>
              </w:rPr>
              <w:t>4,432.4</w:t>
            </w:r>
          </w:p>
        </w:tc>
        <w:tc>
          <w:tcPr>
            <w:tcW w:w="1331" w:type="dxa"/>
          </w:tcPr>
          <w:p>
            <w:pPr>
              <w:pStyle w:val="TableParagraph"/>
              <w:spacing w:before="135"/>
              <w:ind w:left="368"/>
              <w:rPr>
                <w:sz w:val="14"/>
              </w:rPr>
            </w:pPr>
            <w:r>
              <w:rPr>
                <w:sz w:val="14"/>
              </w:rPr>
              <w:t>0 . 2 %</w:t>
            </w:r>
          </w:p>
        </w:tc>
        <w:tc>
          <w:tcPr>
            <w:tcW w:w="1542" w:type="dxa"/>
          </w:tcPr>
          <w:p>
            <w:pPr>
              <w:pStyle w:val="TableParagraph"/>
              <w:spacing w:before="135"/>
              <w:ind w:left="458"/>
              <w:rPr>
                <w:sz w:val="14"/>
              </w:rPr>
            </w:pPr>
            <w:r>
              <w:rPr>
                <w:sz w:val="14"/>
              </w:rPr>
              <w:t>5,459 .7</w:t>
            </w:r>
          </w:p>
        </w:tc>
        <w:tc>
          <w:tcPr>
            <w:tcW w:w="1430" w:type="dxa"/>
          </w:tcPr>
          <w:p>
            <w:pPr>
              <w:pStyle w:val="TableParagraph"/>
              <w:spacing w:before="135"/>
              <w:ind w:left="507" w:right="447"/>
              <w:jc w:val="center"/>
              <w:rPr>
                <w:sz w:val="14"/>
              </w:rPr>
            </w:pPr>
            <w:r>
              <w:rPr>
                <w:sz w:val="14"/>
              </w:rPr>
              <w:t>0 . 2 %</w:t>
            </w:r>
          </w:p>
        </w:tc>
        <w:tc>
          <w:tcPr>
            <w:tcW w:w="1233" w:type="dxa"/>
          </w:tcPr>
          <w:p>
            <w:pPr>
              <w:pStyle w:val="TableParagraph"/>
              <w:spacing w:before="135"/>
              <w:ind w:left="380"/>
              <w:rPr>
                <w:sz w:val="14"/>
              </w:rPr>
            </w:pPr>
            <w:r>
              <w:rPr>
                <w:sz w:val="14"/>
              </w:rPr>
              <w:t>5,786 .8</w:t>
            </w:r>
          </w:p>
        </w:tc>
        <w:tc>
          <w:tcPr>
            <w:tcW w:w="1168" w:type="dxa"/>
          </w:tcPr>
          <w:p>
            <w:pPr>
              <w:pStyle w:val="TableParagraph"/>
              <w:spacing w:before="135"/>
              <w:ind w:right="289"/>
              <w:jc w:val="right"/>
              <w:rPr>
                <w:sz w:val="14"/>
              </w:rPr>
            </w:pPr>
            <w:r>
              <w:rPr>
                <w:sz w:val="14"/>
              </w:rPr>
              <w:t>0 . 3 %</w:t>
            </w:r>
          </w:p>
        </w:tc>
      </w:tr>
      <w:tr>
        <w:trPr>
          <w:trHeight w:val="441" w:hRule="atLeast"/>
        </w:trPr>
        <w:tc>
          <w:tcPr>
            <w:tcW w:w="471" w:type="dxa"/>
          </w:tcPr>
          <w:p>
            <w:pPr>
              <w:pStyle w:val="TableParagraph"/>
              <w:spacing w:before="137"/>
              <w:ind w:right="92"/>
              <w:jc w:val="right"/>
              <w:rPr>
                <w:sz w:val="14"/>
              </w:rPr>
            </w:pPr>
            <w:r>
              <w:rPr>
                <w:w w:val="95"/>
                <w:sz w:val="14"/>
              </w:rPr>
              <w:t>701</w:t>
            </w:r>
          </w:p>
        </w:tc>
        <w:tc>
          <w:tcPr>
            <w:tcW w:w="5273" w:type="dxa"/>
          </w:tcPr>
          <w:p>
            <w:pPr>
              <w:pStyle w:val="TableParagraph"/>
              <w:spacing w:before="137"/>
              <w:ind w:left="96"/>
              <w:rPr>
                <w:sz w:val="14"/>
              </w:rPr>
            </w:pPr>
            <w:r>
              <w:rPr>
                <w:sz w:val="14"/>
              </w:rPr>
              <w:t>Devolved Function - Youth and Sports Services</w:t>
            </w:r>
          </w:p>
        </w:tc>
        <w:tc>
          <w:tcPr>
            <w:tcW w:w="2341" w:type="dxa"/>
          </w:tcPr>
          <w:p>
            <w:pPr>
              <w:pStyle w:val="TableParagraph"/>
              <w:spacing w:before="137"/>
              <w:ind w:left="1327"/>
              <w:rPr>
                <w:b/>
                <w:sz w:val="14"/>
              </w:rPr>
            </w:pPr>
            <w:r>
              <w:rPr>
                <w:b/>
                <w:sz w:val="14"/>
              </w:rPr>
              <w:t>2,194.7</w:t>
            </w:r>
          </w:p>
        </w:tc>
        <w:tc>
          <w:tcPr>
            <w:tcW w:w="1331" w:type="dxa"/>
          </w:tcPr>
          <w:p>
            <w:pPr>
              <w:pStyle w:val="TableParagraph"/>
              <w:spacing w:before="137"/>
              <w:ind w:left="368"/>
              <w:rPr>
                <w:sz w:val="14"/>
              </w:rPr>
            </w:pPr>
            <w:r>
              <w:rPr>
                <w:sz w:val="14"/>
              </w:rPr>
              <w:t>0 . 1 %</w:t>
            </w:r>
          </w:p>
        </w:tc>
        <w:tc>
          <w:tcPr>
            <w:tcW w:w="1542" w:type="dxa"/>
          </w:tcPr>
          <w:p>
            <w:pPr>
              <w:pStyle w:val="TableParagraph"/>
              <w:spacing w:before="137"/>
              <w:ind w:left="458"/>
              <w:rPr>
                <w:sz w:val="14"/>
              </w:rPr>
            </w:pPr>
            <w:r>
              <w:rPr>
                <w:sz w:val="14"/>
              </w:rPr>
              <w:t>2,390 .4</w:t>
            </w:r>
          </w:p>
        </w:tc>
        <w:tc>
          <w:tcPr>
            <w:tcW w:w="1430" w:type="dxa"/>
          </w:tcPr>
          <w:p>
            <w:pPr>
              <w:pStyle w:val="TableParagraph"/>
              <w:spacing w:before="137"/>
              <w:ind w:left="507" w:right="447"/>
              <w:jc w:val="center"/>
              <w:rPr>
                <w:sz w:val="14"/>
              </w:rPr>
            </w:pPr>
            <w:r>
              <w:rPr>
                <w:sz w:val="14"/>
              </w:rPr>
              <w:t>0 . 1 %</w:t>
            </w:r>
          </w:p>
        </w:tc>
        <w:tc>
          <w:tcPr>
            <w:tcW w:w="1233" w:type="dxa"/>
          </w:tcPr>
          <w:p>
            <w:pPr>
              <w:pStyle w:val="TableParagraph"/>
              <w:spacing w:before="137"/>
              <w:ind w:left="380"/>
              <w:rPr>
                <w:sz w:val="14"/>
              </w:rPr>
            </w:pPr>
            <w:r>
              <w:rPr>
                <w:sz w:val="14"/>
              </w:rPr>
              <w:t>2,805 .9</w:t>
            </w:r>
          </w:p>
        </w:tc>
        <w:tc>
          <w:tcPr>
            <w:tcW w:w="1168" w:type="dxa"/>
          </w:tcPr>
          <w:p>
            <w:pPr>
              <w:pStyle w:val="TableParagraph"/>
              <w:spacing w:before="137"/>
              <w:ind w:right="289"/>
              <w:jc w:val="right"/>
              <w:rPr>
                <w:sz w:val="14"/>
              </w:rPr>
            </w:pPr>
            <w:r>
              <w:rPr>
                <w:sz w:val="14"/>
              </w:rPr>
              <w:t>0 . 1 %</w:t>
            </w:r>
          </w:p>
        </w:tc>
      </w:tr>
      <w:tr>
        <w:trPr>
          <w:trHeight w:val="439" w:hRule="atLeast"/>
        </w:trPr>
        <w:tc>
          <w:tcPr>
            <w:tcW w:w="471" w:type="dxa"/>
          </w:tcPr>
          <w:p>
            <w:pPr>
              <w:pStyle w:val="TableParagraph"/>
              <w:spacing w:before="137"/>
              <w:ind w:right="98"/>
              <w:jc w:val="right"/>
              <w:rPr>
                <w:b/>
                <w:sz w:val="14"/>
              </w:rPr>
            </w:pPr>
            <w:r>
              <w:rPr>
                <w:b/>
                <w:sz w:val="14"/>
              </w:rPr>
              <w:t>2. 4</w:t>
            </w:r>
          </w:p>
        </w:tc>
        <w:tc>
          <w:tcPr>
            <w:tcW w:w="5273" w:type="dxa"/>
          </w:tcPr>
          <w:p>
            <w:pPr>
              <w:pStyle w:val="TableParagraph"/>
              <w:spacing w:before="137"/>
              <w:ind w:left="95"/>
              <w:rPr>
                <w:b/>
                <w:sz w:val="14"/>
              </w:rPr>
            </w:pPr>
            <w:r>
              <w:rPr>
                <w:b/>
                <w:sz w:val="14"/>
              </w:rPr>
              <w:t>SOCIAL PROTECTION</w:t>
            </w:r>
          </w:p>
        </w:tc>
        <w:tc>
          <w:tcPr>
            <w:tcW w:w="2341" w:type="dxa"/>
          </w:tcPr>
          <w:p>
            <w:pPr>
              <w:pStyle w:val="TableParagraph"/>
              <w:spacing w:before="137"/>
              <w:ind w:left="1236"/>
              <w:rPr>
                <w:b/>
                <w:sz w:val="14"/>
              </w:rPr>
            </w:pPr>
            <w:r>
              <w:rPr>
                <w:b/>
                <w:sz w:val="14"/>
              </w:rPr>
              <w:t>22,793.1</w:t>
            </w:r>
          </w:p>
        </w:tc>
        <w:tc>
          <w:tcPr>
            <w:tcW w:w="1331" w:type="dxa"/>
          </w:tcPr>
          <w:p>
            <w:pPr>
              <w:pStyle w:val="TableParagraph"/>
              <w:spacing w:before="137"/>
              <w:ind w:left="426"/>
              <w:rPr>
                <w:b/>
                <w:sz w:val="14"/>
              </w:rPr>
            </w:pPr>
            <w:r>
              <w:rPr>
                <w:b/>
                <w:sz w:val="14"/>
              </w:rPr>
              <w:t>1.0%</w:t>
            </w:r>
          </w:p>
        </w:tc>
        <w:tc>
          <w:tcPr>
            <w:tcW w:w="1542" w:type="dxa"/>
          </w:tcPr>
          <w:p>
            <w:pPr>
              <w:pStyle w:val="TableParagraph"/>
              <w:spacing w:before="137"/>
              <w:ind w:left="401"/>
              <w:rPr>
                <w:b/>
                <w:sz w:val="14"/>
              </w:rPr>
            </w:pPr>
            <w:r>
              <w:rPr>
                <w:b/>
                <w:sz w:val="14"/>
              </w:rPr>
              <w:t>31,844.6</w:t>
            </w:r>
          </w:p>
        </w:tc>
        <w:tc>
          <w:tcPr>
            <w:tcW w:w="1430" w:type="dxa"/>
          </w:tcPr>
          <w:p>
            <w:pPr>
              <w:pStyle w:val="TableParagraph"/>
              <w:spacing w:before="137"/>
              <w:ind w:left="507" w:right="399"/>
              <w:jc w:val="center"/>
              <w:rPr>
                <w:b/>
                <w:sz w:val="14"/>
              </w:rPr>
            </w:pPr>
            <w:r>
              <w:rPr>
                <w:b/>
                <w:sz w:val="14"/>
              </w:rPr>
              <w:t>1.4%</w:t>
            </w:r>
          </w:p>
        </w:tc>
        <w:tc>
          <w:tcPr>
            <w:tcW w:w="1233" w:type="dxa"/>
          </w:tcPr>
          <w:p>
            <w:pPr>
              <w:pStyle w:val="TableParagraph"/>
              <w:spacing w:before="137"/>
              <w:ind w:left="318"/>
              <w:rPr>
                <w:b/>
                <w:sz w:val="14"/>
              </w:rPr>
            </w:pPr>
            <w:r>
              <w:rPr>
                <w:b/>
                <w:sz w:val="14"/>
              </w:rPr>
              <w:t>33,752.1</w:t>
            </w:r>
          </w:p>
        </w:tc>
        <w:tc>
          <w:tcPr>
            <w:tcW w:w="1168" w:type="dxa"/>
          </w:tcPr>
          <w:p>
            <w:pPr>
              <w:pStyle w:val="TableParagraph"/>
              <w:spacing w:before="137"/>
              <w:ind w:right="300"/>
              <w:jc w:val="right"/>
              <w:rPr>
                <w:b/>
                <w:sz w:val="14"/>
              </w:rPr>
            </w:pPr>
            <w:r>
              <w:rPr>
                <w:b/>
                <w:sz w:val="14"/>
              </w:rPr>
              <w:t>1.5%</w:t>
            </w:r>
          </w:p>
        </w:tc>
      </w:tr>
      <w:tr>
        <w:trPr>
          <w:trHeight w:val="330" w:hRule="atLeast"/>
        </w:trPr>
        <w:tc>
          <w:tcPr>
            <w:tcW w:w="471" w:type="dxa"/>
          </w:tcPr>
          <w:p>
            <w:pPr>
              <w:pStyle w:val="TableParagraph"/>
              <w:spacing w:before="135"/>
              <w:ind w:right="92"/>
              <w:jc w:val="right"/>
              <w:rPr>
                <w:sz w:val="14"/>
              </w:rPr>
            </w:pPr>
            <w:r>
              <w:rPr>
                <w:w w:val="95"/>
                <w:sz w:val="14"/>
              </w:rPr>
              <w:t>305</w:t>
            </w:r>
          </w:p>
        </w:tc>
        <w:tc>
          <w:tcPr>
            <w:tcW w:w="5273" w:type="dxa"/>
          </w:tcPr>
          <w:p>
            <w:pPr>
              <w:pStyle w:val="TableParagraph"/>
              <w:spacing w:before="135"/>
              <w:ind w:left="95"/>
              <w:rPr>
                <w:sz w:val="14"/>
              </w:rPr>
            </w:pPr>
            <w:r>
              <w:rPr>
                <w:sz w:val="14"/>
              </w:rPr>
              <w:t>Social Protection Programmes</w:t>
            </w:r>
          </w:p>
        </w:tc>
        <w:tc>
          <w:tcPr>
            <w:tcW w:w="2341" w:type="dxa"/>
          </w:tcPr>
          <w:p>
            <w:pPr>
              <w:pStyle w:val="TableParagraph"/>
              <w:spacing w:before="135"/>
              <w:ind w:left="1236"/>
              <w:rPr>
                <w:b/>
                <w:sz w:val="14"/>
              </w:rPr>
            </w:pPr>
            <w:r>
              <w:rPr>
                <w:b/>
                <w:sz w:val="14"/>
              </w:rPr>
              <w:t>20,657.5</w:t>
            </w:r>
          </w:p>
        </w:tc>
        <w:tc>
          <w:tcPr>
            <w:tcW w:w="1331" w:type="dxa"/>
          </w:tcPr>
          <w:p>
            <w:pPr>
              <w:pStyle w:val="TableParagraph"/>
              <w:spacing w:before="135"/>
              <w:ind w:left="368"/>
              <w:rPr>
                <w:sz w:val="14"/>
              </w:rPr>
            </w:pPr>
            <w:r>
              <w:rPr>
                <w:sz w:val="14"/>
              </w:rPr>
              <w:t>0 . 9 %</w:t>
            </w:r>
          </w:p>
        </w:tc>
        <w:tc>
          <w:tcPr>
            <w:tcW w:w="1542" w:type="dxa"/>
          </w:tcPr>
          <w:p>
            <w:pPr>
              <w:pStyle w:val="TableParagraph"/>
              <w:spacing w:before="135"/>
              <w:ind w:left="367"/>
              <w:rPr>
                <w:sz w:val="14"/>
              </w:rPr>
            </w:pPr>
            <w:r>
              <w:rPr>
                <w:sz w:val="14"/>
              </w:rPr>
              <w:t>25,445.8</w:t>
            </w:r>
          </w:p>
        </w:tc>
        <w:tc>
          <w:tcPr>
            <w:tcW w:w="1430" w:type="dxa"/>
          </w:tcPr>
          <w:p>
            <w:pPr>
              <w:pStyle w:val="TableParagraph"/>
              <w:spacing w:before="135"/>
              <w:ind w:left="507" w:right="447"/>
              <w:jc w:val="center"/>
              <w:rPr>
                <w:sz w:val="14"/>
              </w:rPr>
            </w:pPr>
            <w:r>
              <w:rPr>
                <w:sz w:val="14"/>
              </w:rPr>
              <w:t>1 . 1 %</w:t>
            </w:r>
          </w:p>
        </w:tc>
        <w:tc>
          <w:tcPr>
            <w:tcW w:w="1233" w:type="dxa"/>
          </w:tcPr>
          <w:p>
            <w:pPr>
              <w:pStyle w:val="TableParagraph"/>
              <w:spacing w:before="135"/>
              <w:ind w:left="289"/>
              <w:rPr>
                <w:sz w:val="14"/>
              </w:rPr>
            </w:pPr>
            <w:r>
              <w:rPr>
                <w:sz w:val="14"/>
              </w:rPr>
              <w:t>26,970.0</w:t>
            </w:r>
          </w:p>
        </w:tc>
        <w:tc>
          <w:tcPr>
            <w:tcW w:w="1168" w:type="dxa"/>
          </w:tcPr>
          <w:p>
            <w:pPr>
              <w:pStyle w:val="TableParagraph"/>
              <w:spacing w:before="135"/>
              <w:ind w:right="289"/>
              <w:jc w:val="right"/>
              <w:rPr>
                <w:sz w:val="14"/>
              </w:rPr>
            </w:pPr>
            <w:r>
              <w:rPr>
                <w:sz w:val="14"/>
              </w:rPr>
              <w:t>1 . 2 %</w:t>
            </w:r>
          </w:p>
        </w:tc>
      </w:tr>
    </w:tbl>
    <w:p>
      <w:pPr>
        <w:spacing w:after="0"/>
        <w:jc w:val="right"/>
        <w:rPr>
          <w:sz w:val="14"/>
        </w:rPr>
        <w:sectPr>
          <w:pgSz w:w="16840" w:h="11900" w:orient="landscape"/>
          <w:pgMar w:header="1059" w:footer="0" w:top="2460" w:bottom="280" w:left="880" w:right="920"/>
        </w:sectPr>
      </w:pPr>
    </w:p>
    <w:p>
      <w:pPr>
        <w:pStyle w:val="BodyText"/>
        <w:rPr>
          <w:rFonts w:ascii="Times New Roman"/>
          <w:sz w:val="6"/>
        </w:rPr>
      </w:pPr>
      <w:r>
        <w:rPr/>
        <w:pict>
          <v:shape style="position:absolute;margin-left:27.140491pt;margin-top:289.470001pt;width:14.35pt;height:13.45pt;mso-position-horizontal-relative:page;mso-position-vertical-relative:page;z-index:1528" type="#_x0000_t202" filled="false" stroked="false">
            <v:textbox inset="0,0,0,0" style="layout-flow:vertical">
              <w:txbxContent>
                <w:p>
                  <w:pPr>
                    <w:spacing w:before="13"/>
                    <w:ind w:left="20" w:right="0" w:firstLine="0"/>
                    <w:jc w:val="left"/>
                    <w:rPr>
                      <w:rFonts w:ascii="Arial"/>
                      <w:sz w:val="22"/>
                    </w:rPr>
                  </w:pPr>
                  <w:r>
                    <w:rPr>
                      <w:rFonts w:ascii="Arial"/>
                      <w:sz w:val="22"/>
                    </w:rPr>
                    <w:t>xx</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268"/>
        <w:gridCol w:w="2353"/>
        <w:gridCol w:w="1372"/>
        <w:gridCol w:w="1499"/>
        <w:gridCol w:w="1475"/>
        <w:gridCol w:w="1189"/>
        <w:gridCol w:w="1167"/>
      </w:tblGrid>
      <w:tr>
        <w:trPr>
          <w:trHeight w:val="567" w:hRule="atLeast"/>
        </w:trPr>
        <w:tc>
          <w:tcPr>
            <w:tcW w:w="471" w:type="dxa"/>
            <w:tcBorders>
              <w:bottom w:val="single" w:sz="18" w:space="0" w:color="000000"/>
            </w:tcBorders>
          </w:tcPr>
          <w:p>
            <w:pPr>
              <w:pStyle w:val="TableParagraph"/>
              <w:rPr>
                <w:rFonts w:ascii="Times New Roman"/>
                <w:sz w:val="14"/>
              </w:rPr>
            </w:pPr>
          </w:p>
        </w:tc>
        <w:tc>
          <w:tcPr>
            <w:tcW w:w="5268" w:type="dxa"/>
            <w:tcBorders>
              <w:bottom w:val="single" w:sz="18" w:space="0" w:color="000000"/>
            </w:tcBorders>
          </w:tcPr>
          <w:p>
            <w:pPr>
              <w:pStyle w:val="TableParagraph"/>
              <w:rPr>
                <w:rFonts w:ascii="Times New Roman"/>
                <w:sz w:val="14"/>
              </w:rPr>
            </w:pPr>
          </w:p>
        </w:tc>
        <w:tc>
          <w:tcPr>
            <w:tcW w:w="2353" w:type="dxa"/>
            <w:tcBorders>
              <w:bottom w:val="single" w:sz="18" w:space="0" w:color="000000"/>
            </w:tcBorders>
          </w:tcPr>
          <w:p>
            <w:pPr>
              <w:pStyle w:val="TableParagraph"/>
              <w:spacing w:before="29"/>
              <w:ind w:left="1170" w:right="569"/>
              <w:jc w:val="center"/>
              <w:rPr>
                <w:b/>
                <w:sz w:val="14"/>
              </w:rPr>
            </w:pPr>
            <w:r>
              <w:rPr>
                <w:b/>
                <w:spacing w:val="2"/>
                <w:sz w:val="14"/>
              </w:rPr>
              <w:t>FY</w:t>
            </w:r>
            <w:r>
              <w:rPr>
                <w:b/>
                <w:spacing w:val="6"/>
                <w:sz w:val="14"/>
              </w:rPr>
              <w:t> </w:t>
            </w:r>
            <w:r>
              <w:rPr>
                <w:b/>
                <w:spacing w:val="4"/>
                <w:sz w:val="14"/>
              </w:rPr>
              <w:t>2020</w:t>
            </w:r>
          </w:p>
          <w:p>
            <w:pPr>
              <w:pStyle w:val="TableParagraph"/>
              <w:spacing w:before="17"/>
              <w:ind w:left="1179" w:right="449"/>
              <w:jc w:val="center"/>
              <w:rPr>
                <w:sz w:val="14"/>
              </w:rPr>
            </w:pPr>
            <w:r>
              <w:rPr>
                <w:sz w:val="14"/>
              </w:rPr>
              <w:t>Budget</w:t>
            </w:r>
          </w:p>
        </w:tc>
        <w:tc>
          <w:tcPr>
            <w:tcW w:w="1372" w:type="dxa"/>
            <w:tcBorders>
              <w:bottom w:val="single" w:sz="18" w:space="0" w:color="000000"/>
            </w:tcBorders>
          </w:tcPr>
          <w:p>
            <w:pPr>
              <w:pStyle w:val="TableParagraph"/>
              <w:spacing w:line="264" w:lineRule="auto" w:before="29"/>
              <w:ind w:left="197" w:right="216" w:firstLine="91"/>
              <w:rPr>
                <w:sz w:val="14"/>
              </w:rPr>
            </w:pPr>
            <w:r>
              <w:rPr>
                <w:sz w:val="14"/>
              </w:rPr>
              <w:t>% of Total Non Int/ Sal</w:t>
            </w:r>
          </w:p>
        </w:tc>
        <w:tc>
          <w:tcPr>
            <w:tcW w:w="1499" w:type="dxa"/>
            <w:tcBorders>
              <w:bottom w:val="single" w:sz="18" w:space="0" w:color="000000"/>
            </w:tcBorders>
          </w:tcPr>
          <w:p>
            <w:pPr>
              <w:pStyle w:val="TableParagraph"/>
              <w:spacing w:before="29"/>
              <w:ind w:left="535"/>
              <w:rPr>
                <w:b/>
                <w:sz w:val="14"/>
              </w:rPr>
            </w:pPr>
            <w:r>
              <w:rPr>
                <w:b/>
                <w:spacing w:val="2"/>
                <w:sz w:val="14"/>
              </w:rPr>
              <w:t>FY</w:t>
            </w:r>
            <w:r>
              <w:rPr>
                <w:b/>
                <w:spacing w:val="6"/>
                <w:sz w:val="14"/>
              </w:rPr>
              <w:t> </w:t>
            </w:r>
            <w:r>
              <w:rPr>
                <w:b/>
                <w:spacing w:val="4"/>
                <w:sz w:val="14"/>
              </w:rPr>
              <w:t>2021</w:t>
            </w:r>
          </w:p>
          <w:p>
            <w:pPr>
              <w:pStyle w:val="TableParagraph"/>
              <w:spacing w:before="17"/>
              <w:ind w:left="477"/>
              <w:rPr>
                <w:sz w:val="14"/>
              </w:rPr>
            </w:pPr>
            <w:r>
              <w:rPr>
                <w:spacing w:val="3"/>
                <w:sz w:val="14"/>
              </w:rPr>
              <w:t>Indicative</w:t>
            </w:r>
          </w:p>
        </w:tc>
        <w:tc>
          <w:tcPr>
            <w:tcW w:w="1475" w:type="dxa"/>
            <w:tcBorders>
              <w:bottom w:val="single" w:sz="18" w:space="0" w:color="000000"/>
            </w:tcBorders>
          </w:tcPr>
          <w:p>
            <w:pPr>
              <w:pStyle w:val="TableParagraph"/>
              <w:spacing w:line="249" w:lineRule="auto" w:before="29"/>
              <w:ind w:left="388" w:right="329" w:firstLine="86"/>
              <w:jc w:val="both"/>
              <w:rPr>
                <w:sz w:val="14"/>
              </w:rPr>
            </w:pPr>
            <w:r>
              <w:rPr>
                <w:sz w:val="14"/>
              </w:rPr>
              <w:t>% of Total Non Int/ Sal Recurr Exp</w:t>
            </w:r>
          </w:p>
        </w:tc>
        <w:tc>
          <w:tcPr>
            <w:tcW w:w="1189" w:type="dxa"/>
            <w:tcBorders>
              <w:bottom w:val="single" w:sz="18" w:space="0" w:color="000000"/>
            </w:tcBorders>
          </w:tcPr>
          <w:p>
            <w:pPr>
              <w:pStyle w:val="TableParagraph"/>
              <w:spacing w:before="29"/>
              <w:ind w:left="340"/>
              <w:rPr>
                <w:b/>
                <w:sz w:val="14"/>
              </w:rPr>
            </w:pPr>
            <w:r>
              <w:rPr>
                <w:b/>
                <w:sz w:val="14"/>
              </w:rPr>
              <w:t>FY 2022</w:t>
            </w:r>
          </w:p>
        </w:tc>
        <w:tc>
          <w:tcPr>
            <w:tcW w:w="1167" w:type="dxa"/>
            <w:tcBorders>
              <w:bottom w:val="single" w:sz="18" w:space="0" w:color="000000"/>
            </w:tcBorders>
          </w:tcPr>
          <w:p>
            <w:pPr>
              <w:pStyle w:val="TableParagraph"/>
              <w:spacing w:line="249" w:lineRule="auto" w:before="29"/>
              <w:ind w:left="105" w:right="304" w:firstLine="86"/>
              <w:jc w:val="both"/>
              <w:rPr>
                <w:sz w:val="14"/>
              </w:rPr>
            </w:pPr>
            <w:r>
              <w:rPr>
                <w:sz w:val="14"/>
              </w:rPr>
              <w:t>% of Total Non Int/ Sal Recurr Exp</w:t>
            </w:r>
          </w:p>
        </w:tc>
      </w:tr>
      <w:tr>
        <w:trPr>
          <w:trHeight w:val="610" w:hRule="atLeast"/>
        </w:trPr>
        <w:tc>
          <w:tcPr>
            <w:tcW w:w="471" w:type="dxa"/>
            <w:tcBorders>
              <w:top w:val="single" w:sz="18" w:space="0" w:color="000000"/>
            </w:tcBorders>
          </w:tcPr>
          <w:p>
            <w:pPr>
              <w:pStyle w:val="TableParagraph"/>
              <w:rPr>
                <w:rFonts w:ascii="Times New Roman"/>
                <w:sz w:val="16"/>
              </w:rPr>
            </w:pPr>
          </w:p>
          <w:p>
            <w:pPr>
              <w:pStyle w:val="TableParagraph"/>
              <w:spacing w:before="125"/>
              <w:ind w:right="92"/>
              <w:jc w:val="right"/>
              <w:rPr>
                <w:sz w:val="14"/>
              </w:rPr>
            </w:pPr>
            <w:r>
              <w:rPr>
                <w:w w:val="95"/>
                <w:sz w:val="14"/>
              </w:rPr>
              <w:t>308</w:t>
            </w:r>
          </w:p>
        </w:tc>
        <w:tc>
          <w:tcPr>
            <w:tcW w:w="5268" w:type="dxa"/>
            <w:tcBorders>
              <w:top w:val="single" w:sz="18" w:space="0" w:color="000000"/>
            </w:tcBorders>
          </w:tcPr>
          <w:p>
            <w:pPr>
              <w:pStyle w:val="TableParagraph"/>
              <w:rPr>
                <w:rFonts w:ascii="Times New Roman"/>
                <w:sz w:val="16"/>
              </w:rPr>
            </w:pPr>
          </w:p>
          <w:p>
            <w:pPr>
              <w:pStyle w:val="TableParagraph"/>
              <w:spacing w:before="125"/>
              <w:ind w:left="95"/>
              <w:rPr>
                <w:sz w:val="14"/>
              </w:rPr>
            </w:pPr>
            <w:r>
              <w:rPr>
                <w:sz w:val="14"/>
              </w:rPr>
              <w:t>National Commission for Social Action</w:t>
            </w:r>
          </w:p>
        </w:tc>
        <w:tc>
          <w:tcPr>
            <w:tcW w:w="2353" w:type="dxa"/>
            <w:tcBorders>
              <w:top w:val="single" w:sz="18" w:space="0" w:color="000000"/>
            </w:tcBorders>
          </w:tcPr>
          <w:p>
            <w:pPr>
              <w:pStyle w:val="TableParagraph"/>
              <w:rPr>
                <w:rFonts w:ascii="Times New Roman"/>
                <w:sz w:val="16"/>
              </w:rPr>
            </w:pPr>
          </w:p>
          <w:p>
            <w:pPr>
              <w:pStyle w:val="TableParagraph"/>
              <w:spacing w:before="125"/>
              <w:ind w:left="1332"/>
              <w:rPr>
                <w:b/>
                <w:sz w:val="14"/>
              </w:rPr>
            </w:pPr>
            <w:r>
              <w:rPr>
                <w:b/>
                <w:sz w:val="14"/>
              </w:rPr>
              <w:t>2,135.6</w:t>
            </w:r>
          </w:p>
        </w:tc>
        <w:tc>
          <w:tcPr>
            <w:tcW w:w="1372" w:type="dxa"/>
            <w:tcBorders>
              <w:top w:val="single" w:sz="18" w:space="0" w:color="000000"/>
            </w:tcBorders>
          </w:tcPr>
          <w:p>
            <w:pPr>
              <w:pStyle w:val="TableParagraph"/>
              <w:rPr>
                <w:rFonts w:ascii="Times New Roman"/>
                <w:sz w:val="16"/>
              </w:rPr>
            </w:pPr>
          </w:p>
          <w:p>
            <w:pPr>
              <w:pStyle w:val="TableParagraph"/>
              <w:spacing w:before="125"/>
              <w:ind w:left="361"/>
              <w:rPr>
                <w:sz w:val="14"/>
              </w:rPr>
            </w:pPr>
            <w:r>
              <w:rPr>
                <w:sz w:val="14"/>
              </w:rPr>
              <w:t>0 . 1 %</w:t>
            </w:r>
          </w:p>
        </w:tc>
        <w:tc>
          <w:tcPr>
            <w:tcW w:w="1499" w:type="dxa"/>
            <w:tcBorders>
              <w:top w:val="single" w:sz="18" w:space="0" w:color="000000"/>
            </w:tcBorders>
          </w:tcPr>
          <w:p>
            <w:pPr>
              <w:pStyle w:val="TableParagraph"/>
              <w:rPr>
                <w:rFonts w:ascii="Times New Roman"/>
                <w:sz w:val="16"/>
              </w:rPr>
            </w:pPr>
          </w:p>
          <w:p>
            <w:pPr>
              <w:pStyle w:val="TableParagraph"/>
              <w:spacing w:before="125"/>
              <w:ind w:left="410"/>
              <w:rPr>
                <w:sz w:val="14"/>
              </w:rPr>
            </w:pPr>
            <w:r>
              <w:rPr>
                <w:sz w:val="14"/>
              </w:rPr>
              <w:t>6,398 .8</w:t>
            </w:r>
          </w:p>
        </w:tc>
        <w:tc>
          <w:tcPr>
            <w:tcW w:w="1475" w:type="dxa"/>
            <w:tcBorders>
              <w:top w:val="single" w:sz="18" w:space="0" w:color="000000"/>
            </w:tcBorders>
          </w:tcPr>
          <w:p>
            <w:pPr>
              <w:pStyle w:val="TableParagraph"/>
              <w:rPr>
                <w:rFonts w:ascii="Times New Roman"/>
                <w:sz w:val="16"/>
              </w:rPr>
            </w:pPr>
          </w:p>
          <w:p>
            <w:pPr>
              <w:pStyle w:val="TableParagraph"/>
              <w:spacing w:before="125"/>
              <w:ind w:left="502" w:right="497"/>
              <w:jc w:val="center"/>
              <w:rPr>
                <w:sz w:val="14"/>
              </w:rPr>
            </w:pPr>
            <w:r>
              <w:rPr>
                <w:sz w:val="14"/>
              </w:rPr>
              <w:t>0 . 3 %</w:t>
            </w:r>
          </w:p>
        </w:tc>
        <w:tc>
          <w:tcPr>
            <w:tcW w:w="1189" w:type="dxa"/>
            <w:tcBorders>
              <w:top w:val="single" w:sz="18" w:space="0" w:color="000000"/>
            </w:tcBorders>
          </w:tcPr>
          <w:p>
            <w:pPr>
              <w:pStyle w:val="TableParagraph"/>
              <w:rPr>
                <w:rFonts w:ascii="Times New Roman"/>
                <w:sz w:val="16"/>
              </w:rPr>
            </w:pPr>
          </w:p>
          <w:p>
            <w:pPr>
              <w:pStyle w:val="TableParagraph"/>
              <w:spacing w:before="125"/>
              <w:ind w:left="330"/>
              <w:rPr>
                <w:sz w:val="14"/>
              </w:rPr>
            </w:pPr>
            <w:r>
              <w:rPr>
                <w:sz w:val="14"/>
              </w:rPr>
              <w:t>6,782 .1</w:t>
            </w:r>
          </w:p>
        </w:tc>
        <w:tc>
          <w:tcPr>
            <w:tcW w:w="1167" w:type="dxa"/>
            <w:tcBorders>
              <w:top w:val="single" w:sz="18" w:space="0" w:color="000000"/>
            </w:tcBorders>
          </w:tcPr>
          <w:p>
            <w:pPr>
              <w:pStyle w:val="TableParagraph"/>
              <w:rPr>
                <w:rFonts w:ascii="Times New Roman"/>
                <w:sz w:val="16"/>
              </w:rPr>
            </w:pPr>
          </w:p>
          <w:p>
            <w:pPr>
              <w:pStyle w:val="TableParagraph"/>
              <w:spacing w:before="125"/>
              <w:ind w:right="294"/>
              <w:jc w:val="right"/>
              <w:rPr>
                <w:sz w:val="14"/>
              </w:rPr>
            </w:pPr>
            <w:r>
              <w:rPr>
                <w:sz w:val="14"/>
              </w:rPr>
              <w:t>0 . 3 %</w:t>
            </w:r>
          </w:p>
        </w:tc>
      </w:tr>
      <w:tr>
        <w:trPr>
          <w:trHeight w:val="439" w:hRule="atLeast"/>
        </w:trPr>
        <w:tc>
          <w:tcPr>
            <w:tcW w:w="471" w:type="dxa"/>
          </w:tcPr>
          <w:p>
            <w:pPr>
              <w:pStyle w:val="TableParagraph"/>
              <w:spacing w:before="135"/>
              <w:ind w:right="99"/>
              <w:jc w:val="right"/>
              <w:rPr>
                <w:b/>
                <w:sz w:val="14"/>
              </w:rPr>
            </w:pPr>
            <w:r>
              <w:rPr>
                <w:b/>
                <w:w w:val="95"/>
                <w:sz w:val="14"/>
              </w:rPr>
              <w:t>2.5</w:t>
            </w:r>
          </w:p>
        </w:tc>
        <w:tc>
          <w:tcPr>
            <w:tcW w:w="5268" w:type="dxa"/>
          </w:tcPr>
          <w:p>
            <w:pPr>
              <w:pStyle w:val="TableParagraph"/>
              <w:spacing w:before="135"/>
              <w:ind w:left="95"/>
              <w:rPr>
                <w:b/>
                <w:sz w:val="14"/>
              </w:rPr>
            </w:pPr>
            <w:r>
              <w:rPr>
                <w:b/>
                <w:sz w:val="14"/>
              </w:rPr>
              <w:t>POPULATION, LANDS AND HOUSING</w:t>
            </w:r>
          </w:p>
        </w:tc>
        <w:tc>
          <w:tcPr>
            <w:tcW w:w="2353" w:type="dxa"/>
          </w:tcPr>
          <w:p>
            <w:pPr>
              <w:pStyle w:val="TableParagraph"/>
              <w:spacing w:before="135"/>
              <w:ind w:left="1332"/>
              <w:rPr>
                <w:b/>
                <w:sz w:val="14"/>
              </w:rPr>
            </w:pPr>
            <w:r>
              <w:rPr>
                <w:b/>
                <w:sz w:val="14"/>
              </w:rPr>
              <w:t>3,692.1</w:t>
            </w:r>
          </w:p>
        </w:tc>
        <w:tc>
          <w:tcPr>
            <w:tcW w:w="1372" w:type="dxa"/>
          </w:tcPr>
          <w:p>
            <w:pPr>
              <w:pStyle w:val="TableParagraph"/>
              <w:spacing w:before="135"/>
              <w:ind w:left="419"/>
              <w:rPr>
                <w:b/>
                <w:sz w:val="14"/>
              </w:rPr>
            </w:pPr>
            <w:r>
              <w:rPr>
                <w:b/>
                <w:sz w:val="14"/>
              </w:rPr>
              <w:t>0.2%</w:t>
            </w:r>
          </w:p>
        </w:tc>
        <w:tc>
          <w:tcPr>
            <w:tcW w:w="1499" w:type="dxa"/>
          </w:tcPr>
          <w:p>
            <w:pPr>
              <w:pStyle w:val="TableParagraph"/>
              <w:spacing w:before="135"/>
              <w:ind w:left="439"/>
              <w:rPr>
                <w:b/>
                <w:sz w:val="14"/>
              </w:rPr>
            </w:pPr>
            <w:r>
              <w:rPr>
                <w:b/>
                <w:sz w:val="14"/>
              </w:rPr>
              <w:t>4,547.9</w:t>
            </w:r>
          </w:p>
        </w:tc>
        <w:tc>
          <w:tcPr>
            <w:tcW w:w="1475" w:type="dxa"/>
          </w:tcPr>
          <w:p>
            <w:pPr>
              <w:pStyle w:val="TableParagraph"/>
              <w:spacing w:before="135"/>
              <w:ind w:left="502" w:right="449"/>
              <w:jc w:val="center"/>
              <w:rPr>
                <w:b/>
                <w:sz w:val="14"/>
              </w:rPr>
            </w:pPr>
            <w:r>
              <w:rPr>
                <w:b/>
                <w:sz w:val="14"/>
              </w:rPr>
              <w:t>0.2%</w:t>
            </w:r>
          </w:p>
        </w:tc>
        <w:tc>
          <w:tcPr>
            <w:tcW w:w="1189" w:type="dxa"/>
          </w:tcPr>
          <w:p>
            <w:pPr>
              <w:pStyle w:val="TableParagraph"/>
              <w:spacing w:before="135"/>
              <w:ind w:left="359"/>
              <w:rPr>
                <w:b/>
                <w:sz w:val="14"/>
              </w:rPr>
            </w:pPr>
            <w:r>
              <w:rPr>
                <w:b/>
                <w:sz w:val="14"/>
              </w:rPr>
              <w:t>4,820.3</w:t>
            </w:r>
          </w:p>
        </w:tc>
        <w:tc>
          <w:tcPr>
            <w:tcW w:w="1167" w:type="dxa"/>
          </w:tcPr>
          <w:p>
            <w:pPr>
              <w:pStyle w:val="TableParagraph"/>
              <w:spacing w:before="135"/>
              <w:ind w:right="305"/>
              <w:jc w:val="right"/>
              <w:rPr>
                <w:b/>
                <w:sz w:val="14"/>
              </w:rPr>
            </w:pPr>
            <w:r>
              <w:rPr>
                <w:b/>
                <w:sz w:val="14"/>
              </w:rPr>
              <w:t>0.2%</w:t>
            </w:r>
          </w:p>
        </w:tc>
      </w:tr>
      <w:tr>
        <w:trPr>
          <w:trHeight w:val="333" w:hRule="atLeast"/>
        </w:trPr>
        <w:tc>
          <w:tcPr>
            <w:tcW w:w="471" w:type="dxa"/>
          </w:tcPr>
          <w:p>
            <w:pPr>
              <w:pStyle w:val="TableParagraph"/>
              <w:spacing w:before="137"/>
              <w:ind w:right="92"/>
              <w:jc w:val="right"/>
              <w:rPr>
                <w:sz w:val="14"/>
              </w:rPr>
            </w:pPr>
            <w:r>
              <w:rPr>
                <w:w w:val="95"/>
                <w:sz w:val="14"/>
              </w:rPr>
              <w:t>306</w:t>
            </w:r>
          </w:p>
        </w:tc>
        <w:tc>
          <w:tcPr>
            <w:tcW w:w="5268" w:type="dxa"/>
          </w:tcPr>
          <w:p>
            <w:pPr>
              <w:pStyle w:val="TableParagraph"/>
              <w:spacing w:before="137"/>
              <w:ind w:left="96"/>
              <w:rPr>
                <w:sz w:val="14"/>
              </w:rPr>
            </w:pPr>
            <w:r>
              <w:rPr>
                <w:sz w:val="14"/>
              </w:rPr>
              <w:t>Ministry of Lands, Country Planning &amp; the Environment</w:t>
            </w:r>
          </w:p>
        </w:tc>
        <w:tc>
          <w:tcPr>
            <w:tcW w:w="2353" w:type="dxa"/>
          </w:tcPr>
          <w:p>
            <w:pPr>
              <w:pStyle w:val="TableParagraph"/>
              <w:spacing w:before="137"/>
              <w:ind w:left="1332"/>
              <w:rPr>
                <w:b/>
                <w:sz w:val="14"/>
              </w:rPr>
            </w:pPr>
            <w:r>
              <w:rPr>
                <w:b/>
                <w:sz w:val="14"/>
              </w:rPr>
              <w:t>3,692.1</w:t>
            </w:r>
          </w:p>
        </w:tc>
        <w:tc>
          <w:tcPr>
            <w:tcW w:w="1372" w:type="dxa"/>
          </w:tcPr>
          <w:p>
            <w:pPr>
              <w:pStyle w:val="TableParagraph"/>
              <w:spacing w:before="137"/>
              <w:ind w:left="361"/>
              <w:rPr>
                <w:sz w:val="14"/>
              </w:rPr>
            </w:pPr>
            <w:r>
              <w:rPr>
                <w:sz w:val="14"/>
              </w:rPr>
              <w:t>0 . 2 %</w:t>
            </w:r>
          </w:p>
        </w:tc>
        <w:tc>
          <w:tcPr>
            <w:tcW w:w="1499" w:type="dxa"/>
          </w:tcPr>
          <w:p>
            <w:pPr>
              <w:pStyle w:val="TableParagraph"/>
              <w:spacing w:before="137"/>
              <w:ind w:left="410"/>
              <w:rPr>
                <w:sz w:val="14"/>
              </w:rPr>
            </w:pPr>
            <w:r>
              <w:rPr>
                <w:sz w:val="14"/>
              </w:rPr>
              <w:t>4,547 .9</w:t>
            </w:r>
          </w:p>
        </w:tc>
        <w:tc>
          <w:tcPr>
            <w:tcW w:w="1475" w:type="dxa"/>
          </w:tcPr>
          <w:p>
            <w:pPr>
              <w:pStyle w:val="TableParagraph"/>
              <w:spacing w:before="137"/>
              <w:ind w:left="502" w:right="497"/>
              <w:jc w:val="center"/>
              <w:rPr>
                <w:sz w:val="14"/>
              </w:rPr>
            </w:pPr>
            <w:r>
              <w:rPr>
                <w:sz w:val="14"/>
              </w:rPr>
              <w:t>0 . 2 %</w:t>
            </w:r>
          </w:p>
        </w:tc>
        <w:tc>
          <w:tcPr>
            <w:tcW w:w="1189" w:type="dxa"/>
          </w:tcPr>
          <w:p>
            <w:pPr>
              <w:pStyle w:val="TableParagraph"/>
              <w:spacing w:before="137"/>
              <w:ind w:left="330"/>
              <w:rPr>
                <w:sz w:val="14"/>
              </w:rPr>
            </w:pPr>
            <w:r>
              <w:rPr>
                <w:sz w:val="14"/>
              </w:rPr>
              <w:t>4,820 .3</w:t>
            </w:r>
          </w:p>
        </w:tc>
        <w:tc>
          <w:tcPr>
            <w:tcW w:w="1167" w:type="dxa"/>
          </w:tcPr>
          <w:p>
            <w:pPr>
              <w:pStyle w:val="TableParagraph"/>
              <w:spacing w:before="137"/>
              <w:ind w:right="294"/>
              <w:jc w:val="right"/>
              <w:rPr>
                <w:sz w:val="14"/>
              </w:rPr>
            </w:pPr>
            <w:r>
              <w:rPr>
                <w:sz w:val="14"/>
              </w:rPr>
              <w:t>0 . 2 %</w:t>
            </w:r>
          </w:p>
        </w:tc>
      </w:tr>
      <w:tr>
        <w:trPr>
          <w:trHeight w:val="547" w:hRule="atLeast"/>
        </w:trPr>
        <w:tc>
          <w:tcPr>
            <w:tcW w:w="14794" w:type="dxa"/>
            <w:gridSpan w:val="8"/>
          </w:tcPr>
          <w:p>
            <w:pPr>
              <w:pStyle w:val="TableParagraph"/>
              <w:spacing w:before="4"/>
              <w:rPr>
                <w:rFonts w:ascii="Times New Roman"/>
                <w:sz w:val="21"/>
              </w:rPr>
            </w:pPr>
          </w:p>
          <w:p>
            <w:pPr>
              <w:pStyle w:val="TableParagraph"/>
              <w:tabs>
                <w:tab w:pos="7229" w:val="left" w:leader="none"/>
                <w:tab w:pos="8741" w:val="left" w:leader="none"/>
                <w:tab w:pos="9893" w:val="left" w:leader="none"/>
                <w:tab w:pos="11573" w:val="left" w:leader="none"/>
                <w:tab w:pos="12845" w:val="left" w:leader="none"/>
                <w:tab w:pos="14180" w:val="left" w:leader="none"/>
              </w:tabs>
              <w:rPr>
                <w:b/>
                <w:sz w:val="14"/>
              </w:rPr>
            </w:pPr>
            <w:r>
              <w:rPr>
                <w:b/>
                <w:spacing w:val="2"/>
                <w:sz w:val="14"/>
              </w:rPr>
              <w:t>CLUSTER </w:t>
            </w:r>
            <w:r>
              <w:rPr>
                <w:b/>
                <w:sz w:val="14"/>
              </w:rPr>
              <w:t>3   </w:t>
            </w:r>
            <w:r>
              <w:rPr>
                <w:b/>
                <w:spacing w:val="5"/>
                <w:sz w:val="14"/>
              </w:rPr>
              <w:t>DIVERSIFYING</w:t>
            </w:r>
            <w:r>
              <w:rPr>
                <w:b/>
                <w:spacing w:val="-8"/>
                <w:sz w:val="14"/>
              </w:rPr>
              <w:t> </w:t>
            </w:r>
            <w:r>
              <w:rPr>
                <w:b/>
                <w:spacing w:val="3"/>
                <w:sz w:val="14"/>
              </w:rPr>
              <w:t>THE</w:t>
            </w:r>
            <w:r>
              <w:rPr>
                <w:b/>
                <w:spacing w:val="9"/>
                <w:sz w:val="14"/>
              </w:rPr>
              <w:t> </w:t>
            </w:r>
            <w:r>
              <w:rPr>
                <w:b/>
                <w:spacing w:val="3"/>
                <w:sz w:val="14"/>
              </w:rPr>
              <w:t>ECONOMY</w:t>
              <w:tab/>
            </w:r>
            <w:r>
              <w:rPr>
                <w:b/>
                <w:sz w:val="14"/>
              </w:rPr>
              <w:t>141,454.6</w:t>
              <w:tab/>
            </w:r>
            <w:r>
              <w:rPr>
                <w:b/>
                <w:spacing w:val="-4"/>
                <w:sz w:val="14"/>
              </w:rPr>
              <w:t>6.1%</w:t>
              <w:tab/>
            </w:r>
            <w:r>
              <w:rPr>
                <w:b/>
                <w:sz w:val="14"/>
              </w:rPr>
              <w:t>131,885.3</w:t>
              <w:tab/>
            </w:r>
            <w:r>
              <w:rPr>
                <w:b/>
                <w:spacing w:val="-4"/>
                <w:sz w:val="14"/>
              </w:rPr>
              <w:t>5.7%</w:t>
              <w:tab/>
            </w:r>
            <w:r>
              <w:rPr>
                <w:b/>
                <w:sz w:val="14"/>
              </w:rPr>
              <w:t>168,923.4</w:t>
              <w:tab/>
            </w:r>
            <w:r>
              <w:rPr>
                <w:b/>
                <w:spacing w:val="-4"/>
                <w:sz w:val="14"/>
              </w:rPr>
              <w:t>7.3%</w:t>
            </w:r>
          </w:p>
        </w:tc>
      </w:tr>
      <w:tr>
        <w:trPr>
          <w:trHeight w:val="439" w:hRule="atLeast"/>
        </w:trPr>
        <w:tc>
          <w:tcPr>
            <w:tcW w:w="471" w:type="dxa"/>
          </w:tcPr>
          <w:p>
            <w:pPr>
              <w:pStyle w:val="TableParagraph"/>
              <w:spacing w:before="135"/>
              <w:ind w:right="99"/>
              <w:jc w:val="right"/>
              <w:rPr>
                <w:b/>
                <w:sz w:val="14"/>
              </w:rPr>
            </w:pPr>
            <w:r>
              <w:rPr>
                <w:b/>
                <w:w w:val="95"/>
                <w:sz w:val="14"/>
              </w:rPr>
              <w:t>3.1</w:t>
            </w:r>
          </w:p>
        </w:tc>
        <w:tc>
          <w:tcPr>
            <w:tcW w:w="5268" w:type="dxa"/>
          </w:tcPr>
          <w:p>
            <w:pPr>
              <w:pStyle w:val="TableParagraph"/>
              <w:spacing w:before="135"/>
              <w:ind w:left="95"/>
              <w:rPr>
                <w:b/>
                <w:sz w:val="14"/>
              </w:rPr>
            </w:pPr>
            <w:r>
              <w:rPr>
                <w:b/>
                <w:sz w:val="14"/>
              </w:rPr>
              <w:t>AGRICULTURE</w:t>
            </w:r>
          </w:p>
        </w:tc>
        <w:tc>
          <w:tcPr>
            <w:tcW w:w="2353" w:type="dxa"/>
          </w:tcPr>
          <w:p>
            <w:pPr>
              <w:pStyle w:val="TableParagraph"/>
              <w:spacing w:before="135"/>
              <w:ind w:right="212"/>
              <w:jc w:val="right"/>
              <w:rPr>
                <w:b/>
                <w:sz w:val="14"/>
              </w:rPr>
            </w:pPr>
            <w:r>
              <w:rPr>
                <w:b/>
                <w:sz w:val="14"/>
              </w:rPr>
              <w:t>52,431.2</w:t>
            </w:r>
          </w:p>
        </w:tc>
        <w:tc>
          <w:tcPr>
            <w:tcW w:w="1372" w:type="dxa"/>
          </w:tcPr>
          <w:p>
            <w:pPr>
              <w:pStyle w:val="TableParagraph"/>
              <w:spacing w:before="135"/>
              <w:ind w:right="413"/>
              <w:jc w:val="right"/>
              <w:rPr>
                <w:b/>
                <w:sz w:val="14"/>
              </w:rPr>
            </w:pPr>
            <w:r>
              <w:rPr>
                <w:b/>
                <w:sz w:val="14"/>
              </w:rPr>
              <w:t>2.3%</w:t>
            </w:r>
          </w:p>
        </w:tc>
        <w:tc>
          <w:tcPr>
            <w:tcW w:w="1499" w:type="dxa"/>
          </w:tcPr>
          <w:p>
            <w:pPr>
              <w:pStyle w:val="TableParagraph"/>
              <w:spacing w:before="135"/>
              <w:ind w:right="419"/>
              <w:jc w:val="right"/>
              <w:rPr>
                <w:b/>
                <w:sz w:val="14"/>
              </w:rPr>
            </w:pPr>
            <w:r>
              <w:rPr>
                <w:b/>
                <w:sz w:val="14"/>
              </w:rPr>
              <w:t>48,041.3</w:t>
            </w:r>
          </w:p>
        </w:tc>
        <w:tc>
          <w:tcPr>
            <w:tcW w:w="1475" w:type="dxa"/>
          </w:tcPr>
          <w:p>
            <w:pPr>
              <w:pStyle w:val="TableParagraph"/>
              <w:spacing w:before="135"/>
              <w:ind w:left="502" w:right="449"/>
              <w:jc w:val="center"/>
              <w:rPr>
                <w:b/>
                <w:sz w:val="14"/>
              </w:rPr>
            </w:pPr>
            <w:r>
              <w:rPr>
                <w:b/>
                <w:sz w:val="14"/>
              </w:rPr>
              <w:t>2.1%</w:t>
            </w:r>
          </w:p>
        </w:tc>
        <w:tc>
          <w:tcPr>
            <w:tcW w:w="1189" w:type="dxa"/>
          </w:tcPr>
          <w:p>
            <w:pPr>
              <w:pStyle w:val="TableParagraph"/>
              <w:spacing w:before="135"/>
              <w:ind w:right="136"/>
              <w:jc w:val="right"/>
              <w:rPr>
                <w:b/>
                <w:sz w:val="14"/>
              </w:rPr>
            </w:pPr>
            <w:r>
              <w:rPr>
                <w:b/>
                <w:sz w:val="14"/>
              </w:rPr>
              <w:t>76,945.1</w:t>
            </w:r>
          </w:p>
        </w:tc>
        <w:tc>
          <w:tcPr>
            <w:tcW w:w="1167" w:type="dxa"/>
          </w:tcPr>
          <w:p>
            <w:pPr>
              <w:pStyle w:val="TableParagraph"/>
              <w:spacing w:before="135"/>
              <w:ind w:right="305"/>
              <w:jc w:val="right"/>
              <w:rPr>
                <w:b/>
                <w:sz w:val="14"/>
              </w:rPr>
            </w:pPr>
            <w:r>
              <w:rPr>
                <w:b/>
                <w:sz w:val="14"/>
              </w:rPr>
              <w:t>3.3%</w:t>
            </w:r>
          </w:p>
        </w:tc>
      </w:tr>
      <w:tr>
        <w:trPr>
          <w:trHeight w:val="441" w:hRule="atLeast"/>
        </w:trPr>
        <w:tc>
          <w:tcPr>
            <w:tcW w:w="471" w:type="dxa"/>
          </w:tcPr>
          <w:p>
            <w:pPr>
              <w:pStyle w:val="TableParagraph"/>
              <w:spacing w:before="137"/>
              <w:ind w:right="92"/>
              <w:jc w:val="right"/>
              <w:rPr>
                <w:sz w:val="14"/>
              </w:rPr>
            </w:pPr>
            <w:r>
              <w:rPr>
                <w:w w:val="95"/>
                <w:sz w:val="14"/>
              </w:rPr>
              <w:t>401</w:t>
            </w:r>
          </w:p>
        </w:tc>
        <w:tc>
          <w:tcPr>
            <w:tcW w:w="5268" w:type="dxa"/>
          </w:tcPr>
          <w:p>
            <w:pPr>
              <w:pStyle w:val="TableParagraph"/>
              <w:spacing w:before="137"/>
              <w:ind w:left="96"/>
              <w:rPr>
                <w:sz w:val="14"/>
              </w:rPr>
            </w:pPr>
            <w:r>
              <w:rPr>
                <w:sz w:val="14"/>
              </w:rPr>
              <w:t>Ministry of Agriculture, Forestry and Food Security</w:t>
            </w:r>
          </w:p>
        </w:tc>
        <w:tc>
          <w:tcPr>
            <w:tcW w:w="2353" w:type="dxa"/>
          </w:tcPr>
          <w:p>
            <w:pPr>
              <w:pStyle w:val="TableParagraph"/>
              <w:spacing w:before="137"/>
              <w:ind w:right="212"/>
              <w:jc w:val="right"/>
              <w:rPr>
                <w:b/>
                <w:sz w:val="14"/>
              </w:rPr>
            </w:pPr>
            <w:r>
              <w:rPr>
                <w:b/>
                <w:sz w:val="14"/>
              </w:rPr>
              <w:t>38,925.7</w:t>
            </w:r>
          </w:p>
        </w:tc>
        <w:tc>
          <w:tcPr>
            <w:tcW w:w="1372" w:type="dxa"/>
          </w:tcPr>
          <w:p>
            <w:pPr>
              <w:pStyle w:val="TableParagraph"/>
              <w:spacing w:before="137"/>
              <w:ind w:right="407"/>
              <w:jc w:val="right"/>
              <w:rPr>
                <w:sz w:val="14"/>
              </w:rPr>
            </w:pPr>
            <w:r>
              <w:rPr>
                <w:sz w:val="14"/>
              </w:rPr>
              <w:t>1 . 7 %</w:t>
            </w:r>
          </w:p>
        </w:tc>
        <w:tc>
          <w:tcPr>
            <w:tcW w:w="1499" w:type="dxa"/>
          </w:tcPr>
          <w:p>
            <w:pPr>
              <w:pStyle w:val="TableParagraph"/>
              <w:spacing w:before="137"/>
              <w:ind w:right="399"/>
              <w:jc w:val="right"/>
              <w:rPr>
                <w:sz w:val="14"/>
              </w:rPr>
            </w:pPr>
            <w:r>
              <w:rPr>
                <w:sz w:val="14"/>
              </w:rPr>
              <w:t>33,323.9</w:t>
            </w:r>
          </w:p>
        </w:tc>
        <w:tc>
          <w:tcPr>
            <w:tcW w:w="1475" w:type="dxa"/>
          </w:tcPr>
          <w:p>
            <w:pPr>
              <w:pStyle w:val="TableParagraph"/>
              <w:spacing w:before="137"/>
              <w:ind w:left="502" w:right="497"/>
              <w:jc w:val="center"/>
              <w:rPr>
                <w:sz w:val="14"/>
              </w:rPr>
            </w:pPr>
            <w:r>
              <w:rPr>
                <w:sz w:val="14"/>
              </w:rPr>
              <w:t>1 . 4 %</w:t>
            </w:r>
          </w:p>
        </w:tc>
        <w:tc>
          <w:tcPr>
            <w:tcW w:w="1189" w:type="dxa"/>
          </w:tcPr>
          <w:p>
            <w:pPr>
              <w:pStyle w:val="TableParagraph"/>
              <w:spacing w:before="137"/>
              <w:ind w:right="116"/>
              <w:jc w:val="right"/>
              <w:rPr>
                <w:sz w:val="14"/>
              </w:rPr>
            </w:pPr>
            <w:r>
              <w:rPr>
                <w:sz w:val="14"/>
              </w:rPr>
              <w:t>60,320.0</w:t>
            </w:r>
          </w:p>
        </w:tc>
        <w:tc>
          <w:tcPr>
            <w:tcW w:w="1167" w:type="dxa"/>
          </w:tcPr>
          <w:p>
            <w:pPr>
              <w:pStyle w:val="TableParagraph"/>
              <w:spacing w:before="137"/>
              <w:ind w:right="294"/>
              <w:jc w:val="right"/>
              <w:rPr>
                <w:sz w:val="14"/>
              </w:rPr>
            </w:pPr>
            <w:r>
              <w:rPr>
                <w:sz w:val="14"/>
              </w:rPr>
              <w:t>2 . 6 %</w:t>
            </w:r>
          </w:p>
        </w:tc>
      </w:tr>
      <w:tr>
        <w:trPr>
          <w:trHeight w:val="439" w:hRule="atLeast"/>
        </w:trPr>
        <w:tc>
          <w:tcPr>
            <w:tcW w:w="471" w:type="dxa"/>
          </w:tcPr>
          <w:p>
            <w:pPr>
              <w:pStyle w:val="TableParagraph"/>
              <w:spacing w:before="137"/>
              <w:ind w:right="92"/>
              <w:jc w:val="right"/>
              <w:rPr>
                <w:sz w:val="14"/>
              </w:rPr>
            </w:pPr>
            <w:r>
              <w:rPr>
                <w:w w:val="95"/>
                <w:sz w:val="14"/>
              </w:rPr>
              <w:t>410</w:t>
            </w:r>
          </w:p>
        </w:tc>
        <w:tc>
          <w:tcPr>
            <w:tcW w:w="5268" w:type="dxa"/>
          </w:tcPr>
          <w:p>
            <w:pPr>
              <w:pStyle w:val="TableParagraph"/>
              <w:spacing w:before="137"/>
              <w:ind w:left="95"/>
              <w:rPr>
                <w:sz w:val="14"/>
              </w:rPr>
            </w:pPr>
            <w:r>
              <w:rPr>
                <w:sz w:val="14"/>
              </w:rPr>
              <w:t>National Protected Area Authority</w:t>
            </w:r>
          </w:p>
        </w:tc>
        <w:tc>
          <w:tcPr>
            <w:tcW w:w="2353" w:type="dxa"/>
          </w:tcPr>
          <w:p>
            <w:pPr>
              <w:pStyle w:val="TableParagraph"/>
              <w:spacing w:before="137"/>
              <w:ind w:right="205"/>
              <w:jc w:val="right"/>
              <w:rPr>
                <w:b/>
                <w:sz w:val="14"/>
              </w:rPr>
            </w:pPr>
            <w:r>
              <w:rPr>
                <w:b/>
                <w:sz w:val="14"/>
              </w:rPr>
              <w:t>1,516.8</w:t>
            </w:r>
          </w:p>
        </w:tc>
        <w:tc>
          <w:tcPr>
            <w:tcW w:w="1372" w:type="dxa"/>
          </w:tcPr>
          <w:p>
            <w:pPr>
              <w:pStyle w:val="TableParagraph"/>
              <w:spacing w:before="137"/>
              <w:ind w:right="407"/>
              <w:jc w:val="right"/>
              <w:rPr>
                <w:sz w:val="14"/>
              </w:rPr>
            </w:pPr>
            <w:r>
              <w:rPr>
                <w:sz w:val="14"/>
              </w:rPr>
              <w:t>0 . 1 %</w:t>
            </w:r>
          </w:p>
        </w:tc>
        <w:tc>
          <w:tcPr>
            <w:tcW w:w="1499" w:type="dxa"/>
          </w:tcPr>
          <w:p>
            <w:pPr>
              <w:pStyle w:val="TableParagraph"/>
              <w:spacing w:before="137"/>
              <w:ind w:right="390"/>
              <w:jc w:val="right"/>
              <w:rPr>
                <w:sz w:val="14"/>
              </w:rPr>
            </w:pPr>
            <w:r>
              <w:rPr>
                <w:sz w:val="14"/>
              </w:rPr>
              <w:t>1,868 .3</w:t>
            </w:r>
          </w:p>
        </w:tc>
        <w:tc>
          <w:tcPr>
            <w:tcW w:w="1475" w:type="dxa"/>
          </w:tcPr>
          <w:p>
            <w:pPr>
              <w:pStyle w:val="TableParagraph"/>
              <w:spacing w:before="137"/>
              <w:ind w:left="502" w:right="497"/>
              <w:jc w:val="center"/>
              <w:rPr>
                <w:sz w:val="14"/>
              </w:rPr>
            </w:pPr>
            <w:r>
              <w:rPr>
                <w:sz w:val="14"/>
              </w:rPr>
              <w:t>0 . 1 %</w:t>
            </w:r>
          </w:p>
        </w:tc>
        <w:tc>
          <w:tcPr>
            <w:tcW w:w="1189" w:type="dxa"/>
          </w:tcPr>
          <w:p>
            <w:pPr>
              <w:pStyle w:val="TableParagraph"/>
              <w:spacing w:before="137"/>
              <w:ind w:right="106"/>
              <w:jc w:val="right"/>
              <w:rPr>
                <w:sz w:val="14"/>
              </w:rPr>
            </w:pPr>
            <w:r>
              <w:rPr>
                <w:sz w:val="14"/>
              </w:rPr>
              <w:t>1,980 .3</w:t>
            </w:r>
          </w:p>
        </w:tc>
        <w:tc>
          <w:tcPr>
            <w:tcW w:w="1167" w:type="dxa"/>
          </w:tcPr>
          <w:p>
            <w:pPr>
              <w:pStyle w:val="TableParagraph"/>
              <w:spacing w:before="137"/>
              <w:ind w:right="294"/>
              <w:jc w:val="right"/>
              <w:rPr>
                <w:sz w:val="14"/>
              </w:rPr>
            </w:pPr>
            <w:r>
              <w:rPr>
                <w:sz w:val="14"/>
              </w:rPr>
              <w:t>0 . 1 %</w:t>
            </w:r>
          </w:p>
        </w:tc>
      </w:tr>
      <w:tr>
        <w:trPr>
          <w:trHeight w:val="439" w:hRule="atLeast"/>
        </w:trPr>
        <w:tc>
          <w:tcPr>
            <w:tcW w:w="471" w:type="dxa"/>
          </w:tcPr>
          <w:p>
            <w:pPr>
              <w:pStyle w:val="TableParagraph"/>
              <w:spacing w:before="135"/>
              <w:ind w:right="92"/>
              <w:jc w:val="right"/>
              <w:rPr>
                <w:sz w:val="14"/>
              </w:rPr>
            </w:pPr>
            <w:r>
              <w:rPr>
                <w:w w:val="95"/>
                <w:sz w:val="14"/>
              </w:rPr>
              <w:t>418</w:t>
            </w:r>
          </w:p>
        </w:tc>
        <w:tc>
          <w:tcPr>
            <w:tcW w:w="5268" w:type="dxa"/>
          </w:tcPr>
          <w:p>
            <w:pPr>
              <w:pStyle w:val="TableParagraph"/>
              <w:spacing w:before="135"/>
              <w:ind w:left="95"/>
              <w:rPr>
                <w:sz w:val="14"/>
              </w:rPr>
            </w:pPr>
            <w:r>
              <w:rPr>
                <w:sz w:val="14"/>
              </w:rPr>
              <w:t>Sierra Leone Agricultural Research Institute</w:t>
            </w:r>
          </w:p>
        </w:tc>
        <w:tc>
          <w:tcPr>
            <w:tcW w:w="2353" w:type="dxa"/>
          </w:tcPr>
          <w:p>
            <w:pPr>
              <w:pStyle w:val="TableParagraph"/>
              <w:spacing w:before="135"/>
              <w:ind w:right="205"/>
              <w:jc w:val="right"/>
              <w:rPr>
                <w:b/>
                <w:sz w:val="14"/>
              </w:rPr>
            </w:pPr>
            <w:r>
              <w:rPr>
                <w:b/>
                <w:sz w:val="14"/>
              </w:rPr>
              <w:t>3,717.4</w:t>
            </w:r>
          </w:p>
        </w:tc>
        <w:tc>
          <w:tcPr>
            <w:tcW w:w="1372" w:type="dxa"/>
          </w:tcPr>
          <w:p>
            <w:pPr>
              <w:pStyle w:val="TableParagraph"/>
              <w:spacing w:before="135"/>
              <w:ind w:right="407"/>
              <w:jc w:val="right"/>
              <w:rPr>
                <w:sz w:val="14"/>
              </w:rPr>
            </w:pPr>
            <w:r>
              <w:rPr>
                <w:sz w:val="14"/>
              </w:rPr>
              <w:t>0 . 2 %</w:t>
            </w:r>
          </w:p>
        </w:tc>
        <w:tc>
          <w:tcPr>
            <w:tcW w:w="1499" w:type="dxa"/>
          </w:tcPr>
          <w:p>
            <w:pPr>
              <w:pStyle w:val="TableParagraph"/>
              <w:spacing w:before="135"/>
              <w:ind w:right="390"/>
              <w:jc w:val="right"/>
              <w:rPr>
                <w:sz w:val="14"/>
              </w:rPr>
            </w:pPr>
            <w:r>
              <w:rPr>
                <w:sz w:val="14"/>
              </w:rPr>
              <w:t>3,840 .0</w:t>
            </w:r>
          </w:p>
        </w:tc>
        <w:tc>
          <w:tcPr>
            <w:tcW w:w="1475" w:type="dxa"/>
          </w:tcPr>
          <w:p>
            <w:pPr>
              <w:pStyle w:val="TableParagraph"/>
              <w:spacing w:before="135"/>
              <w:ind w:left="502" w:right="497"/>
              <w:jc w:val="center"/>
              <w:rPr>
                <w:sz w:val="14"/>
              </w:rPr>
            </w:pPr>
            <w:r>
              <w:rPr>
                <w:sz w:val="14"/>
              </w:rPr>
              <w:t>0 . 2 %</w:t>
            </w:r>
          </w:p>
        </w:tc>
        <w:tc>
          <w:tcPr>
            <w:tcW w:w="1189" w:type="dxa"/>
          </w:tcPr>
          <w:p>
            <w:pPr>
              <w:pStyle w:val="TableParagraph"/>
              <w:spacing w:before="135"/>
              <w:ind w:right="106"/>
              <w:jc w:val="right"/>
              <w:rPr>
                <w:sz w:val="14"/>
              </w:rPr>
            </w:pPr>
            <w:r>
              <w:rPr>
                <w:sz w:val="14"/>
              </w:rPr>
              <w:t>4,070 .0</w:t>
            </w:r>
          </w:p>
        </w:tc>
        <w:tc>
          <w:tcPr>
            <w:tcW w:w="1167" w:type="dxa"/>
          </w:tcPr>
          <w:p>
            <w:pPr>
              <w:pStyle w:val="TableParagraph"/>
              <w:spacing w:before="135"/>
              <w:ind w:right="294"/>
              <w:jc w:val="right"/>
              <w:rPr>
                <w:sz w:val="14"/>
              </w:rPr>
            </w:pPr>
            <w:r>
              <w:rPr>
                <w:sz w:val="14"/>
              </w:rPr>
              <w:t>0 . 2 %</w:t>
            </w:r>
          </w:p>
        </w:tc>
      </w:tr>
      <w:tr>
        <w:trPr>
          <w:trHeight w:val="441" w:hRule="atLeast"/>
        </w:trPr>
        <w:tc>
          <w:tcPr>
            <w:tcW w:w="471" w:type="dxa"/>
          </w:tcPr>
          <w:p>
            <w:pPr>
              <w:pStyle w:val="TableParagraph"/>
              <w:spacing w:before="137"/>
              <w:ind w:right="92"/>
              <w:jc w:val="right"/>
              <w:rPr>
                <w:sz w:val="14"/>
              </w:rPr>
            </w:pPr>
            <w:r>
              <w:rPr>
                <w:w w:val="95"/>
                <w:sz w:val="14"/>
              </w:rPr>
              <w:t>701</w:t>
            </w:r>
          </w:p>
        </w:tc>
        <w:tc>
          <w:tcPr>
            <w:tcW w:w="5268" w:type="dxa"/>
          </w:tcPr>
          <w:p>
            <w:pPr>
              <w:pStyle w:val="TableParagraph"/>
              <w:spacing w:before="137"/>
              <w:ind w:left="96"/>
              <w:rPr>
                <w:sz w:val="14"/>
              </w:rPr>
            </w:pPr>
            <w:r>
              <w:rPr>
                <w:sz w:val="14"/>
              </w:rPr>
              <w:t>Devolved Function - Agriculture and Food Security Services</w:t>
            </w:r>
          </w:p>
        </w:tc>
        <w:tc>
          <w:tcPr>
            <w:tcW w:w="2353" w:type="dxa"/>
          </w:tcPr>
          <w:p>
            <w:pPr>
              <w:pStyle w:val="TableParagraph"/>
              <w:spacing w:before="137"/>
              <w:ind w:right="205"/>
              <w:jc w:val="right"/>
              <w:rPr>
                <w:b/>
                <w:sz w:val="14"/>
              </w:rPr>
            </w:pPr>
            <w:r>
              <w:rPr>
                <w:b/>
                <w:sz w:val="14"/>
              </w:rPr>
              <w:t>8,271.3</w:t>
            </w:r>
          </w:p>
        </w:tc>
        <w:tc>
          <w:tcPr>
            <w:tcW w:w="1372" w:type="dxa"/>
          </w:tcPr>
          <w:p>
            <w:pPr>
              <w:pStyle w:val="TableParagraph"/>
              <w:spacing w:before="137"/>
              <w:ind w:right="407"/>
              <w:jc w:val="right"/>
              <w:rPr>
                <w:sz w:val="14"/>
              </w:rPr>
            </w:pPr>
            <w:r>
              <w:rPr>
                <w:sz w:val="14"/>
              </w:rPr>
              <w:t>0 . 4 %</w:t>
            </w:r>
          </w:p>
        </w:tc>
        <w:tc>
          <w:tcPr>
            <w:tcW w:w="1499" w:type="dxa"/>
          </w:tcPr>
          <w:p>
            <w:pPr>
              <w:pStyle w:val="TableParagraph"/>
              <w:spacing w:before="137"/>
              <w:ind w:right="390"/>
              <w:jc w:val="right"/>
              <w:rPr>
                <w:sz w:val="14"/>
              </w:rPr>
            </w:pPr>
            <w:r>
              <w:rPr>
                <w:sz w:val="14"/>
              </w:rPr>
              <w:t>9,009 .0</w:t>
            </w:r>
          </w:p>
        </w:tc>
        <w:tc>
          <w:tcPr>
            <w:tcW w:w="1475" w:type="dxa"/>
          </w:tcPr>
          <w:p>
            <w:pPr>
              <w:pStyle w:val="TableParagraph"/>
              <w:spacing w:before="137"/>
              <w:ind w:left="502" w:right="497"/>
              <w:jc w:val="center"/>
              <w:rPr>
                <w:sz w:val="14"/>
              </w:rPr>
            </w:pPr>
            <w:r>
              <w:rPr>
                <w:sz w:val="14"/>
              </w:rPr>
              <w:t>0 . 4 %</w:t>
            </w:r>
          </w:p>
        </w:tc>
        <w:tc>
          <w:tcPr>
            <w:tcW w:w="1189" w:type="dxa"/>
          </w:tcPr>
          <w:p>
            <w:pPr>
              <w:pStyle w:val="TableParagraph"/>
              <w:spacing w:before="137"/>
              <w:ind w:right="116"/>
              <w:jc w:val="right"/>
              <w:rPr>
                <w:sz w:val="14"/>
              </w:rPr>
            </w:pPr>
            <w:r>
              <w:rPr>
                <w:sz w:val="14"/>
              </w:rPr>
              <w:t>10,574.8</w:t>
            </w:r>
          </w:p>
        </w:tc>
        <w:tc>
          <w:tcPr>
            <w:tcW w:w="1167" w:type="dxa"/>
          </w:tcPr>
          <w:p>
            <w:pPr>
              <w:pStyle w:val="TableParagraph"/>
              <w:spacing w:before="137"/>
              <w:ind w:right="294"/>
              <w:jc w:val="right"/>
              <w:rPr>
                <w:sz w:val="14"/>
              </w:rPr>
            </w:pPr>
            <w:r>
              <w:rPr>
                <w:sz w:val="14"/>
              </w:rPr>
              <w:t>0 . 5 %</w:t>
            </w:r>
          </w:p>
        </w:tc>
      </w:tr>
      <w:tr>
        <w:trPr>
          <w:trHeight w:val="439" w:hRule="atLeast"/>
        </w:trPr>
        <w:tc>
          <w:tcPr>
            <w:tcW w:w="471" w:type="dxa"/>
          </w:tcPr>
          <w:p>
            <w:pPr>
              <w:pStyle w:val="TableParagraph"/>
              <w:spacing w:before="137"/>
              <w:ind w:right="98"/>
              <w:jc w:val="right"/>
              <w:rPr>
                <w:b/>
                <w:sz w:val="14"/>
              </w:rPr>
            </w:pPr>
            <w:r>
              <w:rPr>
                <w:b/>
                <w:sz w:val="14"/>
              </w:rPr>
              <w:t>3. 2</w:t>
            </w:r>
          </w:p>
        </w:tc>
        <w:tc>
          <w:tcPr>
            <w:tcW w:w="5268" w:type="dxa"/>
          </w:tcPr>
          <w:p>
            <w:pPr>
              <w:pStyle w:val="TableParagraph"/>
              <w:spacing w:before="137"/>
              <w:ind w:left="96"/>
              <w:rPr>
                <w:b/>
                <w:sz w:val="14"/>
              </w:rPr>
            </w:pPr>
            <w:r>
              <w:rPr>
                <w:b/>
                <w:sz w:val="14"/>
              </w:rPr>
              <w:t>FISHERIES</w:t>
            </w:r>
          </w:p>
        </w:tc>
        <w:tc>
          <w:tcPr>
            <w:tcW w:w="2353" w:type="dxa"/>
          </w:tcPr>
          <w:p>
            <w:pPr>
              <w:pStyle w:val="TableParagraph"/>
              <w:spacing w:before="137"/>
              <w:ind w:right="212"/>
              <w:jc w:val="right"/>
              <w:rPr>
                <w:b/>
                <w:sz w:val="14"/>
              </w:rPr>
            </w:pPr>
            <w:r>
              <w:rPr>
                <w:b/>
                <w:sz w:val="14"/>
              </w:rPr>
              <w:t>47,063.3</w:t>
            </w:r>
          </w:p>
        </w:tc>
        <w:tc>
          <w:tcPr>
            <w:tcW w:w="1372" w:type="dxa"/>
          </w:tcPr>
          <w:p>
            <w:pPr>
              <w:pStyle w:val="TableParagraph"/>
              <w:spacing w:before="137"/>
              <w:ind w:right="407"/>
              <w:jc w:val="right"/>
              <w:rPr>
                <w:sz w:val="14"/>
              </w:rPr>
            </w:pPr>
            <w:r>
              <w:rPr>
                <w:sz w:val="14"/>
              </w:rPr>
              <w:t>2 . 0 %</w:t>
            </w:r>
          </w:p>
        </w:tc>
        <w:tc>
          <w:tcPr>
            <w:tcW w:w="1499" w:type="dxa"/>
          </w:tcPr>
          <w:p>
            <w:pPr>
              <w:pStyle w:val="TableParagraph"/>
              <w:spacing w:before="137"/>
              <w:ind w:right="399"/>
              <w:jc w:val="right"/>
              <w:rPr>
                <w:sz w:val="14"/>
              </w:rPr>
            </w:pPr>
            <w:r>
              <w:rPr>
                <w:sz w:val="14"/>
              </w:rPr>
              <w:t>37,562.2</w:t>
            </w:r>
          </w:p>
        </w:tc>
        <w:tc>
          <w:tcPr>
            <w:tcW w:w="1475" w:type="dxa"/>
          </w:tcPr>
          <w:p>
            <w:pPr>
              <w:pStyle w:val="TableParagraph"/>
              <w:spacing w:before="137"/>
              <w:ind w:left="502" w:right="497"/>
              <w:jc w:val="center"/>
              <w:rPr>
                <w:sz w:val="14"/>
              </w:rPr>
            </w:pPr>
            <w:r>
              <w:rPr>
                <w:sz w:val="14"/>
              </w:rPr>
              <w:t>1 . 6 %</w:t>
            </w:r>
          </w:p>
        </w:tc>
        <w:tc>
          <w:tcPr>
            <w:tcW w:w="1189" w:type="dxa"/>
          </w:tcPr>
          <w:p>
            <w:pPr>
              <w:pStyle w:val="TableParagraph"/>
              <w:spacing w:before="137"/>
              <w:ind w:right="116"/>
              <w:jc w:val="right"/>
              <w:rPr>
                <w:sz w:val="14"/>
              </w:rPr>
            </w:pPr>
            <w:r>
              <w:rPr>
                <w:sz w:val="14"/>
              </w:rPr>
              <w:t>42,381.9</w:t>
            </w:r>
          </w:p>
        </w:tc>
        <w:tc>
          <w:tcPr>
            <w:tcW w:w="1167" w:type="dxa"/>
          </w:tcPr>
          <w:p>
            <w:pPr>
              <w:pStyle w:val="TableParagraph"/>
              <w:spacing w:before="137"/>
              <w:ind w:right="294"/>
              <w:jc w:val="right"/>
              <w:rPr>
                <w:sz w:val="14"/>
              </w:rPr>
            </w:pPr>
            <w:r>
              <w:rPr>
                <w:sz w:val="14"/>
              </w:rPr>
              <w:t>1 . 8 %</w:t>
            </w:r>
          </w:p>
        </w:tc>
      </w:tr>
      <w:tr>
        <w:trPr>
          <w:trHeight w:val="439" w:hRule="atLeast"/>
        </w:trPr>
        <w:tc>
          <w:tcPr>
            <w:tcW w:w="471" w:type="dxa"/>
          </w:tcPr>
          <w:p>
            <w:pPr>
              <w:pStyle w:val="TableParagraph"/>
              <w:spacing w:before="135"/>
              <w:ind w:right="92"/>
              <w:jc w:val="right"/>
              <w:rPr>
                <w:sz w:val="14"/>
              </w:rPr>
            </w:pPr>
            <w:r>
              <w:rPr>
                <w:w w:val="95"/>
                <w:sz w:val="14"/>
              </w:rPr>
              <w:t>402</w:t>
            </w:r>
          </w:p>
        </w:tc>
        <w:tc>
          <w:tcPr>
            <w:tcW w:w="5268" w:type="dxa"/>
          </w:tcPr>
          <w:p>
            <w:pPr>
              <w:pStyle w:val="TableParagraph"/>
              <w:spacing w:before="135"/>
              <w:ind w:left="96"/>
              <w:rPr>
                <w:sz w:val="14"/>
              </w:rPr>
            </w:pPr>
            <w:r>
              <w:rPr>
                <w:sz w:val="14"/>
              </w:rPr>
              <w:t>Ministry of Fisheries and Marine Resources</w:t>
            </w:r>
          </w:p>
        </w:tc>
        <w:tc>
          <w:tcPr>
            <w:tcW w:w="2353" w:type="dxa"/>
          </w:tcPr>
          <w:p>
            <w:pPr>
              <w:pStyle w:val="TableParagraph"/>
              <w:spacing w:before="135"/>
              <w:ind w:right="212"/>
              <w:jc w:val="right"/>
              <w:rPr>
                <w:b/>
                <w:sz w:val="14"/>
              </w:rPr>
            </w:pPr>
            <w:r>
              <w:rPr>
                <w:b/>
                <w:sz w:val="14"/>
              </w:rPr>
              <w:t>12,578.2</w:t>
            </w:r>
          </w:p>
        </w:tc>
        <w:tc>
          <w:tcPr>
            <w:tcW w:w="1372" w:type="dxa"/>
          </w:tcPr>
          <w:p>
            <w:pPr>
              <w:pStyle w:val="TableParagraph"/>
              <w:spacing w:before="135"/>
              <w:ind w:right="407"/>
              <w:jc w:val="right"/>
              <w:rPr>
                <w:sz w:val="14"/>
              </w:rPr>
            </w:pPr>
            <w:r>
              <w:rPr>
                <w:sz w:val="14"/>
              </w:rPr>
              <w:t>0 . 5 %</w:t>
            </w:r>
          </w:p>
        </w:tc>
        <w:tc>
          <w:tcPr>
            <w:tcW w:w="1499" w:type="dxa"/>
          </w:tcPr>
          <w:p>
            <w:pPr>
              <w:pStyle w:val="TableParagraph"/>
              <w:spacing w:before="135"/>
              <w:ind w:right="399"/>
              <w:jc w:val="right"/>
              <w:rPr>
                <w:sz w:val="14"/>
              </w:rPr>
            </w:pPr>
            <w:r>
              <w:rPr>
                <w:sz w:val="14"/>
              </w:rPr>
              <w:t>15,001.0</w:t>
            </w:r>
          </w:p>
        </w:tc>
        <w:tc>
          <w:tcPr>
            <w:tcW w:w="1475" w:type="dxa"/>
          </w:tcPr>
          <w:p>
            <w:pPr>
              <w:pStyle w:val="TableParagraph"/>
              <w:spacing w:before="135"/>
              <w:ind w:left="502" w:right="497"/>
              <w:jc w:val="center"/>
              <w:rPr>
                <w:sz w:val="14"/>
              </w:rPr>
            </w:pPr>
            <w:r>
              <w:rPr>
                <w:sz w:val="14"/>
              </w:rPr>
              <w:t>0 . 6 %</w:t>
            </w:r>
          </w:p>
        </w:tc>
        <w:tc>
          <w:tcPr>
            <w:tcW w:w="1189" w:type="dxa"/>
          </w:tcPr>
          <w:p>
            <w:pPr>
              <w:pStyle w:val="TableParagraph"/>
              <w:spacing w:before="135"/>
              <w:ind w:right="116"/>
              <w:jc w:val="right"/>
              <w:rPr>
                <w:sz w:val="14"/>
              </w:rPr>
            </w:pPr>
            <w:r>
              <w:rPr>
                <w:sz w:val="14"/>
              </w:rPr>
              <w:t>15,899.6</w:t>
            </w:r>
          </w:p>
        </w:tc>
        <w:tc>
          <w:tcPr>
            <w:tcW w:w="1167" w:type="dxa"/>
          </w:tcPr>
          <w:p>
            <w:pPr>
              <w:pStyle w:val="TableParagraph"/>
              <w:spacing w:before="135"/>
              <w:ind w:right="294"/>
              <w:jc w:val="right"/>
              <w:rPr>
                <w:sz w:val="14"/>
              </w:rPr>
            </w:pPr>
            <w:r>
              <w:rPr>
                <w:sz w:val="14"/>
              </w:rPr>
              <w:t>0 . 7 %</w:t>
            </w:r>
          </w:p>
        </w:tc>
      </w:tr>
      <w:tr>
        <w:trPr>
          <w:trHeight w:val="441" w:hRule="atLeast"/>
        </w:trPr>
        <w:tc>
          <w:tcPr>
            <w:tcW w:w="471" w:type="dxa"/>
          </w:tcPr>
          <w:p>
            <w:pPr>
              <w:pStyle w:val="TableParagraph"/>
              <w:spacing w:before="137"/>
              <w:ind w:right="92"/>
              <w:jc w:val="right"/>
              <w:rPr>
                <w:sz w:val="14"/>
              </w:rPr>
            </w:pPr>
            <w:r>
              <w:rPr>
                <w:w w:val="95"/>
                <w:sz w:val="14"/>
              </w:rPr>
              <w:t>415</w:t>
            </w:r>
          </w:p>
        </w:tc>
        <w:tc>
          <w:tcPr>
            <w:tcW w:w="5268" w:type="dxa"/>
          </w:tcPr>
          <w:p>
            <w:pPr>
              <w:pStyle w:val="TableParagraph"/>
              <w:spacing w:before="137"/>
              <w:ind w:left="95"/>
              <w:rPr>
                <w:sz w:val="14"/>
              </w:rPr>
            </w:pPr>
            <w:r>
              <w:rPr>
                <w:sz w:val="14"/>
              </w:rPr>
              <w:t>Sierra Leone Maritime Administration</w:t>
            </w:r>
          </w:p>
        </w:tc>
        <w:tc>
          <w:tcPr>
            <w:tcW w:w="2353" w:type="dxa"/>
          </w:tcPr>
          <w:p>
            <w:pPr>
              <w:pStyle w:val="TableParagraph"/>
              <w:spacing w:before="137"/>
              <w:ind w:right="212"/>
              <w:jc w:val="right"/>
              <w:rPr>
                <w:b/>
                <w:sz w:val="14"/>
              </w:rPr>
            </w:pPr>
            <w:r>
              <w:rPr>
                <w:b/>
                <w:sz w:val="14"/>
              </w:rPr>
              <w:t>33,872.0</w:t>
            </w:r>
          </w:p>
        </w:tc>
        <w:tc>
          <w:tcPr>
            <w:tcW w:w="1372" w:type="dxa"/>
          </w:tcPr>
          <w:p>
            <w:pPr>
              <w:pStyle w:val="TableParagraph"/>
              <w:spacing w:before="137"/>
              <w:ind w:right="407"/>
              <w:jc w:val="right"/>
              <w:rPr>
                <w:sz w:val="14"/>
              </w:rPr>
            </w:pPr>
            <w:r>
              <w:rPr>
                <w:sz w:val="14"/>
              </w:rPr>
              <w:t>1 . 5 %</w:t>
            </w:r>
          </w:p>
        </w:tc>
        <w:tc>
          <w:tcPr>
            <w:tcW w:w="1499" w:type="dxa"/>
          </w:tcPr>
          <w:p>
            <w:pPr>
              <w:pStyle w:val="TableParagraph"/>
              <w:spacing w:before="137"/>
              <w:ind w:right="399"/>
              <w:jc w:val="right"/>
              <w:rPr>
                <w:sz w:val="14"/>
              </w:rPr>
            </w:pPr>
            <w:r>
              <w:rPr>
                <w:sz w:val="14"/>
              </w:rPr>
              <w:t>21,893.4</w:t>
            </w:r>
          </w:p>
        </w:tc>
        <w:tc>
          <w:tcPr>
            <w:tcW w:w="1475" w:type="dxa"/>
          </w:tcPr>
          <w:p>
            <w:pPr>
              <w:pStyle w:val="TableParagraph"/>
              <w:spacing w:before="137"/>
              <w:ind w:left="502" w:right="497"/>
              <w:jc w:val="center"/>
              <w:rPr>
                <w:sz w:val="14"/>
              </w:rPr>
            </w:pPr>
            <w:r>
              <w:rPr>
                <w:sz w:val="14"/>
              </w:rPr>
              <w:t>0 . 9 %</w:t>
            </w:r>
          </w:p>
        </w:tc>
        <w:tc>
          <w:tcPr>
            <w:tcW w:w="1189" w:type="dxa"/>
          </w:tcPr>
          <w:p>
            <w:pPr>
              <w:pStyle w:val="TableParagraph"/>
              <w:spacing w:before="137"/>
              <w:ind w:right="116"/>
              <w:jc w:val="right"/>
              <w:rPr>
                <w:sz w:val="14"/>
              </w:rPr>
            </w:pPr>
            <w:r>
              <w:rPr>
                <w:sz w:val="14"/>
              </w:rPr>
              <w:t>25,698.5</w:t>
            </w:r>
          </w:p>
        </w:tc>
        <w:tc>
          <w:tcPr>
            <w:tcW w:w="1167" w:type="dxa"/>
          </w:tcPr>
          <w:p>
            <w:pPr>
              <w:pStyle w:val="TableParagraph"/>
              <w:spacing w:before="137"/>
              <w:ind w:right="294"/>
              <w:jc w:val="right"/>
              <w:rPr>
                <w:sz w:val="14"/>
              </w:rPr>
            </w:pPr>
            <w:r>
              <w:rPr>
                <w:sz w:val="14"/>
              </w:rPr>
              <w:t>1 . 1 %</w:t>
            </w:r>
          </w:p>
        </w:tc>
      </w:tr>
      <w:tr>
        <w:trPr>
          <w:trHeight w:val="439" w:hRule="atLeast"/>
        </w:trPr>
        <w:tc>
          <w:tcPr>
            <w:tcW w:w="471" w:type="dxa"/>
          </w:tcPr>
          <w:p>
            <w:pPr>
              <w:pStyle w:val="TableParagraph"/>
              <w:spacing w:before="137"/>
              <w:ind w:right="92"/>
              <w:jc w:val="right"/>
              <w:rPr>
                <w:sz w:val="14"/>
              </w:rPr>
            </w:pPr>
            <w:r>
              <w:rPr>
                <w:w w:val="95"/>
                <w:sz w:val="14"/>
              </w:rPr>
              <w:t>701</w:t>
            </w:r>
          </w:p>
        </w:tc>
        <w:tc>
          <w:tcPr>
            <w:tcW w:w="5268" w:type="dxa"/>
          </w:tcPr>
          <w:p>
            <w:pPr>
              <w:pStyle w:val="TableParagraph"/>
              <w:spacing w:before="137"/>
              <w:ind w:left="96"/>
              <w:rPr>
                <w:sz w:val="14"/>
              </w:rPr>
            </w:pPr>
            <w:r>
              <w:rPr>
                <w:sz w:val="14"/>
              </w:rPr>
              <w:t>Devolved Function - Fisheries and Marine Resources</w:t>
            </w:r>
          </w:p>
        </w:tc>
        <w:tc>
          <w:tcPr>
            <w:tcW w:w="2353" w:type="dxa"/>
          </w:tcPr>
          <w:p>
            <w:pPr>
              <w:pStyle w:val="TableParagraph"/>
              <w:spacing w:before="137"/>
              <w:ind w:right="194"/>
              <w:jc w:val="right"/>
              <w:rPr>
                <w:b/>
                <w:sz w:val="14"/>
              </w:rPr>
            </w:pPr>
            <w:r>
              <w:rPr>
                <w:b/>
                <w:sz w:val="14"/>
              </w:rPr>
              <w:t>613.1</w:t>
            </w:r>
          </w:p>
        </w:tc>
        <w:tc>
          <w:tcPr>
            <w:tcW w:w="1372" w:type="dxa"/>
          </w:tcPr>
          <w:p>
            <w:pPr>
              <w:pStyle w:val="TableParagraph"/>
              <w:spacing w:before="137"/>
              <w:ind w:right="407"/>
              <w:jc w:val="right"/>
              <w:rPr>
                <w:sz w:val="14"/>
              </w:rPr>
            </w:pPr>
            <w:r>
              <w:rPr>
                <w:sz w:val="14"/>
              </w:rPr>
              <w:t>0 . 0 %</w:t>
            </w:r>
          </w:p>
        </w:tc>
        <w:tc>
          <w:tcPr>
            <w:tcW w:w="1499" w:type="dxa"/>
          </w:tcPr>
          <w:p>
            <w:pPr>
              <w:pStyle w:val="TableParagraph"/>
              <w:spacing w:before="137"/>
              <w:ind w:right="387"/>
              <w:jc w:val="right"/>
              <w:rPr>
                <w:sz w:val="14"/>
              </w:rPr>
            </w:pPr>
            <w:r>
              <w:rPr>
                <w:sz w:val="14"/>
              </w:rPr>
              <w:t>667.8</w:t>
            </w:r>
          </w:p>
        </w:tc>
        <w:tc>
          <w:tcPr>
            <w:tcW w:w="1475" w:type="dxa"/>
          </w:tcPr>
          <w:p>
            <w:pPr>
              <w:pStyle w:val="TableParagraph"/>
              <w:spacing w:before="137"/>
              <w:ind w:left="502" w:right="497"/>
              <w:jc w:val="center"/>
              <w:rPr>
                <w:sz w:val="14"/>
              </w:rPr>
            </w:pPr>
            <w:r>
              <w:rPr>
                <w:sz w:val="14"/>
              </w:rPr>
              <w:t>0 . 0 %</w:t>
            </w:r>
          </w:p>
        </w:tc>
        <w:tc>
          <w:tcPr>
            <w:tcW w:w="1189" w:type="dxa"/>
          </w:tcPr>
          <w:p>
            <w:pPr>
              <w:pStyle w:val="TableParagraph"/>
              <w:spacing w:before="137"/>
              <w:ind w:right="104"/>
              <w:jc w:val="right"/>
              <w:rPr>
                <w:sz w:val="14"/>
              </w:rPr>
            </w:pPr>
            <w:r>
              <w:rPr>
                <w:sz w:val="14"/>
              </w:rPr>
              <w:t>783.9</w:t>
            </w:r>
          </w:p>
        </w:tc>
        <w:tc>
          <w:tcPr>
            <w:tcW w:w="1167" w:type="dxa"/>
          </w:tcPr>
          <w:p>
            <w:pPr>
              <w:pStyle w:val="TableParagraph"/>
              <w:spacing w:before="137"/>
              <w:ind w:right="294"/>
              <w:jc w:val="right"/>
              <w:rPr>
                <w:sz w:val="14"/>
              </w:rPr>
            </w:pPr>
            <w:r>
              <w:rPr>
                <w:sz w:val="14"/>
              </w:rPr>
              <w:t>0 . 0 %</w:t>
            </w:r>
          </w:p>
        </w:tc>
      </w:tr>
      <w:tr>
        <w:trPr>
          <w:trHeight w:val="439" w:hRule="atLeast"/>
        </w:trPr>
        <w:tc>
          <w:tcPr>
            <w:tcW w:w="471" w:type="dxa"/>
          </w:tcPr>
          <w:p>
            <w:pPr>
              <w:pStyle w:val="TableParagraph"/>
              <w:spacing w:before="135"/>
              <w:ind w:right="98"/>
              <w:jc w:val="right"/>
              <w:rPr>
                <w:b/>
                <w:sz w:val="14"/>
              </w:rPr>
            </w:pPr>
            <w:r>
              <w:rPr>
                <w:b/>
                <w:sz w:val="14"/>
              </w:rPr>
              <w:t>3. 3</w:t>
            </w:r>
          </w:p>
        </w:tc>
        <w:tc>
          <w:tcPr>
            <w:tcW w:w="5268" w:type="dxa"/>
          </w:tcPr>
          <w:p>
            <w:pPr>
              <w:pStyle w:val="TableParagraph"/>
              <w:spacing w:before="135"/>
              <w:ind w:left="96"/>
              <w:rPr>
                <w:b/>
                <w:sz w:val="14"/>
              </w:rPr>
            </w:pPr>
            <w:r>
              <w:rPr>
                <w:b/>
                <w:sz w:val="14"/>
              </w:rPr>
              <w:t>TOURISM</w:t>
            </w:r>
          </w:p>
        </w:tc>
        <w:tc>
          <w:tcPr>
            <w:tcW w:w="2353" w:type="dxa"/>
          </w:tcPr>
          <w:p>
            <w:pPr>
              <w:pStyle w:val="TableParagraph"/>
              <w:spacing w:before="135"/>
              <w:ind w:right="212"/>
              <w:jc w:val="right"/>
              <w:rPr>
                <w:b/>
                <w:sz w:val="14"/>
              </w:rPr>
            </w:pPr>
            <w:r>
              <w:rPr>
                <w:b/>
                <w:sz w:val="14"/>
              </w:rPr>
              <w:t>11,572.8</w:t>
            </w:r>
          </w:p>
        </w:tc>
        <w:tc>
          <w:tcPr>
            <w:tcW w:w="1372" w:type="dxa"/>
          </w:tcPr>
          <w:p>
            <w:pPr>
              <w:pStyle w:val="TableParagraph"/>
              <w:spacing w:before="135"/>
              <w:ind w:right="413"/>
              <w:jc w:val="right"/>
              <w:rPr>
                <w:b/>
                <w:sz w:val="14"/>
              </w:rPr>
            </w:pPr>
            <w:r>
              <w:rPr>
                <w:b/>
                <w:sz w:val="14"/>
              </w:rPr>
              <w:t>0.5%</w:t>
            </w:r>
          </w:p>
        </w:tc>
        <w:tc>
          <w:tcPr>
            <w:tcW w:w="1499" w:type="dxa"/>
          </w:tcPr>
          <w:p>
            <w:pPr>
              <w:pStyle w:val="TableParagraph"/>
              <w:spacing w:before="135"/>
              <w:ind w:right="419"/>
              <w:jc w:val="right"/>
              <w:rPr>
                <w:b/>
                <w:sz w:val="14"/>
              </w:rPr>
            </w:pPr>
            <w:r>
              <w:rPr>
                <w:b/>
                <w:sz w:val="14"/>
              </w:rPr>
              <w:t>14,255.2</w:t>
            </w:r>
          </w:p>
        </w:tc>
        <w:tc>
          <w:tcPr>
            <w:tcW w:w="1475" w:type="dxa"/>
          </w:tcPr>
          <w:p>
            <w:pPr>
              <w:pStyle w:val="TableParagraph"/>
              <w:spacing w:before="135"/>
              <w:ind w:left="502" w:right="449"/>
              <w:jc w:val="center"/>
              <w:rPr>
                <w:b/>
                <w:sz w:val="14"/>
              </w:rPr>
            </w:pPr>
            <w:r>
              <w:rPr>
                <w:b/>
                <w:sz w:val="14"/>
              </w:rPr>
              <w:t>0.6%</w:t>
            </w:r>
          </w:p>
        </w:tc>
        <w:tc>
          <w:tcPr>
            <w:tcW w:w="1189" w:type="dxa"/>
          </w:tcPr>
          <w:p>
            <w:pPr>
              <w:pStyle w:val="TableParagraph"/>
              <w:spacing w:before="135"/>
              <w:ind w:right="136"/>
              <w:jc w:val="right"/>
              <w:rPr>
                <w:b/>
                <w:sz w:val="14"/>
              </w:rPr>
            </w:pPr>
            <w:r>
              <w:rPr>
                <w:b/>
                <w:sz w:val="14"/>
              </w:rPr>
              <w:t>15,109.1</w:t>
            </w:r>
          </w:p>
        </w:tc>
        <w:tc>
          <w:tcPr>
            <w:tcW w:w="1167" w:type="dxa"/>
          </w:tcPr>
          <w:p>
            <w:pPr>
              <w:pStyle w:val="TableParagraph"/>
              <w:spacing w:before="135"/>
              <w:ind w:right="305"/>
              <w:jc w:val="right"/>
              <w:rPr>
                <w:b/>
                <w:sz w:val="14"/>
              </w:rPr>
            </w:pPr>
            <w:r>
              <w:rPr>
                <w:b/>
                <w:sz w:val="14"/>
              </w:rPr>
              <w:t>0.7%</w:t>
            </w:r>
          </w:p>
        </w:tc>
      </w:tr>
      <w:tr>
        <w:trPr>
          <w:trHeight w:val="331" w:hRule="atLeast"/>
        </w:trPr>
        <w:tc>
          <w:tcPr>
            <w:tcW w:w="471" w:type="dxa"/>
          </w:tcPr>
          <w:p>
            <w:pPr>
              <w:pStyle w:val="TableParagraph"/>
              <w:spacing w:before="137"/>
              <w:ind w:right="92"/>
              <w:jc w:val="right"/>
              <w:rPr>
                <w:sz w:val="14"/>
              </w:rPr>
            </w:pPr>
            <w:r>
              <w:rPr>
                <w:w w:val="95"/>
                <w:sz w:val="14"/>
              </w:rPr>
              <w:t>303</w:t>
            </w:r>
          </w:p>
        </w:tc>
        <w:tc>
          <w:tcPr>
            <w:tcW w:w="5268" w:type="dxa"/>
          </w:tcPr>
          <w:p>
            <w:pPr>
              <w:pStyle w:val="TableParagraph"/>
              <w:spacing w:before="137"/>
              <w:ind w:left="96"/>
              <w:rPr>
                <w:sz w:val="14"/>
              </w:rPr>
            </w:pPr>
            <w:r>
              <w:rPr>
                <w:sz w:val="14"/>
              </w:rPr>
              <w:t>Ministry of Tourism and Cultural Affairs</w:t>
            </w:r>
          </w:p>
        </w:tc>
        <w:tc>
          <w:tcPr>
            <w:tcW w:w="2353" w:type="dxa"/>
          </w:tcPr>
          <w:p>
            <w:pPr>
              <w:pStyle w:val="TableParagraph"/>
              <w:spacing w:before="137"/>
              <w:ind w:right="205"/>
              <w:jc w:val="right"/>
              <w:rPr>
                <w:b/>
                <w:sz w:val="14"/>
              </w:rPr>
            </w:pPr>
            <w:r>
              <w:rPr>
                <w:b/>
                <w:sz w:val="14"/>
              </w:rPr>
              <w:t>3,854.3</w:t>
            </w:r>
          </w:p>
        </w:tc>
        <w:tc>
          <w:tcPr>
            <w:tcW w:w="1372" w:type="dxa"/>
          </w:tcPr>
          <w:p>
            <w:pPr>
              <w:pStyle w:val="TableParagraph"/>
              <w:spacing w:before="137"/>
              <w:ind w:right="407"/>
              <w:jc w:val="right"/>
              <w:rPr>
                <w:sz w:val="14"/>
              </w:rPr>
            </w:pPr>
            <w:r>
              <w:rPr>
                <w:sz w:val="14"/>
              </w:rPr>
              <w:t>0 . 2 %</w:t>
            </w:r>
          </w:p>
        </w:tc>
        <w:tc>
          <w:tcPr>
            <w:tcW w:w="1499" w:type="dxa"/>
          </w:tcPr>
          <w:p>
            <w:pPr>
              <w:pStyle w:val="TableParagraph"/>
              <w:spacing w:before="137"/>
              <w:ind w:right="390"/>
              <w:jc w:val="right"/>
              <w:rPr>
                <w:sz w:val="14"/>
              </w:rPr>
            </w:pPr>
            <w:r>
              <w:rPr>
                <w:sz w:val="14"/>
              </w:rPr>
              <w:t>4,747 .7</w:t>
            </w:r>
          </w:p>
        </w:tc>
        <w:tc>
          <w:tcPr>
            <w:tcW w:w="1475" w:type="dxa"/>
          </w:tcPr>
          <w:p>
            <w:pPr>
              <w:pStyle w:val="TableParagraph"/>
              <w:spacing w:before="137"/>
              <w:ind w:left="502" w:right="497"/>
              <w:jc w:val="center"/>
              <w:rPr>
                <w:sz w:val="14"/>
              </w:rPr>
            </w:pPr>
            <w:r>
              <w:rPr>
                <w:sz w:val="14"/>
              </w:rPr>
              <w:t>0 . 2 %</w:t>
            </w:r>
          </w:p>
        </w:tc>
        <w:tc>
          <w:tcPr>
            <w:tcW w:w="1189" w:type="dxa"/>
          </w:tcPr>
          <w:p>
            <w:pPr>
              <w:pStyle w:val="TableParagraph"/>
              <w:spacing w:before="137"/>
              <w:ind w:right="106"/>
              <w:jc w:val="right"/>
              <w:rPr>
                <w:sz w:val="14"/>
              </w:rPr>
            </w:pPr>
            <w:r>
              <w:rPr>
                <w:sz w:val="14"/>
              </w:rPr>
              <w:t>5,032 .1</w:t>
            </w:r>
          </w:p>
        </w:tc>
        <w:tc>
          <w:tcPr>
            <w:tcW w:w="1167" w:type="dxa"/>
          </w:tcPr>
          <w:p>
            <w:pPr>
              <w:pStyle w:val="TableParagraph"/>
              <w:spacing w:before="137"/>
              <w:ind w:right="294"/>
              <w:jc w:val="right"/>
              <w:rPr>
                <w:sz w:val="14"/>
              </w:rPr>
            </w:pPr>
            <w:r>
              <w:rPr>
                <w:sz w:val="14"/>
              </w:rPr>
              <w:t>0 . 2 %</w:t>
            </w:r>
          </w:p>
        </w:tc>
      </w:tr>
      <w:tr>
        <w:trPr>
          <w:trHeight w:val="220" w:hRule="atLeast"/>
        </w:trPr>
        <w:tc>
          <w:tcPr>
            <w:tcW w:w="471" w:type="dxa"/>
          </w:tcPr>
          <w:p>
            <w:pPr>
              <w:pStyle w:val="TableParagraph"/>
              <w:rPr>
                <w:rFonts w:ascii="Times New Roman"/>
                <w:sz w:val="14"/>
              </w:rPr>
            </w:pPr>
          </w:p>
        </w:tc>
        <w:tc>
          <w:tcPr>
            <w:tcW w:w="5268" w:type="dxa"/>
          </w:tcPr>
          <w:p>
            <w:pPr>
              <w:pStyle w:val="TableParagraph"/>
              <w:spacing w:before="27"/>
              <w:ind w:left="431"/>
              <w:rPr>
                <w:sz w:val="14"/>
              </w:rPr>
            </w:pPr>
            <w:r>
              <w:rPr>
                <w:sz w:val="14"/>
              </w:rPr>
              <w:t>Administrative and Operating Costs</w:t>
            </w:r>
          </w:p>
        </w:tc>
        <w:tc>
          <w:tcPr>
            <w:tcW w:w="2353" w:type="dxa"/>
          </w:tcPr>
          <w:p>
            <w:pPr>
              <w:pStyle w:val="TableParagraph"/>
              <w:spacing w:before="27"/>
              <w:ind w:right="194"/>
              <w:jc w:val="right"/>
              <w:rPr>
                <w:b/>
                <w:sz w:val="14"/>
              </w:rPr>
            </w:pPr>
            <w:r>
              <w:rPr>
                <w:b/>
                <w:sz w:val="14"/>
              </w:rPr>
              <w:t>857.1</w:t>
            </w:r>
          </w:p>
        </w:tc>
        <w:tc>
          <w:tcPr>
            <w:tcW w:w="1372" w:type="dxa"/>
          </w:tcPr>
          <w:p>
            <w:pPr>
              <w:pStyle w:val="TableParagraph"/>
              <w:spacing w:before="27"/>
              <w:ind w:right="407"/>
              <w:jc w:val="right"/>
              <w:rPr>
                <w:sz w:val="14"/>
              </w:rPr>
            </w:pPr>
            <w:r>
              <w:rPr>
                <w:sz w:val="14"/>
              </w:rPr>
              <w:t>0 . 0 %</w:t>
            </w:r>
          </w:p>
        </w:tc>
        <w:tc>
          <w:tcPr>
            <w:tcW w:w="1499" w:type="dxa"/>
          </w:tcPr>
          <w:p>
            <w:pPr>
              <w:pStyle w:val="TableParagraph"/>
              <w:spacing w:before="27"/>
              <w:ind w:right="390"/>
              <w:jc w:val="right"/>
              <w:rPr>
                <w:sz w:val="14"/>
              </w:rPr>
            </w:pPr>
            <w:r>
              <w:rPr>
                <w:sz w:val="14"/>
              </w:rPr>
              <w:t>1,055 .8</w:t>
            </w:r>
          </w:p>
        </w:tc>
        <w:tc>
          <w:tcPr>
            <w:tcW w:w="1475" w:type="dxa"/>
          </w:tcPr>
          <w:p>
            <w:pPr>
              <w:pStyle w:val="TableParagraph"/>
              <w:spacing w:before="27"/>
              <w:ind w:left="502" w:right="497"/>
              <w:jc w:val="center"/>
              <w:rPr>
                <w:sz w:val="14"/>
              </w:rPr>
            </w:pPr>
            <w:r>
              <w:rPr>
                <w:sz w:val="14"/>
              </w:rPr>
              <w:t>0 . 0 %</w:t>
            </w:r>
          </w:p>
        </w:tc>
        <w:tc>
          <w:tcPr>
            <w:tcW w:w="1189" w:type="dxa"/>
          </w:tcPr>
          <w:p>
            <w:pPr>
              <w:pStyle w:val="TableParagraph"/>
              <w:spacing w:before="27"/>
              <w:ind w:right="106"/>
              <w:jc w:val="right"/>
              <w:rPr>
                <w:sz w:val="14"/>
              </w:rPr>
            </w:pPr>
            <w:r>
              <w:rPr>
                <w:sz w:val="14"/>
              </w:rPr>
              <w:t>1,119 .0</w:t>
            </w:r>
          </w:p>
        </w:tc>
        <w:tc>
          <w:tcPr>
            <w:tcW w:w="1167" w:type="dxa"/>
          </w:tcPr>
          <w:p>
            <w:pPr>
              <w:pStyle w:val="TableParagraph"/>
              <w:spacing w:before="27"/>
              <w:ind w:right="294"/>
              <w:jc w:val="right"/>
              <w:rPr>
                <w:sz w:val="14"/>
              </w:rPr>
            </w:pPr>
            <w:r>
              <w:rPr>
                <w:sz w:val="14"/>
              </w:rPr>
              <w:t>0 . 0 %</w:t>
            </w:r>
          </w:p>
        </w:tc>
      </w:tr>
      <w:tr>
        <w:trPr>
          <w:trHeight w:val="220" w:hRule="atLeast"/>
        </w:trPr>
        <w:tc>
          <w:tcPr>
            <w:tcW w:w="471" w:type="dxa"/>
          </w:tcPr>
          <w:p>
            <w:pPr>
              <w:pStyle w:val="TableParagraph"/>
              <w:rPr>
                <w:rFonts w:ascii="Times New Roman"/>
                <w:sz w:val="14"/>
              </w:rPr>
            </w:pPr>
          </w:p>
        </w:tc>
        <w:tc>
          <w:tcPr>
            <w:tcW w:w="5268" w:type="dxa"/>
          </w:tcPr>
          <w:p>
            <w:pPr>
              <w:pStyle w:val="TableParagraph"/>
              <w:spacing w:before="27"/>
              <w:ind w:left="431"/>
              <w:rPr>
                <w:sz w:val="14"/>
              </w:rPr>
            </w:pPr>
            <w:r>
              <w:rPr>
                <w:sz w:val="14"/>
              </w:rPr>
              <w:t>Promoting Local and International Tourism</w:t>
            </w:r>
          </w:p>
        </w:tc>
        <w:tc>
          <w:tcPr>
            <w:tcW w:w="2353" w:type="dxa"/>
          </w:tcPr>
          <w:p>
            <w:pPr>
              <w:pStyle w:val="TableParagraph"/>
              <w:spacing w:before="27"/>
              <w:ind w:right="205"/>
              <w:jc w:val="right"/>
              <w:rPr>
                <w:b/>
                <w:sz w:val="14"/>
              </w:rPr>
            </w:pPr>
            <w:r>
              <w:rPr>
                <w:b/>
                <w:sz w:val="14"/>
              </w:rPr>
              <w:t>2,997.2</w:t>
            </w:r>
          </w:p>
        </w:tc>
        <w:tc>
          <w:tcPr>
            <w:tcW w:w="1372" w:type="dxa"/>
          </w:tcPr>
          <w:p>
            <w:pPr>
              <w:pStyle w:val="TableParagraph"/>
              <w:spacing w:before="27"/>
              <w:ind w:right="407"/>
              <w:jc w:val="right"/>
              <w:rPr>
                <w:sz w:val="14"/>
              </w:rPr>
            </w:pPr>
            <w:r>
              <w:rPr>
                <w:sz w:val="14"/>
              </w:rPr>
              <w:t>0 . 1 %</w:t>
            </w:r>
          </w:p>
        </w:tc>
        <w:tc>
          <w:tcPr>
            <w:tcW w:w="1499" w:type="dxa"/>
          </w:tcPr>
          <w:p>
            <w:pPr>
              <w:pStyle w:val="TableParagraph"/>
              <w:spacing w:before="27"/>
              <w:ind w:right="390"/>
              <w:jc w:val="right"/>
              <w:rPr>
                <w:sz w:val="14"/>
              </w:rPr>
            </w:pPr>
            <w:r>
              <w:rPr>
                <w:sz w:val="14"/>
              </w:rPr>
              <w:t>3,692 .0</w:t>
            </w:r>
          </w:p>
        </w:tc>
        <w:tc>
          <w:tcPr>
            <w:tcW w:w="1475" w:type="dxa"/>
          </w:tcPr>
          <w:p>
            <w:pPr>
              <w:pStyle w:val="TableParagraph"/>
              <w:spacing w:before="27"/>
              <w:ind w:left="502" w:right="497"/>
              <w:jc w:val="center"/>
              <w:rPr>
                <w:sz w:val="14"/>
              </w:rPr>
            </w:pPr>
            <w:r>
              <w:rPr>
                <w:sz w:val="14"/>
              </w:rPr>
              <w:t>0 . 2 %</w:t>
            </w:r>
          </w:p>
        </w:tc>
        <w:tc>
          <w:tcPr>
            <w:tcW w:w="1189" w:type="dxa"/>
          </w:tcPr>
          <w:p>
            <w:pPr>
              <w:pStyle w:val="TableParagraph"/>
              <w:spacing w:before="27"/>
              <w:ind w:right="106"/>
              <w:jc w:val="right"/>
              <w:rPr>
                <w:sz w:val="14"/>
              </w:rPr>
            </w:pPr>
            <w:r>
              <w:rPr>
                <w:sz w:val="14"/>
              </w:rPr>
              <w:t>3,913 .1</w:t>
            </w:r>
          </w:p>
        </w:tc>
        <w:tc>
          <w:tcPr>
            <w:tcW w:w="1167" w:type="dxa"/>
          </w:tcPr>
          <w:p>
            <w:pPr>
              <w:pStyle w:val="TableParagraph"/>
              <w:spacing w:before="27"/>
              <w:ind w:right="294"/>
              <w:jc w:val="right"/>
              <w:rPr>
                <w:sz w:val="14"/>
              </w:rPr>
            </w:pPr>
            <w:r>
              <w:rPr>
                <w:sz w:val="14"/>
              </w:rPr>
              <w:t>0 . 2 %</w:t>
            </w:r>
          </w:p>
        </w:tc>
      </w:tr>
      <w:tr>
        <w:trPr>
          <w:trHeight w:val="218" w:hRule="atLeast"/>
        </w:trPr>
        <w:tc>
          <w:tcPr>
            <w:tcW w:w="471" w:type="dxa"/>
          </w:tcPr>
          <w:p>
            <w:pPr>
              <w:pStyle w:val="TableParagraph"/>
              <w:rPr>
                <w:rFonts w:ascii="Times New Roman"/>
                <w:sz w:val="14"/>
              </w:rPr>
            </w:pPr>
          </w:p>
        </w:tc>
        <w:tc>
          <w:tcPr>
            <w:tcW w:w="5268" w:type="dxa"/>
          </w:tcPr>
          <w:p>
            <w:pPr>
              <w:pStyle w:val="TableParagraph"/>
              <w:spacing w:before="27"/>
              <w:ind w:left="604"/>
              <w:rPr>
                <w:sz w:val="14"/>
              </w:rPr>
            </w:pPr>
            <w:r>
              <w:rPr>
                <w:sz w:val="14"/>
              </w:rPr>
              <w:t>Culture Division</w:t>
            </w:r>
          </w:p>
        </w:tc>
        <w:tc>
          <w:tcPr>
            <w:tcW w:w="2353" w:type="dxa"/>
          </w:tcPr>
          <w:p>
            <w:pPr>
              <w:pStyle w:val="TableParagraph"/>
              <w:spacing w:before="27"/>
              <w:ind w:right="194"/>
              <w:jc w:val="right"/>
              <w:rPr>
                <w:b/>
                <w:sz w:val="14"/>
              </w:rPr>
            </w:pPr>
            <w:r>
              <w:rPr>
                <w:b/>
                <w:sz w:val="14"/>
              </w:rPr>
              <w:t>793.3</w:t>
            </w:r>
          </w:p>
        </w:tc>
        <w:tc>
          <w:tcPr>
            <w:tcW w:w="1372" w:type="dxa"/>
          </w:tcPr>
          <w:p>
            <w:pPr>
              <w:pStyle w:val="TableParagraph"/>
              <w:spacing w:before="27"/>
              <w:ind w:right="407"/>
              <w:jc w:val="right"/>
              <w:rPr>
                <w:sz w:val="14"/>
              </w:rPr>
            </w:pPr>
            <w:r>
              <w:rPr>
                <w:sz w:val="14"/>
              </w:rPr>
              <w:t>0 . 0 %</w:t>
            </w:r>
          </w:p>
        </w:tc>
        <w:tc>
          <w:tcPr>
            <w:tcW w:w="1499" w:type="dxa"/>
          </w:tcPr>
          <w:p>
            <w:pPr>
              <w:pStyle w:val="TableParagraph"/>
              <w:spacing w:before="27"/>
              <w:ind w:right="387"/>
              <w:jc w:val="right"/>
              <w:rPr>
                <w:sz w:val="14"/>
              </w:rPr>
            </w:pPr>
            <w:r>
              <w:rPr>
                <w:sz w:val="14"/>
              </w:rPr>
              <w:t>977.2</w:t>
            </w:r>
          </w:p>
        </w:tc>
        <w:tc>
          <w:tcPr>
            <w:tcW w:w="1475" w:type="dxa"/>
          </w:tcPr>
          <w:p>
            <w:pPr>
              <w:pStyle w:val="TableParagraph"/>
              <w:spacing w:before="27"/>
              <w:ind w:left="502" w:right="497"/>
              <w:jc w:val="center"/>
              <w:rPr>
                <w:sz w:val="14"/>
              </w:rPr>
            </w:pPr>
            <w:r>
              <w:rPr>
                <w:sz w:val="14"/>
              </w:rPr>
              <w:t>0 . 0 %</w:t>
            </w:r>
          </w:p>
        </w:tc>
        <w:tc>
          <w:tcPr>
            <w:tcW w:w="1189" w:type="dxa"/>
          </w:tcPr>
          <w:p>
            <w:pPr>
              <w:pStyle w:val="TableParagraph"/>
              <w:spacing w:before="27"/>
              <w:ind w:right="106"/>
              <w:jc w:val="right"/>
              <w:rPr>
                <w:sz w:val="14"/>
              </w:rPr>
            </w:pPr>
            <w:r>
              <w:rPr>
                <w:sz w:val="14"/>
              </w:rPr>
              <w:t>1,035 .7</w:t>
            </w:r>
          </w:p>
        </w:tc>
        <w:tc>
          <w:tcPr>
            <w:tcW w:w="1167" w:type="dxa"/>
          </w:tcPr>
          <w:p>
            <w:pPr>
              <w:pStyle w:val="TableParagraph"/>
              <w:spacing w:before="27"/>
              <w:ind w:right="294"/>
              <w:jc w:val="right"/>
              <w:rPr>
                <w:sz w:val="14"/>
              </w:rPr>
            </w:pPr>
            <w:r>
              <w:rPr>
                <w:sz w:val="14"/>
              </w:rPr>
              <w:t>0 . 0 %</w:t>
            </w:r>
          </w:p>
        </w:tc>
      </w:tr>
      <w:tr>
        <w:trPr>
          <w:trHeight w:val="218" w:hRule="atLeast"/>
        </w:trPr>
        <w:tc>
          <w:tcPr>
            <w:tcW w:w="471" w:type="dxa"/>
          </w:tcPr>
          <w:p>
            <w:pPr>
              <w:pStyle w:val="TableParagraph"/>
              <w:rPr>
                <w:rFonts w:ascii="Times New Roman"/>
                <w:sz w:val="14"/>
              </w:rPr>
            </w:pPr>
          </w:p>
        </w:tc>
        <w:tc>
          <w:tcPr>
            <w:tcW w:w="5268" w:type="dxa"/>
          </w:tcPr>
          <w:p>
            <w:pPr>
              <w:pStyle w:val="TableParagraph"/>
              <w:spacing w:before="25"/>
              <w:ind w:left="604"/>
              <w:rPr>
                <w:sz w:val="14"/>
              </w:rPr>
            </w:pPr>
            <w:r>
              <w:rPr>
                <w:sz w:val="14"/>
              </w:rPr>
              <w:t>Tourism Division</w:t>
            </w:r>
          </w:p>
        </w:tc>
        <w:tc>
          <w:tcPr>
            <w:tcW w:w="2353" w:type="dxa"/>
          </w:tcPr>
          <w:p>
            <w:pPr>
              <w:pStyle w:val="TableParagraph"/>
              <w:spacing w:before="25"/>
              <w:ind w:right="205"/>
              <w:jc w:val="right"/>
              <w:rPr>
                <w:b/>
                <w:sz w:val="14"/>
              </w:rPr>
            </w:pPr>
            <w:r>
              <w:rPr>
                <w:b/>
                <w:sz w:val="14"/>
              </w:rPr>
              <w:t>2,203.9</w:t>
            </w:r>
          </w:p>
        </w:tc>
        <w:tc>
          <w:tcPr>
            <w:tcW w:w="1372" w:type="dxa"/>
          </w:tcPr>
          <w:p>
            <w:pPr>
              <w:pStyle w:val="TableParagraph"/>
              <w:spacing w:before="25"/>
              <w:ind w:right="407"/>
              <w:jc w:val="right"/>
              <w:rPr>
                <w:sz w:val="14"/>
              </w:rPr>
            </w:pPr>
            <w:r>
              <w:rPr>
                <w:sz w:val="14"/>
              </w:rPr>
              <w:t>0 . 1 %</w:t>
            </w:r>
          </w:p>
        </w:tc>
        <w:tc>
          <w:tcPr>
            <w:tcW w:w="1499" w:type="dxa"/>
          </w:tcPr>
          <w:p>
            <w:pPr>
              <w:pStyle w:val="TableParagraph"/>
              <w:spacing w:before="25"/>
              <w:ind w:right="390"/>
              <w:jc w:val="right"/>
              <w:rPr>
                <w:sz w:val="14"/>
              </w:rPr>
            </w:pPr>
            <w:r>
              <w:rPr>
                <w:sz w:val="14"/>
              </w:rPr>
              <w:t>2,714 .8</w:t>
            </w:r>
          </w:p>
        </w:tc>
        <w:tc>
          <w:tcPr>
            <w:tcW w:w="1475" w:type="dxa"/>
          </w:tcPr>
          <w:p>
            <w:pPr>
              <w:pStyle w:val="TableParagraph"/>
              <w:spacing w:before="25"/>
              <w:ind w:left="502" w:right="497"/>
              <w:jc w:val="center"/>
              <w:rPr>
                <w:sz w:val="14"/>
              </w:rPr>
            </w:pPr>
            <w:r>
              <w:rPr>
                <w:sz w:val="14"/>
              </w:rPr>
              <w:t>0 . 1 %</w:t>
            </w:r>
          </w:p>
        </w:tc>
        <w:tc>
          <w:tcPr>
            <w:tcW w:w="1189" w:type="dxa"/>
          </w:tcPr>
          <w:p>
            <w:pPr>
              <w:pStyle w:val="TableParagraph"/>
              <w:spacing w:before="25"/>
              <w:ind w:right="106"/>
              <w:jc w:val="right"/>
              <w:rPr>
                <w:sz w:val="14"/>
              </w:rPr>
            </w:pPr>
            <w:r>
              <w:rPr>
                <w:sz w:val="14"/>
              </w:rPr>
              <w:t>2,877 .4</w:t>
            </w:r>
          </w:p>
        </w:tc>
        <w:tc>
          <w:tcPr>
            <w:tcW w:w="1167" w:type="dxa"/>
          </w:tcPr>
          <w:p>
            <w:pPr>
              <w:pStyle w:val="TableParagraph"/>
              <w:spacing w:before="25"/>
              <w:ind w:right="294"/>
              <w:jc w:val="right"/>
              <w:rPr>
                <w:sz w:val="14"/>
              </w:rPr>
            </w:pPr>
            <w:r>
              <w:rPr>
                <w:sz w:val="14"/>
              </w:rPr>
              <w:t>0 . 1 %</w:t>
            </w:r>
          </w:p>
        </w:tc>
      </w:tr>
      <w:tr>
        <w:trPr>
          <w:trHeight w:val="222" w:hRule="atLeast"/>
        </w:trPr>
        <w:tc>
          <w:tcPr>
            <w:tcW w:w="471" w:type="dxa"/>
          </w:tcPr>
          <w:p>
            <w:pPr>
              <w:pStyle w:val="TableParagraph"/>
              <w:rPr>
                <w:rFonts w:ascii="Times New Roman"/>
                <w:sz w:val="14"/>
              </w:rPr>
            </w:pPr>
          </w:p>
        </w:tc>
        <w:tc>
          <w:tcPr>
            <w:tcW w:w="5268" w:type="dxa"/>
          </w:tcPr>
          <w:p>
            <w:pPr>
              <w:pStyle w:val="TableParagraph"/>
              <w:spacing w:before="27"/>
              <w:ind w:left="772"/>
              <w:rPr>
                <w:sz w:val="14"/>
              </w:rPr>
            </w:pPr>
            <w:r>
              <w:rPr>
                <w:sz w:val="14"/>
              </w:rPr>
              <w:t>Formulate Ecotourism Development Plan</w:t>
            </w:r>
          </w:p>
        </w:tc>
        <w:tc>
          <w:tcPr>
            <w:tcW w:w="2353" w:type="dxa"/>
          </w:tcPr>
          <w:p>
            <w:pPr>
              <w:pStyle w:val="TableParagraph"/>
              <w:spacing w:before="27"/>
              <w:ind w:right="205"/>
              <w:jc w:val="right"/>
              <w:rPr>
                <w:b/>
                <w:sz w:val="14"/>
              </w:rPr>
            </w:pPr>
            <w:r>
              <w:rPr>
                <w:b/>
                <w:sz w:val="14"/>
              </w:rPr>
              <w:t>1,182.1</w:t>
            </w:r>
          </w:p>
        </w:tc>
        <w:tc>
          <w:tcPr>
            <w:tcW w:w="1372" w:type="dxa"/>
          </w:tcPr>
          <w:p>
            <w:pPr>
              <w:pStyle w:val="TableParagraph"/>
              <w:spacing w:before="27"/>
              <w:ind w:right="407"/>
              <w:jc w:val="right"/>
              <w:rPr>
                <w:sz w:val="14"/>
              </w:rPr>
            </w:pPr>
            <w:r>
              <w:rPr>
                <w:sz w:val="14"/>
              </w:rPr>
              <w:t>0 . 1 %</w:t>
            </w:r>
          </w:p>
        </w:tc>
        <w:tc>
          <w:tcPr>
            <w:tcW w:w="1499" w:type="dxa"/>
          </w:tcPr>
          <w:p>
            <w:pPr>
              <w:pStyle w:val="TableParagraph"/>
              <w:spacing w:before="27"/>
              <w:ind w:right="390"/>
              <w:jc w:val="right"/>
              <w:rPr>
                <w:sz w:val="14"/>
              </w:rPr>
            </w:pPr>
            <w:r>
              <w:rPr>
                <w:sz w:val="14"/>
              </w:rPr>
              <w:t>1,456 .1</w:t>
            </w:r>
          </w:p>
        </w:tc>
        <w:tc>
          <w:tcPr>
            <w:tcW w:w="1475" w:type="dxa"/>
          </w:tcPr>
          <w:p>
            <w:pPr>
              <w:pStyle w:val="TableParagraph"/>
              <w:spacing w:before="27"/>
              <w:ind w:left="502" w:right="497"/>
              <w:jc w:val="center"/>
              <w:rPr>
                <w:sz w:val="14"/>
              </w:rPr>
            </w:pPr>
            <w:r>
              <w:rPr>
                <w:sz w:val="14"/>
              </w:rPr>
              <w:t>0 . 1 %</w:t>
            </w:r>
          </w:p>
        </w:tc>
        <w:tc>
          <w:tcPr>
            <w:tcW w:w="1189" w:type="dxa"/>
          </w:tcPr>
          <w:p>
            <w:pPr>
              <w:pStyle w:val="TableParagraph"/>
              <w:spacing w:before="27"/>
              <w:ind w:right="106"/>
              <w:jc w:val="right"/>
              <w:rPr>
                <w:sz w:val="14"/>
              </w:rPr>
            </w:pPr>
            <w:r>
              <w:rPr>
                <w:sz w:val="14"/>
              </w:rPr>
              <w:t>1,543 .4</w:t>
            </w:r>
          </w:p>
        </w:tc>
        <w:tc>
          <w:tcPr>
            <w:tcW w:w="1167" w:type="dxa"/>
          </w:tcPr>
          <w:p>
            <w:pPr>
              <w:pStyle w:val="TableParagraph"/>
              <w:spacing w:before="27"/>
              <w:ind w:right="294"/>
              <w:jc w:val="right"/>
              <w:rPr>
                <w:sz w:val="14"/>
              </w:rPr>
            </w:pPr>
            <w:r>
              <w:rPr>
                <w:sz w:val="14"/>
              </w:rPr>
              <w:t>0 . 1 %</w:t>
            </w:r>
          </w:p>
        </w:tc>
      </w:tr>
    </w:tbl>
    <w:p>
      <w:pPr>
        <w:spacing w:after="0"/>
        <w:jc w:val="right"/>
        <w:rPr>
          <w:sz w:val="14"/>
        </w:rPr>
        <w:sectPr>
          <w:pgSz w:w="16840" w:h="11900" w:orient="landscape"/>
          <w:pgMar w:header="1059" w:footer="0" w:top="2460" w:bottom="280" w:left="880" w:right="920"/>
        </w:sectPr>
      </w:pPr>
    </w:p>
    <w:p>
      <w:pPr>
        <w:pStyle w:val="BodyText"/>
        <w:rPr>
          <w:rFonts w:ascii="Times New Roman"/>
          <w:sz w:val="6"/>
        </w:rPr>
      </w:pPr>
      <w:r>
        <w:rPr/>
        <w:pict>
          <v:shape style="position:absolute;margin-left:27.140491pt;margin-top:287.790009pt;width:14.35pt;height:16.3pt;mso-position-horizontal-relative:page;mso-position-vertical-relative:page;z-index:1552" type="#_x0000_t202" filled="false" stroked="false">
            <v:textbox inset="0,0,0,0" style="layout-flow:vertical">
              <w:txbxContent>
                <w:p>
                  <w:pPr>
                    <w:spacing w:before="13"/>
                    <w:ind w:left="20" w:right="0" w:firstLine="0"/>
                    <w:jc w:val="left"/>
                    <w:rPr>
                      <w:rFonts w:ascii="Arial"/>
                      <w:sz w:val="22"/>
                    </w:rPr>
                  </w:pPr>
                  <w:r>
                    <w:rPr>
                      <w:rFonts w:ascii="Arial"/>
                      <w:sz w:val="22"/>
                    </w:rPr>
                    <w:t>xxi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760"/>
        <w:gridCol w:w="1855"/>
        <w:gridCol w:w="1305"/>
        <w:gridCol w:w="1564"/>
        <w:gridCol w:w="1434"/>
        <w:gridCol w:w="1232"/>
        <w:gridCol w:w="1167"/>
      </w:tblGrid>
      <w:tr>
        <w:trPr>
          <w:trHeight w:val="567" w:hRule="atLeast"/>
        </w:trPr>
        <w:tc>
          <w:tcPr>
            <w:tcW w:w="6231" w:type="dxa"/>
            <w:gridSpan w:val="2"/>
            <w:tcBorders>
              <w:bottom w:val="single" w:sz="18" w:space="0" w:color="000000"/>
            </w:tcBorders>
          </w:tcPr>
          <w:p>
            <w:pPr>
              <w:pStyle w:val="TableParagraph"/>
              <w:rPr>
                <w:rFonts w:ascii="Times New Roman"/>
                <w:sz w:val="14"/>
              </w:rPr>
            </w:pPr>
          </w:p>
        </w:tc>
        <w:tc>
          <w:tcPr>
            <w:tcW w:w="1855" w:type="dxa"/>
            <w:tcBorders>
              <w:bottom w:val="single" w:sz="18" w:space="0" w:color="000000"/>
            </w:tcBorders>
          </w:tcPr>
          <w:p>
            <w:pPr>
              <w:pStyle w:val="TableParagraph"/>
              <w:spacing w:before="29"/>
              <w:ind w:left="678" w:right="563"/>
              <w:jc w:val="center"/>
              <w:rPr>
                <w:b/>
                <w:sz w:val="14"/>
              </w:rPr>
            </w:pPr>
            <w:r>
              <w:rPr>
                <w:b/>
                <w:spacing w:val="2"/>
                <w:sz w:val="14"/>
              </w:rPr>
              <w:t>FY</w:t>
            </w:r>
            <w:r>
              <w:rPr>
                <w:b/>
                <w:spacing w:val="6"/>
                <w:sz w:val="14"/>
              </w:rPr>
              <w:t> </w:t>
            </w:r>
            <w:r>
              <w:rPr>
                <w:b/>
                <w:spacing w:val="4"/>
                <w:sz w:val="14"/>
              </w:rPr>
              <w:t>2020</w:t>
            </w:r>
          </w:p>
          <w:p>
            <w:pPr>
              <w:pStyle w:val="TableParagraph"/>
              <w:spacing w:before="17"/>
              <w:ind w:left="687" w:right="443"/>
              <w:jc w:val="center"/>
              <w:rPr>
                <w:sz w:val="14"/>
              </w:rPr>
            </w:pPr>
            <w:r>
              <w:rPr>
                <w:sz w:val="14"/>
              </w:rPr>
              <w:t>Budget</w:t>
            </w:r>
          </w:p>
        </w:tc>
        <w:tc>
          <w:tcPr>
            <w:tcW w:w="1305" w:type="dxa"/>
            <w:tcBorders>
              <w:bottom w:val="single" w:sz="18" w:space="0" w:color="000000"/>
            </w:tcBorders>
          </w:tcPr>
          <w:p>
            <w:pPr>
              <w:pStyle w:val="TableParagraph"/>
              <w:spacing w:line="264" w:lineRule="auto" w:before="29"/>
              <w:ind w:left="203" w:right="143" w:firstLine="91"/>
              <w:rPr>
                <w:sz w:val="14"/>
              </w:rPr>
            </w:pPr>
            <w:r>
              <w:rPr>
                <w:sz w:val="14"/>
              </w:rPr>
              <w:t>% of Total Non Int/ Sal</w:t>
            </w:r>
          </w:p>
        </w:tc>
        <w:tc>
          <w:tcPr>
            <w:tcW w:w="1564" w:type="dxa"/>
            <w:tcBorders>
              <w:bottom w:val="single" w:sz="18" w:space="0" w:color="000000"/>
            </w:tcBorders>
          </w:tcPr>
          <w:p>
            <w:pPr>
              <w:pStyle w:val="TableParagraph"/>
              <w:spacing w:before="29"/>
              <w:ind w:left="608"/>
              <w:rPr>
                <w:b/>
                <w:sz w:val="14"/>
              </w:rPr>
            </w:pPr>
            <w:r>
              <w:rPr>
                <w:b/>
                <w:spacing w:val="2"/>
                <w:sz w:val="14"/>
              </w:rPr>
              <w:t>FY</w:t>
            </w:r>
            <w:r>
              <w:rPr>
                <w:b/>
                <w:spacing w:val="6"/>
                <w:sz w:val="14"/>
              </w:rPr>
              <w:t> </w:t>
            </w:r>
            <w:r>
              <w:rPr>
                <w:b/>
                <w:spacing w:val="4"/>
                <w:sz w:val="14"/>
              </w:rPr>
              <w:t>2021</w:t>
            </w:r>
          </w:p>
          <w:p>
            <w:pPr>
              <w:pStyle w:val="TableParagraph"/>
              <w:spacing w:before="17"/>
              <w:ind w:left="550"/>
              <w:rPr>
                <w:sz w:val="14"/>
              </w:rPr>
            </w:pPr>
            <w:r>
              <w:rPr>
                <w:spacing w:val="3"/>
                <w:sz w:val="14"/>
              </w:rPr>
              <w:t>Indicative</w:t>
            </w:r>
          </w:p>
        </w:tc>
        <w:tc>
          <w:tcPr>
            <w:tcW w:w="1434" w:type="dxa"/>
            <w:tcBorders>
              <w:bottom w:val="single" w:sz="18" w:space="0" w:color="000000"/>
            </w:tcBorders>
          </w:tcPr>
          <w:p>
            <w:pPr>
              <w:pStyle w:val="TableParagraph"/>
              <w:spacing w:line="249" w:lineRule="auto" w:before="29"/>
              <w:ind w:left="396" w:right="280" w:firstLine="86"/>
              <w:jc w:val="both"/>
              <w:rPr>
                <w:sz w:val="14"/>
              </w:rPr>
            </w:pPr>
            <w:r>
              <w:rPr>
                <w:sz w:val="14"/>
              </w:rPr>
              <w:t>% of Total Non Int/ Sal Recurr Exp</w:t>
            </w:r>
          </w:p>
        </w:tc>
        <w:tc>
          <w:tcPr>
            <w:tcW w:w="1232" w:type="dxa"/>
            <w:tcBorders>
              <w:bottom w:val="single" w:sz="18" w:space="0" w:color="000000"/>
            </w:tcBorders>
          </w:tcPr>
          <w:p>
            <w:pPr>
              <w:pStyle w:val="TableParagraph"/>
              <w:spacing w:before="29"/>
              <w:ind w:left="389"/>
              <w:rPr>
                <w:b/>
                <w:sz w:val="14"/>
              </w:rPr>
            </w:pPr>
            <w:r>
              <w:rPr>
                <w:b/>
                <w:sz w:val="14"/>
              </w:rPr>
              <w:t>FY 2022</w:t>
            </w:r>
          </w:p>
        </w:tc>
        <w:tc>
          <w:tcPr>
            <w:tcW w:w="1167" w:type="dxa"/>
            <w:tcBorders>
              <w:bottom w:val="single" w:sz="18" w:space="0" w:color="000000"/>
            </w:tcBorders>
          </w:tcPr>
          <w:p>
            <w:pPr>
              <w:pStyle w:val="TableParagraph"/>
              <w:spacing w:line="249" w:lineRule="auto" w:before="29"/>
              <w:ind w:left="111" w:right="298" w:firstLine="86"/>
              <w:jc w:val="both"/>
              <w:rPr>
                <w:sz w:val="14"/>
              </w:rPr>
            </w:pPr>
            <w:r>
              <w:rPr>
                <w:sz w:val="14"/>
              </w:rPr>
              <w:t>% of Total Non Int/ Sal Recurr Exp</w:t>
            </w:r>
          </w:p>
        </w:tc>
      </w:tr>
      <w:tr>
        <w:trPr>
          <w:trHeight w:val="502" w:hRule="atLeast"/>
        </w:trPr>
        <w:tc>
          <w:tcPr>
            <w:tcW w:w="471" w:type="dxa"/>
            <w:tcBorders>
              <w:top w:val="single" w:sz="18" w:space="0" w:color="000000"/>
            </w:tcBorders>
          </w:tcPr>
          <w:p>
            <w:pPr>
              <w:pStyle w:val="TableParagraph"/>
              <w:rPr>
                <w:rFonts w:ascii="Times New Roman"/>
                <w:sz w:val="16"/>
              </w:rPr>
            </w:pPr>
          </w:p>
          <w:p>
            <w:pPr>
              <w:pStyle w:val="TableParagraph"/>
              <w:spacing w:before="125"/>
              <w:ind w:left="125"/>
              <w:rPr>
                <w:sz w:val="14"/>
              </w:rPr>
            </w:pPr>
            <w:r>
              <w:rPr>
                <w:sz w:val="14"/>
              </w:rPr>
              <w:t>405</w:t>
            </w:r>
          </w:p>
        </w:tc>
        <w:tc>
          <w:tcPr>
            <w:tcW w:w="5760" w:type="dxa"/>
            <w:tcBorders>
              <w:top w:val="single" w:sz="18" w:space="0" w:color="000000"/>
            </w:tcBorders>
          </w:tcPr>
          <w:p>
            <w:pPr>
              <w:pStyle w:val="TableParagraph"/>
              <w:rPr>
                <w:rFonts w:ascii="Times New Roman"/>
                <w:sz w:val="16"/>
              </w:rPr>
            </w:pPr>
          </w:p>
          <w:p>
            <w:pPr>
              <w:pStyle w:val="TableParagraph"/>
              <w:spacing w:before="125"/>
              <w:ind w:left="96"/>
              <w:rPr>
                <w:sz w:val="14"/>
              </w:rPr>
            </w:pPr>
            <w:r>
              <w:rPr>
                <w:sz w:val="14"/>
              </w:rPr>
              <w:t>Ministry of Tourism and Cultural Affairs</w:t>
            </w:r>
          </w:p>
        </w:tc>
        <w:tc>
          <w:tcPr>
            <w:tcW w:w="1855" w:type="dxa"/>
            <w:tcBorders>
              <w:top w:val="single" w:sz="18" w:space="0" w:color="000000"/>
            </w:tcBorders>
          </w:tcPr>
          <w:p>
            <w:pPr>
              <w:pStyle w:val="TableParagraph"/>
              <w:rPr>
                <w:rFonts w:ascii="Times New Roman"/>
                <w:sz w:val="16"/>
              </w:rPr>
            </w:pPr>
          </w:p>
          <w:p>
            <w:pPr>
              <w:pStyle w:val="TableParagraph"/>
              <w:spacing w:before="125"/>
              <w:ind w:right="199"/>
              <w:jc w:val="right"/>
              <w:rPr>
                <w:b/>
                <w:sz w:val="14"/>
              </w:rPr>
            </w:pPr>
            <w:r>
              <w:rPr>
                <w:b/>
                <w:sz w:val="14"/>
              </w:rPr>
              <w:t>7,718.4</w:t>
            </w:r>
          </w:p>
        </w:tc>
        <w:tc>
          <w:tcPr>
            <w:tcW w:w="1305" w:type="dxa"/>
            <w:tcBorders>
              <w:top w:val="single" w:sz="18" w:space="0" w:color="000000"/>
            </w:tcBorders>
          </w:tcPr>
          <w:p>
            <w:pPr>
              <w:pStyle w:val="TableParagraph"/>
              <w:rPr>
                <w:rFonts w:ascii="Times New Roman"/>
                <w:sz w:val="16"/>
              </w:rPr>
            </w:pPr>
          </w:p>
          <w:p>
            <w:pPr>
              <w:pStyle w:val="TableParagraph"/>
              <w:spacing w:before="125"/>
              <w:ind w:right="334"/>
              <w:jc w:val="right"/>
              <w:rPr>
                <w:sz w:val="14"/>
              </w:rPr>
            </w:pPr>
            <w:r>
              <w:rPr>
                <w:sz w:val="14"/>
              </w:rPr>
              <w:t>0 . 3 %</w:t>
            </w:r>
          </w:p>
        </w:tc>
        <w:tc>
          <w:tcPr>
            <w:tcW w:w="1564" w:type="dxa"/>
            <w:tcBorders>
              <w:top w:val="single" w:sz="18" w:space="0" w:color="000000"/>
            </w:tcBorders>
          </w:tcPr>
          <w:p>
            <w:pPr>
              <w:pStyle w:val="TableParagraph"/>
              <w:rPr>
                <w:rFonts w:ascii="Times New Roman"/>
                <w:sz w:val="16"/>
              </w:rPr>
            </w:pPr>
          </w:p>
          <w:p>
            <w:pPr>
              <w:pStyle w:val="TableParagraph"/>
              <w:spacing w:before="125"/>
              <w:ind w:right="382"/>
              <w:jc w:val="right"/>
              <w:rPr>
                <w:sz w:val="14"/>
              </w:rPr>
            </w:pPr>
            <w:r>
              <w:rPr>
                <w:sz w:val="14"/>
              </w:rPr>
              <w:t>9,507 .5</w:t>
            </w:r>
          </w:p>
        </w:tc>
        <w:tc>
          <w:tcPr>
            <w:tcW w:w="1434" w:type="dxa"/>
            <w:tcBorders>
              <w:top w:val="single" w:sz="18" w:space="0" w:color="000000"/>
            </w:tcBorders>
          </w:tcPr>
          <w:p>
            <w:pPr>
              <w:pStyle w:val="TableParagraph"/>
              <w:rPr>
                <w:rFonts w:ascii="Times New Roman"/>
                <w:sz w:val="16"/>
              </w:rPr>
            </w:pPr>
          </w:p>
          <w:p>
            <w:pPr>
              <w:pStyle w:val="TableParagraph"/>
              <w:spacing w:before="125"/>
              <w:ind w:right="495"/>
              <w:jc w:val="right"/>
              <w:rPr>
                <w:sz w:val="14"/>
              </w:rPr>
            </w:pPr>
            <w:r>
              <w:rPr>
                <w:sz w:val="14"/>
              </w:rPr>
              <w:t>0 . 4 %</w:t>
            </w:r>
          </w:p>
        </w:tc>
        <w:tc>
          <w:tcPr>
            <w:tcW w:w="1232" w:type="dxa"/>
            <w:tcBorders>
              <w:top w:val="single" w:sz="18" w:space="0" w:color="000000"/>
            </w:tcBorders>
          </w:tcPr>
          <w:p>
            <w:pPr>
              <w:pStyle w:val="TableParagraph"/>
              <w:rPr>
                <w:rFonts w:ascii="Times New Roman"/>
                <w:sz w:val="16"/>
              </w:rPr>
            </w:pPr>
          </w:p>
          <w:p>
            <w:pPr>
              <w:pStyle w:val="TableParagraph"/>
              <w:spacing w:before="125"/>
              <w:ind w:right="110"/>
              <w:jc w:val="right"/>
              <w:rPr>
                <w:sz w:val="14"/>
              </w:rPr>
            </w:pPr>
            <w:r>
              <w:rPr>
                <w:sz w:val="14"/>
              </w:rPr>
              <w:t>10,077.0</w:t>
            </w:r>
          </w:p>
        </w:tc>
        <w:tc>
          <w:tcPr>
            <w:tcW w:w="1167" w:type="dxa"/>
            <w:tcBorders>
              <w:top w:val="single" w:sz="18" w:space="0" w:color="000000"/>
            </w:tcBorders>
          </w:tcPr>
          <w:p>
            <w:pPr>
              <w:pStyle w:val="TableParagraph"/>
              <w:rPr>
                <w:rFonts w:ascii="Times New Roman"/>
                <w:sz w:val="16"/>
              </w:rPr>
            </w:pPr>
          </w:p>
          <w:p>
            <w:pPr>
              <w:pStyle w:val="TableParagraph"/>
              <w:spacing w:before="125"/>
              <w:ind w:right="288"/>
              <w:jc w:val="right"/>
              <w:rPr>
                <w:sz w:val="14"/>
              </w:rPr>
            </w:pPr>
            <w:r>
              <w:rPr>
                <w:sz w:val="14"/>
              </w:rPr>
              <w:t>0 . 4 %</w:t>
            </w:r>
          </w:p>
        </w:tc>
      </w:tr>
      <w:tr>
        <w:trPr>
          <w:trHeight w:val="218" w:hRule="atLeast"/>
        </w:trPr>
        <w:tc>
          <w:tcPr>
            <w:tcW w:w="471" w:type="dxa"/>
          </w:tcPr>
          <w:p>
            <w:pPr>
              <w:pStyle w:val="TableParagraph"/>
              <w:rPr>
                <w:rFonts w:ascii="Times New Roman"/>
                <w:sz w:val="14"/>
              </w:rPr>
            </w:pPr>
          </w:p>
        </w:tc>
        <w:tc>
          <w:tcPr>
            <w:tcW w:w="5760" w:type="dxa"/>
          </w:tcPr>
          <w:p>
            <w:pPr>
              <w:pStyle w:val="TableParagraph"/>
              <w:spacing w:before="27"/>
              <w:ind w:left="263"/>
              <w:rPr>
                <w:sz w:val="14"/>
              </w:rPr>
            </w:pPr>
            <w:r>
              <w:rPr>
                <w:sz w:val="14"/>
              </w:rPr>
              <w:t>National Tourist Board</w:t>
            </w:r>
          </w:p>
        </w:tc>
        <w:tc>
          <w:tcPr>
            <w:tcW w:w="1855" w:type="dxa"/>
          </w:tcPr>
          <w:p>
            <w:pPr>
              <w:pStyle w:val="TableParagraph"/>
              <w:spacing w:before="27"/>
              <w:ind w:right="199"/>
              <w:jc w:val="right"/>
              <w:rPr>
                <w:b/>
                <w:sz w:val="14"/>
              </w:rPr>
            </w:pPr>
            <w:r>
              <w:rPr>
                <w:b/>
                <w:sz w:val="14"/>
              </w:rPr>
              <w:t>4,226.4</w:t>
            </w:r>
          </w:p>
        </w:tc>
        <w:tc>
          <w:tcPr>
            <w:tcW w:w="1305" w:type="dxa"/>
          </w:tcPr>
          <w:p>
            <w:pPr>
              <w:pStyle w:val="TableParagraph"/>
              <w:spacing w:before="27"/>
              <w:ind w:right="334"/>
              <w:jc w:val="right"/>
              <w:rPr>
                <w:sz w:val="14"/>
              </w:rPr>
            </w:pPr>
            <w:r>
              <w:rPr>
                <w:sz w:val="14"/>
              </w:rPr>
              <w:t>0 . 2 %</w:t>
            </w:r>
          </w:p>
        </w:tc>
        <w:tc>
          <w:tcPr>
            <w:tcW w:w="1564" w:type="dxa"/>
          </w:tcPr>
          <w:p>
            <w:pPr>
              <w:pStyle w:val="TableParagraph"/>
              <w:spacing w:before="27"/>
              <w:ind w:right="382"/>
              <w:jc w:val="right"/>
              <w:rPr>
                <w:sz w:val="14"/>
              </w:rPr>
            </w:pPr>
            <w:r>
              <w:rPr>
                <w:sz w:val="14"/>
              </w:rPr>
              <w:t>5,206 .0</w:t>
            </w:r>
          </w:p>
        </w:tc>
        <w:tc>
          <w:tcPr>
            <w:tcW w:w="1434" w:type="dxa"/>
          </w:tcPr>
          <w:p>
            <w:pPr>
              <w:pStyle w:val="TableParagraph"/>
              <w:spacing w:before="27"/>
              <w:ind w:right="495"/>
              <w:jc w:val="right"/>
              <w:rPr>
                <w:sz w:val="14"/>
              </w:rPr>
            </w:pPr>
            <w:r>
              <w:rPr>
                <w:sz w:val="14"/>
              </w:rPr>
              <w:t>0 . 2 %</w:t>
            </w:r>
          </w:p>
        </w:tc>
        <w:tc>
          <w:tcPr>
            <w:tcW w:w="1232" w:type="dxa"/>
          </w:tcPr>
          <w:p>
            <w:pPr>
              <w:pStyle w:val="TableParagraph"/>
              <w:spacing w:before="27"/>
              <w:ind w:right="100"/>
              <w:jc w:val="right"/>
              <w:rPr>
                <w:sz w:val="14"/>
              </w:rPr>
            </w:pPr>
            <w:r>
              <w:rPr>
                <w:sz w:val="14"/>
              </w:rPr>
              <w:t>5,517 .9</w:t>
            </w:r>
          </w:p>
        </w:tc>
        <w:tc>
          <w:tcPr>
            <w:tcW w:w="1167" w:type="dxa"/>
          </w:tcPr>
          <w:p>
            <w:pPr>
              <w:pStyle w:val="TableParagraph"/>
              <w:spacing w:before="27"/>
              <w:ind w:right="288"/>
              <w:jc w:val="right"/>
              <w:rPr>
                <w:sz w:val="14"/>
              </w:rPr>
            </w:pPr>
            <w:r>
              <w:rPr>
                <w:sz w:val="14"/>
              </w:rPr>
              <w:t>0 . 2 %</w:t>
            </w:r>
          </w:p>
        </w:tc>
      </w:tr>
      <w:tr>
        <w:trPr>
          <w:trHeight w:val="218" w:hRule="atLeast"/>
        </w:trPr>
        <w:tc>
          <w:tcPr>
            <w:tcW w:w="471" w:type="dxa"/>
          </w:tcPr>
          <w:p>
            <w:pPr>
              <w:pStyle w:val="TableParagraph"/>
              <w:rPr>
                <w:rFonts w:ascii="Times New Roman"/>
                <w:sz w:val="14"/>
              </w:rPr>
            </w:pPr>
          </w:p>
        </w:tc>
        <w:tc>
          <w:tcPr>
            <w:tcW w:w="5760" w:type="dxa"/>
          </w:tcPr>
          <w:p>
            <w:pPr>
              <w:pStyle w:val="TableParagraph"/>
              <w:spacing w:before="25"/>
              <w:ind w:left="604"/>
              <w:rPr>
                <w:sz w:val="14"/>
              </w:rPr>
            </w:pPr>
            <w:r>
              <w:rPr>
                <w:sz w:val="14"/>
              </w:rPr>
              <w:t>o/ w Development and Implementation of Tourism Marketing Strategy</w:t>
            </w:r>
          </w:p>
        </w:tc>
        <w:tc>
          <w:tcPr>
            <w:tcW w:w="1855" w:type="dxa"/>
          </w:tcPr>
          <w:p>
            <w:pPr>
              <w:pStyle w:val="TableParagraph"/>
              <w:spacing w:before="25"/>
              <w:ind w:right="199"/>
              <w:jc w:val="right"/>
              <w:rPr>
                <w:b/>
                <w:sz w:val="14"/>
              </w:rPr>
            </w:pPr>
            <w:r>
              <w:rPr>
                <w:b/>
                <w:sz w:val="14"/>
              </w:rPr>
              <w:t>1,405.9</w:t>
            </w:r>
          </w:p>
        </w:tc>
        <w:tc>
          <w:tcPr>
            <w:tcW w:w="1305" w:type="dxa"/>
          </w:tcPr>
          <w:p>
            <w:pPr>
              <w:pStyle w:val="TableParagraph"/>
              <w:spacing w:before="25"/>
              <w:ind w:right="334"/>
              <w:jc w:val="right"/>
              <w:rPr>
                <w:sz w:val="14"/>
              </w:rPr>
            </w:pPr>
            <w:r>
              <w:rPr>
                <w:sz w:val="14"/>
              </w:rPr>
              <w:t>0 . 1 %</w:t>
            </w:r>
          </w:p>
        </w:tc>
        <w:tc>
          <w:tcPr>
            <w:tcW w:w="1564" w:type="dxa"/>
          </w:tcPr>
          <w:p>
            <w:pPr>
              <w:pStyle w:val="TableParagraph"/>
              <w:spacing w:before="25"/>
              <w:ind w:right="382"/>
              <w:jc w:val="right"/>
              <w:rPr>
                <w:sz w:val="14"/>
              </w:rPr>
            </w:pPr>
            <w:r>
              <w:rPr>
                <w:sz w:val="14"/>
              </w:rPr>
              <w:t>1,731 .8</w:t>
            </w:r>
          </w:p>
        </w:tc>
        <w:tc>
          <w:tcPr>
            <w:tcW w:w="1434" w:type="dxa"/>
          </w:tcPr>
          <w:p>
            <w:pPr>
              <w:pStyle w:val="TableParagraph"/>
              <w:spacing w:before="25"/>
              <w:ind w:right="495"/>
              <w:jc w:val="right"/>
              <w:rPr>
                <w:sz w:val="14"/>
              </w:rPr>
            </w:pPr>
            <w:r>
              <w:rPr>
                <w:sz w:val="14"/>
              </w:rPr>
              <w:t>0 . 1 %</w:t>
            </w:r>
          </w:p>
        </w:tc>
        <w:tc>
          <w:tcPr>
            <w:tcW w:w="1232" w:type="dxa"/>
          </w:tcPr>
          <w:p>
            <w:pPr>
              <w:pStyle w:val="TableParagraph"/>
              <w:spacing w:before="25"/>
              <w:ind w:right="100"/>
              <w:jc w:val="right"/>
              <w:rPr>
                <w:sz w:val="14"/>
              </w:rPr>
            </w:pPr>
            <w:r>
              <w:rPr>
                <w:sz w:val="14"/>
              </w:rPr>
              <w:t>1,835 .5</w:t>
            </w:r>
          </w:p>
        </w:tc>
        <w:tc>
          <w:tcPr>
            <w:tcW w:w="1167" w:type="dxa"/>
          </w:tcPr>
          <w:p>
            <w:pPr>
              <w:pStyle w:val="TableParagraph"/>
              <w:spacing w:before="25"/>
              <w:ind w:right="288"/>
              <w:jc w:val="right"/>
              <w:rPr>
                <w:sz w:val="14"/>
              </w:rPr>
            </w:pPr>
            <w:r>
              <w:rPr>
                <w:sz w:val="14"/>
              </w:rPr>
              <w:t>0 . 1 %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264"/>
              <w:rPr>
                <w:sz w:val="14"/>
              </w:rPr>
            </w:pPr>
            <w:r>
              <w:rPr>
                <w:sz w:val="14"/>
              </w:rPr>
              <w:t>Monuments and Relics Commission</w:t>
            </w:r>
          </w:p>
        </w:tc>
        <w:tc>
          <w:tcPr>
            <w:tcW w:w="1855" w:type="dxa"/>
          </w:tcPr>
          <w:p>
            <w:pPr>
              <w:pStyle w:val="TableParagraph"/>
              <w:spacing w:before="27"/>
              <w:ind w:right="199"/>
              <w:jc w:val="right"/>
              <w:rPr>
                <w:b/>
                <w:sz w:val="14"/>
              </w:rPr>
            </w:pPr>
            <w:r>
              <w:rPr>
                <w:b/>
                <w:sz w:val="14"/>
              </w:rPr>
              <w:t>2,245.3</w:t>
            </w:r>
          </w:p>
        </w:tc>
        <w:tc>
          <w:tcPr>
            <w:tcW w:w="1305" w:type="dxa"/>
          </w:tcPr>
          <w:p>
            <w:pPr>
              <w:pStyle w:val="TableParagraph"/>
              <w:spacing w:before="27"/>
              <w:ind w:right="334"/>
              <w:jc w:val="right"/>
              <w:rPr>
                <w:sz w:val="14"/>
              </w:rPr>
            </w:pPr>
            <w:r>
              <w:rPr>
                <w:sz w:val="14"/>
              </w:rPr>
              <w:t>0 . 1 %</w:t>
            </w:r>
          </w:p>
        </w:tc>
        <w:tc>
          <w:tcPr>
            <w:tcW w:w="1564" w:type="dxa"/>
          </w:tcPr>
          <w:p>
            <w:pPr>
              <w:pStyle w:val="TableParagraph"/>
              <w:spacing w:before="27"/>
              <w:ind w:right="382"/>
              <w:jc w:val="right"/>
              <w:rPr>
                <w:sz w:val="14"/>
              </w:rPr>
            </w:pPr>
            <w:r>
              <w:rPr>
                <w:sz w:val="14"/>
              </w:rPr>
              <w:t>2,765 .7</w:t>
            </w:r>
          </w:p>
        </w:tc>
        <w:tc>
          <w:tcPr>
            <w:tcW w:w="1434" w:type="dxa"/>
          </w:tcPr>
          <w:p>
            <w:pPr>
              <w:pStyle w:val="TableParagraph"/>
              <w:spacing w:before="27"/>
              <w:ind w:right="495"/>
              <w:jc w:val="right"/>
              <w:rPr>
                <w:sz w:val="14"/>
              </w:rPr>
            </w:pPr>
            <w:r>
              <w:rPr>
                <w:sz w:val="14"/>
              </w:rPr>
              <w:t>0 . 1 %</w:t>
            </w:r>
          </w:p>
        </w:tc>
        <w:tc>
          <w:tcPr>
            <w:tcW w:w="1232" w:type="dxa"/>
          </w:tcPr>
          <w:p>
            <w:pPr>
              <w:pStyle w:val="TableParagraph"/>
              <w:spacing w:before="27"/>
              <w:ind w:right="100"/>
              <w:jc w:val="right"/>
              <w:rPr>
                <w:sz w:val="14"/>
              </w:rPr>
            </w:pPr>
            <w:r>
              <w:rPr>
                <w:sz w:val="14"/>
              </w:rPr>
              <w:t>2,931 .4</w:t>
            </w:r>
          </w:p>
        </w:tc>
        <w:tc>
          <w:tcPr>
            <w:tcW w:w="1167" w:type="dxa"/>
          </w:tcPr>
          <w:p>
            <w:pPr>
              <w:pStyle w:val="TableParagraph"/>
              <w:spacing w:before="27"/>
              <w:ind w:right="288"/>
              <w:jc w:val="right"/>
              <w:rPr>
                <w:sz w:val="14"/>
              </w:rPr>
            </w:pPr>
            <w:r>
              <w:rPr>
                <w:sz w:val="14"/>
              </w:rPr>
              <w:t>0 . 1 %</w:t>
            </w:r>
          </w:p>
        </w:tc>
      </w:tr>
      <w:tr>
        <w:trPr>
          <w:trHeight w:val="331" w:hRule="atLeast"/>
        </w:trPr>
        <w:tc>
          <w:tcPr>
            <w:tcW w:w="471" w:type="dxa"/>
          </w:tcPr>
          <w:p>
            <w:pPr>
              <w:pStyle w:val="TableParagraph"/>
              <w:rPr>
                <w:rFonts w:ascii="Times New Roman"/>
                <w:sz w:val="14"/>
              </w:rPr>
            </w:pPr>
          </w:p>
        </w:tc>
        <w:tc>
          <w:tcPr>
            <w:tcW w:w="5760" w:type="dxa"/>
          </w:tcPr>
          <w:p>
            <w:pPr>
              <w:pStyle w:val="TableParagraph"/>
              <w:spacing w:before="27"/>
              <w:ind w:left="263"/>
              <w:rPr>
                <w:sz w:val="14"/>
              </w:rPr>
            </w:pPr>
            <w:r>
              <w:rPr>
                <w:sz w:val="14"/>
              </w:rPr>
              <w:t>National and Railway Museums</w:t>
            </w:r>
          </w:p>
        </w:tc>
        <w:tc>
          <w:tcPr>
            <w:tcW w:w="1855" w:type="dxa"/>
          </w:tcPr>
          <w:p>
            <w:pPr>
              <w:pStyle w:val="TableParagraph"/>
              <w:spacing w:before="27"/>
              <w:ind w:right="199"/>
              <w:jc w:val="right"/>
              <w:rPr>
                <w:b/>
                <w:sz w:val="14"/>
              </w:rPr>
            </w:pPr>
            <w:r>
              <w:rPr>
                <w:b/>
                <w:sz w:val="14"/>
              </w:rPr>
              <w:t>1,246.8</w:t>
            </w:r>
          </w:p>
        </w:tc>
        <w:tc>
          <w:tcPr>
            <w:tcW w:w="1305" w:type="dxa"/>
          </w:tcPr>
          <w:p>
            <w:pPr>
              <w:pStyle w:val="TableParagraph"/>
              <w:spacing w:before="27"/>
              <w:ind w:right="334"/>
              <w:jc w:val="right"/>
              <w:rPr>
                <w:sz w:val="14"/>
              </w:rPr>
            </w:pPr>
            <w:r>
              <w:rPr>
                <w:sz w:val="14"/>
              </w:rPr>
              <w:t>0 . 1 %</w:t>
            </w:r>
          </w:p>
        </w:tc>
        <w:tc>
          <w:tcPr>
            <w:tcW w:w="1564" w:type="dxa"/>
          </w:tcPr>
          <w:p>
            <w:pPr>
              <w:pStyle w:val="TableParagraph"/>
              <w:spacing w:before="27"/>
              <w:ind w:right="382"/>
              <w:jc w:val="right"/>
              <w:rPr>
                <w:sz w:val="14"/>
              </w:rPr>
            </w:pPr>
            <w:r>
              <w:rPr>
                <w:sz w:val="14"/>
              </w:rPr>
              <w:t>1,535 .8</w:t>
            </w:r>
          </w:p>
        </w:tc>
        <w:tc>
          <w:tcPr>
            <w:tcW w:w="1434" w:type="dxa"/>
          </w:tcPr>
          <w:p>
            <w:pPr>
              <w:pStyle w:val="TableParagraph"/>
              <w:spacing w:before="27"/>
              <w:ind w:right="495"/>
              <w:jc w:val="right"/>
              <w:rPr>
                <w:sz w:val="14"/>
              </w:rPr>
            </w:pPr>
            <w:r>
              <w:rPr>
                <w:sz w:val="14"/>
              </w:rPr>
              <w:t>0 . 1 %</w:t>
            </w:r>
          </w:p>
        </w:tc>
        <w:tc>
          <w:tcPr>
            <w:tcW w:w="1232" w:type="dxa"/>
          </w:tcPr>
          <w:p>
            <w:pPr>
              <w:pStyle w:val="TableParagraph"/>
              <w:spacing w:before="27"/>
              <w:ind w:right="100"/>
              <w:jc w:val="right"/>
              <w:rPr>
                <w:sz w:val="14"/>
              </w:rPr>
            </w:pPr>
            <w:r>
              <w:rPr>
                <w:sz w:val="14"/>
              </w:rPr>
              <w:t>1,627 .8</w:t>
            </w:r>
          </w:p>
        </w:tc>
        <w:tc>
          <w:tcPr>
            <w:tcW w:w="1167" w:type="dxa"/>
          </w:tcPr>
          <w:p>
            <w:pPr>
              <w:pStyle w:val="TableParagraph"/>
              <w:spacing w:before="27"/>
              <w:ind w:right="288"/>
              <w:jc w:val="right"/>
              <w:rPr>
                <w:sz w:val="14"/>
              </w:rPr>
            </w:pPr>
            <w:r>
              <w:rPr>
                <w:sz w:val="14"/>
              </w:rPr>
              <w:t>0 . 1 %</w:t>
            </w:r>
          </w:p>
        </w:tc>
      </w:tr>
      <w:tr>
        <w:trPr>
          <w:trHeight w:val="439" w:hRule="atLeast"/>
        </w:trPr>
        <w:tc>
          <w:tcPr>
            <w:tcW w:w="471" w:type="dxa"/>
          </w:tcPr>
          <w:p>
            <w:pPr>
              <w:pStyle w:val="TableParagraph"/>
              <w:spacing w:before="137"/>
              <w:ind w:left="140"/>
              <w:rPr>
                <w:b/>
                <w:sz w:val="14"/>
              </w:rPr>
            </w:pPr>
            <w:r>
              <w:rPr>
                <w:b/>
                <w:sz w:val="14"/>
              </w:rPr>
              <w:t>3. 4</w:t>
            </w:r>
          </w:p>
        </w:tc>
        <w:tc>
          <w:tcPr>
            <w:tcW w:w="5760" w:type="dxa"/>
          </w:tcPr>
          <w:p>
            <w:pPr>
              <w:pStyle w:val="TableParagraph"/>
              <w:spacing w:before="137"/>
              <w:ind w:left="96"/>
              <w:rPr>
                <w:b/>
                <w:sz w:val="14"/>
              </w:rPr>
            </w:pPr>
            <w:r>
              <w:rPr>
                <w:b/>
                <w:sz w:val="14"/>
              </w:rPr>
              <w:t>TRADE AND INDUSTRY</w:t>
            </w:r>
          </w:p>
        </w:tc>
        <w:tc>
          <w:tcPr>
            <w:tcW w:w="1855" w:type="dxa"/>
          </w:tcPr>
          <w:p>
            <w:pPr>
              <w:pStyle w:val="TableParagraph"/>
              <w:spacing w:before="137"/>
              <w:ind w:right="206"/>
              <w:jc w:val="right"/>
              <w:rPr>
                <w:b/>
                <w:sz w:val="14"/>
              </w:rPr>
            </w:pPr>
            <w:r>
              <w:rPr>
                <w:b/>
                <w:sz w:val="14"/>
              </w:rPr>
              <w:t>16,234.3</w:t>
            </w:r>
          </w:p>
        </w:tc>
        <w:tc>
          <w:tcPr>
            <w:tcW w:w="1305" w:type="dxa"/>
          </w:tcPr>
          <w:p>
            <w:pPr>
              <w:pStyle w:val="TableParagraph"/>
              <w:spacing w:before="137"/>
              <w:ind w:right="334"/>
              <w:jc w:val="right"/>
              <w:rPr>
                <w:sz w:val="14"/>
              </w:rPr>
            </w:pPr>
            <w:r>
              <w:rPr>
                <w:sz w:val="14"/>
              </w:rPr>
              <w:t>0 . 7 %</w:t>
            </w:r>
          </w:p>
        </w:tc>
        <w:tc>
          <w:tcPr>
            <w:tcW w:w="1564" w:type="dxa"/>
          </w:tcPr>
          <w:p>
            <w:pPr>
              <w:pStyle w:val="TableParagraph"/>
              <w:spacing w:before="137"/>
              <w:ind w:right="391"/>
              <w:jc w:val="right"/>
              <w:rPr>
                <w:sz w:val="14"/>
              </w:rPr>
            </w:pPr>
            <w:r>
              <w:rPr>
                <w:sz w:val="14"/>
              </w:rPr>
              <w:t>18,077.8</w:t>
            </w:r>
          </w:p>
        </w:tc>
        <w:tc>
          <w:tcPr>
            <w:tcW w:w="1434" w:type="dxa"/>
          </w:tcPr>
          <w:p>
            <w:pPr>
              <w:pStyle w:val="TableParagraph"/>
              <w:spacing w:before="137"/>
              <w:ind w:right="495"/>
              <w:jc w:val="right"/>
              <w:rPr>
                <w:sz w:val="14"/>
              </w:rPr>
            </w:pPr>
            <w:r>
              <w:rPr>
                <w:sz w:val="14"/>
              </w:rPr>
              <w:t>0 . 8 %</w:t>
            </w:r>
          </w:p>
        </w:tc>
        <w:tc>
          <w:tcPr>
            <w:tcW w:w="1232" w:type="dxa"/>
          </w:tcPr>
          <w:p>
            <w:pPr>
              <w:pStyle w:val="TableParagraph"/>
              <w:spacing w:before="137"/>
              <w:ind w:right="110"/>
              <w:jc w:val="right"/>
              <w:rPr>
                <w:sz w:val="14"/>
              </w:rPr>
            </w:pPr>
            <w:r>
              <w:rPr>
                <w:sz w:val="14"/>
              </w:rPr>
              <w:t>19,160.6</w:t>
            </w:r>
          </w:p>
        </w:tc>
        <w:tc>
          <w:tcPr>
            <w:tcW w:w="1167" w:type="dxa"/>
          </w:tcPr>
          <w:p>
            <w:pPr>
              <w:pStyle w:val="TableParagraph"/>
              <w:spacing w:before="137"/>
              <w:ind w:right="288"/>
              <w:jc w:val="right"/>
              <w:rPr>
                <w:sz w:val="14"/>
              </w:rPr>
            </w:pPr>
            <w:r>
              <w:rPr>
                <w:sz w:val="14"/>
              </w:rPr>
              <w:t>0 . 8 %</w:t>
            </w:r>
          </w:p>
        </w:tc>
      </w:tr>
      <w:tr>
        <w:trPr>
          <w:trHeight w:val="328" w:hRule="atLeast"/>
        </w:trPr>
        <w:tc>
          <w:tcPr>
            <w:tcW w:w="471" w:type="dxa"/>
          </w:tcPr>
          <w:p>
            <w:pPr>
              <w:pStyle w:val="TableParagraph"/>
              <w:spacing w:before="135"/>
              <w:ind w:left="125"/>
              <w:rPr>
                <w:sz w:val="14"/>
              </w:rPr>
            </w:pPr>
            <w:r>
              <w:rPr>
                <w:sz w:val="14"/>
              </w:rPr>
              <w:t>409</w:t>
            </w:r>
          </w:p>
        </w:tc>
        <w:tc>
          <w:tcPr>
            <w:tcW w:w="5760" w:type="dxa"/>
          </w:tcPr>
          <w:p>
            <w:pPr>
              <w:pStyle w:val="TableParagraph"/>
              <w:spacing w:before="135"/>
              <w:ind w:left="96"/>
              <w:rPr>
                <w:sz w:val="14"/>
              </w:rPr>
            </w:pPr>
            <w:r>
              <w:rPr>
                <w:sz w:val="14"/>
              </w:rPr>
              <w:t>Ministry of Trade and Industry</w:t>
            </w:r>
          </w:p>
        </w:tc>
        <w:tc>
          <w:tcPr>
            <w:tcW w:w="1855" w:type="dxa"/>
          </w:tcPr>
          <w:p>
            <w:pPr>
              <w:pStyle w:val="TableParagraph"/>
              <w:spacing w:before="135"/>
              <w:ind w:left="691"/>
              <w:rPr>
                <w:b/>
                <w:sz w:val="14"/>
              </w:rPr>
            </w:pPr>
            <w:r>
              <w:rPr>
                <w:b/>
                <w:sz w:val="14"/>
              </w:rPr>
              <w:t>14,795.1</w:t>
            </w:r>
          </w:p>
        </w:tc>
        <w:tc>
          <w:tcPr>
            <w:tcW w:w="1305" w:type="dxa"/>
          </w:tcPr>
          <w:p>
            <w:pPr>
              <w:pStyle w:val="TableParagraph"/>
              <w:spacing w:before="135"/>
              <w:ind w:left="367"/>
              <w:rPr>
                <w:sz w:val="14"/>
              </w:rPr>
            </w:pPr>
            <w:r>
              <w:rPr>
                <w:sz w:val="14"/>
              </w:rPr>
              <w:t>0 . 6 %</w:t>
            </w:r>
          </w:p>
        </w:tc>
        <w:tc>
          <w:tcPr>
            <w:tcW w:w="1564" w:type="dxa"/>
          </w:tcPr>
          <w:p>
            <w:pPr>
              <w:pStyle w:val="TableParagraph"/>
              <w:spacing w:before="135"/>
              <w:ind w:left="339"/>
              <w:rPr>
                <w:sz w:val="14"/>
              </w:rPr>
            </w:pPr>
            <w:r>
              <w:rPr>
                <w:sz w:val="14"/>
              </w:rPr>
              <w:t>16,440.1</w:t>
            </w:r>
          </w:p>
        </w:tc>
        <w:tc>
          <w:tcPr>
            <w:tcW w:w="1434" w:type="dxa"/>
          </w:tcPr>
          <w:p>
            <w:pPr>
              <w:pStyle w:val="TableParagraph"/>
              <w:spacing w:before="135"/>
              <w:ind w:left="388"/>
              <w:rPr>
                <w:sz w:val="14"/>
              </w:rPr>
            </w:pPr>
            <w:r>
              <w:rPr>
                <w:sz w:val="14"/>
              </w:rPr>
              <w:t>0 . 7 %</w:t>
            </w:r>
          </w:p>
        </w:tc>
        <w:tc>
          <w:tcPr>
            <w:tcW w:w="1232" w:type="dxa"/>
          </w:tcPr>
          <w:p>
            <w:pPr>
              <w:pStyle w:val="TableParagraph"/>
              <w:spacing w:before="135"/>
              <w:ind w:left="288"/>
              <w:rPr>
                <w:sz w:val="14"/>
              </w:rPr>
            </w:pPr>
            <w:r>
              <w:rPr>
                <w:sz w:val="14"/>
              </w:rPr>
              <w:t>17,424.9</w:t>
            </w:r>
          </w:p>
        </w:tc>
        <w:tc>
          <w:tcPr>
            <w:tcW w:w="1167" w:type="dxa"/>
          </w:tcPr>
          <w:p>
            <w:pPr>
              <w:pStyle w:val="TableParagraph"/>
              <w:spacing w:before="135"/>
              <w:ind w:left="386"/>
              <w:rPr>
                <w:sz w:val="14"/>
              </w:rPr>
            </w:pPr>
            <w:r>
              <w:rPr>
                <w:sz w:val="14"/>
              </w:rPr>
              <w:t>0 . 8 %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431"/>
              <w:rPr>
                <w:sz w:val="14"/>
              </w:rPr>
            </w:pPr>
            <w:r>
              <w:rPr>
                <w:sz w:val="14"/>
              </w:rPr>
              <w:t>Administrative and Operating Costs</w:t>
            </w:r>
          </w:p>
        </w:tc>
        <w:tc>
          <w:tcPr>
            <w:tcW w:w="1855" w:type="dxa"/>
          </w:tcPr>
          <w:p>
            <w:pPr>
              <w:pStyle w:val="TableParagraph"/>
              <w:spacing w:before="27"/>
              <w:ind w:left="782"/>
              <w:rPr>
                <w:b/>
                <w:sz w:val="14"/>
              </w:rPr>
            </w:pPr>
            <w:r>
              <w:rPr>
                <w:b/>
                <w:sz w:val="14"/>
              </w:rPr>
              <w:t>2,272.1</w:t>
            </w:r>
          </w:p>
        </w:tc>
        <w:tc>
          <w:tcPr>
            <w:tcW w:w="1305" w:type="dxa"/>
          </w:tcPr>
          <w:p>
            <w:pPr>
              <w:pStyle w:val="TableParagraph"/>
              <w:spacing w:before="27"/>
              <w:ind w:left="367"/>
              <w:rPr>
                <w:sz w:val="14"/>
              </w:rPr>
            </w:pPr>
            <w:r>
              <w:rPr>
                <w:sz w:val="14"/>
              </w:rPr>
              <w:t>0 . 1 %</w:t>
            </w:r>
          </w:p>
        </w:tc>
        <w:tc>
          <w:tcPr>
            <w:tcW w:w="1564" w:type="dxa"/>
          </w:tcPr>
          <w:p>
            <w:pPr>
              <w:pStyle w:val="TableParagraph"/>
              <w:spacing w:before="27"/>
              <w:ind w:left="425"/>
              <w:rPr>
                <w:sz w:val="14"/>
              </w:rPr>
            </w:pPr>
            <w:r>
              <w:rPr>
                <w:sz w:val="14"/>
              </w:rPr>
              <w:t>2,675 .3</w:t>
            </w:r>
          </w:p>
        </w:tc>
        <w:tc>
          <w:tcPr>
            <w:tcW w:w="1434" w:type="dxa"/>
          </w:tcPr>
          <w:p>
            <w:pPr>
              <w:pStyle w:val="TableParagraph"/>
              <w:spacing w:before="27"/>
              <w:ind w:left="388"/>
              <w:rPr>
                <w:sz w:val="14"/>
              </w:rPr>
            </w:pPr>
            <w:r>
              <w:rPr>
                <w:sz w:val="14"/>
              </w:rPr>
              <w:t>0 . 1 %</w:t>
            </w:r>
          </w:p>
        </w:tc>
        <w:tc>
          <w:tcPr>
            <w:tcW w:w="1232" w:type="dxa"/>
          </w:tcPr>
          <w:p>
            <w:pPr>
              <w:pStyle w:val="TableParagraph"/>
              <w:spacing w:before="27"/>
              <w:ind w:left="379"/>
              <w:rPr>
                <w:sz w:val="14"/>
              </w:rPr>
            </w:pPr>
            <w:r>
              <w:rPr>
                <w:sz w:val="14"/>
              </w:rPr>
              <w:t>2,835 .6</w:t>
            </w:r>
          </w:p>
        </w:tc>
        <w:tc>
          <w:tcPr>
            <w:tcW w:w="1167" w:type="dxa"/>
          </w:tcPr>
          <w:p>
            <w:pPr>
              <w:pStyle w:val="TableParagraph"/>
              <w:spacing w:before="27"/>
              <w:ind w:left="386"/>
              <w:rPr>
                <w:sz w:val="14"/>
              </w:rPr>
            </w:pPr>
            <w:r>
              <w:rPr>
                <w:sz w:val="14"/>
              </w:rPr>
              <w:t>0 . 1 %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95"/>
              <w:rPr>
                <w:sz w:val="14"/>
              </w:rPr>
            </w:pPr>
            <w:r>
              <w:rPr>
                <w:sz w:val="14"/>
              </w:rPr>
              <w:t>Export Development</w:t>
            </w:r>
          </w:p>
        </w:tc>
        <w:tc>
          <w:tcPr>
            <w:tcW w:w="1855" w:type="dxa"/>
          </w:tcPr>
          <w:p>
            <w:pPr>
              <w:pStyle w:val="TableParagraph"/>
              <w:spacing w:before="27"/>
              <w:ind w:left="691"/>
              <w:rPr>
                <w:b/>
                <w:sz w:val="14"/>
              </w:rPr>
            </w:pPr>
            <w:r>
              <w:rPr>
                <w:b/>
                <w:sz w:val="14"/>
              </w:rPr>
              <w:t>12,523.0</w:t>
            </w:r>
          </w:p>
        </w:tc>
        <w:tc>
          <w:tcPr>
            <w:tcW w:w="1305" w:type="dxa"/>
          </w:tcPr>
          <w:p>
            <w:pPr>
              <w:pStyle w:val="TableParagraph"/>
              <w:spacing w:before="27"/>
              <w:ind w:left="367"/>
              <w:rPr>
                <w:sz w:val="14"/>
              </w:rPr>
            </w:pPr>
            <w:r>
              <w:rPr>
                <w:sz w:val="14"/>
              </w:rPr>
              <w:t>0 . 5 %</w:t>
            </w:r>
          </w:p>
        </w:tc>
        <w:tc>
          <w:tcPr>
            <w:tcW w:w="1564" w:type="dxa"/>
          </w:tcPr>
          <w:p>
            <w:pPr>
              <w:pStyle w:val="TableParagraph"/>
              <w:spacing w:before="27"/>
              <w:ind w:left="339"/>
              <w:rPr>
                <w:sz w:val="14"/>
              </w:rPr>
            </w:pPr>
            <w:r>
              <w:rPr>
                <w:sz w:val="14"/>
              </w:rPr>
              <w:t>13,764.8</w:t>
            </w:r>
          </w:p>
        </w:tc>
        <w:tc>
          <w:tcPr>
            <w:tcW w:w="1434" w:type="dxa"/>
          </w:tcPr>
          <w:p>
            <w:pPr>
              <w:pStyle w:val="TableParagraph"/>
              <w:spacing w:before="27"/>
              <w:ind w:left="388"/>
              <w:rPr>
                <w:sz w:val="14"/>
              </w:rPr>
            </w:pPr>
            <w:r>
              <w:rPr>
                <w:sz w:val="14"/>
              </w:rPr>
              <w:t>0 . 6 %</w:t>
            </w:r>
          </w:p>
        </w:tc>
        <w:tc>
          <w:tcPr>
            <w:tcW w:w="1232" w:type="dxa"/>
          </w:tcPr>
          <w:p>
            <w:pPr>
              <w:pStyle w:val="TableParagraph"/>
              <w:spacing w:before="27"/>
              <w:ind w:left="288"/>
              <w:rPr>
                <w:sz w:val="14"/>
              </w:rPr>
            </w:pPr>
            <w:r>
              <w:rPr>
                <w:sz w:val="14"/>
              </w:rPr>
              <w:t>14,589.3</w:t>
            </w:r>
          </w:p>
        </w:tc>
        <w:tc>
          <w:tcPr>
            <w:tcW w:w="1167" w:type="dxa"/>
          </w:tcPr>
          <w:p>
            <w:pPr>
              <w:pStyle w:val="TableParagraph"/>
              <w:spacing w:before="27"/>
              <w:ind w:left="386"/>
              <w:rPr>
                <w:sz w:val="14"/>
              </w:rPr>
            </w:pPr>
            <w:r>
              <w:rPr>
                <w:sz w:val="14"/>
              </w:rPr>
              <w:t>0 . 6 %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95"/>
              <w:rPr>
                <w:sz w:val="14"/>
              </w:rPr>
            </w:pPr>
            <w:r>
              <w:rPr>
                <w:sz w:val="14"/>
              </w:rPr>
              <w:t>Sierra Leone Standards Bureau</w:t>
            </w:r>
          </w:p>
        </w:tc>
        <w:tc>
          <w:tcPr>
            <w:tcW w:w="1855" w:type="dxa"/>
          </w:tcPr>
          <w:p>
            <w:pPr>
              <w:pStyle w:val="TableParagraph"/>
              <w:spacing w:before="27"/>
              <w:ind w:left="782"/>
              <w:rPr>
                <w:b/>
                <w:sz w:val="14"/>
              </w:rPr>
            </w:pPr>
            <w:r>
              <w:rPr>
                <w:b/>
                <w:sz w:val="14"/>
              </w:rPr>
              <w:t>3,724.2</w:t>
            </w:r>
          </w:p>
        </w:tc>
        <w:tc>
          <w:tcPr>
            <w:tcW w:w="1305" w:type="dxa"/>
          </w:tcPr>
          <w:p>
            <w:pPr>
              <w:pStyle w:val="TableParagraph"/>
              <w:spacing w:before="27"/>
              <w:ind w:left="367"/>
              <w:rPr>
                <w:sz w:val="14"/>
              </w:rPr>
            </w:pPr>
            <w:r>
              <w:rPr>
                <w:sz w:val="14"/>
              </w:rPr>
              <w:t>0 . 2 %</w:t>
            </w:r>
          </w:p>
        </w:tc>
        <w:tc>
          <w:tcPr>
            <w:tcW w:w="1564" w:type="dxa"/>
          </w:tcPr>
          <w:p>
            <w:pPr>
              <w:pStyle w:val="TableParagraph"/>
              <w:spacing w:before="27"/>
              <w:ind w:left="425"/>
              <w:rPr>
                <w:sz w:val="14"/>
              </w:rPr>
            </w:pPr>
            <w:r>
              <w:rPr>
                <w:sz w:val="14"/>
              </w:rPr>
              <w:t>4,182 .2</w:t>
            </w:r>
          </w:p>
        </w:tc>
        <w:tc>
          <w:tcPr>
            <w:tcW w:w="1434" w:type="dxa"/>
          </w:tcPr>
          <w:p>
            <w:pPr>
              <w:pStyle w:val="TableParagraph"/>
              <w:spacing w:before="27"/>
              <w:ind w:left="388"/>
              <w:rPr>
                <w:sz w:val="14"/>
              </w:rPr>
            </w:pPr>
            <w:r>
              <w:rPr>
                <w:sz w:val="14"/>
              </w:rPr>
              <w:t>0 . 2 %</w:t>
            </w:r>
          </w:p>
        </w:tc>
        <w:tc>
          <w:tcPr>
            <w:tcW w:w="1232" w:type="dxa"/>
          </w:tcPr>
          <w:p>
            <w:pPr>
              <w:pStyle w:val="TableParagraph"/>
              <w:spacing w:before="27"/>
              <w:ind w:left="379"/>
              <w:rPr>
                <w:sz w:val="14"/>
              </w:rPr>
            </w:pPr>
            <w:r>
              <w:rPr>
                <w:sz w:val="14"/>
              </w:rPr>
              <w:t>4,432 .7</w:t>
            </w:r>
          </w:p>
        </w:tc>
        <w:tc>
          <w:tcPr>
            <w:tcW w:w="1167" w:type="dxa"/>
          </w:tcPr>
          <w:p>
            <w:pPr>
              <w:pStyle w:val="TableParagraph"/>
              <w:spacing w:before="27"/>
              <w:ind w:left="386"/>
              <w:rPr>
                <w:sz w:val="14"/>
              </w:rPr>
            </w:pPr>
            <w:r>
              <w:rPr>
                <w:sz w:val="14"/>
              </w:rPr>
              <w:t>0 . 2 %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95"/>
              <w:rPr>
                <w:sz w:val="14"/>
              </w:rPr>
            </w:pPr>
            <w:r>
              <w:rPr>
                <w:sz w:val="14"/>
              </w:rPr>
              <w:t>Sierra Leone Investment and Export Promotion Agency</w:t>
            </w:r>
          </w:p>
        </w:tc>
        <w:tc>
          <w:tcPr>
            <w:tcW w:w="1855" w:type="dxa"/>
          </w:tcPr>
          <w:p>
            <w:pPr>
              <w:pStyle w:val="TableParagraph"/>
              <w:spacing w:before="27"/>
              <w:ind w:left="782"/>
              <w:rPr>
                <w:b/>
                <w:sz w:val="14"/>
              </w:rPr>
            </w:pPr>
            <w:r>
              <w:rPr>
                <w:b/>
                <w:sz w:val="14"/>
              </w:rPr>
              <w:t>5,033.2</w:t>
            </w:r>
          </w:p>
        </w:tc>
        <w:tc>
          <w:tcPr>
            <w:tcW w:w="1305" w:type="dxa"/>
          </w:tcPr>
          <w:p>
            <w:pPr>
              <w:pStyle w:val="TableParagraph"/>
              <w:spacing w:before="27"/>
              <w:ind w:left="367"/>
              <w:rPr>
                <w:sz w:val="14"/>
              </w:rPr>
            </w:pPr>
            <w:r>
              <w:rPr>
                <w:sz w:val="14"/>
              </w:rPr>
              <w:t>0 . 2 %</w:t>
            </w:r>
          </w:p>
        </w:tc>
        <w:tc>
          <w:tcPr>
            <w:tcW w:w="1564" w:type="dxa"/>
          </w:tcPr>
          <w:p>
            <w:pPr>
              <w:pStyle w:val="TableParagraph"/>
              <w:spacing w:before="27"/>
              <w:ind w:left="425"/>
              <w:rPr>
                <w:sz w:val="14"/>
              </w:rPr>
            </w:pPr>
            <w:r>
              <w:rPr>
                <w:sz w:val="14"/>
              </w:rPr>
              <w:t>4,944 .2</w:t>
            </w:r>
          </w:p>
        </w:tc>
        <w:tc>
          <w:tcPr>
            <w:tcW w:w="1434" w:type="dxa"/>
          </w:tcPr>
          <w:p>
            <w:pPr>
              <w:pStyle w:val="TableParagraph"/>
              <w:spacing w:before="27"/>
              <w:ind w:left="388"/>
              <w:rPr>
                <w:sz w:val="14"/>
              </w:rPr>
            </w:pPr>
            <w:r>
              <w:rPr>
                <w:sz w:val="14"/>
              </w:rPr>
              <w:t>0 . 2 %</w:t>
            </w:r>
          </w:p>
        </w:tc>
        <w:tc>
          <w:tcPr>
            <w:tcW w:w="1232" w:type="dxa"/>
          </w:tcPr>
          <w:p>
            <w:pPr>
              <w:pStyle w:val="TableParagraph"/>
              <w:spacing w:before="27"/>
              <w:ind w:left="379"/>
              <w:rPr>
                <w:sz w:val="14"/>
              </w:rPr>
            </w:pPr>
            <w:r>
              <w:rPr>
                <w:sz w:val="14"/>
              </w:rPr>
              <w:t>5,240 .4</w:t>
            </w:r>
          </w:p>
        </w:tc>
        <w:tc>
          <w:tcPr>
            <w:tcW w:w="1167" w:type="dxa"/>
          </w:tcPr>
          <w:p>
            <w:pPr>
              <w:pStyle w:val="TableParagraph"/>
              <w:spacing w:before="27"/>
              <w:ind w:left="386"/>
              <w:rPr>
                <w:sz w:val="14"/>
              </w:rPr>
            </w:pPr>
            <w:r>
              <w:rPr>
                <w:sz w:val="14"/>
              </w:rPr>
              <w:t>0 . 2 %</w:t>
            </w:r>
          </w:p>
        </w:tc>
      </w:tr>
      <w:tr>
        <w:trPr>
          <w:trHeight w:val="218" w:hRule="atLeast"/>
        </w:trPr>
        <w:tc>
          <w:tcPr>
            <w:tcW w:w="471" w:type="dxa"/>
          </w:tcPr>
          <w:p>
            <w:pPr>
              <w:pStyle w:val="TableParagraph"/>
              <w:rPr>
                <w:rFonts w:ascii="Times New Roman"/>
                <w:sz w:val="14"/>
              </w:rPr>
            </w:pPr>
          </w:p>
        </w:tc>
        <w:tc>
          <w:tcPr>
            <w:tcW w:w="5760" w:type="dxa"/>
          </w:tcPr>
          <w:p>
            <w:pPr>
              <w:pStyle w:val="TableParagraph"/>
              <w:spacing w:before="27"/>
              <w:ind w:left="96"/>
              <w:rPr>
                <w:sz w:val="14"/>
              </w:rPr>
            </w:pPr>
            <w:r>
              <w:rPr>
                <w:sz w:val="14"/>
              </w:rPr>
              <w:t>Department of Co-operatives</w:t>
            </w:r>
          </w:p>
        </w:tc>
        <w:tc>
          <w:tcPr>
            <w:tcW w:w="1855" w:type="dxa"/>
          </w:tcPr>
          <w:p>
            <w:pPr>
              <w:pStyle w:val="TableParagraph"/>
              <w:spacing w:before="27"/>
              <w:ind w:left="917"/>
              <w:rPr>
                <w:b/>
                <w:sz w:val="14"/>
              </w:rPr>
            </w:pPr>
            <w:r>
              <w:rPr>
                <w:b/>
                <w:sz w:val="14"/>
              </w:rPr>
              <w:t>963.6</w:t>
            </w:r>
          </w:p>
        </w:tc>
        <w:tc>
          <w:tcPr>
            <w:tcW w:w="1305" w:type="dxa"/>
          </w:tcPr>
          <w:p>
            <w:pPr>
              <w:pStyle w:val="TableParagraph"/>
              <w:spacing w:before="27"/>
              <w:ind w:left="367"/>
              <w:rPr>
                <w:sz w:val="14"/>
              </w:rPr>
            </w:pPr>
            <w:r>
              <w:rPr>
                <w:sz w:val="14"/>
              </w:rPr>
              <w:t>0 . 0 %</w:t>
            </w:r>
          </w:p>
        </w:tc>
        <w:tc>
          <w:tcPr>
            <w:tcW w:w="1564" w:type="dxa"/>
          </w:tcPr>
          <w:p>
            <w:pPr>
              <w:pStyle w:val="TableParagraph"/>
              <w:spacing w:before="27"/>
              <w:ind w:left="425"/>
              <w:rPr>
                <w:sz w:val="14"/>
              </w:rPr>
            </w:pPr>
            <w:r>
              <w:rPr>
                <w:sz w:val="14"/>
              </w:rPr>
              <w:t>1,187 .0</w:t>
            </w:r>
          </w:p>
        </w:tc>
        <w:tc>
          <w:tcPr>
            <w:tcW w:w="1434" w:type="dxa"/>
          </w:tcPr>
          <w:p>
            <w:pPr>
              <w:pStyle w:val="TableParagraph"/>
              <w:spacing w:before="27"/>
              <w:ind w:left="388"/>
              <w:rPr>
                <w:sz w:val="14"/>
              </w:rPr>
            </w:pPr>
            <w:r>
              <w:rPr>
                <w:sz w:val="14"/>
              </w:rPr>
              <w:t>0 . 1 %</w:t>
            </w:r>
          </w:p>
        </w:tc>
        <w:tc>
          <w:tcPr>
            <w:tcW w:w="1232" w:type="dxa"/>
          </w:tcPr>
          <w:p>
            <w:pPr>
              <w:pStyle w:val="TableParagraph"/>
              <w:spacing w:before="27"/>
              <w:ind w:left="379"/>
              <w:rPr>
                <w:sz w:val="14"/>
              </w:rPr>
            </w:pPr>
            <w:r>
              <w:rPr>
                <w:sz w:val="14"/>
              </w:rPr>
              <w:t>1,258 .1</w:t>
            </w:r>
          </w:p>
        </w:tc>
        <w:tc>
          <w:tcPr>
            <w:tcW w:w="1167" w:type="dxa"/>
          </w:tcPr>
          <w:p>
            <w:pPr>
              <w:pStyle w:val="TableParagraph"/>
              <w:spacing w:before="27"/>
              <w:ind w:left="386"/>
              <w:rPr>
                <w:sz w:val="14"/>
              </w:rPr>
            </w:pPr>
            <w:r>
              <w:rPr>
                <w:sz w:val="14"/>
              </w:rPr>
              <w:t>0 . 1 %</w:t>
            </w:r>
          </w:p>
        </w:tc>
      </w:tr>
      <w:tr>
        <w:trPr>
          <w:trHeight w:val="218" w:hRule="atLeast"/>
        </w:trPr>
        <w:tc>
          <w:tcPr>
            <w:tcW w:w="471" w:type="dxa"/>
          </w:tcPr>
          <w:p>
            <w:pPr>
              <w:pStyle w:val="TableParagraph"/>
              <w:rPr>
                <w:rFonts w:ascii="Times New Roman"/>
                <w:sz w:val="14"/>
              </w:rPr>
            </w:pPr>
          </w:p>
        </w:tc>
        <w:tc>
          <w:tcPr>
            <w:tcW w:w="5760" w:type="dxa"/>
          </w:tcPr>
          <w:p>
            <w:pPr>
              <w:pStyle w:val="TableParagraph"/>
              <w:spacing w:before="25"/>
              <w:ind w:left="95"/>
              <w:rPr>
                <w:sz w:val="14"/>
              </w:rPr>
            </w:pPr>
            <w:r>
              <w:rPr>
                <w:sz w:val="14"/>
              </w:rPr>
              <w:t>Support to Sierra Leone Produce Marketing Company</w:t>
            </w:r>
          </w:p>
        </w:tc>
        <w:tc>
          <w:tcPr>
            <w:tcW w:w="1855" w:type="dxa"/>
          </w:tcPr>
          <w:p>
            <w:pPr>
              <w:pStyle w:val="TableParagraph"/>
              <w:spacing w:before="25"/>
              <w:ind w:left="782"/>
              <w:rPr>
                <w:b/>
                <w:sz w:val="14"/>
              </w:rPr>
            </w:pPr>
            <w:r>
              <w:rPr>
                <w:b/>
                <w:sz w:val="14"/>
              </w:rPr>
              <w:t>1,350.1</w:t>
            </w:r>
          </w:p>
        </w:tc>
        <w:tc>
          <w:tcPr>
            <w:tcW w:w="1305" w:type="dxa"/>
          </w:tcPr>
          <w:p>
            <w:pPr>
              <w:pStyle w:val="TableParagraph"/>
              <w:spacing w:before="25"/>
              <w:ind w:left="367"/>
              <w:rPr>
                <w:sz w:val="14"/>
              </w:rPr>
            </w:pPr>
            <w:r>
              <w:rPr>
                <w:sz w:val="14"/>
              </w:rPr>
              <w:t>0 . 1 %</w:t>
            </w:r>
          </w:p>
        </w:tc>
        <w:tc>
          <w:tcPr>
            <w:tcW w:w="1564" w:type="dxa"/>
          </w:tcPr>
          <w:p>
            <w:pPr>
              <w:pStyle w:val="TableParagraph"/>
              <w:spacing w:before="25"/>
              <w:ind w:left="425"/>
              <w:rPr>
                <w:sz w:val="14"/>
              </w:rPr>
            </w:pPr>
            <w:r>
              <w:rPr>
                <w:sz w:val="14"/>
              </w:rPr>
              <w:t>1,663 .0</w:t>
            </w:r>
          </w:p>
        </w:tc>
        <w:tc>
          <w:tcPr>
            <w:tcW w:w="1434" w:type="dxa"/>
          </w:tcPr>
          <w:p>
            <w:pPr>
              <w:pStyle w:val="TableParagraph"/>
              <w:spacing w:before="25"/>
              <w:ind w:left="388"/>
              <w:rPr>
                <w:sz w:val="14"/>
              </w:rPr>
            </w:pPr>
            <w:r>
              <w:rPr>
                <w:sz w:val="14"/>
              </w:rPr>
              <w:t>0 . 1 %</w:t>
            </w:r>
          </w:p>
        </w:tc>
        <w:tc>
          <w:tcPr>
            <w:tcW w:w="1232" w:type="dxa"/>
          </w:tcPr>
          <w:p>
            <w:pPr>
              <w:pStyle w:val="TableParagraph"/>
              <w:spacing w:before="25"/>
              <w:ind w:left="379"/>
              <w:rPr>
                <w:sz w:val="14"/>
              </w:rPr>
            </w:pPr>
            <w:r>
              <w:rPr>
                <w:sz w:val="14"/>
              </w:rPr>
              <w:t>1,762 .6</w:t>
            </w:r>
          </w:p>
        </w:tc>
        <w:tc>
          <w:tcPr>
            <w:tcW w:w="1167" w:type="dxa"/>
          </w:tcPr>
          <w:p>
            <w:pPr>
              <w:pStyle w:val="TableParagraph"/>
              <w:spacing w:before="25"/>
              <w:ind w:left="386"/>
              <w:rPr>
                <w:sz w:val="14"/>
              </w:rPr>
            </w:pPr>
            <w:r>
              <w:rPr>
                <w:sz w:val="14"/>
              </w:rPr>
              <w:t>0 . 1 %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95"/>
              <w:rPr>
                <w:sz w:val="14"/>
              </w:rPr>
            </w:pPr>
            <w:r>
              <w:rPr>
                <w:sz w:val="14"/>
              </w:rPr>
              <w:t>Commodities Monitoring and Marketing Unit</w:t>
            </w:r>
          </w:p>
        </w:tc>
        <w:tc>
          <w:tcPr>
            <w:tcW w:w="1855" w:type="dxa"/>
          </w:tcPr>
          <w:p>
            <w:pPr>
              <w:pStyle w:val="TableParagraph"/>
              <w:spacing w:before="27"/>
              <w:ind w:left="917"/>
              <w:rPr>
                <w:b/>
                <w:sz w:val="14"/>
              </w:rPr>
            </w:pPr>
            <w:r>
              <w:rPr>
                <w:b/>
                <w:sz w:val="14"/>
              </w:rPr>
              <w:t>353.1</w:t>
            </w:r>
          </w:p>
        </w:tc>
        <w:tc>
          <w:tcPr>
            <w:tcW w:w="1305" w:type="dxa"/>
          </w:tcPr>
          <w:p>
            <w:pPr>
              <w:pStyle w:val="TableParagraph"/>
              <w:spacing w:before="27"/>
              <w:ind w:left="367"/>
              <w:rPr>
                <w:sz w:val="14"/>
              </w:rPr>
            </w:pPr>
            <w:r>
              <w:rPr>
                <w:sz w:val="14"/>
              </w:rPr>
              <w:t>0 . 0 %</w:t>
            </w:r>
          </w:p>
        </w:tc>
        <w:tc>
          <w:tcPr>
            <w:tcW w:w="1564" w:type="dxa"/>
          </w:tcPr>
          <w:p>
            <w:pPr>
              <w:pStyle w:val="TableParagraph"/>
              <w:spacing w:before="27"/>
              <w:ind w:left="573" w:right="598"/>
              <w:jc w:val="center"/>
              <w:rPr>
                <w:sz w:val="14"/>
              </w:rPr>
            </w:pPr>
            <w:r>
              <w:rPr>
                <w:sz w:val="14"/>
              </w:rPr>
              <w:t>435.0</w:t>
            </w:r>
          </w:p>
        </w:tc>
        <w:tc>
          <w:tcPr>
            <w:tcW w:w="1434" w:type="dxa"/>
          </w:tcPr>
          <w:p>
            <w:pPr>
              <w:pStyle w:val="TableParagraph"/>
              <w:spacing w:before="27"/>
              <w:ind w:left="388"/>
              <w:rPr>
                <w:sz w:val="14"/>
              </w:rPr>
            </w:pPr>
            <w:r>
              <w:rPr>
                <w:sz w:val="14"/>
              </w:rPr>
              <w:t>0 . 0 %</w:t>
            </w:r>
          </w:p>
        </w:tc>
        <w:tc>
          <w:tcPr>
            <w:tcW w:w="1232" w:type="dxa"/>
          </w:tcPr>
          <w:p>
            <w:pPr>
              <w:pStyle w:val="TableParagraph"/>
              <w:spacing w:before="27"/>
              <w:ind w:left="528"/>
              <w:rPr>
                <w:sz w:val="14"/>
              </w:rPr>
            </w:pPr>
            <w:r>
              <w:rPr>
                <w:sz w:val="14"/>
              </w:rPr>
              <w:t>461.0</w:t>
            </w:r>
          </w:p>
        </w:tc>
        <w:tc>
          <w:tcPr>
            <w:tcW w:w="1167" w:type="dxa"/>
          </w:tcPr>
          <w:p>
            <w:pPr>
              <w:pStyle w:val="TableParagraph"/>
              <w:spacing w:before="27"/>
              <w:ind w:left="386"/>
              <w:rPr>
                <w:sz w:val="14"/>
              </w:rPr>
            </w:pPr>
            <w:r>
              <w:rPr>
                <w:sz w:val="14"/>
              </w:rPr>
              <w:t>0 . 0 %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95"/>
              <w:rPr>
                <w:sz w:val="14"/>
              </w:rPr>
            </w:pPr>
            <w:r>
              <w:rPr>
                <w:sz w:val="14"/>
              </w:rPr>
              <w:t>Sierra Leone Business Forum</w:t>
            </w:r>
          </w:p>
        </w:tc>
        <w:tc>
          <w:tcPr>
            <w:tcW w:w="1855" w:type="dxa"/>
          </w:tcPr>
          <w:p>
            <w:pPr>
              <w:pStyle w:val="TableParagraph"/>
              <w:spacing w:before="27"/>
              <w:ind w:left="917"/>
              <w:rPr>
                <w:b/>
                <w:sz w:val="14"/>
              </w:rPr>
            </w:pPr>
            <w:r>
              <w:rPr>
                <w:b/>
                <w:sz w:val="14"/>
              </w:rPr>
              <w:t>403.7</w:t>
            </w:r>
          </w:p>
        </w:tc>
        <w:tc>
          <w:tcPr>
            <w:tcW w:w="1305" w:type="dxa"/>
          </w:tcPr>
          <w:p>
            <w:pPr>
              <w:pStyle w:val="TableParagraph"/>
              <w:spacing w:before="27"/>
              <w:ind w:left="367"/>
              <w:rPr>
                <w:sz w:val="14"/>
              </w:rPr>
            </w:pPr>
            <w:r>
              <w:rPr>
                <w:sz w:val="14"/>
              </w:rPr>
              <w:t>0 . 0 %</w:t>
            </w:r>
          </w:p>
        </w:tc>
        <w:tc>
          <w:tcPr>
            <w:tcW w:w="1564" w:type="dxa"/>
          </w:tcPr>
          <w:p>
            <w:pPr>
              <w:pStyle w:val="TableParagraph"/>
              <w:spacing w:before="27"/>
              <w:ind w:left="573" w:right="598"/>
              <w:jc w:val="center"/>
              <w:rPr>
                <w:sz w:val="14"/>
              </w:rPr>
            </w:pPr>
            <w:r>
              <w:rPr>
                <w:sz w:val="14"/>
              </w:rPr>
              <w:t>497.2</w:t>
            </w:r>
          </w:p>
        </w:tc>
        <w:tc>
          <w:tcPr>
            <w:tcW w:w="1434" w:type="dxa"/>
          </w:tcPr>
          <w:p>
            <w:pPr>
              <w:pStyle w:val="TableParagraph"/>
              <w:spacing w:before="27"/>
              <w:ind w:left="388"/>
              <w:rPr>
                <w:sz w:val="14"/>
              </w:rPr>
            </w:pPr>
            <w:r>
              <w:rPr>
                <w:sz w:val="14"/>
              </w:rPr>
              <w:t>0 . 0 %</w:t>
            </w:r>
          </w:p>
        </w:tc>
        <w:tc>
          <w:tcPr>
            <w:tcW w:w="1232" w:type="dxa"/>
          </w:tcPr>
          <w:p>
            <w:pPr>
              <w:pStyle w:val="TableParagraph"/>
              <w:spacing w:before="27"/>
              <w:ind w:left="528"/>
              <w:rPr>
                <w:sz w:val="14"/>
              </w:rPr>
            </w:pPr>
            <w:r>
              <w:rPr>
                <w:sz w:val="14"/>
              </w:rPr>
              <w:t>527.0</w:t>
            </w:r>
          </w:p>
        </w:tc>
        <w:tc>
          <w:tcPr>
            <w:tcW w:w="1167" w:type="dxa"/>
          </w:tcPr>
          <w:p>
            <w:pPr>
              <w:pStyle w:val="TableParagraph"/>
              <w:spacing w:before="27"/>
              <w:ind w:left="386"/>
              <w:rPr>
                <w:sz w:val="14"/>
              </w:rPr>
            </w:pPr>
            <w:r>
              <w:rPr>
                <w:sz w:val="14"/>
              </w:rPr>
              <w:t>0 . 0 %</w:t>
            </w:r>
          </w:p>
        </w:tc>
      </w:tr>
      <w:tr>
        <w:trPr>
          <w:trHeight w:val="220" w:hRule="atLeast"/>
        </w:trPr>
        <w:tc>
          <w:tcPr>
            <w:tcW w:w="471" w:type="dxa"/>
          </w:tcPr>
          <w:p>
            <w:pPr>
              <w:pStyle w:val="TableParagraph"/>
              <w:rPr>
                <w:rFonts w:ascii="Times New Roman"/>
                <w:sz w:val="14"/>
              </w:rPr>
            </w:pPr>
          </w:p>
        </w:tc>
        <w:tc>
          <w:tcPr>
            <w:tcW w:w="5760" w:type="dxa"/>
          </w:tcPr>
          <w:p>
            <w:pPr>
              <w:pStyle w:val="TableParagraph"/>
              <w:spacing w:before="27"/>
              <w:ind w:left="95"/>
              <w:rPr>
                <w:sz w:val="14"/>
              </w:rPr>
            </w:pPr>
            <w:r>
              <w:rPr>
                <w:sz w:val="14"/>
              </w:rPr>
              <w:t>Coordination of Doing Business Reforms Unit</w:t>
            </w:r>
          </w:p>
        </w:tc>
        <w:tc>
          <w:tcPr>
            <w:tcW w:w="1855" w:type="dxa"/>
          </w:tcPr>
          <w:p>
            <w:pPr>
              <w:pStyle w:val="TableParagraph"/>
              <w:spacing w:before="27"/>
              <w:ind w:left="917"/>
              <w:rPr>
                <w:b/>
                <w:sz w:val="14"/>
              </w:rPr>
            </w:pPr>
            <w:r>
              <w:rPr>
                <w:b/>
                <w:sz w:val="14"/>
              </w:rPr>
              <w:t>311.6</w:t>
            </w:r>
          </w:p>
        </w:tc>
        <w:tc>
          <w:tcPr>
            <w:tcW w:w="1305" w:type="dxa"/>
          </w:tcPr>
          <w:p>
            <w:pPr>
              <w:pStyle w:val="TableParagraph"/>
              <w:spacing w:before="27"/>
              <w:ind w:left="367"/>
              <w:rPr>
                <w:sz w:val="14"/>
              </w:rPr>
            </w:pPr>
            <w:r>
              <w:rPr>
                <w:sz w:val="14"/>
              </w:rPr>
              <w:t>0 . 0 %</w:t>
            </w:r>
          </w:p>
        </w:tc>
        <w:tc>
          <w:tcPr>
            <w:tcW w:w="1564" w:type="dxa"/>
          </w:tcPr>
          <w:p>
            <w:pPr>
              <w:pStyle w:val="TableParagraph"/>
              <w:spacing w:before="27"/>
              <w:ind w:left="573" w:right="598"/>
              <w:jc w:val="center"/>
              <w:rPr>
                <w:sz w:val="14"/>
              </w:rPr>
            </w:pPr>
            <w:r>
              <w:rPr>
                <w:sz w:val="14"/>
              </w:rPr>
              <w:t>383.8</w:t>
            </w:r>
          </w:p>
        </w:tc>
        <w:tc>
          <w:tcPr>
            <w:tcW w:w="1434" w:type="dxa"/>
          </w:tcPr>
          <w:p>
            <w:pPr>
              <w:pStyle w:val="TableParagraph"/>
              <w:spacing w:before="27"/>
              <w:ind w:left="388"/>
              <w:rPr>
                <w:sz w:val="14"/>
              </w:rPr>
            </w:pPr>
            <w:r>
              <w:rPr>
                <w:sz w:val="14"/>
              </w:rPr>
              <w:t>0 . 0 %</w:t>
            </w:r>
          </w:p>
        </w:tc>
        <w:tc>
          <w:tcPr>
            <w:tcW w:w="1232" w:type="dxa"/>
          </w:tcPr>
          <w:p>
            <w:pPr>
              <w:pStyle w:val="TableParagraph"/>
              <w:spacing w:before="27"/>
              <w:ind w:left="528"/>
              <w:rPr>
                <w:sz w:val="14"/>
              </w:rPr>
            </w:pPr>
            <w:r>
              <w:rPr>
                <w:sz w:val="14"/>
              </w:rPr>
              <w:t>406.8</w:t>
            </w:r>
          </w:p>
        </w:tc>
        <w:tc>
          <w:tcPr>
            <w:tcW w:w="1167" w:type="dxa"/>
          </w:tcPr>
          <w:p>
            <w:pPr>
              <w:pStyle w:val="TableParagraph"/>
              <w:spacing w:before="27"/>
              <w:ind w:left="386"/>
              <w:rPr>
                <w:sz w:val="14"/>
              </w:rPr>
            </w:pPr>
            <w:r>
              <w:rPr>
                <w:sz w:val="14"/>
              </w:rPr>
              <w:t>0 . 0 %</w:t>
            </w:r>
          </w:p>
        </w:tc>
      </w:tr>
      <w:tr>
        <w:trPr>
          <w:trHeight w:val="328" w:hRule="atLeast"/>
        </w:trPr>
        <w:tc>
          <w:tcPr>
            <w:tcW w:w="471" w:type="dxa"/>
          </w:tcPr>
          <w:p>
            <w:pPr>
              <w:pStyle w:val="TableParagraph"/>
              <w:rPr>
                <w:rFonts w:ascii="Times New Roman"/>
                <w:sz w:val="14"/>
              </w:rPr>
            </w:pPr>
          </w:p>
        </w:tc>
        <w:tc>
          <w:tcPr>
            <w:tcW w:w="5760" w:type="dxa"/>
          </w:tcPr>
          <w:p>
            <w:pPr>
              <w:pStyle w:val="TableParagraph"/>
              <w:spacing w:before="27"/>
              <w:ind w:left="96"/>
              <w:rPr>
                <w:sz w:val="14"/>
              </w:rPr>
            </w:pPr>
            <w:r>
              <w:rPr>
                <w:sz w:val="14"/>
              </w:rPr>
              <w:t>Industrial Planning and Development</w:t>
            </w:r>
          </w:p>
        </w:tc>
        <w:tc>
          <w:tcPr>
            <w:tcW w:w="1855" w:type="dxa"/>
          </w:tcPr>
          <w:p>
            <w:pPr>
              <w:pStyle w:val="TableParagraph"/>
              <w:spacing w:before="27"/>
              <w:ind w:left="917"/>
              <w:rPr>
                <w:b/>
                <w:sz w:val="14"/>
              </w:rPr>
            </w:pPr>
            <w:r>
              <w:rPr>
                <w:b/>
                <w:sz w:val="14"/>
              </w:rPr>
              <w:t>383.4</w:t>
            </w:r>
          </w:p>
        </w:tc>
        <w:tc>
          <w:tcPr>
            <w:tcW w:w="1305" w:type="dxa"/>
          </w:tcPr>
          <w:p>
            <w:pPr>
              <w:pStyle w:val="TableParagraph"/>
              <w:spacing w:before="27"/>
              <w:ind w:left="367"/>
              <w:rPr>
                <w:sz w:val="14"/>
              </w:rPr>
            </w:pPr>
            <w:r>
              <w:rPr>
                <w:sz w:val="14"/>
              </w:rPr>
              <w:t>0 . 0 %</w:t>
            </w:r>
          </w:p>
        </w:tc>
        <w:tc>
          <w:tcPr>
            <w:tcW w:w="1564" w:type="dxa"/>
          </w:tcPr>
          <w:p>
            <w:pPr>
              <w:pStyle w:val="TableParagraph"/>
              <w:spacing w:before="27"/>
              <w:ind w:left="573" w:right="598"/>
              <w:jc w:val="center"/>
              <w:rPr>
                <w:sz w:val="14"/>
              </w:rPr>
            </w:pPr>
            <w:r>
              <w:rPr>
                <w:sz w:val="14"/>
              </w:rPr>
              <w:t>472.3</w:t>
            </w:r>
          </w:p>
        </w:tc>
        <w:tc>
          <w:tcPr>
            <w:tcW w:w="1434" w:type="dxa"/>
          </w:tcPr>
          <w:p>
            <w:pPr>
              <w:pStyle w:val="TableParagraph"/>
              <w:spacing w:before="27"/>
              <w:ind w:left="388"/>
              <w:rPr>
                <w:sz w:val="14"/>
              </w:rPr>
            </w:pPr>
            <w:r>
              <w:rPr>
                <w:sz w:val="14"/>
              </w:rPr>
              <w:t>0 . 0 %</w:t>
            </w:r>
          </w:p>
        </w:tc>
        <w:tc>
          <w:tcPr>
            <w:tcW w:w="1232" w:type="dxa"/>
          </w:tcPr>
          <w:p>
            <w:pPr>
              <w:pStyle w:val="TableParagraph"/>
              <w:spacing w:before="27"/>
              <w:ind w:left="528"/>
              <w:rPr>
                <w:sz w:val="14"/>
              </w:rPr>
            </w:pPr>
            <w:r>
              <w:rPr>
                <w:sz w:val="14"/>
              </w:rPr>
              <w:t>500.6</w:t>
            </w:r>
          </w:p>
        </w:tc>
        <w:tc>
          <w:tcPr>
            <w:tcW w:w="1167" w:type="dxa"/>
          </w:tcPr>
          <w:p>
            <w:pPr>
              <w:pStyle w:val="TableParagraph"/>
              <w:spacing w:before="27"/>
              <w:ind w:left="386"/>
              <w:rPr>
                <w:sz w:val="14"/>
              </w:rPr>
            </w:pPr>
            <w:r>
              <w:rPr>
                <w:sz w:val="14"/>
              </w:rPr>
              <w:t>0 . 0 %</w:t>
            </w:r>
          </w:p>
        </w:tc>
      </w:tr>
      <w:tr>
        <w:trPr>
          <w:trHeight w:val="439" w:hRule="atLeast"/>
        </w:trPr>
        <w:tc>
          <w:tcPr>
            <w:tcW w:w="471" w:type="dxa"/>
          </w:tcPr>
          <w:p>
            <w:pPr>
              <w:pStyle w:val="TableParagraph"/>
              <w:spacing w:before="135"/>
              <w:ind w:left="125"/>
              <w:rPr>
                <w:sz w:val="14"/>
              </w:rPr>
            </w:pPr>
            <w:r>
              <w:rPr>
                <w:sz w:val="14"/>
              </w:rPr>
              <w:t>421</w:t>
            </w:r>
          </w:p>
        </w:tc>
        <w:tc>
          <w:tcPr>
            <w:tcW w:w="5760" w:type="dxa"/>
          </w:tcPr>
          <w:p>
            <w:pPr>
              <w:pStyle w:val="TableParagraph"/>
              <w:spacing w:before="135"/>
              <w:ind w:left="95"/>
              <w:rPr>
                <w:sz w:val="14"/>
              </w:rPr>
            </w:pPr>
            <w:r>
              <w:rPr>
                <w:sz w:val="14"/>
              </w:rPr>
              <w:t>Small and Medium Enterprises Development Agency (SMEDA)</w:t>
            </w:r>
          </w:p>
        </w:tc>
        <w:tc>
          <w:tcPr>
            <w:tcW w:w="1855" w:type="dxa"/>
          </w:tcPr>
          <w:p>
            <w:pPr>
              <w:pStyle w:val="TableParagraph"/>
              <w:spacing w:before="135"/>
              <w:ind w:left="782"/>
              <w:rPr>
                <w:b/>
                <w:sz w:val="14"/>
              </w:rPr>
            </w:pPr>
            <w:r>
              <w:rPr>
                <w:b/>
                <w:sz w:val="14"/>
              </w:rPr>
              <w:t>1,439.2</w:t>
            </w:r>
          </w:p>
        </w:tc>
        <w:tc>
          <w:tcPr>
            <w:tcW w:w="1305" w:type="dxa"/>
          </w:tcPr>
          <w:p>
            <w:pPr>
              <w:pStyle w:val="TableParagraph"/>
              <w:spacing w:before="135"/>
              <w:ind w:left="367"/>
              <w:rPr>
                <w:sz w:val="14"/>
              </w:rPr>
            </w:pPr>
            <w:r>
              <w:rPr>
                <w:sz w:val="14"/>
              </w:rPr>
              <w:t>0 . 1 %</w:t>
            </w:r>
          </w:p>
        </w:tc>
        <w:tc>
          <w:tcPr>
            <w:tcW w:w="1564" w:type="dxa"/>
          </w:tcPr>
          <w:p>
            <w:pPr>
              <w:pStyle w:val="TableParagraph"/>
              <w:spacing w:before="135"/>
              <w:ind w:left="425"/>
              <w:rPr>
                <w:sz w:val="14"/>
              </w:rPr>
            </w:pPr>
            <w:r>
              <w:rPr>
                <w:sz w:val="14"/>
              </w:rPr>
              <w:t>1,637 .7</w:t>
            </w:r>
          </w:p>
        </w:tc>
        <w:tc>
          <w:tcPr>
            <w:tcW w:w="1434" w:type="dxa"/>
          </w:tcPr>
          <w:p>
            <w:pPr>
              <w:pStyle w:val="TableParagraph"/>
              <w:spacing w:before="135"/>
              <w:ind w:left="388"/>
              <w:rPr>
                <w:sz w:val="14"/>
              </w:rPr>
            </w:pPr>
            <w:r>
              <w:rPr>
                <w:sz w:val="14"/>
              </w:rPr>
              <w:t>0 . 1 %</w:t>
            </w:r>
          </w:p>
        </w:tc>
        <w:tc>
          <w:tcPr>
            <w:tcW w:w="1232" w:type="dxa"/>
          </w:tcPr>
          <w:p>
            <w:pPr>
              <w:pStyle w:val="TableParagraph"/>
              <w:spacing w:before="135"/>
              <w:ind w:left="379"/>
              <w:rPr>
                <w:sz w:val="14"/>
              </w:rPr>
            </w:pPr>
            <w:r>
              <w:rPr>
                <w:sz w:val="14"/>
              </w:rPr>
              <w:t>1,735 .8</w:t>
            </w:r>
          </w:p>
        </w:tc>
        <w:tc>
          <w:tcPr>
            <w:tcW w:w="1167" w:type="dxa"/>
          </w:tcPr>
          <w:p>
            <w:pPr>
              <w:pStyle w:val="TableParagraph"/>
              <w:spacing w:before="135"/>
              <w:ind w:left="386"/>
              <w:rPr>
                <w:sz w:val="14"/>
              </w:rPr>
            </w:pPr>
            <w:r>
              <w:rPr>
                <w:sz w:val="14"/>
              </w:rPr>
              <w:t>0 . 1 %</w:t>
            </w:r>
          </w:p>
        </w:tc>
      </w:tr>
      <w:tr>
        <w:trPr>
          <w:trHeight w:val="441" w:hRule="atLeast"/>
        </w:trPr>
        <w:tc>
          <w:tcPr>
            <w:tcW w:w="471" w:type="dxa"/>
          </w:tcPr>
          <w:p>
            <w:pPr>
              <w:pStyle w:val="TableParagraph"/>
              <w:spacing w:before="137"/>
              <w:ind w:left="140"/>
              <w:rPr>
                <w:b/>
                <w:sz w:val="14"/>
              </w:rPr>
            </w:pPr>
            <w:r>
              <w:rPr>
                <w:b/>
                <w:sz w:val="14"/>
              </w:rPr>
              <w:t>3. 5</w:t>
            </w:r>
          </w:p>
        </w:tc>
        <w:tc>
          <w:tcPr>
            <w:tcW w:w="5760" w:type="dxa"/>
          </w:tcPr>
          <w:p>
            <w:pPr>
              <w:pStyle w:val="TableParagraph"/>
              <w:spacing w:before="137"/>
              <w:ind w:left="96"/>
              <w:rPr>
                <w:b/>
                <w:sz w:val="14"/>
              </w:rPr>
            </w:pPr>
            <w:r>
              <w:rPr>
                <w:b/>
                <w:sz w:val="14"/>
              </w:rPr>
              <w:t>MADE IN SIERRA LEONE</w:t>
            </w:r>
          </w:p>
        </w:tc>
        <w:tc>
          <w:tcPr>
            <w:tcW w:w="1855" w:type="dxa"/>
          </w:tcPr>
          <w:p>
            <w:pPr>
              <w:pStyle w:val="TableParagraph"/>
              <w:spacing w:before="137"/>
              <w:ind w:left="782"/>
              <w:rPr>
                <w:b/>
                <w:sz w:val="14"/>
              </w:rPr>
            </w:pPr>
            <w:r>
              <w:rPr>
                <w:b/>
                <w:sz w:val="14"/>
              </w:rPr>
              <w:t>3,217.8</w:t>
            </w:r>
          </w:p>
        </w:tc>
        <w:tc>
          <w:tcPr>
            <w:tcW w:w="1305" w:type="dxa"/>
          </w:tcPr>
          <w:p>
            <w:pPr>
              <w:pStyle w:val="TableParagraph"/>
              <w:spacing w:before="137"/>
              <w:ind w:left="425"/>
              <w:rPr>
                <w:b/>
                <w:sz w:val="14"/>
              </w:rPr>
            </w:pPr>
            <w:r>
              <w:rPr>
                <w:b/>
                <w:sz w:val="14"/>
              </w:rPr>
              <w:t>0.1%</w:t>
            </w:r>
          </w:p>
        </w:tc>
        <w:tc>
          <w:tcPr>
            <w:tcW w:w="1564" w:type="dxa"/>
          </w:tcPr>
          <w:p>
            <w:pPr>
              <w:pStyle w:val="TableParagraph"/>
              <w:spacing w:before="137"/>
              <w:ind w:left="459"/>
              <w:rPr>
                <w:b/>
                <w:sz w:val="14"/>
              </w:rPr>
            </w:pPr>
            <w:r>
              <w:rPr>
                <w:b/>
                <w:sz w:val="14"/>
              </w:rPr>
              <w:t>3,101.4</w:t>
            </w:r>
          </w:p>
        </w:tc>
        <w:tc>
          <w:tcPr>
            <w:tcW w:w="1434" w:type="dxa"/>
          </w:tcPr>
          <w:p>
            <w:pPr>
              <w:pStyle w:val="TableParagraph"/>
              <w:spacing w:before="137"/>
              <w:ind w:left="450"/>
              <w:rPr>
                <w:b/>
                <w:sz w:val="14"/>
              </w:rPr>
            </w:pPr>
            <w:r>
              <w:rPr>
                <w:b/>
                <w:sz w:val="14"/>
              </w:rPr>
              <w:t>0.1%</w:t>
            </w:r>
          </w:p>
        </w:tc>
        <w:tc>
          <w:tcPr>
            <w:tcW w:w="1232" w:type="dxa"/>
          </w:tcPr>
          <w:p>
            <w:pPr>
              <w:pStyle w:val="TableParagraph"/>
              <w:spacing w:before="137"/>
              <w:ind w:left="408"/>
              <w:rPr>
                <w:b/>
                <w:sz w:val="14"/>
              </w:rPr>
            </w:pPr>
            <w:r>
              <w:rPr>
                <w:b/>
                <w:sz w:val="14"/>
              </w:rPr>
              <w:t>3,287.1</w:t>
            </w:r>
          </w:p>
        </w:tc>
        <w:tc>
          <w:tcPr>
            <w:tcW w:w="1167" w:type="dxa"/>
          </w:tcPr>
          <w:p>
            <w:pPr>
              <w:pStyle w:val="TableParagraph"/>
              <w:spacing w:before="137"/>
              <w:ind w:left="422" w:right="385"/>
              <w:jc w:val="center"/>
              <w:rPr>
                <w:b/>
                <w:sz w:val="14"/>
              </w:rPr>
            </w:pPr>
            <w:r>
              <w:rPr>
                <w:b/>
                <w:sz w:val="14"/>
              </w:rPr>
              <w:t>0.1%</w:t>
            </w:r>
          </w:p>
        </w:tc>
      </w:tr>
      <w:tr>
        <w:trPr>
          <w:trHeight w:val="439" w:hRule="atLeast"/>
        </w:trPr>
        <w:tc>
          <w:tcPr>
            <w:tcW w:w="471" w:type="dxa"/>
          </w:tcPr>
          <w:p>
            <w:pPr>
              <w:pStyle w:val="TableParagraph"/>
              <w:spacing w:before="137"/>
              <w:ind w:left="125"/>
              <w:rPr>
                <w:sz w:val="14"/>
              </w:rPr>
            </w:pPr>
            <w:r>
              <w:rPr>
                <w:sz w:val="14"/>
              </w:rPr>
              <w:t>419</w:t>
            </w:r>
          </w:p>
        </w:tc>
        <w:tc>
          <w:tcPr>
            <w:tcW w:w="5760" w:type="dxa"/>
          </w:tcPr>
          <w:p>
            <w:pPr>
              <w:pStyle w:val="TableParagraph"/>
              <w:spacing w:before="137"/>
              <w:ind w:left="95"/>
              <w:rPr>
                <w:sz w:val="14"/>
              </w:rPr>
            </w:pPr>
            <w:r>
              <w:rPr>
                <w:sz w:val="14"/>
              </w:rPr>
              <w:t>Local Content Agency</w:t>
            </w:r>
          </w:p>
        </w:tc>
        <w:tc>
          <w:tcPr>
            <w:tcW w:w="1855" w:type="dxa"/>
          </w:tcPr>
          <w:p>
            <w:pPr>
              <w:pStyle w:val="TableParagraph"/>
              <w:spacing w:before="137"/>
              <w:ind w:left="782"/>
              <w:rPr>
                <w:b/>
                <w:sz w:val="14"/>
              </w:rPr>
            </w:pPr>
            <w:r>
              <w:rPr>
                <w:b/>
                <w:sz w:val="14"/>
              </w:rPr>
              <w:t>3,217.8</w:t>
            </w:r>
          </w:p>
        </w:tc>
        <w:tc>
          <w:tcPr>
            <w:tcW w:w="1305" w:type="dxa"/>
          </w:tcPr>
          <w:p>
            <w:pPr>
              <w:pStyle w:val="TableParagraph"/>
              <w:spacing w:before="137"/>
              <w:ind w:left="367"/>
              <w:rPr>
                <w:sz w:val="14"/>
              </w:rPr>
            </w:pPr>
            <w:r>
              <w:rPr>
                <w:sz w:val="14"/>
              </w:rPr>
              <w:t>0 . 1 %</w:t>
            </w:r>
          </w:p>
        </w:tc>
        <w:tc>
          <w:tcPr>
            <w:tcW w:w="1564" w:type="dxa"/>
          </w:tcPr>
          <w:p>
            <w:pPr>
              <w:pStyle w:val="TableParagraph"/>
              <w:spacing w:before="137"/>
              <w:ind w:left="425"/>
              <w:rPr>
                <w:sz w:val="14"/>
              </w:rPr>
            </w:pPr>
            <w:r>
              <w:rPr>
                <w:sz w:val="14"/>
              </w:rPr>
              <w:t>3,101 .4</w:t>
            </w:r>
          </w:p>
        </w:tc>
        <w:tc>
          <w:tcPr>
            <w:tcW w:w="1434" w:type="dxa"/>
          </w:tcPr>
          <w:p>
            <w:pPr>
              <w:pStyle w:val="TableParagraph"/>
              <w:spacing w:before="137"/>
              <w:ind w:left="388"/>
              <w:rPr>
                <w:sz w:val="14"/>
              </w:rPr>
            </w:pPr>
            <w:r>
              <w:rPr>
                <w:sz w:val="14"/>
              </w:rPr>
              <w:t>0 . 1 %</w:t>
            </w:r>
          </w:p>
        </w:tc>
        <w:tc>
          <w:tcPr>
            <w:tcW w:w="1232" w:type="dxa"/>
          </w:tcPr>
          <w:p>
            <w:pPr>
              <w:pStyle w:val="TableParagraph"/>
              <w:spacing w:before="137"/>
              <w:ind w:left="379"/>
              <w:rPr>
                <w:sz w:val="14"/>
              </w:rPr>
            </w:pPr>
            <w:r>
              <w:rPr>
                <w:sz w:val="14"/>
              </w:rPr>
              <w:t>3,287 .1</w:t>
            </w:r>
          </w:p>
        </w:tc>
        <w:tc>
          <w:tcPr>
            <w:tcW w:w="1167" w:type="dxa"/>
          </w:tcPr>
          <w:p>
            <w:pPr>
              <w:pStyle w:val="TableParagraph"/>
              <w:spacing w:before="137"/>
              <w:ind w:left="386"/>
              <w:rPr>
                <w:sz w:val="14"/>
              </w:rPr>
            </w:pPr>
            <w:r>
              <w:rPr>
                <w:sz w:val="14"/>
              </w:rPr>
              <w:t>0 . 1 %</w:t>
            </w:r>
          </w:p>
        </w:tc>
      </w:tr>
      <w:tr>
        <w:trPr>
          <w:trHeight w:val="439" w:hRule="atLeast"/>
        </w:trPr>
        <w:tc>
          <w:tcPr>
            <w:tcW w:w="471" w:type="dxa"/>
          </w:tcPr>
          <w:p>
            <w:pPr>
              <w:pStyle w:val="TableParagraph"/>
              <w:spacing w:before="135"/>
              <w:ind w:left="140"/>
              <w:rPr>
                <w:b/>
                <w:sz w:val="14"/>
              </w:rPr>
            </w:pPr>
            <w:r>
              <w:rPr>
                <w:b/>
                <w:sz w:val="14"/>
              </w:rPr>
              <w:t>3. 6</w:t>
            </w:r>
          </w:p>
        </w:tc>
        <w:tc>
          <w:tcPr>
            <w:tcW w:w="5760" w:type="dxa"/>
          </w:tcPr>
          <w:p>
            <w:pPr>
              <w:pStyle w:val="TableParagraph"/>
              <w:spacing w:before="135"/>
              <w:ind w:left="95"/>
              <w:rPr>
                <w:b/>
                <w:sz w:val="14"/>
              </w:rPr>
            </w:pPr>
            <w:r>
              <w:rPr>
                <w:b/>
                <w:sz w:val="14"/>
              </w:rPr>
              <w:t>ONE DISTRICT, ONE FACTORY</w:t>
            </w:r>
          </w:p>
        </w:tc>
        <w:tc>
          <w:tcPr>
            <w:tcW w:w="1855" w:type="dxa"/>
          </w:tcPr>
          <w:p>
            <w:pPr>
              <w:pStyle w:val="TableParagraph"/>
              <w:spacing w:before="135"/>
              <w:ind w:left="782"/>
              <w:rPr>
                <w:b/>
                <w:sz w:val="14"/>
              </w:rPr>
            </w:pPr>
            <w:r>
              <w:rPr>
                <w:b/>
                <w:sz w:val="14"/>
              </w:rPr>
              <w:t>1,563.1</w:t>
            </w:r>
          </w:p>
        </w:tc>
        <w:tc>
          <w:tcPr>
            <w:tcW w:w="1305" w:type="dxa"/>
          </w:tcPr>
          <w:p>
            <w:pPr>
              <w:pStyle w:val="TableParagraph"/>
              <w:spacing w:before="135"/>
              <w:ind w:left="425"/>
              <w:rPr>
                <w:b/>
                <w:sz w:val="14"/>
              </w:rPr>
            </w:pPr>
            <w:r>
              <w:rPr>
                <w:b/>
                <w:sz w:val="14"/>
              </w:rPr>
              <w:t>0.1%</w:t>
            </w:r>
          </w:p>
        </w:tc>
        <w:tc>
          <w:tcPr>
            <w:tcW w:w="1564" w:type="dxa"/>
          </w:tcPr>
          <w:p>
            <w:pPr>
              <w:pStyle w:val="TableParagraph"/>
              <w:spacing w:before="135"/>
              <w:ind w:left="574" w:right="598"/>
              <w:jc w:val="center"/>
              <w:rPr>
                <w:b/>
                <w:sz w:val="14"/>
              </w:rPr>
            </w:pPr>
            <w:r>
              <w:rPr>
                <w:b/>
                <w:sz w:val="14"/>
              </w:rPr>
              <w:t>940.0</w:t>
            </w:r>
          </w:p>
        </w:tc>
        <w:tc>
          <w:tcPr>
            <w:tcW w:w="1434" w:type="dxa"/>
          </w:tcPr>
          <w:p>
            <w:pPr>
              <w:pStyle w:val="TableParagraph"/>
              <w:spacing w:before="135"/>
              <w:ind w:left="450"/>
              <w:rPr>
                <w:b/>
                <w:sz w:val="14"/>
              </w:rPr>
            </w:pPr>
            <w:r>
              <w:rPr>
                <w:b/>
                <w:sz w:val="14"/>
              </w:rPr>
              <w:t>0.0%</w:t>
            </w:r>
          </w:p>
        </w:tc>
        <w:tc>
          <w:tcPr>
            <w:tcW w:w="1232" w:type="dxa"/>
          </w:tcPr>
          <w:p>
            <w:pPr>
              <w:pStyle w:val="TableParagraph"/>
              <w:spacing w:before="135"/>
              <w:ind w:left="543"/>
              <w:rPr>
                <w:b/>
                <w:sz w:val="14"/>
              </w:rPr>
            </w:pPr>
            <w:r>
              <w:rPr>
                <w:b/>
                <w:sz w:val="14"/>
              </w:rPr>
              <w:t>996.3</w:t>
            </w:r>
          </w:p>
        </w:tc>
        <w:tc>
          <w:tcPr>
            <w:tcW w:w="1167" w:type="dxa"/>
          </w:tcPr>
          <w:p>
            <w:pPr>
              <w:pStyle w:val="TableParagraph"/>
              <w:spacing w:before="135"/>
              <w:ind w:left="422" w:right="385"/>
              <w:jc w:val="center"/>
              <w:rPr>
                <w:b/>
                <w:sz w:val="14"/>
              </w:rPr>
            </w:pPr>
            <w:r>
              <w:rPr>
                <w:b/>
                <w:sz w:val="14"/>
              </w:rPr>
              <w:t>0.0%</w:t>
            </w:r>
          </w:p>
        </w:tc>
      </w:tr>
      <w:tr>
        <w:trPr>
          <w:trHeight w:val="441" w:hRule="atLeast"/>
        </w:trPr>
        <w:tc>
          <w:tcPr>
            <w:tcW w:w="471" w:type="dxa"/>
          </w:tcPr>
          <w:p>
            <w:pPr>
              <w:pStyle w:val="TableParagraph"/>
              <w:spacing w:before="137"/>
              <w:ind w:left="125"/>
              <w:rPr>
                <w:sz w:val="14"/>
              </w:rPr>
            </w:pPr>
            <w:r>
              <w:rPr>
                <w:sz w:val="14"/>
              </w:rPr>
              <w:t>112</w:t>
            </w:r>
          </w:p>
        </w:tc>
        <w:tc>
          <w:tcPr>
            <w:tcW w:w="5760" w:type="dxa"/>
          </w:tcPr>
          <w:p>
            <w:pPr>
              <w:pStyle w:val="TableParagraph"/>
              <w:spacing w:before="137"/>
              <w:ind w:left="95"/>
              <w:rPr>
                <w:sz w:val="14"/>
              </w:rPr>
            </w:pPr>
            <w:r>
              <w:rPr>
                <w:sz w:val="14"/>
              </w:rPr>
              <w:t>Public Private Partnership Unit</w:t>
            </w:r>
          </w:p>
        </w:tc>
        <w:tc>
          <w:tcPr>
            <w:tcW w:w="1855" w:type="dxa"/>
          </w:tcPr>
          <w:p>
            <w:pPr>
              <w:pStyle w:val="TableParagraph"/>
              <w:spacing w:before="137"/>
              <w:ind w:left="782"/>
              <w:rPr>
                <w:b/>
                <w:sz w:val="14"/>
              </w:rPr>
            </w:pPr>
            <w:r>
              <w:rPr>
                <w:b/>
                <w:sz w:val="14"/>
              </w:rPr>
              <w:t>1,563.1</w:t>
            </w:r>
          </w:p>
        </w:tc>
        <w:tc>
          <w:tcPr>
            <w:tcW w:w="1305" w:type="dxa"/>
          </w:tcPr>
          <w:p>
            <w:pPr>
              <w:pStyle w:val="TableParagraph"/>
              <w:spacing w:before="137"/>
              <w:ind w:left="367"/>
              <w:rPr>
                <w:sz w:val="14"/>
              </w:rPr>
            </w:pPr>
            <w:r>
              <w:rPr>
                <w:sz w:val="14"/>
              </w:rPr>
              <w:t>0 . 1 %</w:t>
            </w:r>
          </w:p>
        </w:tc>
        <w:tc>
          <w:tcPr>
            <w:tcW w:w="1564" w:type="dxa"/>
          </w:tcPr>
          <w:p>
            <w:pPr>
              <w:pStyle w:val="TableParagraph"/>
              <w:spacing w:before="137"/>
              <w:ind w:left="573" w:right="598"/>
              <w:jc w:val="center"/>
              <w:rPr>
                <w:sz w:val="14"/>
              </w:rPr>
            </w:pPr>
            <w:r>
              <w:rPr>
                <w:sz w:val="14"/>
              </w:rPr>
              <w:t>940.0</w:t>
            </w:r>
          </w:p>
        </w:tc>
        <w:tc>
          <w:tcPr>
            <w:tcW w:w="1434" w:type="dxa"/>
          </w:tcPr>
          <w:p>
            <w:pPr>
              <w:pStyle w:val="TableParagraph"/>
              <w:spacing w:before="137"/>
              <w:ind w:left="388"/>
              <w:rPr>
                <w:sz w:val="14"/>
              </w:rPr>
            </w:pPr>
            <w:r>
              <w:rPr>
                <w:sz w:val="14"/>
              </w:rPr>
              <w:t>0 . 0 %</w:t>
            </w:r>
          </w:p>
        </w:tc>
        <w:tc>
          <w:tcPr>
            <w:tcW w:w="1232" w:type="dxa"/>
          </w:tcPr>
          <w:p>
            <w:pPr>
              <w:pStyle w:val="TableParagraph"/>
              <w:spacing w:before="137"/>
              <w:ind w:left="528"/>
              <w:rPr>
                <w:sz w:val="14"/>
              </w:rPr>
            </w:pPr>
            <w:r>
              <w:rPr>
                <w:sz w:val="14"/>
              </w:rPr>
              <w:t>996.3</w:t>
            </w:r>
          </w:p>
        </w:tc>
        <w:tc>
          <w:tcPr>
            <w:tcW w:w="1167" w:type="dxa"/>
          </w:tcPr>
          <w:p>
            <w:pPr>
              <w:pStyle w:val="TableParagraph"/>
              <w:spacing w:before="137"/>
              <w:ind w:left="386"/>
              <w:rPr>
                <w:sz w:val="14"/>
              </w:rPr>
            </w:pPr>
            <w:r>
              <w:rPr>
                <w:sz w:val="14"/>
              </w:rPr>
              <w:t>0 . 0 %</w:t>
            </w:r>
          </w:p>
        </w:tc>
      </w:tr>
      <w:tr>
        <w:trPr>
          <w:trHeight w:val="439" w:hRule="atLeast"/>
        </w:trPr>
        <w:tc>
          <w:tcPr>
            <w:tcW w:w="471" w:type="dxa"/>
          </w:tcPr>
          <w:p>
            <w:pPr>
              <w:pStyle w:val="TableParagraph"/>
              <w:spacing w:before="137"/>
              <w:ind w:left="140"/>
              <w:rPr>
                <w:b/>
                <w:sz w:val="14"/>
              </w:rPr>
            </w:pPr>
            <w:r>
              <w:rPr>
                <w:b/>
                <w:sz w:val="14"/>
              </w:rPr>
              <w:t>3. 7</w:t>
            </w:r>
          </w:p>
        </w:tc>
        <w:tc>
          <w:tcPr>
            <w:tcW w:w="5760" w:type="dxa"/>
          </w:tcPr>
          <w:p>
            <w:pPr>
              <w:pStyle w:val="TableParagraph"/>
              <w:spacing w:before="137"/>
              <w:ind w:left="96"/>
              <w:rPr>
                <w:b/>
                <w:sz w:val="14"/>
              </w:rPr>
            </w:pPr>
            <w:r>
              <w:rPr>
                <w:b/>
                <w:sz w:val="14"/>
              </w:rPr>
              <w:t>MANAGING NATURAL RESOURCES</w:t>
            </w:r>
          </w:p>
        </w:tc>
        <w:tc>
          <w:tcPr>
            <w:tcW w:w="1855" w:type="dxa"/>
          </w:tcPr>
          <w:p>
            <w:pPr>
              <w:pStyle w:val="TableParagraph"/>
              <w:spacing w:before="137"/>
              <w:ind w:left="782"/>
              <w:rPr>
                <w:b/>
                <w:sz w:val="14"/>
              </w:rPr>
            </w:pPr>
            <w:r>
              <w:rPr>
                <w:b/>
                <w:sz w:val="14"/>
              </w:rPr>
              <w:t>9,372.3</w:t>
            </w:r>
          </w:p>
        </w:tc>
        <w:tc>
          <w:tcPr>
            <w:tcW w:w="1305" w:type="dxa"/>
          </w:tcPr>
          <w:p>
            <w:pPr>
              <w:pStyle w:val="TableParagraph"/>
              <w:spacing w:before="137"/>
              <w:ind w:left="425"/>
              <w:rPr>
                <w:b/>
                <w:sz w:val="14"/>
              </w:rPr>
            </w:pPr>
            <w:r>
              <w:rPr>
                <w:b/>
                <w:sz w:val="14"/>
              </w:rPr>
              <w:t>0.4%</w:t>
            </w:r>
          </w:p>
        </w:tc>
        <w:tc>
          <w:tcPr>
            <w:tcW w:w="1564" w:type="dxa"/>
          </w:tcPr>
          <w:p>
            <w:pPr>
              <w:pStyle w:val="TableParagraph"/>
              <w:spacing w:before="137"/>
              <w:ind w:left="459"/>
              <w:rPr>
                <w:b/>
                <w:sz w:val="14"/>
              </w:rPr>
            </w:pPr>
            <w:r>
              <w:rPr>
                <w:b/>
                <w:sz w:val="14"/>
              </w:rPr>
              <w:t>9,907.5</w:t>
            </w:r>
          </w:p>
        </w:tc>
        <w:tc>
          <w:tcPr>
            <w:tcW w:w="1434" w:type="dxa"/>
          </w:tcPr>
          <w:p>
            <w:pPr>
              <w:pStyle w:val="TableParagraph"/>
              <w:spacing w:before="137"/>
              <w:ind w:left="450"/>
              <w:rPr>
                <w:b/>
                <w:sz w:val="14"/>
              </w:rPr>
            </w:pPr>
            <w:r>
              <w:rPr>
                <w:b/>
                <w:sz w:val="14"/>
              </w:rPr>
              <w:t>0.4%</w:t>
            </w:r>
          </w:p>
        </w:tc>
        <w:tc>
          <w:tcPr>
            <w:tcW w:w="1232" w:type="dxa"/>
          </w:tcPr>
          <w:p>
            <w:pPr>
              <w:pStyle w:val="TableParagraph"/>
              <w:spacing w:before="137"/>
              <w:ind w:left="317"/>
              <w:rPr>
                <w:b/>
                <w:sz w:val="14"/>
              </w:rPr>
            </w:pPr>
            <w:r>
              <w:rPr>
                <w:b/>
                <w:sz w:val="14"/>
              </w:rPr>
              <w:t>11,043.3</w:t>
            </w:r>
          </w:p>
        </w:tc>
        <w:tc>
          <w:tcPr>
            <w:tcW w:w="1167" w:type="dxa"/>
          </w:tcPr>
          <w:p>
            <w:pPr>
              <w:pStyle w:val="TableParagraph"/>
              <w:spacing w:before="137"/>
              <w:ind w:left="422" w:right="385"/>
              <w:jc w:val="center"/>
              <w:rPr>
                <w:b/>
                <w:sz w:val="14"/>
              </w:rPr>
            </w:pPr>
            <w:r>
              <w:rPr>
                <w:b/>
                <w:sz w:val="14"/>
              </w:rPr>
              <w:t>0.5%</w:t>
            </w:r>
          </w:p>
        </w:tc>
      </w:tr>
      <w:tr>
        <w:trPr>
          <w:trHeight w:val="328" w:hRule="atLeast"/>
        </w:trPr>
        <w:tc>
          <w:tcPr>
            <w:tcW w:w="471" w:type="dxa"/>
          </w:tcPr>
          <w:p>
            <w:pPr>
              <w:pStyle w:val="TableParagraph"/>
              <w:spacing w:before="135"/>
              <w:ind w:left="125"/>
              <w:rPr>
                <w:sz w:val="14"/>
              </w:rPr>
            </w:pPr>
            <w:r>
              <w:rPr>
                <w:sz w:val="14"/>
              </w:rPr>
              <w:t>403</w:t>
            </w:r>
          </w:p>
        </w:tc>
        <w:tc>
          <w:tcPr>
            <w:tcW w:w="5760" w:type="dxa"/>
          </w:tcPr>
          <w:p>
            <w:pPr>
              <w:pStyle w:val="TableParagraph"/>
              <w:spacing w:before="135"/>
              <w:ind w:left="96"/>
              <w:rPr>
                <w:sz w:val="14"/>
              </w:rPr>
            </w:pPr>
            <w:r>
              <w:rPr>
                <w:sz w:val="14"/>
              </w:rPr>
              <w:t>Ministry of Mines and Mineral Resources</w:t>
            </w:r>
          </w:p>
        </w:tc>
        <w:tc>
          <w:tcPr>
            <w:tcW w:w="1855" w:type="dxa"/>
          </w:tcPr>
          <w:p>
            <w:pPr>
              <w:pStyle w:val="TableParagraph"/>
              <w:spacing w:before="135"/>
              <w:ind w:left="782"/>
              <w:rPr>
                <w:b/>
                <w:sz w:val="14"/>
              </w:rPr>
            </w:pPr>
            <w:r>
              <w:rPr>
                <w:b/>
                <w:sz w:val="14"/>
              </w:rPr>
              <w:t>3,372.3</w:t>
            </w:r>
          </w:p>
        </w:tc>
        <w:tc>
          <w:tcPr>
            <w:tcW w:w="1305" w:type="dxa"/>
          </w:tcPr>
          <w:p>
            <w:pPr>
              <w:pStyle w:val="TableParagraph"/>
              <w:spacing w:before="135"/>
              <w:ind w:left="367"/>
              <w:rPr>
                <w:sz w:val="14"/>
              </w:rPr>
            </w:pPr>
            <w:r>
              <w:rPr>
                <w:sz w:val="14"/>
              </w:rPr>
              <w:t>0 . 1 %</w:t>
            </w:r>
          </w:p>
        </w:tc>
        <w:tc>
          <w:tcPr>
            <w:tcW w:w="1564" w:type="dxa"/>
          </w:tcPr>
          <w:p>
            <w:pPr>
              <w:pStyle w:val="TableParagraph"/>
              <w:spacing w:before="135"/>
              <w:ind w:left="425"/>
              <w:rPr>
                <w:sz w:val="14"/>
              </w:rPr>
            </w:pPr>
            <w:r>
              <w:rPr>
                <w:sz w:val="14"/>
              </w:rPr>
              <w:t>3,372 .3</w:t>
            </w:r>
          </w:p>
        </w:tc>
        <w:tc>
          <w:tcPr>
            <w:tcW w:w="1434" w:type="dxa"/>
          </w:tcPr>
          <w:p>
            <w:pPr>
              <w:pStyle w:val="TableParagraph"/>
              <w:spacing w:before="135"/>
              <w:ind w:left="388"/>
              <w:rPr>
                <w:sz w:val="14"/>
              </w:rPr>
            </w:pPr>
            <w:r>
              <w:rPr>
                <w:sz w:val="14"/>
              </w:rPr>
              <w:t>0 . 1 %</w:t>
            </w:r>
          </w:p>
        </w:tc>
        <w:tc>
          <w:tcPr>
            <w:tcW w:w="1232" w:type="dxa"/>
          </w:tcPr>
          <w:p>
            <w:pPr>
              <w:pStyle w:val="TableParagraph"/>
              <w:spacing w:before="135"/>
              <w:ind w:left="379"/>
              <w:rPr>
                <w:sz w:val="14"/>
              </w:rPr>
            </w:pPr>
            <w:r>
              <w:rPr>
                <w:sz w:val="14"/>
              </w:rPr>
              <w:t>3,372 .3</w:t>
            </w:r>
          </w:p>
        </w:tc>
        <w:tc>
          <w:tcPr>
            <w:tcW w:w="1167" w:type="dxa"/>
          </w:tcPr>
          <w:p>
            <w:pPr>
              <w:pStyle w:val="TableParagraph"/>
              <w:spacing w:before="135"/>
              <w:ind w:left="386"/>
              <w:rPr>
                <w:sz w:val="14"/>
              </w:rPr>
            </w:pPr>
            <w:r>
              <w:rPr>
                <w:sz w:val="14"/>
              </w:rPr>
              <w:t>0 . 1 %</w:t>
            </w:r>
          </w:p>
        </w:tc>
      </w:tr>
      <w:tr>
        <w:trPr>
          <w:trHeight w:val="222" w:hRule="atLeast"/>
        </w:trPr>
        <w:tc>
          <w:tcPr>
            <w:tcW w:w="8086" w:type="dxa"/>
            <w:gridSpan w:val="3"/>
          </w:tcPr>
          <w:p>
            <w:pPr>
              <w:pStyle w:val="TableParagraph"/>
              <w:tabs>
                <w:tab w:pos="7148" w:val="left" w:leader="none"/>
              </w:tabs>
              <w:spacing w:before="27"/>
              <w:ind w:left="902"/>
              <w:rPr>
                <w:b/>
                <w:sz w:val="14"/>
              </w:rPr>
            </w:pPr>
            <w:r>
              <w:rPr>
                <w:spacing w:val="6"/>
                <w:sz w:val="14"/>
              </w:rPr>
              <w:t>Administrative </w:t>
            </w:r>
            <w:r>
              <w:rPr>
                <w:spacing w:val="4"/>
                <w:sz w:val="14"/>
              </w:rPr>
              <w:t>and</w:t>
            </w:r>
            <w:r>
              <w:rPr>
                <w:spacing w:val="-8"/>
                <w:sz w:val="14"/>
              </w:rPr>
              <w:t> </w:t>
            </w:r>
            <w:r>
              <w:rPr>
                <w:spacing w:val="5"/>
                <w:sz w:val="14"/>
              </w:rPr>
              <w:t>Operating</w:t>
            </w:r>
            <w:r>
              <w:rPr>
                <w:spacing w:val="-2"/>
                <w:sz w:val="14"/>
              </w:rPr>
              <w:t> </w:t>
            </w:r>
            <w:r>
              <w:rPr>
                <w:spacing w:val="2"/>
                <w:sz w:val="14"/>
              </w:rPr>
              <w:t>Costs</w:t>
              <w:tab/>
            </w:r>
            <w:r>
              <w:rPr>
                <w:b/>
                <w:sz w:val="14"/>
              </w:rPr>
              <w:t>729.0</w:t>
            </w:r>
          </w:p>
        </w:tc>
        <w:tc>
          <w:tcPr>
            <w:tcW w:w="1305" w:type="dxa"/>
          </w:tcPr>
          <w:p>
            <w:pPr>
              <w:pStyle w:val="TableParagraph"/>
              <w:spacing w:before="27"/>
              <w:ind w:left="367"/>
              <w:rPr>
                <w:sz w:val="14"/>
              </w:rPr>
            </w:pPr>
            <w:r>
              <w:rPr>
                <w:sz w:val="14"/>
              </w:rPr>
              <w:t>0 . 0 %</w:t>
            </w:r>
          </w:p>
        </w:tc>
        <w:tc>
          <w:tcPr>
            <w:tcW w:w="1564" w:type="dxa"/>
          </w:tcPr>
          <w:p>
            <w:pPr>
              <w:pStyle w:val="TableParagraph"/>
              <w:spacing w:before="27"/>
              <w:ind w:left="573" w:right="598"/>
              <w:jc w:val="center"/>
              <w:rPr>
                <w:sz w:val="14"/>
              </w:rPr>
            </w:pPr>
            <w:r>
              <w:rPr>
                <w:sz w:val="14"/>
              </w:rPr>
              <w:t>898.0</w:t>
            </w:r>
          </w:p>
        </w:tc>
        <w:tc>
          <w:tcPr>
            <w:tcW w:w="1434" w:type="dxa"/>
          </w:tcPr>
          <w:p>
            <w:pPr>
              <w:pStyle w:val="TableParagraph"/>
              <w:spacing w:before="27"/>
              <w:ind w:left="388"/>
              <w:rPr>
                <w:sz w:val="14"/>
              </w:rPr>
            </w:pPr>
            <w:r>
              <w:rPr>
                <w:sz w:val="14"/>
              </w:rPr>
              <w:t>0 . 0 %</w:t>
            </w:r>
          </w:p>
        </w:tc>
        <w:tc>
          <w:tcPr>
            <w:tcW w:w="1232" w:type="dxa"/>
          </w:tcPr>
          <w:p>
            <w:pPr>
              <w:pStyle w:val="TableParagraph"/>
              <w:spacing w:before="27"/>
              <w:ind w:left="528"/>
              <w:rPr>
                <w:sz w:val="14"/>
              </w:rPr>
            </w:pPr>
            <w:r>
              <w:rPr>
                <w:sz w:val="14"/>
              </w:rPr>
              <w:t>951.8</w:t>
            </w:r>
          </w:p>
        </w:tc>
        <w:tc>
          <w:tcPr>
            <w:tcW w:w="1167" w:type="dxa"/>
          </w:tcPr>
          <w:p>
            <w:pPr>
              <w:pStyle w:val="TableParagraph"/>
              <w:spacing w:before="27"/>
              <w:ind w:left="386"/>
              <w:rPr>
                <w:sz w:val="14"/>
              </w:rPr>
            </w:pPr>
            <w:r>
              <w:rPr>
                <w:sz w:val="14"/>
              </w:rPr>
              <w:t>0 . 0 %</w:t>
            </w:r>
          </w:p>
        </w:tc>
      </w:tr>
    </w:tbl>
    <w:p>
      <w:pPr>
        <w:spacing w:after="0"/>
        <w:rPr>
          <w:sz w:val="14"/>
        </w:rPr>
        <w:sectPr>
          <w:pgSz w:w="16840" w:h="11900" w:orient="landscape"/>
          <w:pgMar w:header="1059" w:footer="0" w:top="2460" w:bottom="280" w:left="880" w:right="920"/>
        </w:sectPr>
      </w:pPr>
    </w:p>
    <w:p>
      <w:pPr>
        <w:pStyle w:val="BodyText"/>
        <w:rPr>
          <w:rFonts w:ascii="Times New Roman"/>
          <w:sz w:val="6"/>
        </w:rPr>
      </w:pPr>
      <w:r>
        <w:rPr/>
        <w:pict>
          <v:shape style="position:absolute;margin-left:27.140491pt;margin-top:286.110016pt;width:14.35pt;height:19.25pt;mso-position-horizontal-relative:page;mso-position-vertical-relative:page;z-index:1576" type="#_x0000_t202" filled="false" stroked="false">
            <v:textbox inset="0,0,0,0" style="layout-flow:vertical">
              <w:txbxContent>
                <w:p>
                  <w:pPr>
                    <w:spacing w:before="13"/>
                    <w:ind w:left="20" w:right="0" w:firstLine="0"/>
                    <w:jc w:val="left"/>
                    <w:rPr>
                      <w:rFonts w:ascii="Arial"/>
                      <w:sz w:val="22"/>
                    </w:rPr>
                  </w:pPr>
                  <w:r>
                    <w:rPr>
                      <w:rFonts w:ascii="Arial"/>
                      <w:sz w:val="22"/>
                    </w:rPr>
                    <w:t>xxii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0"/>
        <w:gridCol w:w="1667"/>
        <w:gridCol w:w="1535"/>
        <w:gridCol w:w="1520"/>
        <w:gridCol w:w="1483"/>
        <w:gridCol w:w="1097"/>
        <w:gridCol w:w="1258"/>
      </w:tblGrid>
      <w:tr>
        <w:trPr>
          <w:trHeight w:val="567" w:hRule="atLeast"/>
        </w:trPr>
        <w:tc>
          <w:tcPr>
            <w:tcW w:w="7897" w:type="dxa"/>
            <w:gridSpan w:val="2"/>
            <w:tcBorders>
              <w:bottom w:val="single" w:sz="18" w:space="0" w:color="000000"/>
            </w:tcBorders>
          </w:tcPr>
          <w:p>
            <w:pPr>
              <w:pStyle w:val="TableParagraph"/>
              <w:spacing w:before="29"/>
              <w:ind w:right="399"/>
              <w:jc w:val="right"/>
              <w:rPr>
                <w:b/>
                <w:sz w:val="14"/>
              </w:rPr>
            </w:pPr>
            <w:r>
              <w:rPr>
                <w:b/>
                <w:spacing w:val="2"/>
                <w:sz w:val="14"/>
              </w:rPr>
              <w:t>FY</w:t>
            </w:r>
            <w:r>
              <w:rPr>
                <w:b/>
                <w:spacing w:val="6"/>
                <w:sz w:val="14"/>
              </w:rPr>
              <w:t> </w:t>
            </w:r>
            <w:r>
              <w:rPr>
                <w:b/>
                <w:spacing w:val="4"/>
                <w:sz w:val="14"/>
              </w:rPr>
              <w:t>2020</w:t>
            </w:r>
          </w:p>
          <w:p>
            <w:pPr>
              <w:pStyle w:val="TableParagraph"/>
              <w:spacing w:before="17"/>
              <w:ind w:right="390"/>
              <w:jc w:val="right"/>
              <w:rPr>
                <w:sz w:val="14"/>
              </w:rPr>
            </w:pPr>
            <w:r>
              <w:rPr>
                <w:sz w:val="14"/>
              </w:rPr>
              <w:t>Budget</w:t>
            </w:r>
          </w:p>
        </w:tc>
        <w:tc>
          <w:tcPr>
            <w:tcW w:w="1535" w:type="dxa"/>
            <w:tcBorders>
              <w:bottom w:val="single" w:sz="18" w:space="0" w:color="000000"/>
            </w:tcBorders>
          </w:tcPr>
          <w:p>
            <w:pPr>
              <w:pStyle w:val="TableParagraph"/>
              <w:spacing w:line="264" w:lineRule="auto" w:before="29"/>
              <w:ind w:left="392" w:right="184" w:firstLine="91"/>
              <w:rPr>
                <w:sz w:val="14"/>
              </w:rPr>
            </w:pPr>
            <w:r>
              <w:rPr>
                <w:sz w:val="14"/>
              </w:rPr>
              <w:t>% of Total Non Int/ Sal</w:t>
            </w:r>
          </w:p>
        </w:tc>
        <w:tc>
          <w:tcPr>
            <w:tcW w:w="1520" w:type="dxa"/>
            <w:tcBorders>
              <w:bottom w:val="single" w:sz="18" w:space="0" w:color="000000"/>
            </w:tcBorders>
          </w:tcPr>
          <w:p>
            <w:pPr>
              <w:pStyle w:val="TableParagraph"/>
              <w:spacing w:before="29"/>
              <w:ind w:left="567"/>
              <w:rPr>
                <w:b/>
                <w:sz w:val="14"/>
              </w:rPr>
            </w:pPr>
            <w:r>
              <w:rPr>
                <w:b/>
                <w:spacing w:val="2"/>
                <w:sz w:val="14"/>
              </w:rPr>
              <w:t>FY</w:t>
            </w:r>
            <w:r>
              <w:rPr>
                <w:b/>
                <w:spacing w:val="6"/>
                <w:sz w:val="14"/>
              </w:rPr>
              <w:t> </w:t>
            </w:r>
            <w:r>
              <w:rPr>
                <w:b/>
                <w:spacing w:val="4"/>
                <w:sz w:val="14"/>
              </w:rPr>
              <w:t>2021</w:t>
            </w:r>
          </w:p>
          <w:p>
            <w:pPr>
              <w:pStyle w:val="TableParagraph"/>
              <w:spacing w:before="17"/>
              <w:ind w:left="509"/>
              <w:rPr>
                <w:sz w:val="14"/>
              </w:rPr>
            </w:pPr>
            <w:r>
              <w:rPr>
                <w:spacing w:val="3"/>
                <w:sz w:val="14"/>
              </w:rPr>
              <w:t>Indicative</w:t>
            </w:r>
          </w:p>
        </w:tc>
        <w:tc>
          <w:tcPr>
            <w:tcW w:w="1483" w:type="dxa"/>
            <w:tcBorders>
              <w:bottom w:val="single" w:sz="18" w:space="0" w:color="000000"/>
            </w:tcBorders>
          </w:tcPr>
          <w:p>
            <w:pPr>
              <w:pStyle w:val="TableParagraph"/>
              <w:spacing w:line="249" w:lineRule="auto" w:before="29"/>
              <w:ind w:left="400" w:right="326" w:firstLine="86"/>
              <w:jc w:val="both"/>
              <w:rPr>
                <w:sz w:val="14"/>
              </w:rPr>
            </w:pPr>
            <w:r>
              <w:rPr>
                <w:sz w:val="14"/>
              </w:rPr>
              <w:t>% of Total Non Int/ Sal Recurr Exp</w:t>
            </w:r>
          </w:p>
        </w:tc>
        <w:tc>
          <w:tcPr>
            <w:tcW w:w="1097" w:type="dxa"/>
            <w:tcBorders>
              <w:bottom w:val="single" w:sz="18" w:space="0" w:color="000000"/>
            </w:tcBorders>
          </w:tcPr>
          <w:p>
            <w:pPr>
              <w:pStyle w:val="TableParagraph"/>
              <w:spacing w:before="29"/>
              <w:ind w:right="192"/>
              <w:jc w:val="right"/>
              <w:rPr>
                <w:b/>
                <w:sz w:val="14"/>
              </w:rPr>
            </w:pPr>
            <w:r>
              <w:rPr>
                <w:b/>
                <w:sz w:val="14"/>
              </w:rPr>
              <w:t>FY 2022</w:t>
            </w:r>
          </w:p>
        </w:tc>
        <w:tc>
          <w:tcPr>
            <w:tcW w:w="1258" w:type="dxa"/>
            <w:tcBorders>
              <w:bottom w:val="single" w:sz="18" w:space="0" w:color="000000"/>
            </w:tcBorders>
          </w:tcPr>
          <w:p>
            <w:pPr>
              <w:pStyle w:val="TableParagraph"/>
              <w:spacing w:line="249" w:lineRule="auto" w:before="29"/>
              <w:ind w:left="200" w:right="300" w:firstLine="86"/>
              <w:jc w:val="both"/>
              <w:rPr>
                <w:sz w:val="14"/>
              </w:rPr>
            </w:pPr>
            <w:r>
              <w:rPr>
                <w:sz w:val="14"/>
              </w:rPr>
              <w:t>% of Total Non Int/ Sal Recurr Exp</w:t>
            </w:r>
          </w:p>
        </w:tc>
      </w:tr>
      <w:tr>
        <w:trPr>
          <w:trHeight w:val="282" w:hRule="atLeast"/>
        </w:trPr>
        <w:tc>
          <w:tcPr>
            <w:tcW w:w="7897" w:type="dxa"/>
            <w:gridSpan w:val="2"/>
            <w:tcBorders>
              <w:top w:val="single" w:sz="18" w:space="0" w:color="000000"/>
            </w:tcBorders>
          </w:tcPr>
          <w:p>
            <w:pPr>
              <w:pStyle w:val="TableParagraph"/>
              <w:tabs>
                <w:tab w:pos="7013" w:val="left" w:leader="none"/>
              </w:tabs>
              <w:spacing w:before="88"/>
              <w:ind w:left="903"/>
              <w:rPr>
                <w:b/>
                <w:sz w:val="14"/>
              </w:rPr>
            </w:pPr>
            <w:r>
              <w:rPr>
                <w:spacing w:val="5"/>
                <w:sz w:val="14"/>
              </w:rPr>
              <w:t>Mines</w:t>
            </w:r>
            <w:r>
              <w:rPr>
                <w:spacing w:val="8"/>
                <w:sz w:val="14"/>
              </w:rPr>
              <w:t> </w:t>
            </w:r>
            <w:r>
              <w:rPr>
                <w:spacing w:val="5"/>
                <w:sz w:val="14"/>
              </w:rPr>
              <w:t>Division</w:t>
              <w:tab/>
            </w:r>
            <w:r>
              <w:rPr>
                <w:b/>
                <w:sz w:val="14"/>
              </w:rPr>
              <w:t>2,643.2</w:t>
            </w:r>
          </w:p>
        </w:tc>
        <w:tc>
          <w:tcPr>
            <w:tcW w:w="1535" w:type="dxa"/>
            <w:tcBorders>
              <w:top w:val="single" w:sz="18" w:space="0" w:color="000000"/>
            </w:tcBorders>
          </w:tcPr>
          <w:p>
            <w:pPr>
              <w:pStyle w:val="TableParagraph"/>
              <w:spacing w:before="88"/>
              <w:ind w:left="556"/>
              <w:rPr>
                <w:sz w:val="14"/>
              </w:rPr>
            </w:pPr>
            <w:r>
              <w:rPr>
                <w:sz w:val="14"/>
              </w:rPr>
              <w:t>0 . 1 %</w:t>
            </w:r>
          </w:p>
        </w:tc>
        <w:tc>
          <w:tcPr>
            <w:tcW w:w="1520" w:type="dxa"/>
            <w:tcBorders>
              <w:top w:val="single" w:sz="18" w:space="0" w:color="000000"/>
            </w:tcBorders>
          </w:tcPr>
          <w:p>
            <w:pPr>
              <w:pStyle w:val="TableParagraph"/>
              <w:spacing w:before="88"/>
              <w:ind w:right="609"/>
              <w:jc w:val="right"/>
              <w:rPr>
                <w:sz w:val="14"/>
              </w:rPr>
            </w:pPr>
            <w:r>
              <w:rPr>
                <w:sz w:val="14"/>
              </w:rPr>
              <w:t>3,255 .9</w:t>
            </w:r>
          </w:p>
        </w:tc>
        <w:tc>
          <w:tcPr>
            <w:tcW w:w="1483" w:type="dxa"/>
            <w:tcBorders>
              <w:top w:val="single" w:sz="18" w:space="0" w:color="000000"/>
            </w:tcBorders>
          </w:tcPr>
          <w:p>
            <w:pPr>
              <w:pStyle w:val="TableParagraph"/>
              <w:spacing w:before="88"/>
              <w:ind w:left="391"/>
              <w:rPr>
                <w:sz w:val="14"/>
              </w:rPr>
            </w:pPr>
            <w:r>
              <w:rPr>
                <w:sz w:val="14"/>
              </w:rPr>
              <w:t>0 . 1 %</w:t>
            </w:r>
          </w:p>
        </w:tc>
        <w:tc>
          <w:tcPr>
            <w:tcW w:w="1097" w:type="dxa"/>
            <w:tcBorders>
              <w:top w:val="single" w:sz="18" w:space="0" w:color="000000"/>
            </w:tcBorders>
          </w:tcPr>
          <w:p>
            <w:pPr>
              <w:pStyle w:val="TableParagraph"/>
              <w:spacing w:before="88"/>
              <w:ind w:right="237"/>
              <w:jc w:val="right"/>
              <w:rPr>
                <w:sz w:val="14"/>
              </w:rPr>
            </w:pPr>
            <w:r>
              <w:rPr>
                <w:sz w:val="14"/>
              </w:rPr>
              <w:t>3,450 .9</w:t>
            </w:r>
          </w:p>
        </w:tc>
        <w:tc>
          <w:tcPr>
            <w:tcW w:w="1258" w:type="dxa"/>
            <w:tcBorders>
              <w:top w:val="single" w:sz="18" w:space="0" w:color="000000"/>
            </w:tcBorders>
          </w:tcPr>
          <w:p>
            <w:pPr>
              <w:pStyle w:val="TableParagraph"/>
              <w:spacing w:before="88"/>
              <w:ind w:left="331" w:right="264"/>
              <w:jc w:val="center"/>
              <w:rPr>
                <w:sz w:val="14"/>
              </w:rPr>
            </w:pPr>
            <w:r>
              <w:rPr>
                <w:sz w:val="14"/>
              </w:rPr>
              <w:t>0 . 1 %</w:t>
            </w:r>
          </w:p>
        </w:tc>
      </w:tr>
      <w:tr>
        <w:trPr>
          <w:trHeight w:val="220" w:hRule="atLeast"/>
        </w:trPr>
        <w:tc>
          <w:tcPr>
            <w:tcW w:w="6230" w:type="dxa"/>
          </w:tcPr>
          <w:p>
            <w:pPr>
              <w:pStyle w:val="TableParagraph"/>
              <w:spacing w:before="27"/>
              <w:ind w:left="1075"/>
              <w:rPr>
                <w:sz w:val="14"/>
              </w:rPr>
            </w:pPr>
            <w:r>
              <w:rPr>
                <w:sz w:val="14"/>
              </w:rPr>
              <w:t>Review the legal framework for mines and minerals</w:t>
            </w:r>
          </w:p>
        </w:tc>
        <w:tc>
          <w:tcPr>
            <w:tcW w:w="1667" w:type="dxa"/>
          </w:tcPr>
          <w:p>
            <w:pPr>
              <w:pStyle w:val="TableParagraph"/>
              <w:spacing w:before="27"/>
              <w:ind w:right="397"/>
              <w:jc w:val="right"/>
              <w:rPr>
                <w:b/>
                <w:sz w:val="14"/>
              </w:rPr>
            </w:pPr>
            <w:r>
              <w:rPr>
                <w:b/>
                <w:sz w:val="14"/>
              </w:rPr>
              <w:t>192.9</w:t>
            </w:r>
          </w:p>
        </w:tc>
        <w:tc>
          <w:tcPr>
            <w:tcW w:w="1535" w:type="dxa"/>
          </w:tcPr>
          <w:p>
            <w:pPr>
              <w:pStyle w:val="TableParagraph"/>
              <w:spacing w:before="27"/>
              <w:ind w:left="556"/>
              <w:rPr>
                <w:sz w:val="14"/>
              </w:rPr>
            </w:pPr>
            <w:r>
              <w:rPr>
                <w:sz w:val="14"/>
              </w:rPr>
              <w:t>0 . 0 %</w:t>
            </w:r>
          </w:p>
        </w:tc>
        <w:tc>
          <w:tcPr>
            <w:tcW w:w="1520" w:type="dxa"/>
          </w:tcPr>
          <w:p>
            <w:pPr>
              <w:pStyle w:val="TableParagraph"/>
              <w:spacing w:before="27"/>
              <w:ind w:right="602"/>
              <w:jc w:val="right"/>
              <w:rPr>
                <w:sz w:val="14"/>
              </w:rPr>
            </w:pPr>
            <w:r>
              <w:rPr>
                <w:sz w:val="14"/>
              </w:rPr>
              <w:t>237.6</w:t>
            </w:r>
          </w:p>
        </w:tc>
        <w:tc>
          <w:tcPr>
            <w:tcW w:w="1483" w:type="dxa"/>
          </w:tcPr>
          <w:p>
            <w:pPr>
              <w:pStyle w:val="TableParagraph"/>
              <w:spacing w:before="27"/>
              <w:ind w:left="391"/>
              <w:rPr>
                <w:sz w:val="14"/>
              </w:rPr>
            </w:pPr>
            <w:r>
              <w:rPr>
                <w:sz w:val="14"/>
              </w:rPr>
              <w:t>0 . 0 %</w:t>
            </w:r>
          </w:p>
        </w:tc>
        <w:tc>
          <w:tcPr>
            <w:tcW w:w="1097" w:type="dxa"/>
          </w:tcPr>
          <w:p>
            <w:pPr>
              <w:pStyle w:val="TableParagraph"/>
              <w:spacing w:before="27"/>
              <w:ind w:right="234"/>
              <w:jc w:val="right"/>
              <w:rPr>
                <w:sz w:val="14"/>
              </w:rPr>
            </w:pPr>
            <w:r>
              <w:rPr>
                <w:sz w:val="14"/>
              </w:rPr>
              <w:t>251.8</w:t>
            </w:r>
          </w:p>
        </w:tc>
        <w:tc>
          <w:tcPr>
            <w:tcW w:w="1258" w:type="dxa"/>
          </w:tcPr>
          <w:p>
            <w:pPr>
              <w:pStyle w:val="TableParagraph"/>
              <w:spacing w:before="27"/>
              <w:ind w:left="331" w:right="264"/>
              <w:jc w:val="center"/>
              <w:rPr>
                <w:sz w:val="14"/>
              </w:rPr>
            </w:pPr>
            <w:r>
              <w:rPr>
                <w:sz w:val="14"/>
              </w:rPr>
              <w:t>0 . 0 %</w:t>
            </w:r>
          </w:p>
        </w:tc>
      </w:tr>
      <w:tr>
        <w:trPr>
          <w:trHeight w:val="220" w:hRule="atLeast"/>
        </w:trPr>
        <w:tc>
          <w:tcPr>
            <w:tcW w:w="6230" w:type="dxa"/>
          </w:tcPr>
          <w:p>
            <w:pPr>
              <w:pStyle w:val="TableParagraph"/>
              <w:spacing w:before="27"/>
              <w:ind w:left="1075"/>
              <w:rPr>
                <w:sz w:val="14"/>
              </w:rPr>
            </w:pPr>
            <w:r>
              <w:rPr>
                <w:sz w:val="14"/>
              </w:rPr>
              <w:t>Support to the National Minerals Agency</w:t>
            </w:r>
          </w:p>
        </w:tc>
        <w:tc>
          <w:tcPr>
            <w:tcW w:w="1667" w:type="dxa"/>
          </w:tcPr>
          <w:p>
            <w:pPr>
              <w:pStyle w:val="TableParagraph"/>
              <w:spacing w:before="27"/>
              <w:ind w:right="408"/>
              <w:jc w:val="right"/>
              <w:rPr>
                <w:b/>
                <w:sz w:val="14"/>
              </w:rPr>
            </w:pPr>
            <w:r>
              <w:rPr>
                <w:b/>
                <w:sz w:val="14"/>
              </w:rPr>
              <w:t>1,773.4</w:t>
            </w:r>
          </w:p>
        </w:tc>
        <w:tc>
          <w:tcPr>
            <w:tcW w:w="1535" w:type="dxa"/>
          </w:tcPr>
          <w:p>
            <w:pPr>
              <w:pStyle w:val="TableParagraph"/>
              <w:spacing w:before="27"/>
              <w:ind w:left="556"/>
              <w:rPr>
                <w:sz w:val="14"/>
              </w:rPr>
            </w:pPr>
            <w:r>
              <w:rPr>
                <w:sz w:val="14"/>
              </w:rPr>
              <w:t>0 . 1 %</w:t>
            </w:r>
          </w:p>
        </w:tc>
        <w:tc>
          <w:tcPr>
            <w:tcW w:w="1520" w:type="dxa"/>
          </w:tcPr>
          <w:p>
            <w:pPr>
              <w:pStyle w:val="TableParagraph"/>
              <w:spacing w:before="27"/>
              <w:ind w:right="609"/>
              <w:jc w:val="right"/>
              <w:rPr>
                <w:sz w:val="14"/>
              </w:rPr>
            </w:pPr>
            <w:r>
              <w:rPr>
                <w:sz w:val="14"/>
              </w:rPr>
              <w:t>2,184 .4</w:t>
            </w:r>
          </w:p>
        </w:tc>
        <w:tc>
          <w:tcPr>
            <w:tcW w:w="1483" w:type="dxa"/>
          </w:tcPr>
          <w:p>
            <w:pPr>
              <w:pStyle w:val="TableParagraph"/>
              <w:spacing w:before="27"/>
              <w:ind w:left="391"/>
              <w:rPr>
                <w:sz w:val="14"/>
              </w:rPr>
            </w:pPr>
            <w:r>
              <w:rPr>
                <w:sz w:val="14"/>
              </w:rPr>
              <w:t>0 . 1 %</w:t>
            </w:r>
          </w:p>
        </w:tc>
        <w:tc>
          <w:tcPr>
            <w:tcW w:w="1097" w:type="dxa"/>
          </w:tcPr>
          <w:p>
            <w:pPr>
              <w:pStyle w:val="TableParagraph"/>
              <w:spacing w:before="27"/>
              <w:ind w:right="237"/>
              <w:jc w:val="right"/>
              <w:rPr>
                <w:sz w:val="14"/>
              </w:rPr>
            </w:pPr>
            <w:r>
              <w:rPr>
                <w:sz w:val="14"/>
              </w:rPr>
              <w:t>2,315 .3</w:t>
            </w:r>
          </w:p>
        </w:tc>
        <w:tc>
          <w:tcPr>
            <w:tcW w:w="1258" w:type="dxa"/>
          </w:tcPr>
          <w:p>
            <w:pPr>
              <w:pStyle w:val="TableParagraph"/>
              <w:spacing w:before="27"/>
              <w:ind w:left="331" w:right="264"/>
              <w:jc w:val="center"/>
              <w:rPr>
                <w:sz w:val="14"/>
              </w:rPr>
            </w:pPr>
            <w:r>
              <w:rPr>
                <w:sz w:val="14"/>
              </w:rPr>
              <w:t>0 . 1 %</w:t>
            </w:r>
          </w:p>
        </w:tc>
      </w:tr>
      <w:tr>
        <w:trPr>
          <w:trHeight w:val="222" w:hRule="atLeast"/>
        </w:trPr>
        <w:tc>
          <w:tcPr>
            <w:tcW w:w="6230" w:type="dxa"/>
          </w:tcPr>
          <w:p>
            <w:pPr>
              <w:pStyle w:val="TableParagraph"/>
              <w:spacing w:before="27"/>
              <w:ind w:left="1075"/>
              <w:rPr>
                <w:sz w:val="14"/>
              </w:rPr>
            </w:pPr>
            <w:r>
              <w:rPr>
                <w:sz w:val="14"/>
              </w:rPr>
              <w:t>Support to Artisanal Miners and Small Scale Mining Enterpreneurs</w:t>
            </w:r>
          </w:p>
        </w:tc>
        <w:tc>
          <w:tcPr>
            <w:tcW w:w="1667" w:type="dxa"/>
          </w:tcPr>
          <w:p>
            <w:pPr>
              <w:pStyle w:val="TableParagraph"/>
              <w:spacing w:before="27"/>
              <w:ind w:right="397"/>
              <w:jc w:val="right"/>
              <w:rPr>
                <w:b/>
                <w:sz w:val="14"/>
              </w:rPr>
            </w:pPr>
            <w:r>
              <w:rPr>
                <w:b/>
                <w:sz w:val="14"/>
              </w:rPr>
              <w:t>677.0</w:t>
            </w:r>
          </w:p>
        </w:tc>
        <w:tc>
          <w:tcPr>
            <w:tcW w:w="1535" w:type="dxa"/>
          </w:tcPr>
          <w:p>
            <w:pPr>
              <w:pStyle w:val="TableParagraph"/>
              <w:spacing w:before="27"/>
              <w:ind w:left="556"/>
              <w:rPr>
                <w:sz w:val="14"/>
              </w:rPr>
            </w:pPr>
            <w:r>
              <w:rPr>
                <w:sz w:val="14"/>
              </w:rPr>
              <w:t>0 . 0 %</w:t>
            </w:r>
          </w:p>
        </w:tc>
        <w:tc>
          <w:tcPr>
            <w:tcW w:w="1520" w:type="dxa"/>
          </w:tcPr>
          <w:p>
            <w:pPr>
              <w:pStyle w:val="TableParagraph"/>
              <w:spacing w:before="27"/>
              <w:ind w:right="602"/>
              <w:jc w:val="right"/>
              <w:rPr>
                <w:sz w:val="14"/>
              </w:rPr>
            </w:pPr>
            <w:r>
              <w:rPr>
                <w:sz w:val="14"/>
              </w:rPr>
              <w:t>833.9</w:t>
            </w:r>
          </w:p>
        </w:tc>
        <w:tc>
          <w:tcPr>
            <w:tcW w:w="1483" w:type="dxa"/>
          </w:tcPr>
          <w:p>
            <w:pPr>
              <w:pStyle w:val="TableParagraph"/>
              <w:spacing w:before="27"/>
              <w:ind w:left="391"/>
              <w:rPr>
                <w:sz w:val="14"/>
              </w:rPr>
            </w:pPr>
            <w:r>
              <w:rPr>
                <w:sz w:val="14"/>
              </w:rPr>
              <w:t>0 . 0 %</w:t>
            </w:r>
          </w:p>
        </w:tc>
        <w:tc>
          <w:tcPr>
            <w:tcW w:w="1097" w:type="dxa"/>
          </w:tcPr>
          <w:p>
            <w:pPr>
              <w:pStyle w:val="TableParagraph"/>
              <w:spacing w:before="27"/>
              <w:ind w:right="234"/>
              <w:jc w:val="right"/>
              <w:rPr>
                <w:sz w:val="14"/>
              </w:rPr>
            </w:pPr>
            <w:r>
              <w:rPr>
                <w:sz w:val="14"/>
              </w:rPr>
              <w:t>883.8</w:t>
            </w:r>
          </w:p>
        </w:tc>
        <w:tc>
          <w:tcPr>
            <w:tcW w:w="1258" w:type="dxa"/>
          </w:tcPr>
          <w:p>
            <w:pPr>
              <w:pStyle w:val="TableParagraph"/>
              <w:spacing w:before="27"/>
              <w:ind w:left="331" w:right="264"/>
              <w:jc w:val="center"/>
              <w:rPr>
                <w:sz w:val="14"/>
              </w:rPr>
            </w:pPr>
            <w:r>
              <w:rPr>
                <w:sz w:val="14"/>
              </w:rPr>
              <w:t>0 . 0 %</w:t>
            </w:r>
          </w:p>
        </w:tc>
      </w:tr>
    </w:tbl>
    <w:p>
      <w:pPr>
        <w:pStyle w:val="BodyText"/>
        <w:spacing w:before="9"/>
        <w:rPr>
          <w:rFonts w:ascii="Times New Roman"/>
          <w:sz w:val="12"/>
        </w:rPr>
      </w:pPr>
    </w:p>
    <w:p>
      <w:pPr>
        <w:tabs>
          <w:tab w:pos="6888" w:val="left" w:leader="none"/>
          <w:tab w:pos="8327" w:val="left" w:leader="none"/>
          <w:tab w:pos="9691" w:val="left" w:leader="none"/>
          <w:tab w:pos="11217" w:val="left" w:leader="none"/>
          <w:tab w:pos="12643" w:val="left" w:leader="none"/>
          <w:tab w:pos="13881" w:val="left" w:leader="none"/>
        </w:tabs>
        <w:spacing w:before="94"/>
        <w:ind w:left="0" w:right="255" w:firstLine="0"/>
        <w:jc w:val="center"/>
        <w:rPr>
          <w:rFonts w:ascii="Arial"/>
          <w:sz w:val="14"/>
        </w:rPr>
      </w:pPr>
      <w:r>
        <w:rPr>
          <w:rFonts w:ascii="Arial"/>
          <w:spacing w:val="6"/>
          <w:sz w:val="14"/>
        </w:rPr>
        <w:t>424   </w:t>
      </w:r>
      <w:r>
        <w:rPr>
          <w:rFonts w:ascii="Arial"/>
          <w:spacing w:val="5"/>
          <w:sz w:val="14"/>
        </w:rPr>
        <w:t>Sierra </w:t>
      </w:r>
      <w:r>
        <w:rPr>
          <w:rFonts w:ascii="Arial"/>
          <w:sz w:val="14"/>
        </w:rPr>
        <w:t>Leone</w:t>
      </w:r>
      <w:r>
        <w:rPr>
          <w:rFonts w:ascii="Arial"/>
          <w:spacing w:val="10"/>
          <w:sz w:val="14"/>
        </w:rPr>
        <w:t> </w:t>
      </w:r>
      <w:r>
        <w:rPr>
          <w:rFonts w:ascii="Arial"/>
          <w:spacing w:val="4"/>
          <w:sz w:val="14"/>
        </w:rPr>
        <w:t>Petroleum</w:t>
      </w:r>
      <w:r>
        <w:rPr>
          <w:rFonts w:ascii="Arial"/>
          <w:spacing w:val="-1"/>
          <w:sz w:val="14"/>
        </w:rPr>
        <w:t> </w:t>
      </w:r>
      <w:r>
        <w:rPr>
          <w:rFonts w:ascii="Arial"/>
          <w:spacing w:val="5"/>
          <w:sz w:val="14"/>
        </w:rPr>
        <w:t>Directorate</w:t>
        <w:tab/>
      </w:r>
      <w:r>
        <w:rPr>
          <w:rFonts w:ascii="Arial"/>
          <w:b/>
          <w:sz w:val="14"/>
        </w:rPr>
        <w:t>6,000.0</w:t>
        <w:tab/>
      </w:r>
      <w:r>
        <w:rPr>
          <w:rFonts w:ascii="Arial"/>
          <w:sz w:val="14"/>
        </w:rPr>
        <w:t>0</w:t>
      </w:r>
      <w:r>
        <w:rPr>
          <w:rFonts w:ascii="Arial"/>
          <w:spacing w:val="-21"/>
          <w:sz w:val="14"/>
        </w:rPr>
        <w:t> </w:t>
      </w:r>
      <w:r>
        <w:rPr>
          <w:rFonts w:ascii="Arial"/>
          <w:sz w:val="14"/>
        </w:rPr>
        <w:t>.</w:t>
      </w:r>
      <w:r>
        <w:rPr>
          <w:rFonts w:ascii="Arial"/>
          <w:spacing w:val="-18"/>
          <w:sz w:val="14"/>
        </w:rPr>
        <w:t> </w:t>
      </w:r>
      <w:r>
        <w:rPr>
          <w:rFonts w:ascii="Arial"/>
          <w:sz w:val="14"/>
        </w:rPr>
        <w:t>3</w:t>
      </w:r>
      <w:r>
        <w:rPr>
          <w:rFonts w:ascii="Arial"/>
          <w:spacing w:val="-21"/>
          <w:sz w:val="14"/>
        </w:rPr>
        <w:t> </w:t>
      </w:r>
      <w:r>
        <w:rPr>
          <w:rFonts w:ascii="Arial"/>
          <w:sz w:val="14"/>
        </w:rPr>
        <w:t>%</w:t>
        <w:tab/>
      </w:r>
      <w:r>
        <w:rPr>
          <w:rFonts w:ascii="Arial"/>
          <w:spacing w:val="7"/>
          <w:sz w:val="14"/>
        </w:rPr>
        <w:t>6,535</w:t>
      </w:r>
      <w:r>
        <w:rPr>
          <w:rFonts w:ascii="Arial"/>
          <w:spacing w:val="-26"/>
          <w:sz w:val="14"/>
        </w:rPr>
        <w:t> </w:t>
      </w:r>
      <w:r>
        <w:rPr>
          <w:rFonts w:ascii="Arial"/>
          <w:spacing w:val="3"/>
          <w:sz w:val="14"/>
        </w:rPr>
        <w:t>.2</w:t>
        <w:tab/>
      </w:r>
      <w:r>
        <w:rPr>
          <w:rFonts w:ascii="Arial"/>
          <w:sz w:val="14"/>
        </w:rPr>
        <w:t>0</w:t>
      </w:r>
      <w:r>
        <w:rPr>
          <w:rFonts w:ascii="Arial"/>
          <w:spacing w:val="-21"/>
          <w:sz w:val="14"/>
        </w:rPr>
        <w:t> </w:t>
      </w:r>
      <w:r>
        <w:rPr>
          <w:rFonts w:ascii="Arial"/>
          <w:sz w:val="14"/>
        </w:rPr>
        <w:t>.</w:t>
      </w:r>
      <w:r>
        <w:rPr>
          <w:rFonts w:ascii="Arial"/>
          <w:spacing w:val="-19"/>
          <w:sz w:val="14"/>
        </w:rPr>
        <w:t> </w:t>
      </w:r>
      <w:r>
        <w:rPr>
          <w:rFonts w:ascii="Arial"/>
          <w:sz w:val="14"/>
        </w:rPr>
        <w:t>3</w:t>
      </w:r>
      <w:r>
        <w:rPr>
          <w:rFonts w:ascii="Arial"/>
          <w:spacing w:val="-21"/>
          <w:sz w:val="14"/>
        </w:rPr>
        <w:t> </w:t>
      </w:r>
      <w:r>
        <w:rPr>
          <w:rFonts w:ascii="Arial"/>
          <w:sz w:val="14"/>
        </w:rPr>
        <w:t>%</w:t>
        <w:tab/>
      </w:r>
      <w:r>
        <w:rPr>
          <w:rFonts w:ascii="Arial"/>
          <w:spacing w:val="7"/>
          <w:sz w:val="14"/>
        </w:rPr>
        <w:t>7,671</w:t>
      </w:r>
      <w:r>
        <w:rPr>
          <w:rFonts w:ascii="Arial"/>
          <w:spacing w:val="-26"/>
          <w:sz w:val="14"/>
        </w:rPr>
        <w:t> </w:t>
      </w:r>
      <w:r>
        <w:rPr>
          <w:rFonts w:ascii="Arial"/>
          <w:spacing w:val="3"/>
          <w:sz w:val="14"/>
        </w:rPr>
        <w:t>.0</w:t>
        <w:tab/>
      </w:r>
      <w:r>
        <w:rPr>
          <w:rFonts w:ascii="Arial"/>
          <w:sz w:val="14"/>
        </w:rPr>
        <w:t>0</w:t>
      </w:r>
      <w:r>
        <w:rPr>
          <w:rFonts w:ascii="Arial"/>
          <w:spacing w:val="-21"/>
          <w:sz w:val="14"/>
        </w:rPr>
        <w:t> </w:t>
      </w:r>
      <w:r>
        <w:rPr>
          <w:rFonts w:ascii="Arial"/>
          <w:sz w:val="14"/>
        </w:rPr>
        <w:t>.</w:t>
      </w:r>
      <w:r>
        <w:rPr>
          <w:rFonts w:ascii="Arial"/>
          <w:spacing w:val="-19"/>
          <w:sz w:val="14"/>
        </w:rPr>
        <w:t> </w:t>
      </w:r>
      <w:r>
        <w:rPr>
          <w:rFonts w:ascii="Arial"/>
          <w:sz w:val="14"/>
        </w:rPr>
        <w:t>3</w:t>
      </w:r>
      <w:r>
        <w:rPr>
          <w:rFonts w:ascii="Arial"/>
          <w:spacing w:val="-22"/>
          <w:sz w:val="14"/>
        </w:rPr>
        <w:t> </w:t>
      </w:r>
      <w:r>
        <w:rPr>
          <w:rFonts w:ascii="Arial"/>
          <w:sz w:val="14"/>
        </w:rPr>
        <w:t>%</w:t>
      </w:r>
    </w:p>
    <w:p>
      <w:pPr>
        <w:pStyle w:val="BodyText"/>
        <w:rPr>
          <w:rFonts w:ascii="Arial"/>
          <w:sz w:val="16"/>
        </w:rPr>
      </w:pPr>
    </w:p>
    <w:p>
      <w:pPr>
        <w:tabs>
          <w:tab w:pos="6711" w:val="left" w:leader="none"/>
          <w:tab w:pos="8362" w:val="left" w:leader="none"/>
          <w:tab w:pos="9504" w:val="left" w:leader="none"/>
          <w:tab w:pos="11251" w:val="left" w:leader="none"/>
          <w:tab w:pos="12451" w:val="left" w:leader="none"/>
          <w:tab w:pos="13920" w:val="left" w:leader="none"/>
        </w:tabs>
        <w:spacing w:before="97"/>
        <w:ind w:left="0" w:right="380" w:firstLine="0"/>
        <w:jc w:val="center"/>
        <w:rPr>
          <w:rFonts w:ascii="Arial"/>
          <w:sz w:val="14"/>
        </w:rPr>
      </w:pPr>
      <w:r>
        <w:rPr>
          <w:rFonts w:ascii="Arial"/>
          <w:b/>
          <w:spacing w:val="2"/>
          <w:sz w:val="14"/>
        </w:rPr>
        <w:t>CLUSTER  </w:t>
      </w:r>
      <w:r>
        <w:rPr>
          <w:rFonts w:ascii="Arial"/>
          <w:b/>
          <w:sz w:val="14"/>
        </w:rPr>
        <w:t>4   </w:t>
      </w:r>
      <w:r>
        <w:rPr>
          <w:rFonts w:ascii="Arial"/>
          <w:b/>
          <w:spacing w:val="2"/>
          <w:sz w:val="14"/>
        </w:rPr>
        <w:t>GOVERNANCE </w:t>
      </w:r>
      <w:r>
        <w:rPr>
          <w:rFonts w:ascii="Arial"/>
          <w:b/>
          <w:sz w:val="14"/>
        </w:rPr>
        <w:t>AND</w:t>
      </w:r>
      <w:r>
        <w:rPr>
          <w:rFonts w:ascii="Arial"/>
          <w:b/>
          <w:spacing w:val="-23"/>
          <w:sz w:val="14"/>
        </w:rPr>
        <w:t> </w:t>
      </w:r>
      <w:r>
        <w:rPr>
          <w:rFonts w:ascii="Arial"/>
          <w:b/>
          <w:spacing w:val="3"/>
          <w:sz w:val="14"/>
        </w:rPr>
        <w:t>ACCOUNTABILITY FOR</w:t>
      </w:r>
      <w:r>
        <w:rPr>
          <w:rFonts w:ascii="Arial"/>
          <w:b/>
          <w:spacing w:val="14"/>
          <w:sz w:val="14"/>
        </w:rPr>
        <w:t> </w:t>
      </w:r>
      <w:r>
        <w:rPr>
          <w:rFonts w:ascii="Arial"/>
          <w:b/>
          <w:spacing w:val="3"/>
          <w:sz w:val="14"/>
        </w:rPr>
        <w:t>RESULTS</w:t>
        <w:tab/>
      </w:r>
      <w:r>
        <w:rPr>
          <w:rFonts w:ascii="Arial"/>
          <w:b/>
          <w:sz w:val="14"/>
        </w:rPr>
        <w:t>1,247,681.4</w:t>
        <w:tab/>
      </w:r>
      <w:r>
        <w:rPr>
          <w:rFonts w:ascii="Arial"/>
          <w:sz w:val="14"/>
        </w:rPr>
        <w:t>5</w:t>
      </w:r>
      <w:r>
        <w:rPr>
          <w:rFonts w:ascii="Arial"/>
          <w:spacing w:val="-20"/>
          <w:sz w:val="14"/>
        </w:rPr>
        <w:t> </w:t>
      </w:r>
      <w:r>
        <w:rPr>
          <w:rFonts w:ascii="Arial"/>
          <w:sz w:val="14"/>
        </w:rPr>
        <w:t>3</w:t>
      </w:r>
      <w:r>
        <w:rPr>
          <w:rFonts w:ascii="Arial"/>
          <w:spacing w:val="-27"/>
          <w:sz w:val="14"/>
        </w:rPr>
        <w:t> </w:t>
      </w:r>
      <w:r>
        <w:rPr>
          <w:rFonts w:ascii="Arial"/>
          <w:sz w:val="14"/>
        </w:rPr>
        <w:t>.</w:t>
      </w:r>
      <w:r>
        <w:rPr>
          <w:rFonts w:ascii="Arial"/>
          <w:spacing w:val="-23"/>
          <w:sz w:val="14"/>
        </w:rPr>
        <w:t> </w:t>
      </w:r>
      <w:r>
        <w:rPr>
          <w:rFonts w:ascii="Arial"/>
          <w:sz w:val="14"/>
        </w:rPr>
        <w:t>9</w:t>
      </w:r>
      <w:r>
        <w:rPr>
          <w:rFonts w:ascii="Arial"/>
          <w:spacing w:val="-21"/>
          <w:sz w:val="14"/>
        </w:rPr>
        <w:t> </w:t>
      </w:r>
      <w:r>
        <w:rPr>
          <w:rFonts w:ascii="Arial"/>
          <w:sz w:val="14"/>
        </w:rPr>
        <w:t>%</w:t>
        <w:tab/>
      </w:r>
      <w:r>
        <w:rPr>
          <w:rFonts w:ascii="Arial"/>
          <w:spacing w:val="7"/>
          <w:sz w:val="14"/>
        </w:rPr>
        <w:t>1,452,278.6</w:t>
        <w:tab/>
      </w:r>
      <w:r>
        <w:rPr>
          <w:rFonts w:ascii="Arial"/>
          <w:sz w:val="14"/>
        </w:rPr>
        <w:t>6</w:t>
      </w:r>
      <w:r>
        <w:rPr>
          <w:rFonts w:ascii="Arial"/>
          <w:spacing w:val="-20"/>
          <w:sz w:val="14"/>
        </w:rPr>
        <w:t> </w:t>
      </w:r>
      <w:r>
        <w:rPr>
          <w:rFonts w:ascii="Arial"/>
          <w:sz w:val="14"/>
        </w:rPr>
        <w:t>2</w:t>
      </w:r>
      <w:r>
        <w:rPr>
          <w:rFonts w:ascii="Arial"/>
          <w:spacing w:val="-27"/>
          <w:sz w:val="14"/>
        </w:rPr>
        <w:t> </w:t>
      </w:r>
      <w:r>
        <w:rPr>
          <w:rFonts w:ascii="Arial"/>
          <w:sz w:val="14"/>
        </w:rPr>
        <w:t>.</w:t>
      </w:r>
      <w:r>
        <w:rPr>
          <w:rFonts w:ascii="Arial"/>
          <w:spacing w:val="-23"/>
          <w:sz w:val="14"/>
        </w:rPr>
        <w:t> </w:t>
      </w:r>
      <w:r>
        <w:rPr>
          <w:rFonts w:ascii="Arial"/>
          <w:sz w:val="14"/>
        </w:rPr>
        <w:t>8</w:t>
      </w:r>
      <w:r>
        <w:rPr>
          <w:rFonts w:ascii="Arial"/>
          <w:spacing w:val="-21"/>
          <w:sz w:val="14"/>
        </w:rPr>
        <w:t> </w:t>
      </w:r>
      <w:r>
        <w:rPr>
          <w:rFonts w:ascii="Arial"/>
          <w:sz w:val="14"/>
        </w:rPr>
        <w:t>%</w:t>
        <w:tab/>
      </w:r>
      <w:r>
        <w:rPr>
          <w:rFonts w:ascii="Arial"/>
          <w:spacing w:val="7"/>
          <w:sz w:val="14"/>
        </w:rPr>
        <w:t>1,706,365.2</w:t>
        <w:tab/>
      </w:r>
      <w:r>
        <w:rPr>
          <w:rFonts w:ascii="Arial"/>
          <w:sz w:val="14"/>
        </w:rPr>
        <w:t>7</w:t>
      </w:r>
      <w:r>
        <w:rPr>
          <w:rFonts w:ascii="Arial"/>
          <w:spacing w:val="-21"/>
          <w:sz w:val="14"/>
        </w:rPr>
        <w:t> </w:t>
      </w:r>
      <w:r>
        <w:rPr>
          <w:rFonts w:ascii="Arial"/>
          <w:sz w:val="14"/>
        </w:rPr>
        <w:t>3</w:t>
      </w:r>
      <w:r>
        <w:rPr>
          <w:rFonts w:ascii="Arial"/>
          <w:spacing w:val="-26"/>
          <w:sz w:val="14"/>
        </w:rPr>
        <w:t> </w:t>
      </w:r>
      <w:r>
        <w:rPr>
          <w:rFonts w:ascii="Arial"/>
          <w:sz w:val="14"/>
        </w:rPr>
        <w:t>.</w:t>
      </w:r>
      <w:r>
        <w:rPr>
          <w:rFonts w:ascii="Arial"/>
          <w:spacing w:val="-24"/>
          <w:sz w:val="14"/>
        </w:rPr>
        <w:t> </w:t>
      </w:r>
      <w:r>
        <w:rPr>
          <w:rFonts w:ascii="Arial"/>
          <w:sz w:val="14"/>
        </w:rPr>
        <w:t>7</w:t>
      </w:r>
      <w:r>
        <w:rPr>
          <w:rFonts w:ascii="Arial"/>
          <w:spacing w:val="-21"/>
          <w:sz w:val="14"/>
        </w:rPr>
        <w:t> </w:t>
      </w:r>
      <w:r>
        <w:rPr>
          <w:rFonts w:ascii="Arial"/>
          <w:sz w:val="14"/>
        </w:rPr>
        <w:t>%</w:t>
      </w:r>
    </w:p>
    <w:p>
      <w:pPr>
        <w:pStyle w:val="BodyText"/>
        <w:spacing w:before="9" w:after="1"/>
        <w:rPr>
          <w:rFonts w:ascii="Arial"/>
          <w:sz w:val="21"/>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
        <w:gridCol w:w="5120"/>
        <w:gridCol w:w="2441"/>
        <w:gridCol w:w="1318"/>
        <w:gridCol w:w="1549"/>
        <w:gridCol w:w="1326"/>
        <w:gridCol w:w="1394"/>
        <w:gridCol w:w="796"/>
      </w:tblGrid>
      <w:tr>
        <w:trPr>
          <w:trHeight w:val="220" w:hRule="atLeast"/>
        </w:trPr>
        <w:tc>
          <w:tcPr>
            <w:tcW w:w="381" w:type="dxa"/>
          </w:tcPr>
          <w:p>
            <w:pPr>
              <w:pStyle w:val="TableParagraph"/>
              <w:spacing w:before="29"/>
              <w:ind w:left="34"/>
              <w:rPr>
                <w:sz w:val="14"/>
              </w:rPr>
            </w:pPr>
            <w:r>
              <w:rPr>
                <w:sz w:val="14"/>
              </w:rPr>
              <w:t>105</w:t>
            </w:r>
          </w:p>
        </w:tc>
        <w:tc>
          <w:tcPr>
            <w:tcW w:w="5120" w:type="dxa"/>
          </w:tcPr>
          <w:p>
            <w:pPr>
              <w:pStyle w:val="TableParagraph"/>
              <w:spacing w:before="29"/>
              <w:ind w:left="95"/>
              <w:rPr>
                <w:sz w:val="14"/>
              </w:rPr>
            </w:pPr>
            <w:r>
              <w:rPr>
                <w:sz w:val="14"/>
              </w:rPr>
              <w:t>Ministry of Political and Public Affairs</w:t>
            </w:r>
          </w:p>
        </w:tc>
        <w:tc>
          <w:tcPr>
            <w:tcW w:w="2441" w:type="dxa"/>
          </w:tcPr>
          <w:p>
            <w:pPr>
              <w:pStyle w:val="TableParagraph"/>
              <w:spacing w:before="29"/>
              <w:ind w:left="1422"/>
              <w:rPr>
                <w:b/>
                <w:sz w:val="14"/>
              </w:rPr>
            </w:pPr>
            <w:r>
              <w:rPr>
                <w:b/>
                <w:sz w:val="14"/>
              </w:rPr>
              <w:t>2,197.2</w:t>
            </w:r>
          </w:p>
        </w:tc>
        <w:tc>
          <w:tcPr>
            <w:tcW w:w="1318" w:type="dxa"/>
          </w:tcPr>
          <w:p>
            <w:pPr>
              <w:pStyle w:val="TableParagraph"/>
              <w:spacing w:before="29"/>
              <w:ind w:right="519"/>
              <w:jc w:val="right"/>
              <w:rPr>
                <w:sz w:val="14"/>
              </w:rPr>
            </w:pPr>
            <w:r>
              <w:rPr>
                <w:sz w:val="14"/>
              </w:rPr>
              <w:t>0 . 1 %</w:t>
            </w:r>
          </w:p>
        </w:tc>
        <w:tc>
          <w:tcPr>
            <w:tcW w:w="1549" w:type="dxa"/>
          </w:tcPr>
          <w:p>
            <w:pPr>
              <w:pStyle w:val="TableParagraph"/>
              <w:spacing w:before="29"/>
              <w:ind w:left="466"/>
              <w:rPr>
                <w:sz w:val="14"/>
              </w:rPr>
            </w:pPr>
            <w:r>
              <w:rPr>
                <w:sz w:val="14"/>
              </w:rPr>
              <w:t>2,112 .9</w:t>
            </w:r>
          </w:p>
        </w:tc>
        <w:tc>
          <w:tcPr>
            <w:tcW w:w="1326" w:type="dxa"/>
          </w:tcPr>
          <w:p>
            <w:pPr>
              <w:pStyle w:val="TableParagraph"/>
              <w:spacing w:before="29"/>
              <w:ind w:left="443"/>
              <w:rPr>
                <w:sz w:val="14"/>
              </w:rPr>
            </w:pPr>
            <w:r>
              <w:rPr>
                <w:sz w:val="14"/>
              </w:rPr>
              <w:t>0 . 1 %</w:t>
            </w:r>
          </w:p>
        </w:tc>
        <w:tc>
          <w:tcPr>
            <w:tcW w:w="1394" w:type="dxa"/>
          </w:tcPr>
          <w:p>
            <w:pPr>
              <w:pStyle w:val="TableParagraph"/>
              <w:spacing w:before="29"/>
              <w:ind w:right="325"/>
              <w:jc w:val="right"/>
              <w:rPr>
                <w:sz w:val="14"/>
              </w:rPr>
            </w:pPr>
            <w:r>
              <w:rPr>
                <w:sz w:val="14"/>
              </w:rPr>
              <w:t>2,239 .4</w:t>
            </w:r>
          </w:p>
        </w:tc>
        <w:tc>
          <w:tcPr>
            <w:tcW w:w="796" w:type="dxa"/>
          </w:tcPr>
          <w:p>
            <w:pPr>
              <w:pStyle w:val="TableParagraph"/>
              <w:spacing w:before="29"/>
              <w:ind w:right="31"/>
              <w:jc w:val="right"/>
              <w:rPr>
                <w:sz w:val="14"/>
              </w:rPr>
            </w:pPr>
            <w:r>
              <w:rPr>
                <w:sz w:val="14"/>
              </w:rPr>
              <w:t>0 . 1 %</w:t>
            </w:r>
          </w:p>
        </w:tc>
      </w:tr>
      <w:tr>
        <w:trPr>
          <w:trHeight w:val="218" w:hRule="atLeast"/>
        </w:trPr>
        <w:tc>
          <w:tcPr>
            <w:tcW w:w="381" w:type="dxa"/>
          </w:tcPr>
          <w:p>
            <w:pPr>
              <w:pStyle w:val="TableParagraph"/>
              <w:spacing w:before="25"/>
              <w:ind w:left="34"/>
              <w:rPr>
                <w:sz w:val="14"/>
              </w:rPr>
            </w:pPr>
            <w:r>
              <w:rPr>
                <w:sz w:val="14"/>
              </w:rPr>
              <w:t>106</w:t>
            </w:r>
          </w:p>
        </w:tc>
        <w:tc>
          <w:tcPr>
            <w:tcW w:w="5120" w:type="dxa"/>
          </w:tcPr>
          <w:p>
            <w:pPr>
              <w:pStyle w:val="TableParagraph"/>
              <w:spacing w:before="25"/>
              <w:ind w:left="95"/>
              <w:rPr>
                <w:sz w:val="14"/>
              </w:rPr>
            </w:pPr>
            <w:r>
              <w:rPr>
                <w:sz w:val="14"/>
              </w:rPr>
              <w:t>Office of the Chief Minister</w:t>
            </w:r>
          </w:p>
        </w:tc>
        <w:tc>
          <w:tcPr>
            <w:tcW w:w="2441" w:type="dxa"/>
          </w:tcPr>
          <w:p>
            <w:pPr>
              <w:pStyle w:val="TableParagraph"/>
              <w:spacing w:before="25"/>
              <w:ind w:left="1422"/>
              <w:rPr>
                <w:b/>
                <w:sz w:val="14"/>
              </w:rPr>
            </w:pPr>
            <w:r>
              <w:rPr>
                <w:b/>
                <w:sz w:val="14"/>
              </w:rPr>
              <w:t>8,666.3</w:t>
            </w:r>
          </w:p>
        </w:tc>
        <w:tc>
          <w:tcPr>
            <w:tcW w:w="1318" w:type="dxa"/>
          </w:tcPr>
          <w:p>
            <w:pPr>
              <w:pStyle w:val="TableParagraph"/>
              <w:spacing w:before="25"/>
              <w:ind w:right="519"/>
              <w:jc w:val="right"/>
              <w:rPr>
                <w:sz w:val="14"/>
              </w:rPr>
            </w:pPr>
            <w:r>
              <w:rPr>
                <w:sz w:val="14"/>
              </w:rPr>
              <w:t>0 . 4 %</w:t>
            </w:r>
          </w:p>
        </w:tc>
        <w:tc>
          <w:tcPr>
            <w:tcW w:w="1549" w:type="dxa"/>
          </w:tcPr>
          <w:p>
            <w:pPr>
              <w:pStyle w:val="TableParagraph"/>
              <w:spacing w:before="25"/>
              <w:ind w:left="466"/>
              <w:rPr>
                <w:sz w:val="14"/>
              </w:rPr>
            </w:pPr>
            <w:r>
              <w:rPr>
                <w:sz w:val="14"/>
              </w:rPr>
              <w:t>7,671 .1</w:t>
            </w:r>
          </w:p>
        </w:tc>
        <w:tc>
          <w:tcPr>
            <w:tcW w:w="1326" w:type="dxa"/>
          </w:tcPr>
          <w:p>
            <w:pPr>
              <w:pStyle w:val="TableParagraph"/>
              <w:spacing w:before="25"/>
              <w:ind w:left="443"/>
              <w:rPr>
                <w:sz w:val="14"/>
              </w:rPr>
            </w:pPr>
            <w:r>
              <w:rPr>
                <w:sz w:val="14"/>
              </w:rPr>
              <w:t>0 . 3 %</w:t>
            </w:r>
          </w:p>
        </w:tc>
        <w:tc>
          <w:tcPr>
            <w:tcW w:w="1394" w:type="dxa"/>
          </w:tcPr>
          <w:p>
            <w:pPr>
              <w:pStyle w:val="TableParagraph"/>
              <w:spacing w:before="25"/>
              <w:ind w:right="325"/>
              <w:jc w:val="right"/>
              <w:rPr>
                <w:sz w:val="14"/>
              </w:rPr>
            </w:pPr>
            <w:r>
              <w:rPr>
                <w:sz w:val="14"/>
              </w:rPr>
              <w:t>8,130 .7</w:t>
            </w:r>
          </w:p>
        </w:tc>
        <w:tc>
          <w:tcPr>
            <w:tcW w:w="796" w:type="dxa"/>
          </w:tcPr>
          <w:p>
            <w:pPr>
              <w:pStyle w:val="TableParagraph"/>
              <w:spacing w:before="25"/>
              <w:ind w:right="31"/>
              <w:jc w:val="right"/>
              <w:rPr>
                <w:sz w:val="14"/>
              </w:rPr>
            </w:pPr>
            <w:r>
              <w:rPr>
                <w:sz w:val="14"/>
              </w:rPr>
              <w:t>0 . 4 %</w:t>
            </w:r>
          </w:p>
        </w:tc>
      </w:tr>
      <w:tr>
        <w:trPr>
          <w:trHeight w:val="220" w:hRule="atLeast"/>
        </w:trPr>
        <w:tc>
          <w:tcPr>
            <w:tcW w:w="381" w:type="dxa"/>
          </w:tcPr>
          <w:p>
            <w:pPr>
              <w:pStyle w:val="TableParagraph"/>
              <w:spacing w:before="27"/>
              <w:ind w:left="34"/>
              <w:rPr>
                <w:sz w:val="14"/>
              </w:rPr>
            </w:pPr>
            <w:r>
              <w:rPr>
                <w:sz w:val="14"/>
              </w:rPr>
              <w:t>106</w:t>
            </w:r>
          </w:p>
        </w:tc>
        <w:tc>
          <w:tcPr>
            <w:tcW w:w="5120" w:type="dxa"/>
          </w:tcPr>
          <w:p>
            <w:pPr>
              <w:pStyle w:val="TableParagraph"/>
              <w:spacing w:before="27"/>
              <w:ind w:left="95"/>
              <w:rPr>
                <w:sz w:val="14"/>
              </w:rPr>
            </w:pPr>
            <w:r>
              <w:rPr>
                <w:sz w:val="14"/>
              </w:rPr>
              <w:t>Office of Presidential Infrastructure Initiative</w:t>
            </w:r>
          </w:p>
        </w:tc>
        <w:tc>
          <w:tcPr>
            <w:tcW w:w="2441" w:type="dxa"/>
          </w:tcPr>
          <w:p>
            <w:pPr>
              <w:pStyle w:val="TableParagraph"/>
              <w:spacing w:before="27"/>
              <w:ind w:left="1422"/>
              <w:rPr>
                <w:b/>
                <w:sz w:val="14"/>
              </w:rPr>
            </w:pPr>
            <w:r>
              <w:rPr>
                <w:b/>
                <w:sz w:val="14"/>
              </w:rPr>
              <w:t>1,054.7</w:t>
            </w:r>
          </w:p>
        </w:tc>
        <w:tc>
          <w:tcPr>
            <w:tcW w:w="1318" w:type="dxa"/>
          </w:tcPr>
          <w:p>
            <w:pPr>
              <w:pStyle w:val="TableParagraph"/>
              <w:spacing w:before="27"/>
              <w:ind w:right="519"/>
              <w:jc w:val="right"/>
              <w:rPr>
                <w:sz w:val="14"/>
              </w:rPr>
            </w:pPr>
            <w:r>
              <w:rPr>
                <w:sz w:val="14"/>
              </w:rPr>
              <w:t>0 . 0 %</w:t>
            </w:r>
          </w:p>
        </w:tc>
        <w:tc>
          <w:tcPr>
            <w:tcW w:w="1549" w:type="dxa"/>
          </w:tcPr>
          <w:p>
            <w:pPr>
              <w:pStyle w:val="TableParagraph"/>
              <w:spacing w:before="27"/>
              <w:ind w:left="466"/>
              <w:rPr>
                <w:sz w:val="14"/>
              </w:rPr>
            </w:pPr>
            <w:r>
              <w:rPr>
                <w:sz w:val="14"/>
              </w:rPr>
              <w:t>1,164 .1</w:t>
            </w:r>
          </w:p>
        </w:tc>
        <w:tc>
          <w:tcPr>
            <w:tcW w:w="1326" w:type="dxa"/>
          </w:tcPr>
          <w:p>
            <w:pPr>
              <w:pStyle w:val="TableParagraph"/>
              <w:spacing w:before="27"/>
              <w:ind w:left="443"/>
              <w:rPr>
                <w:sz w:val="14"/>
              </w:rPr>
            </w:pPr>
            <w:r>
              <w:rPr>
                <w:sz w:val="14"/>
              </w:rPr>
              <w:t>0 . 1 %</w:t>
            </w:r>
          </w:p>
        </w:tc>
        <w:tc>
          <w:tcPr>
            <w:tcW w:w="1394" w:type="dxa"/>
          </w:tcPr>
          <w:p>
            <w:pPr>
              <w:pStyle w:val="TableParagraph"/>
              <w:spacing w:before="27"/>
              <w:ind w:right="325"/>
              <w:jc w:val="right"/>
              <w:rPr>
                <w:sz w:val="14"/>
              </w:rPr>
            </w:pPr>
            <w:r>
              <w:rPr>
                <w:sz w:val="14"/>
              </w:rPr>
              <w:t>1,233 .8</w:t>
            </w:r>
          </w:p>
        </w:tc>
        <w:tc>
          <w:tcPr>
            <w:tcW w:w="796" w:type="dxa"/>
          </w:tcPr>
          <w:p>
            <w:pPr>
              <w:pStyle w:val="TableParagraph"/>
              <w:spacing w:before="27"/>
              <w:ind w:right="31"/>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106</w:t>
            </w:r>
          </w:p>
        </w:tc>
        <w:tc>
          <w:tcPr>
            <w:tcW w:w="5120" w:type="dxa"/>
          </w:tcPr>
          <w:p>
            <w:pPr>
              <w:pStyle w:val="TableParagraph"/>
              <w:spacing w:before="27"/>
              <w:ind w:left="95"/>
              <w:rPr>
                <w:sz w:val="14"/>
              </w:rPr>
            </w:pPr>
            <w:r>
              <w:rPr>
                <w:sz w:val="14"/>
              </w:rPr>
              <w:t>Directorate of Science, Technology and Innovation</w:t>
            </w:r>
          </w:p>
        </w:tc>
        <w:tc>
          <w:tcPr>
            <w:tcW w:w="2441" w:type="dxa"/>
          </w:tcPr>
          <w:p>
            <w:pPr>
              <w:pStyle w:val="TableParagraph"/>
              <w:spacing w:before="27"/>
              <w:ind w:left="1422"/>
              <w:rPr>
                <w:b/>
                <w:sz w:val="14"/>
              </w:rPr>
            </w:pPr>
            <w:r>
              <w:rPr>
                <w:b/>
                <w:sz w:val="14"/>
              </w:rPr>
              <w:t>3,727.1</w:t>
            </w:r>
          </w:p>
        </w:tc>
        <w:tc>
          <w:tcPr>
            <w:tcW w:w="1318" w:type="dxa"/>
          </w:tcPr>
          <w:p>
            <w:pPr>
              <w:pStyle w:val="TableParagraph"/>
              <w:spacing w:before="27"/>
              <w:ind w:right="519"/>
              <w:jc w:val="right"/>
              <w:rPr>
                <w:sz w:val="14"/>
              </w:rPr>
            </w:pPr>
            <w:r>
              <w:rPr>
                <w:sz w:val="14"/>
              </w:rPr>
              <w:t>0 . 2 %</w:t>
            </w:r>
          </w:p>
        </w:tc>
        <w:tc>
          <w:tcPr>
            <w:tcW w:w="1549" w:type="dxa"/>
          </w:tcPr>
          <w:p>
            <w:pPr>
              <w:pStyle w:val="TableParagraph"/>
              <w:spacing w:before="27"/>
              <w:ind w:left="466"/>
              <w:rPr>
                <w:sz w:val="14"/>
              </w:rPr>
            </w:pPr>
            <w:r>
              <w:rPr>
                <w:sz w:val="14"/>
              </w:rPr>
              <w:t>4,185 .8</w:t>
            </w:r>
          </w:p>
        </w:tc>
        <w:tc>
          <w:tcPr>
            <w:tcW w:w="1326" w:type="dxa"/>
          </w:tcPr>
          <w:p>
            <w:pPr>
              <w:pStyle w:val="TableParagraph"/>
              <w:spacing w:before="27"/>
              <w:ind w:left="443"/>
              <w:rPr>
                <w:sz w:val="14"/>
              </w:rPr>
            </w:pPr>
            <w:r>
              <w:rPr>
                <w:sz w:val="14"/>
              </w:rPr>
              <w:t>0 . 2 %</w:t>
            </w:r>
          </w:p>
        </w:tc>
        <w:tc>
          <w:tcPr>
            <w:tcW w:w="1394" w:type="dxa"/>
          </w:tcPr>
          <w:p>
            <w:pPr>
              <w:pStyle w:val="TableParagraph"/>
              <w:spacing w:before="27"/>
              <w:ind w:right="325"/>
              <w:jc w:val="right"/>
              <w:rPr>
                <w:sz w:val="14"/>
              </w:rPr>
            </w:pPr>
            <w:r>
              <w:rPr>
                <w:sz w:val="14"/>
              </w:rPr>
              <w:t>4,436 .5</w:t>
            </w:r>
          </w:p>
        </w:tc>
        <w:tc>
          <w:tcPr>
            <w:tcW w:w="796" w:type="dxa"/>
          </w:tcPr>
          <w:p>
            <w:pPr>
              <w:pStyle w:val="TableParagraph"/>
              <w:spacing w:before="27"/>
              <w:ind w:right="31"/>
              <w:jc w:val="right"/>
              <w:rPr>
                <w:sz w:val="14"/>
              </w:rPr>
            </w:pPr>
            <w:r>
              <w:rPr>
                <w:sz w:val="14"/>
              </w:rPr>
              <w:t>0 . 2 %</w:t>
            </w:r>
          </w:p>
        </w:tc>
      </w:tr>
      <w:tr>
        <w:trPr>
          <w:trHeight w:val="220" w:hRule="atLeast"/>
        </w:trPr>
        <w:tc>
          <w:tcPr>
            <w:tcW w:w="381" w:type="dxa"/>
          </w:tcPr>
          <w:p>
            <w:pPr>
              <w:pStyle w:val="TableParagraph"/>
              <w:spacing w:before="27"/>
              <w:ind w:left="34"/>
              <w:rPr>
                <w:sz w:val="14"/>
              </w:rPr>
            </w:pPr>
            <w:r>
              <w:rPr>
                <w:sz w:val="14"/>
              </w:rPr>
              <w:t>107</w:t>
            </w:r>
          </w:p>
        </w:tc>
        <w:tc>
          <w:tcPr>
            <w:tcW w:w="5120" w:type="dxa"/>
          </w:tcPr>
          <w:p>
            <w:pPr>
              <w:pStyle w:val="TableParagraph"/>
              <w:spacing w:before="27"/>
              <w:ind w:left="95"/>
              <w:rPr>
                <w:sz w:val="14"/>
              </w:rPr>
            </w:pPr>
            <w:r>
              <w:rPr>
                <w:sz w:val="14"/>
              </w:rPr>
              <w:t>Ministry of Local Government and Rural Development</w:t>
            </w:r>
          </w:p>
        </w:tc>
        <w:tc>
          <w:tcPr>
            <w:tcW w:w="2441" w:type="dxa"/>
          </w:tcPr>
          <w:p>
            <w:pPr>
              <w:pStyle w:val="TableParagraph"/>
              <w:spacing w:before="27"/>
              <w:ind w:left="1422"/>
              <w:rPr>
                <w:b/>
                <w:sz w:val="14"/>
              </w:rPr>
            </w:pPr>
            <w:r>
              <w:rPr>
                <w:b/>
                <w:sz w:val="14"/>
              </w:rPr>
              <w:t>4,395.9</w:t>
            </w:r>
          </w:p>
        </w:tc>
        <w:tc>
          <w:tcPr>
            <w:tcW w:w="1318" w:type="dxa"/>
          </w:tcPr>
          <w:p>
            <w:pPr>
              <w:pStyle w:val="TableParagraph"/>
              <w:spacing w:before="27"/>
              <w:ind w:right="519"/>
              <w:jc w:val="right"/>
              <w:rPr>
                <w:sz w:val="14"/>
              </w:rPr>
            </w:pPr>
            <w:r>
              <w:rPr>
                <w:sz w:val="14"/>
              </w:rPr>
              <w:t>0 . 2 %</w:t>
            </w:r>
          </w:p>
        </w:tc>
        <w:tc>
          <w:tcPr>
            <w:tcW w:w="1549" w:type="dxa"/>
          </w:tcPr>
          <w:p>
            <w:pPr>
              <w:pStyle w:val="TableParagraph"/>
              <w:spacing w:before="27"/>
              <w:ind w:left="466"/>
              <w:rPr>
                <w:sz w:val="14"/>
              </w:rPr>
            </w:pPr>
            <w:r>
              <w:rPr>
                <w:sz w:val="14"/>
              </w:rPr>
              <w:t>5,700 .9</w:t>
            </w:r>
          </w:p>
        </w:tc>
        <w:tc>
          <w:tcPr>
            <w:tcW w:w="1326" w:type="dxa"/>
          </w:tcPr>
          <w:p>
            <w:pPr>
              <w:pStyle w:val="TableParagraph"/>
              <w:spacing w:before="27"/>
              <w:ind w:left="443"/>
              <w:rPr>
                <w:sz w:val="14"/>
              </w:rPr>
            </w:pPr>
            <w:r>
              <w:rPr>
                <w:sz w:val="14"/>
              </w:rPr>
              <w:t>0 . 2 %</w:t>
            </w:r>
          </w:p>
        </w:tc>
        <w:tc>
          <w:tcPr>
            <w:tcW w:w="1394" w:type="dxa"/>
          </w:tcPr>
          <w:p>
            <w:pPr>
              <w:pStyle w:val="TableParagraph"/>
              <w:spacing w:before="27"/>
              <w:ind w:right="325"/>
              <w:jc w:val="right"/>
              <w:rPr>
                <w:sz w:val="14"/>
              </w:rPr>
            </w:pPr>
            <w:r>
              <w:rPr>
                <w:sz w:val="14"/>
              </w:rPr>
              <w:t>6,042 .4</w:t>
            </w:r>
          </w:p>
        </w:tc>
        <w:tc>
          <w:tcPr>
            <w:tcW w:w="796" w:type="dxa"/>
          </w:tcPr>
          <w:p>
            <w:pPr>
              <w:pStyle w:val="TableParagraph"/>
              <w:spacing w:before="27"/>
              <w:ind w:right="31"/>
              <w:jc w:val="right"/>
              <w:rPr>
                <w:sz w:val="14"/>
              </w:rPr>
            </w:pPr>
            <w:r>
              <w:rPr>
                <w:sz w:val="14"/>
              </w:rPr>
              <w:t>0 . 3 %</w:t>
            </w:r>
          </w:p>
        </w:tc>
      </w:tr>
      <w:tr>
        <w:trPr>
          <w:trHeight w:val="220" w:hRule="atLeast"/>
        </w:trPr>
        <w:tc>
          <w:tcPr>
            <w:tcW w:w="381" w:type="dxa"/>
          </w:tcPr>
          <w:p>
            <w:pPr>
              <w:pStyle w:val="TableParagraph"/>
              <w:spacing w:before="27"/>
              <w:ind w:left="34"/>
              <w:rPr>
                <w:sz w:val="14"/>
              </w:rPr>
            </w:pPr>
            <w:r>
              <w:rPr>
                <w:sz w:val="14"/>
              </w:rPr>
              <w:t>107</w:t>
            </w:r>
          </w:p>
        </w:tc>
        <w:tc>
          <w:tcPr>
            <w:tcW w:w="5120" w:type="dxa"/>
          </w:tcPr>
          <w:p>
            <w:pPr>
              <w:pStyle w:val="TableParagraph"/>
              <w:spacing w:before="27"/>
              <w:ind w:left="94"/>
              <w:rPr>
                <w:sz w:val="14"/>
              </w:rPr>
            </w:pPr>
            <w:r>
              <w:rPr>
                <w:sz w:val="14"/>
              </w:rPr>
              <w:t>Southern Province</w:t>
            </w:r>
          </w:p>
        </w:tc>
        <w:tc>
          <w:tcPr>
            <w:tcW w:w="2441" w:type="dxa"/>
          </w:tcPr>
          <w:p>
            <w:pPr>
              <w:pStyle w:val="TableParagraph"/>
              <w:spacing w:before="27"/>
              <w:ind w:left="1422"/>
              <w:rPr>
                <w:b/>
                <w:sz w:val="14"/>
              </w:rPr>
            </w:pPr>
            <w:r>
              <w:rPr>
                <w:b/>
                <w:sz w:val="14"/>
              </w:rPr>
              <w:t>2,513.7</w:t>
            </w:r>
          </w:p>
        </w:tc>
        <w:tc>
          <w:tcPr>
            <w:tcW w:w="1318" w:type="dxa"/>
          </w:tcPr>
          <w:p>
            <w:pPr>
              <w:pStyle w:val="TableParagraph"/>
              <w:spacing w:before="27"/>
              <w:ind w:right="519"/>
              <w:jc w:val="right"/>
              <w:rPr>
                <w:sz w:val="14"/>
              </w:rPr>
            </w:pPr>
            <w:r>
              <w:rPr>
                <w:sz w:val="14"/>
              </w:rPr>
              <w:t>0 . 1 %</w:t>
            </w:r>
          </w:p>
        </w:tc>
        <w:tc>
          <w:tcPr>
            <w:tcW w:w="1549" w:type="dxa"/>
          </w:tcPr>
          <w:p>
            <w:pPr>
              <w:pStyle w:val="TableParagraph"/>
              <w:spacing w:before="27"/>
              <w:ind w:left="466"/>
              <w:rPr>
                <w:sz w:val="14"/>
              </w:rPr>
            </w:pPr>
            <w:r>
              <w:rPr>
                <w:sz w:val="14"/>
              </w:rPr>
              <w:t>2,691 .1</w:t>
            </w:r>
          </w:p>
        </w:tc>
        <w:tc>
          <w:tcPr>
            <w:tcW w:w="1326" w:type="dxa"/>
          </w:tcPr>
          <w:p>
            <w:pPr>
              <w:pStyle w:val="TableParagraph"/>
              <w:spacing w:before="27"/>
              <w:ind w:left="443"/>
              <w:rPr>
                <w:sz w:val="14"/>
              </w:rPr>
            </w:pPr>
            <w:r>
              <w:rPr>
                <w:sz w:val="14"/>
              </w:rPr>
              <w:t>0 . 1 %</w:t>
            </w:r>
          </w:p>
        </w:tc>
        <w:tc>
          <w:tcPr>
            <w:tcW w:w="1394" w:type="dxa"/>
          </w:tcPr>
          <w:p>
            <w:pPr>
              <w:pStyle w:val="TableParagraph"/>
              <w:spacing w:before="27"/>
              <w:ind w:right="325"/>
              <w:jc w:val="right"/>
              <w:rPr>
                <w:sz w:val="14"/>
              </w:rPr>
            </w:pPr>
            <w:r>
              <w:rPr>
                <w:sz w:val="14"/>
              </w:rPr>
              <w:t>2,852 .2</w:t>
            </w:r>
          </w:p>
        </w:tc>
        <w:tc>
          <w:tcPr>
            <w:tcW w:w="796" w:type="dxa"/>
          </w:tcPr>
          <w:p>
            <w:pPr>
              <w:pStyle w:val="TableParagraph"/>
              <w:spacing w:before="27"/>
              <w:ind w:right="31"/>
              <w:jc w:val="right"/>
              <w:rPr>
                <w:sz w:val="14"/>
              </w:rPr>
            </w:pPr>
            <w:r>
              <w:rPr>
                <w:sz w:val="14"/>
              </w:rPr>
              <w:t>0 . 1 %</w:t>
            </w:r>
          </w:p>
        </w:tc>
      </w:tr>
      <w:tr>
        <w:trPr>
          <w:trHeight w:val="218" w:hRule="atLeast"/>
        </w:trPr>
        <w:tc>
          <w:tcPr>
            <w:tcW w:w="381" w:type="dxa"/>
          </w:tcPr>
          <w:p>
            <w:pPr>
              <w:pStyle w:val="TableParagraph"/>
              <w:spacing w:before="27"/>
              <w:ind w:left="34"/>
              <w:rPr>
                <w:sz w:val="14"/>
              </w:rPr>
            </w:pPr>
            <w:r>
              <w:rPr>
                <w:sz w:val="14"/>
              </w:rPr>
              <w:t>107</w:t>
            </w:r>
          </w:p>
        </w:tc>
        <w:tc>
          <w:tcPr>
            <w:tcW w:w="5120" w:type="dxa"/>
          </w:tcPr>
          <w:p>
            <w:pPr>
              <w:pStyle w:val="TableParagraph"/>
              <w:spacing w:before="27"/>
              <w:ind w:left="95"/>
              <w:rPr>
                <w:sz w:val="14"/>
              </w:rPr>
            </w:pPr>
            <w:r>
              <w:rPr>
                <w:sz w:val="14"/>
              </w:rPr>
              <w:t>Eastern Province</w:t>
            </w:r>
          </w:p>
        </w:tc>
        <w:tc>
          <w:tcPr>
            <w:tcW w:w="2441" w:type="dxa"/>
          </w:tcPr>
          <w:p>
            <w:pPr>
              <w:pStyle w:val="TableParagraph"/>
              <w:spacing w:before="27"/>
              <w:ind w:right="429"/>
              <w:jc w:val="right"/>
              <w:rPr>
                <w:b/>
                <w:sz w:val="14"/>
              </w:rPr>
            </w:pPr>
            <w:r>
              <w:rPr>
                <w:b/>
                <w:sz w:val="14"/>
              </w:rPr>
              <w:t>2,222.3</w:t>
            </w:r>
          </w:p>
        </w:tc>
        <w:tc>
          <w:tcPr>
            <w:tcW w:w="1318" w:type="dxa"/>
          </w:tcPr>
          <w:p>
            <w:pPr>
              <w:pStyle w:val="TableParagraph"/>
              <w:spacing w:before="27"/>
              <w:ind w:right="462"/>
              <w:jc w:val="right"/>
              <w:rPr>
                <w:sz w:val="14"/>
              </w:rPr>
            </w:pPr>
            <w:r>
              <w:rPr>
                <w:sz w:val="14"/>
              </w:rPr>
              <w:t>0 . 1 %</w:t>
            </w:r>
          </w:p>
        </w:tc>
        <w:tc>
          <w:tcPr>
            <w:tcW w:w="1549" w:type="dxa"/>
          </w:tcPr>
          <w:p>
            <w:pPr>
              <w:pStyle w:val="TableParagraph"/>
              <w:spacing w:before="27"/>
              <w:ind w:right="441"/>
              <w:jc w:val="right"/>
              <w:rPr>
                <w:sz w:val="14"/>
              </w:rPr>
            </w:pPr>
            <w:r>
              <w:rPr>
                <w:sz w:val="14"/>
              </w:rPr>
              <w:t>2,332 .1</w:t>
            </w:r>
          </w:p>
        </w:tc>
        <w:tc>
          <w:tcPr>
            <w:tcW w:w="1326" w:type="dxa"/>
          </w:tcPr>
          <w:p>
            <w:pPr>
              <w:pStyle w:val="TableParagraph"/>
              <w:spacing w:before="27"/>
              <w:ind w:right="332"/>
              <w:jc w:val="right"/>
              <w:rPr>
                <w:sz w:val="14"/>
              </w:rPr>
            </w:pPr>
            <w:r>
              <w:rPr>
                <w:sz w:val="14"/>
              </w:rPr>
              <w:t>0 . 1 %</w:t>
            </w:r>
          </w:p>
        </w:tc>
        <w:tc>
          <w:tcPr>
            <w:tcW w:w="1394" w:type="dxa"/>
          </w:tcPr>
          <w:p>
            <w:pPr>
              <w:pStyle w:val="TableParagraph"/>
              <w:spacing w:before="27"/>
              <w:ind w:left="427"/>
              <w:rPr>
                <w:sz w:val="14"/>
              </w:rPr>
            </w:pPr>
            <w:r>
              <w:rPr>
                <w:sz w:val="14"/>
              </w:rPr>
              <w:t>2,471 .8</w:t>
            </w:r>
          </w:p>
        </w:tc>
        <w:tc>
          <w:tcPr>
            <w:tcW w:w="796" w:type="dxa"/>
          </w:tcPr>
          <w:p>
            <w:pPr>
              <w:pStyle w:val="TableParagraph"/>
              <w:spacing w:before="27"/>
              <w:ind w:right="88"/>
              <w:jc w:val="right"/>
              <w:rPr>
                <w:sz w:val="14"/>
              </w:rPr>
            </w:pPr>
            <w:r>
              <w:rPr>
                <w:sz w:val="14"/>
              </w:rPr>
              <w:t>0 . 1 %</w:t>
            </w:r>
          </w:p>
        </w:tc>
      </w:tr>
      <w:tr>
        <w:trPr>
          <w:trHeight w:val="218" w:hRule="atLeast"/>
        </w:trPr>
        <w:tc>
          <w:tcPr>
            <w:tcW w:w="381" w:type="dxa"/>
          </w:tcPr>
          <w:p>
            <w:pPr>
              <w:pStyle w:val="TableParagraph"/>
              <w:spacing w:before="25"/>
              <w:ind w:left="34"/>
              <w:rPr>
                <w:sz w:val="14"/>
              </w:rPr>
            </w:pPr>
            <w:r>
              <w:rPr>
                <w:sz w:val="14"/>
              </w:rPr>
              <w:t>107</w:t>
            </w:r>
          </w:p>
        </w:tc>
        <w:tc>
          <w:tcPr>
            <w:tcW w:w="5120" w:type="dxa"/>
          </w:tcPr>
          <w:p>
            <w:pPr>
              <w:pStyle w:val="TableParagraph"/>
              <w:spacing w:before="25"/>
              <w:ind w:left="94"/>
              <w:rPr>
                <w:sz w:val="14"/>
              </w:rPr>
            </w:pPr>
            <w:r>
              <w:rPr>
                <w:sz w:val="14"/>
              </w:rPr>
              <w:t>Northern Province</w:t>
            </w:r>
          </w:p>
        </w:tc>
        <w:tc>
          <w:tcPr>
            <w:tcW w:w="2441" w:type="dxa"/>
          </w:tcPr>
          <w:p>
            <w:pPr>
              <w:pStyle w:val="TableParagraph"/>
              <w:spacing w:before="25"/>
              <w:ind w:right="429"/>
              <w:jc w:val="right"/>
              <w:rPr>
                <w:b/>
                <w:sz w:val="14"/>
              </w:rPr>
            </w:pPr>
            <w:r>
              <w:rPr>
                <w:b/>
                <w:sz w:val="14"/>
              </w:rPr>
              <w:t>2,481.2</w:t>
            </w:r>
          </w:p>
        </w:tc>
        <w:tc>
          <w:tcPr>
            <w:tcW w:w="1318" w:type="dxa"/>
          </w:tcPr>
          <w:p>
            <w:pPr>
              <w:pStyle w:val="TableParagraph"/>
              <w:spacing w:before="25"/>
              <w:ind w:right="462"/>
              <w:jc w:val="right"/>
              <w:rPr>
                <w:sz w:val="14"/>
              </w:rPr>
            </w:pPr>
            <w:r>
              <w:rPr>
                <w:sz w:val="14"/>
              </w:rPr>
              <w:t>0 . 1 %</w:t>
            </w:r>
          </w:p>
        </w:tc>
        <w:tc>
          <w:tcPr>
            <w:tcW w:w="1549" w:type="dxa"/>
          </w:tcPr>
          <w:p>
            <w:pPr>
              <w:pStyle w:val="TableParagraph"/>
              <w:spacing w:before="25"/>
              <w:ind w:right="441"/>
              <w:jc w:val="right"/>
              <w:rPr>
                <w:sz w:val="14"/>
              </w:rPr>
            </w:pPr>
            <w:r>
              <w:rPr>
                <w:sz w:val="14"/>
              </w:rPr>
              <w:t>2,651 .0</w:t>
            </w:r>
          </w:p>
        </w:tc>
        <w:tc>
          <w:tcPr>
            <w:tcW w:w="1326" w:type="dxa"/>
          </w:tcPr>
          <w:p>
            <w:pPr>
              <w:pStyle w:val="TableParagraph"/>
              <w:spacing w:before="25"/>
              <w:ind w:right="332"/>
              <w:jc w:val="right"/>
              <w:rPr>
                <w:sz w:val="14"/>
              </w:rPr>
            </w:pPr>
            <w:r>
              <w:rPr>
                <w:sz w:val="14"/>
              </w:rPr>
              <w:t>0 . 1 %</w:t>
            </w:r>
          </w:p>
        </w:tc>
        <w:tc>
          <w:tcPr>
            <w:tcW w:w="1394" w:type="dxa"/>
          </w:tcPr>
          <w:p>
            <w:pPr>
              <w:pStyle w:val="TableParagraph"/>
              <w:spacing w:before="25"/>
              <w:ind w:left="427"/>
              <w:rPr>
                <w:sz w:val="14"/>
              </w:rPr>
            </w:pPr>
            <w:r>
              <w:rPr>
                <w:sz w:val="14"/>
              </w:rPr>
              <w:t>2,809 .8</w:t>
            </w:r>
          </w:p>
        </w:tc>
        <w:tc>
          <w:tcPr>
            <w:tcW w:w="796" w:type="dxa"/>
          </w:tcPr>
          <w:p>
            <w:pPr>
              <w:pStyle w:val="TableParagraph"/>
              <w:spacing w:before="25"/>
              <w:ind w:right="88"/>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107</w:t>
            </w:r>
          </w:p>
        </w:tc>
        <w:tc>
          <w:tcPr>
            <w:tcW w:w="5120" w:type="dxa"/>
          </w:tcPr>
          <w:p>
            <w:pPr>
              <w:pStyle w:val="TableParagraph"/>
              <w:spacing w:before="27"/>
              <w:ind w:left="94"/>
              <w:rPr>
                <w:sz w:val="14"/>
              </w:rPr>
            </w:pPr>
            <w:r>
              <w:rPr>
                <w:sz w:val="14"/>
              </w:rPr>
              <w:t>North West Province</w:t>
            </w:r>
          </w:p>
        </w:tc>
        <w:tc>
          <w:tcPr>
            <w:tcW w:w="2441" w:type="dxa"/>
          </w:tcPr>
          <w:p>
            <w:pPr>
              <w:pStyle w:val="TableParagraph"/>
              <w:spacing w:before="27"/>
              <w:ind w:right="429"/>
              <w:jc w:val="right"/>
              <w:rPr>
                <w:b/>
                <w:sz w:val="14"/>
              </w:rPr>
            </w:pPr>
            <w:r>
              <w:rPr>
                <w:b/>
                <w:sz w:val="14"/>
              </w:rPr>
              <w:t>2,186.1</w:t>
            </w:r>
          </w:p>
        </w:tc>
        <w:tc>
          <w:tcPr>
            <w:tcW w:w="1318" w:type="dxa"/>
          </w:tcPr>
          <w:p>
            <w:pPr>
              <w:pStyle w:val="TableParagraph"/>
              <w:spacing w:before="27"/>
              <w:ind w:right="462"/>
              <w:jc w:val="right"/>
              <w:rPr>
                <w:sz w:val="14"/>
              </w:rPr>
            </w:pPr>
            <w:r>
              <w:rPr>
                <w:sz w:val="14"/>
              </w:rPr>
              <w:t>0 . 1 %</w:t>
            </w:r>
          </w:p>
        </w:tc>
        <w:tc>
          <w:tcPr>
            <w:tcW w:w="1549" w:type="dxa"/>
          </w:tcPr>
          <w:p>
            <w:pPr>
              <w:pStyle w:val="TableParagraph"/>
              <w:spacing w:before="27"/>
              <w:ind w:right="441"/>
              <w:jc w:val="right"/>
              <w:rPr>
                <w:sz w:val="14"/>
              </w:rPr>
            </w:pPr>
            <w:r>
              <w:rPr>
                <w:sz w:val="14"/>
              </w:rPr>
              <w:t>2,287 .6</w:t>
            </w:r>
          </w:p>
        </w:tc>
        <w:tc>
          <w:tcPr>
            <w:tcW w:w="1326" w:type="dxa"/>
          </w:tcPr>
          <w:p>
            <w:pPr>
              <w:pStyle w:val="TableParagraph"/>
              <w:spacing w:before="27"/>
              <w:ind w:right="332"/>
              <w:jc w:val="right"/>
              <w:rPr>
                <w:sz w:val="14"/>
              </w:rPr>
            </w:pPr>
            <w:r>
              <w:rPr>
                <w:sz w:val="14"/>
              </w:rPr>
              <w:t>0 . 1 %</w:t>
            </w:r>
          </w:p>
        </w:tc>
        <w:tc>
          <w:tcPr>
            <w:tcW w:w="1394" w:type="dxa"/>
          </w:tcPr>
          <w:p>
            <w:pPr>
              <w:pStyle w:val="TableParagraph"/>
              <w:spacing w:before="27"/>
              <w:ind w:left="427"/>
              <w:rPr>
                <w:sz w:val="14"/>
              </w:rPr>
            </w:pPr>
            <w:r>
              <w:rPr>
                <w:sz w:val="14"/>
              </w:rPr>
              <w:t>2,424 .6</w:t>
            </w:r>
          </w:p>
        </w:tc>
        <w:tc>
          <w:tcPr>
            <w:tcW w:w="796" w:type="dxa"/>
          </w:tcPr>
          <w:p>
            <w:pPr>
              <w:pStyle w:val="TableParagraph"/>
              <w:spacing w:before="27"/>
              <w:ind w:right="88"/>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108</w:t>
            </w:r>
          </w:p>
        </w:tc>
        <w:tc>
          <w:tcPr>
            <w:tcW w:w="5120" w:type="dxa"/>
          </w:tcPr>
          <w:p>
            <w:pPr>
              <w:pStyle w:val="TableParagraph"/>
              <w:spacing w:before="27"/>
              <w:ind w:left="94"/>
              <w:rPr>
                <w:sz w:val="14"/>
              </w:rPr>
            </w:pPr>
            <w:r>
              <w:rPr>
                <w:sz w:val="14"/>
              </w:rPr>
              <w:t>Sierra Leone Small Arms Commission</w:t>
            </w:r>
          </w:p>
        </w:tc>
        <w:tc>
          <w:tcPr>
            <w:tcW w:w="2441" w:type="dxa"/>
          </w:tcPr>
          <w:p>
            <w:pPr>
              <w:pStyle w:val="TableParagraph"/>
              <w:spacing w:before="27"/>
              <w:ind w:right="429"/>
              <w:jc w:val="right"/>
              <w:rPr>
                <w:b/>
                <w:sz w:val="14"/>
              </w:rPr>
            </w:pPr>
            <w:r>
              <w:rPr>
                <w:b/>
                <w:sz w:val="14"/>
              </w:rPr>
              <w:t>1,240.7</w:t>
            </w:r>
          </w:p>
        </w:tc>
        <w:tc>
          <w:tcPr>
            <w:tcW w:w="1318" w:type="dxa"/>
          </w:tcPr>
          <w:p>
            <w:pPr>
              <w:pStyle w:val="TableParagraph"/>
              <w:spacing w:before="27"/>
              <w:ind w:right="462"/>
              <w:jc w:val="right"/>
              <w:rPr>
                <w:sz w:val="14"/>
              </w:rPr>
            </w:pPr>
            <w:r>
              <w:rPr>
                <w:sz w:val="14"/>
              </w:rPr>
              <w:t>0 . 1 %</w:t>
            </w:r>
          </w:p>
        </w:tc>
        <w:tc>
          <w:tcPr>
            <w:tcW w:w="1549" w:type="dxa"/>
          </w:tcPr>
          <w:p>
            <w:pPr>
              <w:pStyle w:val="TableParagraph"/>
              <w:spacing w:before="27"/>
              <w:ind w:right="441"/>
              <w:jc w:val="right"/>
              <w:rPr>
                <w:sz w:val="14"/>
              </w:rPr>
            </w:pPr>
            <w:r>
              <w:rPr>
                <w:sz w:val="14"/>
              </w:rPr>
              <w:t>1,243 .0</w:t>
            </w:r>
          </w:p>
        </w:tc>
        <w:tc>
          <w:tcPr>
            <w:tcW w:w="1326" w:type="dxa"/>
          </w:tcPr>
          <w:p>
            <w:pPr>
              <w:pStyle w:val="TableParagraph"/>
              <w:spacing w:before="27"/>
              <w:ind w:right="332"/>
              <w:jc w:val="right"/>
              <w:rPr>
                <w:sz w:val="14"/>
              </w:rPr>
            </w:pPr>
            <w:r>
              <w:rPr>
                <w:sz w:val="14"/>
              </w:rPr>
              <w:t>0 . 1 %</w:t>
            </w:r>
          </w:p>
        </w:tc>
        <w:tc>
          <w:tcPr>
            <w:tcW w:w="1394" w:type="dxa"/>
          </w:tcPr>
          <w:p>
            <w:pPr>
              <w:pStyle w:val="TableParagraph"/>
              <w:spacing w:before="27"/>
              <w:ind w:left="427"/>
              <w:rPr>
                <w:sz w:val="14"/>
              </w:rPr>
            </w:pPr>
            <w:r>
              <w:rPr>
                <w:sz w:val="14"/>
              </w:rPr>
              <w:t>1,317 .4</w:t>
            </w:r>
          </w:p>
        </w:tc>
        <w:tc>
          <w:tcPr>
            <w:tcW w:w="796" w:type="dxa"/>
          </w:tcPr>
          <w:p>
            <w:pPr>
              <w:pStyle w:val="TableParagraph"/>
              <w:spacing w:before="27"/>
              <w:ind w:right="88"/>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5"/>
              <w:rPr>
                <w:sz w:val="14"/>
              </w:rPr>
            </w:pPr>
            <w:r>
              <w:rPr>
                <w:sz w:val="14"/>
              </w:rPr>
              <w:t>Office of the Secretary to the President</w:t>
            </w:r>
          </w:p>
        </w:tc>
        <w:tc>
          <w:tcPr>
            <w:tcW w:w="2441" w:type="dxa"/>
          </w:tcPr>
          <w:p>
            <w:pPr>
              <w:pStyle w:val="TableParagraph"/>
              <w:spacing w:before="27"/>
              <w:ind w:right="436"/>
              <w:jc w:val="right"/>
              <w:rPr>
                <w:b/>
                <w:sz w:val="14"/>
              </w:rPr>
            </w:pPr>
            <w:r>
              <w:rPr>
                <w:b/>
                <w:sz w:val="14"/>
              </w:rPr>
              <w:t>34,919.3</w:t>
            </w:r>
          </w:p>
        </w:tc>
        <w:tc>
          <w:tcPr>
            <w:tcW w:w="1318" w:type="dxa"/>
          </w:tcPr>
          <w:p>
            <w:pPr>
              <w:pStyle w:val="TableParagraph"/>
              <w:spacing w:before="27"/>
              <w:ind w:right="462"/>
              <w:jc w:val="right"/>
              <w:rPr>
                <w:sz w:val="14"/>
              </w:rPr>
            </w:pPr>
            <w:r>
              <w:rPr>
                <w:sz w:val="14"/>
              </w:rPr>
              <w:t>1 . 5 %</w:t>
            </w:r>
          </w:p>
        </w:tc>
        <w:tc>
          <w:tcPr>
            <w:tcW w:w="1549" w:type="dxa"/>
          </w:tcPr>
          <w:p>
            <w:pPr>
              <w:pStyle w:val="TableParagraph"/>
              <w:spacing w:before="27"/>
              <w:ind w:left="490"/>
              <w:rPr>
                <w:sz w:val="14"/>
              </w:rPr>
            </w:pPr>
            <w:r>
              <w:rPr>
                <w:sz w:val="14"/>
              </w:rPr>
              <w:t>41,551.1</w:t>
            </w:r>
          </w:p>
        </w:tc>
        <w:tc>
          <w:tcPr>
            <w:tcW w:w="1326" w:type="dxa"/>
          </w:tcPr>
          <w:p>
            <w:pPr>
              <w:pStyle w:val="TableParagraph"/>
              <w:spacing w:before="27"/>
              <w:ind w:right="332"/>
              <w:jc w:val="right"/>
              <w:rPr>
                <w:sz w:val="14"/>
              </w:rPr>
            </w:pPr>
            <w:r>
              <w:rPr>
                <w:sz w:val="14"/>
              </w:rPr>
              <w:t>1 . 8 %</w:t>
            </w:r>
          </w:p>
        </w:tc>
        <w:tc>
          <w:tcPr>
            <w:tcW w:w="1394" w:type="dxa"/>
          </w:tcPr>
          <w:p>
            <w:pPr>
              <w:pStyle w:val="TableParagraph"/>
              <w:spacing w:before="27"/>
              <w:ind w:left="336"/>
              <w:rPr>
                <w:sz w:val="14"/>
              </w:rPr>
            </w:pPr>
            <w:r>
              <w:rPr>
                <w:sz w:val="14"/>
              </w:rPr>
              <w:t>44,040.1</w:t>
            </w:r>
          </w:p>
        </w:tc>
        <w:tc>
          <w:tcPr>
            <w:tcW w:w="796" w:type="dxa"/>
          </w:tcPr>
          <w:p>
            <w:pPr>
              <w:pStyle w:val="TableParagraph"/>
              <w:spacing w:before="27"/>
              <w:ind w:right="88"/>
              <w:jc w:val="right"/>
              <w:rPr>
                <w:sz w:val="14"/>
              </w:rPr>
            </w:pPr>
            <w:r>
              <w:rPr>
                <w:sz w:val="14"/>
              </w:rPr>
              <w:t>1 . 9 %</w:t>
            </w:r>
          </w:p>
        </w:tc>
      </w:tr>
      <w:tr>
        <w:trPr>
          <w:trHeight w:val="220"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4"/>
              <w:rPr>
                <w:sz w:val="14"/>
              </w:rPr>
            </w:pPr>
            <w:r>
              <w:rPr>
                <w:sz w:val="14"/>
              </w:rPr>
              <w:t>National Assets and Government Property Commission</w:t>
            </w:r>
          </w:p>
        </w:tc>
        <w:tc>
          <w:tcPr>
            <w:tcW w:w="2441" w:type="dxa"/>
          </w:tcPr>
          <w:p>
            <w:pPr>
              <w:pStyle w:val="TableParagraph"/>
              <w:spacing w:before="27"/>
              <w:ind w:right="429"/>
              <w:jc w:val="right"/>
              <w:rPr>
                <w:b/>
                <w:sz w:val="14"/>
              </w:rPr>
            </w:pPr>
            <w:r>
              <w:rPr>
                <w:b/>
                <w:sz w:val="14"/>
              </w:rPr>
              <w:t>1,291.0</w:t>
            </w:r>
          </w:p>
        </w:tc>
        <w:tc>
          <w:tcPr>
            <w:tcW w:w="1318" w:type="dxa"/>
          </w:tcPr>
          <w:p>
            <w:pPr>
              <w:pStyle w:val="TableParagraph"/>
              <w:spacing w:before="27"/>
              <w:ind w:right="462"/>
              <w:jc w:val="right"/>
              <w:rPr>
                <w:sz w:val="14"/>
              </w:rPr>
            </w:pPr>
            <w:r>
              <w:rPr>
                <w:sz w:val="14"/>
              </w:rPr>
              <w:t>0 . 1 %</w:t>
            </w:r>
          </w:p>
        </w:tc>
        <w:tc>
          <w:tcPr>
            <w:tcW w:w="1549" w:type="dxa"/>
          </w:tcPr>
          <w:p>
            <w:pPr>
              <w:pStyle w:val="TableParagraph"/>
              <w:spacing w:before="27"/>
              <w:ind w:right="441"/>
              <w:jc w:val="right"/>
              <w:rPr>
                <w:sz w:val="14"/>
              </w:rPr>
            </w:pPr>
            <w:r>
              <w:rPr>
                <w:sz w:val="14"/>
              </w:rPr>
              <w:t>1,289 .8</w:t>
            </w:r>
          </w:p>
        </w:tc>
        <w:tc>
          <w:tcPr>
            <w:tcW w:w="1326" w:type="dxa"/>
          </w:tcPr>
          <w:p>
            <w:pPr>
              <w:pStyle w:val="TableParagraph"/>
              <w:spacing w:before="27"/>
              <w:ind w:right="332"/>
              <w:jc w:val="right"/>
              <w:rPr>
                <w:sz w:val="14"/>
              </w:rPr>
            </w:pPr>
            <w:r>
              <w:rPr>
                <w:sz w:val="14"/>
              </w:rPr>
              <w:t>0 . 1 %</w:t>
            </w:r>
          </w:p>
        </w:tc>
        <w:tc>
          <w:tcPr>
            <w:tcW w:w="1394" w:type="dxa"/>
          </w:tcPr>
          <w:p>
            <w:pPr>
              <w:pStyle w:val="TableParagraph"/>
              <w:spacing w:before="27"/>
              <w:ind w:left="427"/>
              <w:rPr>
                <w:sz w:val="14"/>
              </w:rPr>
            </w:pPr>
            <w:r>
              <w:rPr>
                <w:sz w:val="14"/>
              </w:rPr>
              <w:t>1,367 .1</w:t>
            </w:r>
          </w:p>
        </w:tc>
        <w:tc>
          <w:tcPr>
            <w:tcW w:w="796" w:type="dxa"/>
          </w:tcPr>
          <w:p>
            <w:pPr>
              <w:pStyle w:val="TableParagraph"/>
              <w:spacing w:before="27"/>
              <w:ind w:right="88"/>
              <w:jc w:val="right"/>
              <w:rPr>
                <w:sz w:val="14"/>
              </w:rPr>
            </w:pPr>
            <w:r>
              <w:rPr>
                <w:sz w:val="14"/>
              </w:rPr>
              <w:t>0 . 1 %</w:t>
            </w:r>
          </w:p>
        </w:tc>
      </w:tr>
      <w:tr>
        <w:trPr>
          <w:trHeight w:val="218"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4"/>
              <w:rPr>
                <w:sz w:val="14"/>
              </w:rPr>
            </w:pPr>
            <w:r>
              <w:rPr>
                <w:sz w:val="14"/>
              </w:rPr>
              <w:t>Anti-Corruption Commission</w:t>
            </w:r>
          </w:p>
        </w:tc>
        <w:tc>
          <w:tcPr>
            <w:tcW w:w="2441" w:type="dxa"/>
          </w:tcPr>
          <w:p>
            <w:pPr>
              <w:pStyle w:val="TableParagraph"/>
              <w:spacing w:before="27"/>
              <w:ind w:right="429"/>
              <w:jc w:val="right"/>
              <w:rPr>
                <w:b/>
                <w:sz w:val="14"/>
              </w:rPr>
            </w:pPr>
            <w:r>
              <w:rPr>
                <w:b/>
                <w:sz w:val="14"/>
              </w:rPr>
              <w:t>8,037.2</w:t>
            </w:r>
          </w:p>
        </w:tc>
        <w:tc>
          <w:tcPr>
            <w:tcW w:w="1318" w:type="dxa"/>
          </w:tcPr>
          <w:p>
            <w:pPr>
              <w:pStyle w:val="TableParagraph"/>
              <w:spacing w:before="27"/>
              <w:ind w:right="462"/>
              <w:jc w:val="right"/>
              <w:rPr>
                <w:sz w:val="14"/>
              </w:rPr>
            </w:pPr>
            <w:r>
              <w:rPr>
                <w:sz w:val="14"/>
              </w:rPr>
              <w:t>0 . 3 %</w:t>
            </w:r>
          </w:p>
        </w:tc>
        <w:tc>
          <w:tcPr>
            <w:tcW w:w="1549" w:type="dxa"/>
          </w:tcPr>
          <w:p>
            <w:pPr>
              <w:pStyle w:val="TableParagraph"/>
              <w:spacing w:before="27"/>
              <w:ind w:right="441"/>
              <w:jc w:val="right"/>
              <w:rPr>
                <w:sz w:val="14"/>
              </w:rPr>
            </w:pPr>
            <w:r>
              <w:rPr>
                <w:sz w:val="14"/>
              </w:rPr>
              <w:t>7,728 .6</w:t>
            </w:r>
          </w:p>
        </w:tc>
        <w:tc>
          <w:tcPr>
            <w:tcW w:w="1326" w:type="dxa"/>
          </w:tcPr>
          <w:p>
            <w:pPr>
              <w:pStyle w:val="TableParagraph"/>
              <w:spacing w:before="27"/>
              <w:ind w:right="332"/>
              <w:jc w:val="right"/>
              <w:rPr>
                <w:sz w:val="14"/>
              </w:rPr>
            </w:pPr>
            <w:r>
              <w:rPr>
                <w:sz w:val="14"/>
              </w:rPr>
              <w:t>0 . 3 %</w:t>
            </w:r>
          </w:p>
        </w:tc>
        <w:tc>
          <w:tcPr>
            <w:tcW w:w="1394" w:type="dxa"/>
          </w:tcPr>
          <w:p>
            <w:pPr>
              <w:pStyle w:val="TableParagraph"/>
              <w:spacing w:before="27"/>
              <w:ind w:left="427"/>
              <w:rPr>
                <w:sz w:val="14"/>
              </w:rPr>
            </w:pPr>
            <w:r>
              <w:rPr>
                <w:sz w:val="14"/>
              </w:rPr>
              <w:t>8,191 .6</w:t>
            </w:r>
          </w:p>
        </w:tc>
        <w:tc>
          <w:tcPr>
            <w:tcW w:w="796" w:type="dxa"/>
          </w:tcPr>
          <w:p>
            <w:pPr>
              <w:pStyle w:val="TableParagraph"/>
              <w:spacing w:before="27"/>
              <w:ind w:right="88"/>
              <w:jc w:val="right"/>
              <w:rPr>
                <w:sz w:val="14"/>
              </w:rPr>
            </w:pPr>
            <w:r>
              <w:rPr>
                <w:sz w:val="14"/>
              </w:rPr>
              <w:t>0 . 4 %</w:t>
            </w:r>
          </w:p>
        </w:tc>
      </w:tr>
      <w:tr>
        <w:trPr>
          <w:trHeight w:val="218" w:hRule="atLeast"/>
        </w:trPr>
        <w:tc>
          <w:tcPr>
            <w:tcW w:w="381" w:type="dxa"/>
          </w:tcPr>
          <w:p>
            <w:pPr>
              <w:pStyle w:val="TableParagraph"/>
              <w:spacing w:before="25"/>
              <w:ind w:left="34"/>
              <w:rPr>
                <w:sz w:val="14"/>
              </w:rPr>
            </w:pPr>
            <w:r>
              <w:rPr>
                <w:sz w:val="14"/>
              </w:rPr>
              <w:t>110</w:t>
            </w:r>
          </w:p>
        </w:tc>
        <w:tc>
          <w:tcPr>
            <w:tcW w:w="5120" w:type="dxa"/>
          </w:tcPr>
          <w:p>
            <w:pPr>
              <w:pStyle w:val="TableParagraph"/>
              <w:spacing w:before="25"/>
              <w:ind w:left="95"/>
              <w:rPr>
                <w:sz w:val="14"/>
              </w:rPr>
            </w:pPr>
            <w:r>
              <w:rPr>
                <w:sz w:val="14"/>
              </w:rPr>
              <w:t>Office of the Ombudsman</w:t>
            </w:r>
          </w:p>
        </w:tc>
        <w:tc>
          <w:tcPr>
            <w:tcW w:w="2441" w:type="dxa"/>
          </w:tcPr>
          <w:p>
            <w:pPr>
              <w:pStyle w:val="TableParagraph"/>
              <w:spacing w:before="25"/>
              <w:ind w:right="429"/>
              <w:jc w:val="right"/>
              <w:rPr>
                <w:b/>
                <w:sz w:val="14"/>
              </w:rPr>
            </w:pPr>
            <w:r>
              <w:rPr>
                <w:b/>
                <w:sz w:val="14"/>
              </w:rPr>
              <w:t>2,004.1</w:t>
            </w:r>
          </w:p>
        </w:tc>
        <w:tc>
          <w:tcPr>
            <w:tcW w:w="1318" w:type="dxa"/>
          </w:tcPr>
          <w:p>
            <w:pPr>
              <w:pStyle w:val="TableParagraph"/>
              <w:spacing w:before="25"/>
              <w:ind w:right="462"/>
              <w:jc w:val="right"/>
              <w:rPr>
                <w:sz w:val="14"/>
              </w:rPr>
            </w:pPr>
            <w:r>
              <w:rPr>
                <w:sz w:val="14"/>
              </w:rPr>
              <w:t>0 . 1 %</w:t>
            </w:r>
          </w:p>
        </w:tc>
        <w:tc>
          <w:tcPr>
            <w:tcW w:w="1549" w:type="dxa"/>
          </w:tcPr>
          <w:p>
            <w:pPr>
              <w:pStyle w:val="TableParagraph"/>
              <w:spacing w:before="25"/>
              <w:ind w:right="441"/>
              <w:jc w:val="right"/>
              <w:rPr>
                <w:sz w:val="14"/>
              </w:rPr>
            </w:pPr>
            <w:r>
              <w:rPr>
                <w:sz w:val="14"/>
              </w:rPr>
              <w:t>1,840 .9</w:t>
            </w:r>
          </w:p>
        </w:tc>
        <w:tc>
          <w:tcPr>
            <w:tcW w:w="1326" w:type="dxa"/>
          </w:tcPr>
          <w:p>
            <w:pPr>
              <w:pStyle w:val="TableParagraph"/>
              <w:spacing w:before="25"/>
              <w:ind w:right="332"/>
              <w:jc w:val="right"/>
              <w:rPr>
                <w:sz w:val="14"/>
              </w:rPr>
            </w:pPr>
            <w:r>
              <w:rPr>
                <w:sz w:val="14"/>
              </w:rPr>
              <w:t>0 . 1 %</w:t>
            </w:r>
          </w:p>
        </w:tc>
        <w:tc>
          <w:tcPr>
            <w:tcW w:w="1394" w:type="dxa"/>
          </w:tcPr>
          <w:p>
            <w:pPr>
              <w:pStyle w:val="TableParagraph"/>
              <w:spacing w:before="25"/>
              <w:ind w:left="427"/>
              <w:rPr>
                <w:sz w:val="14"/>
              </w:rPr>
            </w:pPr>
            <w:r>
              <w:rPr>
                <w:sz w:val="14"/>
              </w:rPr>
              <w:t>1,951 .1</w:t>
            </w:r>
          </w:p>
        </w:tc>
        <w:tc>
          <w:tcPr>
            <w:tcW w:w="796" w:type="dxa"/>
          </w:tcPr>
          <w:p>
            <w:pPr>
              <w:pStyle w:val="TableParagraph"/>
              <w:spacing w:before="25"/>
              <w:ind w:right="88"/>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5"/>
              <w:rPr>
                <w:sz w:val="14"/>
              </w:rPr>
            </w:pPr>
            <w:r>
              <w:rPr>
                <w:sz w:val="14"/>
              </w:rPr>
              <w:t>Independent Media Commission</w:t>
            </w:r>
          </w:p>
        </w:tc>
        <w:tc>
          <w:tcPr>
            <w:tcW w:w="2441" w:type="dxa"/>
          </w:tcPr>
          <w:p>
            <w:pPr>
              <w:pStyle w:val="TableParagraph"/>
              <w:spacing w:before="27"/>
              <w:ind w:right="429"/>
              <w:jc w:val="right"/>
              <w:rPr>
                <w:b/>
                <w:sz w:val="14"/>
              </w:rPr>
            </w:pPr>
            <w:r>
              <w:rPr>
                <w:b/>
                <w:sz w:val="14"/>
              </w:rPr>
              <w:t>1,406.3</w:t>
            </w:r>
          </w:p>
        </w:tc>
        <w:tc>
          <w:tcPr>
            <w:tcW w:w="1318" w:type="dxa"/>
          </w:tcPr>
          <w:p>
            <w:pPr>
              <w:pStyle w:val="TableParagraph"/>
              <w:spacing w:before="27"/>
              <w:ind w:right="462"/>
              <w:jc w:val="right"/>
              <w:rPr>
                <w:sz w:val="14"/>
              </w:rPr>
            </w:pPr>
            <w:r>
              <w:rPr>
                <w:sz w:val="14"/>
              </w:rPr>
              <w:t>0 . 1 %</w:t>
            </w:r>
          </w:p>
        </w:tc>
        <w:tc>
          <w:tcPr>
            <w:tcW w:w="1549" w:type="dxa"/>
          </w:tcPr>
          <w:p>
            <w:pPr>
              <w:pStyle w:val="TableParagraph"/>
              <w:spacing w:before="27"/>
              <w:ind w:right="441"/>
              <w:jc w:val="right"/>
              <w:rPr>
                <w:sz w:val="14"/>
              </w:rPr>
            </w:pPr>
            <w:r>
              <w:rPr>
                <w:sz w:val="14"/>
              </w:rPr>
              <w:t>1,404 .9</w:t>
            </w:r>
          </w:p>
        </w:tc>
        <w:tc>
          <w:tcPr>
            <w:tcW w:w="1326" w:type="dxa"/>
          </w:tcPr>
          <w:p>
            <w:pPr>
              <w:pStyle w:val="TableParagraph"/>
              <w:spacing w:before="27"/>
              <w:ind w:right="332"/>
              <w:jc w:val="right"/>
              <w:rPr>
                <w:sz w:val="14"/>
              </w:rPr>
            </w:pPr>
            <w:r>
              <w:rPr>
                <w:sz w:val="14"/>
              </w:rPr>
              <w:t>0 . 1 %</w:t>
            </w:r>
          </w:p>
        </w:tc>
        <w:tc>
          <w:tcPr>
            <w:tcW w:w="1394" w:type="dxa"/>
          </w:tcPr>
          <w:p>
            <w:pPr>
              <w:pStyle w:val="TableParagraph"/>
              <w:spacing w:before="27"/>
              <w:ind w:left="427"/>
              <w:rPr>
                <w:sz w:val="14"/>
              </w:rPr>
            </w:pPr>
            <w:r>
              <w:rPr>
                <w:sz w:val="14"/>
              </w:rPr>
              <w:t>1,489 .0</w:t>
            </w:r>
          </w:p>
        </w:tc>
        <w:tc>
          <w:tcPr>
            <w:tcW w:w="796" w:type="dxa"/>
          </w:tcPr>
          <w:p>
            <w:pPr>
              <w:pStyle w:val="TableParagraph"/>
              <w:spacing w:before="27"/>
              <w:ind w:right="88"/>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4"/>
              <w:rPr>
                <w:sz w:val="14"/>
              </w:rPr>
            </w:pPr>
            <w:r>
              <w:rPr>
                <w:sz w:val="14"/>
              </w:rPr>
              <w:t>Political Parties Registration Commission</w:t>
            </w:r>
          </w:p>
        </w:tc>
        <w:tc>
          <w:tcPr>
            <w:tcW w:w="2441" w:type="dxa"/>
          </w:tcPr>
          <w:p>
            <w:pPr>
              <w:pStyle w:val="TableParagraph"/>
              <w:spacing w:before="27"/>
              <w:ind w:right="429"/>
              <w:jc w:val="right"/>
              <w:rPr>
                <w:b/>
                <w:sz w:val="14"/>
              </w:rPr>
            </w:pPr>
            <w:r>
              <w:rPr>
                <w:b/>
                <w:sz w:val="14"/>
              </w:rPr>
              <w:t>1,612.2</w:t>
            </w:r>
          </w:p>
        </w:tc>
        <w:tc>
          <w:tcPr>
            <w:tcW w:w="1318" w:type="dxa"/>
          </w:tcPr>
          <w:p>
            <w:pPr>
              <w:pStyle w:val="TableParagraph"/>
              <w:spacing w:before="27"/>
              <w:ind w:right="462"/>
              <w:jc w:val="right"/>
              <w:rPr>
                <w:sz w:val="14"/>
              </w:rPr>
            </w:pPr>
            <w:r>
              <w:rPr>
                <w:sz w:val="14"/>
              </w:rPr>
              <w:t>0 . 1 %</w:t>
            </w:r>
          </w:p>
        </w:tc>
        <w:tc>
          <w:tcPr>
            <w:tcW w:w="1549" w:type="dxa"/>
          </w:tcPr>
          <w:p>
            <w:pPr>
              <w:pStyle w:val="TableParagraph"/>
              <w:spacing w:before="27"/>
              <w:ind w:right="441"/>
              <w:jc w:val="right"/>
              <w:rPr>
                <w:sz w:val="14"/>
              </w:rPr>
            </w:pPr>
            <w:r>
              <w:rPr>
                <w:sz w:val="14"/>
              </w:rPr>
              <w:t>1,535 .3</w:t>
            </w:r>
          </w:p>
        </w:tc>
        <w:tc>
          <w:tcPr>
            <w:tcW w:w="1326" w:type="dxa"/>
          </w:tcPr>
          <w:p>
            <w:pPr>
              <w:pStyle w:val="TableParagraph"/>
              <w:spacing w:before="27"/>
              <w:ind w:right="332"/>
              <w:jc w:val="right"/>
              <w:rPr>
                <w:sz w:val="14"/>
              </w:rPr>
            </w:pPr>
            <w:r>
              <w:rPr>
                <w:sz w:val="14"/>
              </w:rPr>
              <w:t>0 . 1 %</w:t>
            </w:r>
          </w:p>
        </w:tc>
        <w:tc>
          <w:tcPr>
            <w:tcW w:w="1394" w:type="dxa"/>
          </w:tcPr>
          <w:p>
            <w:pPr>
              <w:pStyle w:val="TableParagraph"/>
              <w:spacing w:before="27"/>
              <w:ind w:left="427"/>
              <w:rPr>
                <w:sz w:val="14"/>
              </w:rPr>
            </w:pPr>
            <w:r>
              <w:rPr>
                <w:sz w:val="14"/>
              </w:rPr>
              <w:t>1,627 .3</w:t>
            </w:r>
          </w:p>
        </w:tc>
        <w:tc>
          <w:tcPr>
            <w:tcW w:w="796" w:type="dxa"/>
          </w:tcPr>
          <w:p>
            <w:pPr>
              <w:pStyle w:val="TableParagraph"/>
              <w:spacing w:before="27"/>
              <w:ind w:right="88"/>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5"/>
              <w:rPr>
                <w:sz w:val="14"/>
              </w:rPr>
            </w:pPr>
            <w:r>
              <w:rPr>
                <w:sz w:val="14"/>
              </w:rPr>
              <w:t>Law Reform Commission</w:t>
            </w:r>
          </w:p>
        </w:tc>
        <w:tc>
          <w:tcPr>
            <w:tcW w:w="2441" w:type="dxa"/>
          </w:tcPr>
          <w:p>
            <w:pPr>
              <w:pStyle w:val="TableParagraph"/>
              <w:spacing w:before="27"/>
              <w:ind w:right="417"/>
              <w:jc w:val="right"/>
              <w:rPr>
                <w:b/>
                <w:sz w:val="14"/>
              </w:rPr>
            </w:pPr>
            <w:r>
              <w:rPr>
                <w:b/>
                <w:sz w:val="14"/>
              </w:rPr>
              <w:t>869.6</w:t>
            </w:r>
          </w:p>
        </w:tc>
        <w:tc>
          <w:tcPr>
            <w:tcW w:w="1318" w:type="dxa"/>
          </w:tcPr>
          <w:p>
            <w:pPr>
              <w:pStyle w:val="TableParagraph"/>
              <w:spacing w:before="27"/>
              <w:ind w:right="462"/>
              <w:jc w:val="right"/>
              <w:rPr>
                <w:sz w:val="14"/>
              </w:rPr>
            </w:pPr>
            <w:r>
              <w:rPr>
                <w:sz w:val="14"/>
              </w:rPr>
              <w:t>0 . 0 %</w:t>
            </w:r>
          </w:p>
        </w:tc>
        <w:tc>
          <w:tcPr>
            <w:tcW w:w="1549" w:type="dxa"/>
          </w:tcPr>
          <w:p>
            <w:pPr>
              <w:pStyle w:val="TableParagraph"/>
              <w:spacing w:before="27"/>
              <w:ind w:right="439"/>
              <w:jc w:val="right"/>
              <w:rPr>
                <w:sz w:val="14"/>
              </w:rPr>
            </w:pPr>
            <w:r>
              <w:rPr>
                <w:sz w:val="14"/>
              </w:rPr>
              <w:t>770.8</w:t>
            </w:r>
          </w:p>
        </w:tc>
        <w:tc>
          <w:tcPr>
            <w:tcW w:w="1326" w:type="dxa"/>
          </w:tcPr>
          <w:p>
            <w:pPr>
              <w:pStyle w:val="TableParagraph"/>
              <w:spacing w:before="27"/>
              <w:ind w:right="332"/>
              <w:jc w:val="right"/>
              <w:rPr>
                <w:sz w:val="14"/>
              </w:rPr>
            </w:pPr>
            <w:r>
              <w:rPr>
                <w:sz w:val="14"/>
              </w:rPr>
              <w:t>0 . 0 %</w:t>
            </w:r>
          </w:p>
        </w:tc>
        <w:tc>
          <w:tcPr>
            <w:tcW w:w="1394" w:type="dxa"/>
          </w:tcPr>
          <w:p>
            <w:pPr>
              <w:pStyle w:val="TableParagraph"/>
              <w:spacing w:before="27"/>
              <w:ind w:left="576"/>
              <w:rPr>
                <w:sz w:val="14"/>
              </w:rPr>
            </w:pPr>
            <w:r>
              <w:rPr>
                <w:sz w:val="14"/>
              </w:rPr>
              <w:t>816.9</w:t>
            </w:r>
          </w:p>
        </w:tc>
        <w:tc>
          <w:tcPr>
            <w:tcW w:w="796" w:type="dxa"/>
          </w:tcPr>
          <w:p>
            <w:pPr>
              <w:pStyle w:val="TableParagraph"/>
              <w:spacing w:before="27"/>
              <w:ind w:right="88"/>
              <w:jc w:val="right"/>
              <w:rPr>
                <w:sz w:val="14"/>
              </w:rPr>
            </w:pPr>
            <w:r>
              <w:rPr>
                <w:sz w:val="14"/>
              </w:rPr>
              <w:t>0 . 0 %</w:t>
            </w:r>
          </w:p>
        </w:tc>
      </w:tr>
      <w:tr>
        <w:trPr>
          <w:trHeight w:val="220"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4"/>
              <w:rPr>
                <w:sz w:val="14"/>
              </w:rPr>
            </w:pPr>
            <w:r>
              <w:rPr>
                <w:sz w:val="14"/>
              </w:rPr>
              <w:t>Sierra Leone Insurance Commission</w:t>
            </w:r>
          </w:p>
        </w:tc>
        <w:tc>
          <w:tcPr>
            <w:tcW w:w="2441" w:type="dxa"/>
          </w:tcPr>
          <w:p>
            <w:pPr>
              <w:pStyle w:val="TableParagraph"/>
              <w:spacing w:before="27"/>
              <w:ind w:right="417"/>
              <w:jc w:val="right"/>
              <w:rPr>
                <w:b/>
                <w:sz w:val="14"/>
              </w:rPr>
            </w:pPr>
            <w:r>
              <w:rPr>
                <w:b/>
                <w:sz w:val="14"/>
              </w:rPr>
              <w:t>856.8</w:t>
            </w:r>
          </w:p>
        </w:tc>
        <w:tc>
          <w:tcPr>
            <w:tcW w:w="1318" w:type="dxa"/>
          </w:tcPr>
          <w:p>
            <w:pPr>
              <w:pStyle w:val="TableParagraph"/>
              <w:spacing w:before="27"/>
              <w:ind w:right="462"/>
              <w:jc w:val="right"/>
              <w:rPr>
                <w:sz w:val="14"/>
              </w:rPr>
            </w:pPr>
            <w:r>
              <w:rPr>
                <w:sz w:val="14"/>
              </w:rPr>
              <w:t>0 . 0 %</w:t>
            </w:r>
          </w:p>
        </w:tc>
        <w:tc>
          <w:tcPr>
            <w:tcW w:w="1549" w:type="dxa"/>
          </w:tcPr>
          <w:p>
            <w:pPr>
              <w:pStyle w:val="TableParagraph"/>
              <w:spacing w:before="27"/>
              <w:ind w:right="439"/>
              <w:jc w:val="right"/>
              <w:rPr>
                <w:sz w:val="14"/>
              </w:rPr>
            </w:pPr>
            <w:r>
              <w:rPr>
                <w:sz w:val="14"/>
              </w:rPr>
              <w:t>932.2</w:t>
            </w:r>
          </w:p>
        </w:tc>
        <w:tc>
          <w:tcPr>
            <w:tcW w:w="1326" w:type="dxa"/>
          </w:tcPr>
          <w:p>
            <w:pPr>
              <w:pStyle w:val="TableParagraph"/>
              <w:spacing w:before="27"/>
              <w:ind w:right="332"/>
              <w:jc w:val="right"/>
              <w:rPr>
                <w:sz w:val="14"/>
              </w:rPr>
            </w:pPr>
            <w:r>
              <w:rPr>
                <w:sz w:val="14"/>
              </w:rPr>
              <w:t>0 . 0 %</w:t>
            </w:r>
          </w:p>
        </w:tc>
        <w:tc>
          <w:tcPr>
            <w:tcW w:w="1394" w:type="dxa"/>
          </w:tcPr>
          <w:p>
            <w:pPr>
              <w:pStyle w:val="TableParagraph"/>
              <w:spacing w:before="27"/>
              <w:ind w:left="576"/>
              <w:rPr>
                <w:sz w:val="14"/>
              </w:rPr>
            </w:pPr>
            <w:r>
              <w:rPr>
                <w:sz w:val="14"/>
              </w:rPr>
              <w:t>988.0</w:t>
            </w:r>
          </w:p>
        </w:tc>
        <w:tc>
          <w:tcPr>
            <w:tcW w:w="796" w:type="dxa"/>
          </w:tcPr>
          <w:p>
            <w:pPr>
              <w:pStyle w:val="TableParagraph"/>
              <w:spacing w:before="27"/>
              <w:ind w:right="88"/>
              <w:jc w:val="right"/>
              <w:rPr>
                <w:sz w:val="14"/>
              </w:rPr>
            </w:pPr>
            <w:r>
              <w:rPr>
                <w:sz w:val="14"/>
              </w:rPr>
              <w:t>0 . 0 %</w:t>
            </w:r>
          </w:p>
        </w:tc>
      </w:tr>
      <w:tr>
        <w:trPr>
          <w:trHeight w:val="218"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5"/>
              <w:rPr>
                <w:sz w:val="14"/>
              </w:rPr>
            </w:pPr>
            <w:r>
              <w:rPr>
                <w:sz w:val="14"/>
              </w:rPr>
              <w:t>Local Government Service Commission</w:t>
            </w:r>
          </w:p>
        </w:tc>
        <w:tc>
          <w:tcPr>
            <w:tcW w:w="2441" w:type="dxa"/>
          </w:tcPr>
          <w:p>
            <w:pPr>
              <w:pStyle w:val="TableParagraph"/>
              <w:spacing w:before="27"/>
              <w:ind w:right="417"/>
              <w:jc w:val="right"/>
              <w:rPr>
                <w:b/>
                <w:sz w:val="14"/>
              </w:rPr>
            </w:pPr>
            <w:r>
              <w:rPr>
                <w:b/>
                <w:sz w:val="14"/>
              </w:rPr>
              <w:t>952.2</w:t>
            </w:r>
          </w:p>
        </w:tc>
        <w:tc>
          <w:tcPr>
            <w:tcW w:w="1318" w:type="dxa"/>
          </w:tcPr>
          <w:p>
            <w:pPr>
              <w:pStyle w:val="TableParagraph"/>
              <w:spacing w:before="27"/>
              <w:ind w:right="462"/>
              <w:jc w:val="right"/>
              <w:rPr>
                <w:sz w:val="14"/>
              </w:rPr>
            </w:pPr>
            <w:r>
              <w:rPr>
                <w:sz w:val="14"/>
              </w:rPr>
              <w:t>0 . 0 %</w:t>
            </w:r>
          </w:p>
        </w:tc>
        <w:tc>
          <w:tcPr>
            <w:tcW w:w="1549" w:type="dxa"/>
          </w:tcPr>
          <w:p>
            <w:pPr>
              <w:pStyle w:val="TableParagraph"/>
              <w:spacing w:before="27"/>
              <w:ind w:right="439"/>
              <w:jc w:val="right"/>
              <w:rPr>
                <w:sz w:val="14"/>
              </w:rPr>
            </w:pPr>
            <w:r>
              <w:rPr>
                <w:sz w:val="14"/>
              </w:rPr>
              <w:t>914.6</w:t>
            </w:r>
          </w:p>
        </w:tc>
        <w:tc>
          <w:tcPr>
            <w:tcW w:w="1326" w:type="dxa"/>
          </w:tcPr>
          <w:p>
            <w:pPr>
              <w:pStyle w:val="TableParagraph"/>
              <w:spacing w:before="27"/>
              <w:ind w:right="332"/>
              <w:jc w:val="right"/>
              <w:rPr>
                <w:sz w:val="14"/>
              </w:rPr>
            </w:pPr>
            <w:r>
              <w:rPr>
                <w:sz w:val="14"/>
              </w:rPr>
              <w:t>0 . 0 %</w:t>
            </w:r>
          </w:p>
        </w:tc>
        <w:tc>
          <w:tcPr>
            <w:tcW w:w="1394" w:type="dxa"/>
          </w:tcPr>
          <w:p>
            <w:pPr>
              <w:pStyle w:val="TableParagraph"/>
              <w:spacing w:before="27"/>
              <w:ind w:left="576"/>
              <w:rPr>
                <w:sz w:val="14"/>
              </w:rPr>
            </w:pPr>
            <w:r>
              <w:rPr>
                <w:sz w:val="14"/>
              </w:rPr>
              <w:t>969.4</w:t>
            </w:r>
          </w:p>
        </w:tc>
        <w:tc>
          <w:tcPr>
            <w:tcW w:w="796" w:type="dxa"/>
          </w:tcPr>
          <w:p>
            <w:pPr>
              <w:pStyle w:val="TableParagraph"/>
              <w:spacing w:before="27"/>
              <w:ind w:right="88"/>
              <w:jc w:val="right"/>
              <w:rPr>
                <w:sz w:val="14"/>
              </w:rPr>
            </w:pPr>
            <w:r>
              <w:rPr>
                <w:sz w:val="14"/>
              </w:rPr>
              <w:t>0 . 0 %</w:t>
            </w:r>
          </w:p>
        </w:tc>
      </w:tr>
      <w:tr>
        <w:trPr>
          <w:trHeight w:val="218" w:hRule="atLeast"/>
        </w:trPr>
        <w:tc>
          <w:tcPr>
            <w:tcW w:w="381" w:type="dxa"/>
          </w:tcPr>
          <w:p>
            <w:pPr>
              <w:pStyle w:val="TableParagraph"/>
              <w:spacing w:before="25"/>
              <w:ind w:left="34"/>
              <w:rPr>
                <w:sz w:val="14"/>
              </w:rPr>
            </w:pPr>
            <w:r>
              <w:rPr>
                <w:sz w:val="14"/>
              </w:rPr>
              <w:t>110</w:t>
            </w:r>
          </w:p>
        </w:tc>
        <w:tc>
          <w:tcPr>
            <w:tcW w:w="5120" w:type="dxa"/>
          </w:tcPr>
          <w:p>
            <w:pPr>
              <w:pStyle w:val="TableParagraph"/>
              <w:spacing w:before="25"/>
              <w:ind w:left="94"/>
              <w:rPr>
                <w:sz w:val="14"/>
              </w:rPr>
            </w:pPr>
            <w:r>
              <w:rPr>
                <w:sz w:val="14"/>
              </w:rPr>
              <w:t>Public Sector Reform Unit</w:t>
            </w:r>
          </w:p>
        </w:tc>
        <w:tc>
          <w:tcPr>
            <w:tcW w:w="2441" w:type="dxa"/>
          </w:tcPr>
          <w:p>
            <w:pPr>
              <w:pStyle w:val="TableParagraph"/>
              <w:spacing w:before="25"/>
              <w:ind w:right="429"/>
              <w:jc w:val="right"/>
              <w:rPr>
                <w:b/>
                <w:sz w:val="14"/>
              </w:rPr>
            </w:pPr>
            <w:r>
              <w:rPr>
                <w:b/>
                <w:sz w:val="14"/>
              </w:rPr>
              <w:t>1,221.8</w:t>
            </w:r>
          </w:p>
        </w:tc>
        <w:tc>
          <w:tcPr>
            <w:tcW w:w="1318" w:type="dxa"/>
          </w:tcPr>
          <w:p>
            <w:pPr>
              <w:pStyle w:val="TableParagraph"/>
              <w:spacing w:before="25"/>
              <w:ind w:right="462"/>
              <w:jc w:val="right"/>
              <w:rPr>
                <w:sz w:val="14"/>
              </w:rPr>
            </w:pPr>
            <w:r>
              <w:rPr>
                <w:sz w:val="14"/>
              </w:rPr>
              <w:t>0 . 1 %</w:t>
            </w:r>
          </w:p>
        </w:tc>
        <w:tc>
          <w:tcPr>
            <w:tcW w:w="1549" w:type="dxa"/>
          </w:tcPr>
          <w:p>
            <w:pPr>
              <w:pStyle w:val="TableParagraph"/>
              <w:spacing w:before="25"/>
              <w:ind w:right="441"/>
              <w:jc w:val="right"/>
              <w:rPr>
                <w:sz w:val="14"/>
              </w:rPr>
            </w:pPr>
            <w:r>
              <w:rPr>
                <w:sz w:val="14"/>
              </w:rPr>
              <w:t>1,204 .6</w:t>
            </w:r>
          </w:p>
        </w:tc>
        <w:tc>
          <w:tcPr>
            <w:tcW w:w="1326" w:type="dxa"/>
          </w:tcPr>
          <w:p>
            <w:pPr>
              <w:pStyle w:val="TableParagraph"/>
              <w:spacing w:before="25"/>
              <w:ind w:right="332"/>
              <w:jc w:val="right"/>
              <w:rPr>
                <w:sz w:val="14"/>
              </w:rPr>
            </w:pPr>
            <w:r>
              <w:rPr>
                <w:sz w:val="14"/>
              </w:rPr>
              <w:t>0 . 1 %</w:t>
            </w:r>
          </w:p>
        </w:tc>
        <w:tc>
          <w:tcPr>
            <w:tcW w:w="1394" w:type="dxa"/>
          </w:tcPr>
          <w:p>
            <w:pPr>
              <w:pStyle w:val="TableParagraph"/>
              <w:spacing w:before="25"/>
              <w:ind w:left="427"/>
              <w:rPr>
                <w:sz w:val="14"/>
              </w:rPr>
            </w:pPr>
            <w:r>
              <w:rPr>
                <w:sz w:val="14"/>
              </w:rPr>
              <w:t>1,276 .8</w:t>
            </w:r>
          </w:p>
        </w:tc>
        <w:tc>
          <w:tcPr>
            <w:tcW w:w="796" w:type="dxa"/>
          </w:tcPr>
          <w:p>
            <w:pPr>
              <w:pStyle w:val="TableParagraph"/>
              <w:spacing w:before="25"/>
              <w:ind w:right="88"/>
              <w:jc w:val="right"/>
              <w:rPr>
                <w:sz w:val="14"/>
              </w:rPr>
            </w:pPr>
            <w:r>
              <w:rPr>
                <w:sz w:val="14"/>
              </w:rPr>
              <w:t>0 . 1 %</w:t>
            </w:r>
          </w:p>
        </w:tc>
      </w:tr>
      <w:tr>
        <w:trPr>
          <w:trHeight w:val="220" w:hRule="atLeast"/>
        </w:trPr>
        <w:tc>
          <w:tcPr>
            <w:tcW w:w="381" w:type="dxa"/>
          </w:tcPr>
          <w:p>
            <w:pPr>
              <w:pStyle w:val="TableParagraph"/>
              <w:spacing w:before="27"/>
              <w:ind w:left="34"/>
              <w:rPr>
                <w:sz w:val="14"/>
              </w:rPr>
            </w:pPr>
            <w:r>
              <w:rPr>
                <w:sz w:val="14"/>
              </w:rPr>
              <w:t>110</w:t>
            </w:r>
          </w:p>
        </w:tc>
        <w:tc>
          <w:tcPr>
            <w:tcW w:w="5120" w:type="dxa"/>
          </w:tcPr>
          <w:p>
            <w:pPr>
              <w:pStyle w:val="TableParagraph"/>
              <w:spacing w:before="27"/>
              <w:ind w:left="94"/>
              <w:rPr>
                <w:sz w:val="14"/>
              </w:rPr>
            </w:pPr>
            <w:r>
              <w:rPr>
                <w:sz w:val="14"/>
              </w:rPr>
              <w:t>Corporate Affairs Commission</w:t>
            </w:r>
          </w:p>
        </w:tc>
        <w:tc>
          <w:tcPr>
            <w:tcW w:w="2441" w:type="dxa"/>
          </w:tcPr>
          <w:p>
            <w:pPr>
              <w:pStyle w:val="TableParagraph"/>
              <w:spacing w:before="27"/>
              <w:ind w:right="417"/>
              <w:jc w:val="right"/>
              <w:rPr>
                <w:b/>
                <w:sz w:val="14"/>
              </w:rPr>
            </w:pPr>
            <w:r>
              <w:rPr>
                <w:b/>
                <w:sz w:val="14"/>
              </w:rPr>
              <w:t>885.2</w:t>
            </w:r>
          </w:p>
        </w:tc>
        <w:tc>
          <w:tcPr>
            <w:tcW w:w="1318" w:type="dxa"/>
          </w:tcPr>
          <w:p>
            <w:pPr>
              <w:pStyle w:val="TableParagraph"/>
              <w:spacing w:before="27"/>
              <w:ind w:right="462"/>
              <w:jc w:val="right"/>
              <w:rPr>
                <w:sz w:val="14"/>
              </w:rPr>
            </w:pPr>
            <w:r>
              <w:rPr>
                <w:sz w:val="14"/>
              </w:rPr>
              <w:t>0 . 0 %</w:t>
            </w:r>
          </w:p>
        </w:tc>
        <w:tc>
          <w:tcPr>
            <w:tcW w:w="1549" w:type="dxa"/>
          </w:tcPr>
          <w:p>
            <w:pPr>
              <w:pStyle w:val="TableParagraph"/>
              <w:spacing w:before="27"/>
              <w:ind w:right="439"/>
              <w:jc w:val="right"/>
              <w:rPr>
                <w:sz w:val="14"/>
              </w:rPr>
            </w:pPr>
            <w:r>
              <w:rPr>
                <w:sz w:val="14"/>
              </w:rPr>
              <w:t>666.8</w:t>
            </w:r>
          </w:p>
        </w:tc>
        <w:tc>
          <w:tcPr>
            <w:tcW w:w="1326" w:type="dxa"/>
          </w:tcPr>
          <w:p>
            <w:pPr>
              <w:pStyle w:val="TableParagraph"/>
              <w:spacing w:before="27"/>
              <w:ind w:right="332"/>
              <w:jc w:val="right"/>
              <w:rPr>
                <w:sz w:val="14"/>
              </w:rPr>
            </w:pPr>
            <w:r>
              <w:rPr>
                <w:sz w:val="14"/>
              </w:rPr>
              <w:t>0 . 0 %</w:t>
            </w:r>
          </w:p>
        </w:tc>
        <w:tc>
          <w:tcPr>
            <w:tcW w:w="1394" w:type="dxa"/>
          </w:tcPr>
          <w:p>
            <w:pPr>
              <w:pStyle w:val="TableParagraph"/>
              <w:spacing w:before="27"/>
              <w:ind w:left="576"/>
              <w:rPr>
                <w:sz w:val="14"/>
              </w:rPr>
            </w:pPr>
            <w:r>
              <w:rPr>
                <w:sz w:val="14"/>
              </w:rPr>
              <w:t>706.8</w:t>
            </w:r>
          </w:p>
        </w:tc>
        <w:tc>
          <w:tcPr>
            <w:tcW w:w="796" w:type="dxa"/>
          </w:tcPr>
          <w:p>
            <w:pPr>
              <w:pStyle w:val="TableParagraph"/>
              <w:spacing w:before="27"/>
              <w:ind w:right="88"/>
              <w:jc w:val="right"/>
              <w:rPr>
                <w:sz w:val="14"/>
              </w:rPr>
            </w:pPr>
            <w:r>
              <w:rPr>
                <w:sz w:val="14"/>
              </w:rPr>
              <w:t>0 . 0 %</w:t>
            </w:r>
          </w:p>
        </w:tc>
      </w:tr>
      <w:tr>
        <w:trPr>
          <w:trHeight w:val="220" w:hRule="atLeast"/>
        </w:trPr>
        <w:tc>
          <w:tcPr>
            <w:tcW w:w="381" w:type="dxa"/>
          </w:tcPr>
          <w:p>
            <w:pPr>
              <w:pStyle w:val="TableParagraph"/>
              <w:spacing w:before="27"/>
              <w:ind w:left="34"/>
              <w:rPr>
                <w:sz w:val="14"/>
              </w:rPr>
            </w:pPr>
            <w:r>
              <w:rPr>
                <w:sz w:val="14"/>
              </w:rPr>
              <w:t>112</w:t>
            </w:r>
          </w:p>
        </w:tc>
        <w:tc>
          <w:tcPr>
            <w:tcW w:w="5120" w:type="dxa"/>
          </w:tcPr>
          <w:p>
            <w:pPr>
              <w:pStyle w:val="TableParagraph"/>
              <w:spacing w:before="27"/>
              <w:ind w:left="95"/>
              <w:rPr>
                <w:sz w:val="14"/>
              </w:rPr>
            </w:pPr>
            <w:r>
              <w:rPr>
                <w:sz w:val="14"/>
              </w:rPr>
              <w:t>Office of the Vice President</w:t>
            </w:r>
          </w:p>
        </w:tc>
        <w:tc>
          <w:tcPr>
            <w:tcW w:w="2441" w:type="dxa"/>
          </w:tcPr>
          <w:p>
            <w:pPr>
              <w:pStyle w:val="TableParagraph"/>
              <w:spacing w:before="27"/>
              <w:ind w:right="436"/>
              <w:jc w:val="right"/>
              <w:rPr>
                <w:b/>
                <w:sz w:val="14"/>
              </w:rPr>
            </w:pPr>
            <w:r>
              <w:rPr>
                <w:b/>
                <w:sz w:val="14"/>
              </w:rPr>
              <w:t>15,338.5</w:t>
            </w:r>
          </w:p>
        </w:tc>
        <w:tc>
          <w:tcPr>
            <w:tcW w:w="1318" w:type="dxa"/>
          </w:tcPr>
          <w:p>
            <w:pPr>
              <w:pStyle w:val="TableParagraph"/>
              <w:spacing w:before="27"/>
              <w:ind w:right="462"/>
              <w:jc w:val="right"/>
              <w:rPr>
                <w:sz w:val="14"/>
              </w:rPr>
            </w:pPr>
            <w:r>
              <w:rPr>
                <w:sz w:val="14"/>
              </w:rPr>
              <w:t>0 . 7 %</w:t>
            </w:r>
          </w:p>
        </w:tc>
        <w:tc>
          <w:tcPr>
            <w:tcW w:w="1549" w:type="dxa"/>
          </w:tcPr>
          <w:p>
            <w:pPr>
              <w:pStyle w:val="TableParagraph"/>
              <w:spacing w:before="27"/>
              <w:ind w:left="490"/>
              <w:rPr>
                <w:sz w:val="14"/>
              </w:rPr>
            </w:pPr>
            <w:r>
              <w:rPr>
                <w:sz w:val="14"/>
              </w:rPr>
              <w:t>18,714.8</w:t>
            </w:r>
          </w:p>
        </w:tc>
        <w:tc>
          <w:tcPr>
            <w:tcW w:w="1326" w:type="dxa"/>
          </w:tcPr>
          <w:p>
            <w:pPr>
              <w:pStyle w:val="TableParagraph"/>
              <w:spacing w:before="27"/>
              <w:ind w:right="332"/>
              <w:jc w:val="right"/>
              <w:rPr>
                <w:sz w:val="14"/>
              </w:rPr>
            </w:pPr>
            <w:r>
              <w:rPr>
                <w:sz w:val="14"/>
              </w:rPr>
              <w:t>0 . 8 %</w:t>
            </w:r>
          </w:p>
        </w:tc>
        <w:tc>
          <w:tcPr>
            <w:tcW w:w="1394" w:type="dxa"/>
          </w:tcPr>
          <w:p>
            <w:pPr>
              <w:pStyle w:val="TableParagraph"/>
              <w:spacing w:before="27"/>
              <w:ind w:left="336"/>
              <w:rPr>
                <w:sz w:val="14"/>
              </w:rPr>
            </w:pPr>
            <w:r>
              <w:rPr>
                <w:sz w:val="14"/>
              </w:rPr>
              <w:t>19,835.8</w:t>
            </w:r>
          </w:p>
        </w:tc>
        <w:tc>
          <w:tcPr>
            <w:tcW w:w="796" w:type="dxa"/>
          </w:tcPr>
          <w:p>
            <w:pPr>
              <w:pStyle w:val="TableParagraph"/>
              <w:spacing w:before="27"/>
              <w:ind w:right="88"/>
              <w:jc w:val="right"/>
              <w:rPr>
                <w:sz w:val="14"/>
              </w:rPr>
            </w:pPr>
            <w:r>
              <w:rPr>
                <w:sz w:val="14"/>
              </w:rPr>
              <w:t>0 . 9 %</w:t>
            </w:r>
          </w:p>
        </w:tc>
      </w:tr>
      <w:tr>
        <w:trPr>
          <w:trHeight w:val="220" w:hRule="atLeast"/>
        </w:trPr>
        <w:tc>
          <w:tcPr>
            <w:tcW w:w="381" w:type="dxa"/>
          </w:tcPr>
          <w:p>
            <w:pPr>
              <w:pStyle w:val="TableParagraph"/>
              <w:spacing w:before="27"/>
              <w:ind w:left="34"/>
              <w:rPr>
                <w:sz w:val="14"/>
              </w:rPr>
            </w:pPr>
            <w:r>
              <w:rPr>
                <w:sz w:val="14"/>
              </w:rPr>
              <w:t>116</w:t>
            </w:r>
          </w:p>
        </w:tc>
        <w:tc>
          <w:tcPr>
            <w:tcW w:w="5120" w:type="dxa"/>
          </w:tcPr>
          <w:p>
            <w:pPr>
              <w:pStyle w:val="TableParagraph"/>
              <w:spacing w:before="27"/>
              <w:ind w:left="94"/>
              <w:rPr>
                <w:sz w:val="14"/>
              </w:rPr>
            </w:pPr>
            <w:r>
              <w:rPr>
                <w:sz w:val="14"/>
              </w:rPr>
              <w:t>Parliament</w:t>
            </w:r>
          </w:p>
        </w:tc>
        <w:tc>
          <w:tcPr>
            <w:tcW w:w="2441" w:type="dxa"/>
          </w:tcPr>
          <w:p>
            <w:pPr>
              <w:pStyle w:val="TableParagraph"/>
              <w:spacing w:before="27"/>
              <w:ind w:right="436"/>
              <w:jc w:val="right"/>
              <w:rPr>
                <w:b/>
                <w:sz w:val="14"/>
              </w:rPr>
            </w:pPr>
            <w:r>
              <w:rPr>
                <w:b/>
                <w:sz w:val="14"/>
              </w:rPr>
              <w:t>37,236.9</w:t>
            </w:r>
          </w:p>
        </w:tc>
        <w:tc>
          <w:tcPr>
            <w:tcW w:w="1318" w:type="dxa"/>
          </w:tcPr>
          <w:p>
            <w:pPr>
              <w:pStyle w:val="TableParagraph"/>
              <w:spacing w:before="27"/>
              <w:ind w:right="462"/>
              <w:jc w:val="right"/>
              <w:rPr>
                <w:sz w:val="14"/>
              </w:rPr>
            </w:pPr>
            <w:r>
              <w:rPr>
                <w:sz w:val="14"/>
              </w:rPr>
              <w:t>1 . 6 %</w:t>
            </w:r>
          </w:p>
        </w:tc>
        <w:tc>
          <w:tcPr>
            <w:tcW w:w="1549" w:type="dxa"/>
          </w:tcPr>
          <w:p>
            <w:pPr>
              <w:pStyle w:val="TableParagraph"/>
              <w:spacing w:before="27"/>
              <w:ind w:left="490"/>
              <w:rPr>
                <w:sz w:val="14"/>
              </w:rPr>
            </w:pPr>
            <w:r>
              <w:rPr>
                <w:sz w:val="14"/>
              </w:rPr>
              <w:t>40,205.3</w:t>
            </w:r>
          </w:p>
        </w:tc>
        <w:tc>
          <w:tcPr>
            <w:tcW w:w="1326" w:type="dxa"/>
          </w:tcPr>
          <w:p>
            <w:pPr>
              <w:pStyle w:val="TableParagraph"/>
              <w:spacing w:before="27"/>
              <w:ind w:right="332"/>
              <w:jc w:val="right"/>
              <w:rPr>
                <w:sz w:val="14"/>
              </w:rPr>
            </w:pPr>
            <w:r>
              <w:rPr>
                <w:sz w:val="14"/>
              </w:rPr>
              <w:t>1 . 7 %</w:t>
            </w:r>
          </w:p>
        </w:tc>
        <w:tc>
          <w:tcPr>
            <w:tcW w:w="1394" w:type="dxa"/>
          </w:tcPr>
          <w:p>
            <w:pPr>
              <w:pStyle w:val="TableParagraph"/>
              <w:spacing w:before="27"/>
              <w:ind w:left="336"/>
              <w:rPr>
                <w:sz w:val="14"/>
              </w:rPr>
            </w:pPr>
            <w:r>
              <w:rPr>
                <w:sz w:val="14"/>
              </w:rPr>
              <w:t>42,613.6</w:t>
            </w:r>
          </w:p>
        </w:tc>
        <w:tc>
          <w:tcPr>
            <w:tcW w:w="796" w:type="dxa"/>
          </w:tcPr>
          <w:p>
            <w:pPr>
              <w:pStyle w:val="TableParagraph"/>
              <w:spacing w:before="27"/>
              <w:ind w:right="88"/>
              <w:jc w:val="right"/>
              <w:rPr>
                <w:sz w:val="14"/>
              </w:rPr>
            </w:pPr>
            <w:r>
              <w:rPr>
                <w:sz w:val="14"/>
              </w:rPr>
              <w:t>1 . 8 %</w:t>
            </w:r>
          </w:p>
        </w:tc>
      </w:tr>
      <w:tr>
        <w:trPr>
          <w:trHeight w:val="220" w:hRule="atLeast"/>
        </w:trPr>
        <w:tc>
          <w:tcPr>
            <w:tcW w:w="381" w:type="dxa"/>
          </w:tcPr>
          <w:p>
            <w:pPr>
              <w:pStyle w:val="TableParagraph"/>
              <w:spacing w:before="27"/>
              <w:ind w:left="34"/>
              <w:rPr>
                <w:sz w:val="14"/>
              </w:rPr>
            </w:pPr>
            <w:r>
              <w:rPr>
                <w:sz w:val="14"/>
              </w:rPr>
              <w:t>117</w:t>
            </w:r>
          </w:p>
        </w:tc>
        <w:tc>
          <w:tcPr>
            <w:tcW w:w="5120" w:type="dxa"/>
          </w:tcPr>
          <w:p>
            <w:pPr>
              <w:pStyle w:val="TableParagraph"/>
              <w:spacing w:before="27"/>
              <w:ind w:left="94"/>
              <w:rPr>
                <w:sz w:val="14"/>
              </w:rPr>
            </w:pPr>
            <w:r>
              <w:rPr>
                <w:sz w:val="14"/>
              </w:rPr>
              <w:t>Cabinet Secretariat</w:t>
            </w:r>
          </w:p>
        </w:tc>
        <w:tc>
          <w:tcPr>
            <w:tcW w:w="2441" w:type="dxa"/>
          </w:tcPr>
          <w:p>
            <w:pPr>
              <w:pStyle w:val="TableParagraph"/>
              <w:spacing w:before="27"/>
              <w:ind w:right="436"/>
              <w:jc w:val="right"/>
              <w:rPr>
                <w:b/>
                <w:sz w:val="14"/>
              </w:rPr>
            </w:pPr>
            <w:r>
              <w:rPr>
                <w:b/>
                <w:sz w:val="14"/>
              </w:rPr>
              <w:t>10,461.5</w:t>
            </w:r>
          </w:p>
        </w:tc>
        <w:tc>
          <w:tcPr>
            <w:tcW w:w="1318" w:type="dxa"/>
          </w:tcPr>
          <w:p>
            <w:pPr>
              <w:pStyle w:val="TableParagraph"/>
              <w:spacing w:before="27"/>
              <w:ind w:right="462"/>
              <w:jc w:val="right"/>
              <w:rPr>
                <w:sz w:val="14"/>
              </w:rPr>
            </w:pPr>
            <w:r>
              <w:rPr>
                <w:sz w:val="14"/>
              </w:rPr>
              <w:t>0 . 5 %</w:t>
            </w:r>
          </w:p>
        </w:tc>
        <w:tc>
          <w:tcPr>
            <w:tcW w:w="1549" w:type="dxa"/>
          </w:tcPr>
          <w:p>
            <w:pPr>
              <w:pStyle w:val="TableParagraph"/>
              <w:spacing w:before="27"/>
              <w:ind w:left="490"/>
              <w:rPr>
                <w:sz w:val="14"/>
              </w:rPr>
            </w:pPr>
            <w:r>
              <w:rPr>
                <w:sz w:val="14"/>
              </w:rPr>
              <w:t>10,386.7</w:t>
            </w:r>
          </w:p>
        </w:tc>
        <w:tc>
          <w:tcPr>
            <w:tcW w:w="1326" w:type="dxa"/>
          </w:tcPr>
          <w:p>
            <w:pPr>
              <w:pStyle w:val="TableParagraph"/>
              <w:spacing w:before="27"/>
              <w:ind w:right="332"/>
              <w:jc w:val="right"/>
              <w:rPr>
                <w:sz w:val="14"/>
              </w:rPr>
            </w:pPr>
            <w:r>
              <w:rPr>
                <w:sz w:val="14"/>
              </w:rPr>
              <w:t>0 . 4 %</w:t>
            </w:r>
          </w:p>
        </w:tc>
        <w:tc>
          <w:tcPr>
            <w:tcW w:w="1394" w:type="dxa"/>
          </w:tcPr>
          <w:p>
            <w:pPr>
              <w:pStyle w:val="TableParagraph"/>
              <w:spacing w:before="27"/>
              <w:ind w:left="336"/>
              <w:rPr>
                <w:sz w:val="14"/>
              </w:rPr>
            </w:pPr>
            <w:r>
              <w:rPr>
                <w:sz w:val="14"/>
              </w:rPr>
              <w:t>11,008.8</w:t>
            </w:r>
          </w:p>
        </w:tc>
        <w:tc>
          <w:tcPr>
            <w:tcW w:w="796" w:type="dxa"/>
          </w:tcPr>
          <w:p>
            <w:pPr>
              <w:pStyle w:val="TableParagraph"/>
              <w:spacing w:before="27"/>
              <w:ind w:right="88"/>
              <w:jc w:val="right"/>
              <w:rPr>
                <w:sz w:val="14"/>
              </w:rPr>
            </w:pPr>
            <w:r>
              <w:rPr>
                <w:sz w:val="14"/>
              </w:rPr>
              <w:t>0 . 5 %</w:t>
            </w:r>
          </w:p>
        </w:tc>
      </w:tr>
      <w:tr>
        <w:trPr>
          <w:trHeight w:val="218" w:hRule="atLeast"/>
        </w:trPr>
        <w:tc>
          <w:tcPr>
            <w:tcW w:w="381" w:type="dxa"/>
          </w:tcPr>
          <w:p>
            <w:pPr>
              <w:pStyle w:val="TableParagraph"/>
              <w:spacing w:before="27"/>
              <w:ind w:left="34"/>
              <w:rPr>
                <w:sz w:val="14"/>
              </w:rPr>
            </w:pPr>
            <w:r>
              <w:rPr>
                <w:sz w:val="14"/>
              </w:rPr>
              <w:t>118</w:t>
            </w:r>
          </w:p>
        </w:tc>
        <w:tc>
          <w:tcPr>
            <w:tcW w:w="5120" w:type="dxa"/>
          </w:tcPr>
          <w:p>
            <w:pPr>
              <w:pStyle w:val="TableParagraph"/>
              <w:spacing w:before="27"/>
              <w:ind w:left="94"/>
              <w:rPr>
                <w:sz w:val="14"/>
              </w:rPr>
            </w:pPr>
            <w:r>
              <w:rPr>
                <w:sz w:val="14"/>
              </w:rPr>
              <w:t>The Judiciary</w:t>
            </w:r>
          </w:p>
        </w:tc>
        <w:tc>
          <w:tcPr>
            <w:tcW w:w="2441" w:type="dxa"/>
          </w:tcPr>
          <w:p>
            <w:pPr>
              <w:pStyle w:val="TableParagraph"/>
              <w:spacing w:before="27"/>
              <w:ind w:right="436"/>
              <w:jc w:val="right"/>
              <w:rPr>
                <w:b/>
                <w:sz w:val="14"/>
              </w:rPr>
            </w:pPr>
            <w:r>
              <w:rPr>
                <w:b/>
                <w:sz w:val="14"/>
              </w:rPr>
              <w:t>16,967.1</w:t>
            </w:r>
          </w:p>
        </w:tc>
        <w:tc>
          <w:tcPr>
            <w:tcW w:w="1318" w:type="dxa"/>
          </w:tcPr>
          <w:p>
            <w:pPr>
              <w:pStyle w:val="TableParagraph"/>
              <w:spacing w:before="27"/>
              <w:ind w:right="462"/>
              <w:jc w:val="right"/>
              <w:rPr>
                <w:sz w:val="14"/>
              </w:rPr>
            </w:pPr>
            <w:r>
              <w:rPr>
                <w:sz w:val="14"/>
              </w:rPr>
              <w:t>0 . 7 %</w:t>
            </w:r>
          </w:p>
        </w:tc>
        <w:tc>
          <w:tcPr>
            <w:tcW w:w="1549" w:type="dxa"/>
          </w:tcPr>
          <w:p>
            <w:pPr>
              <w:pStyle w:val="TableParagraph"/>
              <w:spacing w:before="27"/>
              <w:ind w:left="490"/>
              <w:rPr>
                <w:sz w:val="14"/>
              </w:rPr>
            </w:pPr>
            <w:r>
              <w:rPr>
                <w:sz w:val="14"/>
              </w:rPr>
              <w:t>15,869.6</w:t>
            </w:r>
          </w:p>
        </w:tc>
        <w:tc>
          <w:tcPr>
            <w:tcW w:w="1326" w:type="dxa"/>
          </w:tcPr>
          <w:p>
            <w:pPr>
              <w:pStyle w:val="TableParagraph"/>
              <w:spacing w:before="27"/>
              <w:ind w:right="332"/>
              <w:jc w:val="right"/>
              <w:rPr>
                <w:sz w:val="14"/>
              </w:rPr>
            </w:pPr>
            <w:r>
              <w:rPr>
                <w:sz w:val="14"/>
              </w:rPr>
              <w:t>0 . 7 %</w:t>
            </w:r>
          </w:p>
        </w:tc>
        <w:tc>
          <w:tcPr>
            <w:tcW w:w="1394" w:type="dxa"/>
          </w:tcPr>
          <w:p>
            <w:pPr>
              <w:pStyle w:val="TableParagraph"/>
              <w:spacing w:before="27"/>
              <w:ind w:left="336"/>
              <w:rPr>
                <w:sz w:val="14"/>
              </w:rPr>
            </w:pPr>
            <w:r>
              <w:rPr>
                <w:sz w:val="14"/>
              </w:rPr>
              <w:t>16,820.1</w:t>
            </w:r>
          </w:p>
        </w:tc>
        <w:tc>
          <w:tcPr>
            <w:tcW w:w="796" w:type="dxa"/>
          </w:tcPr>
          <w:p>
            <w:pPr>
              <w:pStyle w:val="TableParagraph"/>
              <w:spacing w:before="27"/>
              <w:ind w:right="88"/>
              <w:jc w:val="right"/>
              <w:rPr>
                <w:sz w:val="14"/>
              </w:rPr>
            </w:pPr>
            <w:r>
              <w:rPr>
                <w:sz w:val="14"/>
              </w:rPr>
              <w:t>0 . 7 %</w:t>
            </w:r>
          </w:p>
        </w:tc>
      </w:tr>
      <w:tr>
        <w:trPr>
          <w:trHeight w:val="220" w:hRule="atLeast"/>
        </w:trPr>
        <w:tc>
          <w:tcPr>
            <w:tcW w:w="381" w:type="dxa"/>
          </w:tcPr>
          <w:p>
            <w:pPr>
              <w:pStyle w:val="TableParagraph"/>
              <w:spacing w:before="25"/>
              <w:ind w:left="34"/>
              <w:rPr>
                <w:sz w:val="14"/>
              </w:rPr>
            </w:pPr>
            <w:r>
              <w:rPr>
                <w:sz w:val="14"/>
              </w:rPr>
              <w:t>121</w:t>
            </w:r>
          </w:p>
        </w:tc>
        <w:tc>
          <w:tcPr>
            <w:tcW w:w="5120" w:type="dxa"/>
          </w:tcPr>
          <w:p>
            <w:pPr>
              <w:pStyle w:val="TableParagraph"/>
              <w:spacing w:before="25"/>
              <w:ind w:left="94"/>
              <w:rPr>
                <w:sz w:val="14"/>
              </w:rPr>
            </w:pPr>
            <w:r>
              <w:rPr>
                <w:sz w:val="14"/>
              </w:rPr>
              <w:t>Audit Service Sierra Leone</w:t>
            </w:r>
          </w:p>
        </w:tc>
        <w:tc>
          <w:tcPr>
            <w:tcW w:w="2441" w:type="dxa"/>
          </w:tcPr>
          <w:p>
            <w:pPr>
              <w:pStyle w:val="TableParagraph"/>
              <w:spacing w:before="25"/>
              <w:ind w:right="429"/>
              <w:jc w:val="right"/>
              <w:rPr>
                <w:b/>
                <w:sz w:val="14"/>
              </w:rPr>
            </w:pPr>
            <w:r>
              <w:rPr>
                <w:b/>
                <w:sz w:val="14"/>
              </w:rPr>
              <w:t>7,242.2</w:t>
            </w:r>
          </w:p>
        </w:tc>
        <w:tc>
          <w:tcPr>
            <w:tcW w:w="1318" w:type="dxa"/>
          </w:tcPr>
          <w:p>
            <w:pPr>
              <w:pStyle w:val="TableParagraph"/>
              <w:spacing w:before="25"/>
              <w:ind w:right="462"/>
              <w:jc w:val="right"/>
              <w:rPr>
                <w:sz w:val="14"/>
              </w:rPr>
            </w:pPr>
            <w:r>
              <w:rPr>
                <w:sz w:val="14"/>
              </w:rPr>
              <w:t>0 . 3 %</w:t>
            </w:r>
          </w:p>
        </w:tc>
        <w:tc>
          <w:tcPr>
            <w:tcW w:w="1549" w:type="dxa"/>
          </w:tcPr>
          <w:p>
            <w:pPr>
              <w:pStyle w:val="TableParagraph"/>
              <w:spacing w:before="25"/>
              <w:ind w:right="441"/>
              <w:jc w:val="right"/>
              <w:rPr>
                <w:sz w:val="14"/>
              </w:rPr>
            </w:pPr>
            <w:r>
              <w:rPr>
                <w:sz w:val="14"/>
              </w:rPr>
              <w:t>6,995 .3</w:t>
            </w:r>
          </w:p>
        </w:tc>
        <w:tc>
          <w:tcPr>
            <w:tcW w:w="1326" w:type="dxa"/>
          </w:tcPr>
          <w:p>
            <w:pPr>
              <w:pStyle w:val="TableParagraph"/>
              <w:spacing w:before="25"/>
              <w:ind w:right="332"/>
              <w:jc w:val="right"/>
              <w:rPr>
                <w:sz w:val="14"/>
              </w:rPr>
            </w:pPr>
            <w:r>
              <w:rPr>
                <w:sz w:val="14"/>
              </w:rPr>
              <w:t>0 . 3 %</w:t>
            </w:r>
          </w:p>
        </w:tc>
        <w:tc>
          <w:tcPr>
            <w:tcW w:w="1394" w:type="dxa"/>
          </w:tcPr>
          <w:p>
            <w:pPr>
              <w:pStyle w:val="TableParagraph"/>
              <w:spacing w:before="25"/>
              <w:ind w:left="427"/>
              <w:rPr>
                <w:sz w:val="14"/>
              </w:rPr>
            </w:pPr>
            <w:r>
              <w:rPr>
                <w:sz w:val="14"/>
              </w:rPr>
              <w:t>7,414 .3</w:t>
            </w:r>
          </w:p>
        </w:tc>
        <w:tc>
          <w:tcPr>
            <w:tcW w:w="796" w:type="dxa"/>
          </w:tcPr>
          <w:p>
            <w:pPr>
              <w:pStyle w:val="TableParagraph"/>
              <w:spacing w:before="25"/>
              <w:ind w:right="88"/>
              <w:jc w:val="right"/>
              <w:rPr>
                <w:sz w:val="14"/>
              </w:rPr>
            </w:pPr>
            <w:r>
              <w:rPr>
                <w:sz w:val="14"/>
              </w:rPr>
              <w:t>0 . 3 %</w:t>
            </w:r>
          </w:p>
        </w:tc>
      </w:tr>
    </w:tbl>
    <w:p>
      <w:pPr>
        <w:spacing w:after="0"/>
        <w:jc w:val="right"/>
        <w:rPr>
          <w:sz w:val="14"/>
        </w:rPr>
        <w:sectPr>
          <w:pgSz w:w="16840" w:h="11900" w:orient="landscape"/>
          <w:pgMar w:header="1059" w:footer="0" w:top="2460" w:bottom="280" w:left="880" w:right="920"/>
        </w:sectPr>
      </w:pPr>
    </w:p>
    <w:p>
      <w:pPr>
        <w:pStyle w:val="BodyText"/>
        <w:rPr>
          <w:rFonts w:ascii="Times New Roman"/>
          <w:sz w:val="6"/>
        </w:rPr>
      </w:pPr>
      <w:r>
        <w:rPr/>
        <w:pict>
          <v:shape style="position:absolute;margin-left:27.140491pt;margin-top:284.429993pt;width:14.35pt;height:22.15pt;mso-position-horizontal-relative:page;mso-position-vertical-relative:page;z-index:1600" type="#_x0000_t202" filled="false" stroked="false">
            <v:textbox inset="0,0,0,0" style="layout-flow:vertical">
              <w:txbxContent>
                <w:p>
                  <w:pPr>
                    <w:spacing w:before="13"/>
                    <w:ind w:left="20" w:right="0" w:firstLine="0"/>
                    <w:jc w:val="left"/>
                    <w:rPr>
                      <w:rFonts w:ascii="Arial"/>
                      <w:sz w:val="22"/>
                    </w:rPr>
                  </w:pPr>
                  <w:r>
                    <w:rPr>
                      <w:rFonts w:ascii="Arial"/>
                      <w:sz w:val="22"/>
                    </w:rPr>
                    <w:t>xxiii</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032"/>
        <w:gridCol w:w="2448"/>
        <w:gridCol w:w="1393"/>
        <w:gridCol w:w="1610"/>
        <w:gridCol w:w="1335"/>
        <w:gridCol w:w="1246"/>
        <w:gridCol w:w="1259"/>
      </w:tblGrid>
      <w:tr>
        <w:trPr>
          <w:trHeight w:val="567" w:hRule="atLeast"/>
        </w:trPr>
        <w:tc>
          <w:tcPr>
            <w:tcW w:w="5503" w:type="dxa"/>
            <w:gridSpan w:val="2"/>
            <w:tcBorders>
              <w:bottom w:val="single" w:sz="18" w:space="0" w:color="000000"/>
            </w:tcBorders>
          </w:tcPr>
          <w:p>
            <w:pPr>
              <w:pStyle w:val="TableParagraph"/>
              <w:rPr>
                <w:rFonts w:ascii="Times New Roman"/>
                <w:sz w:val="14"/>
              </w:rPr>
            </w:pPr>
          </w:p>
        </w:tc>
        <w:tc>
          <w:tcPr>
            <w:tcW w:w="2448" w:type="dxa"/>
            <w:tcBorders>
              <w:bottom w:val="single" w:sz="18" w:space="0" w:color="000000"/>
            </w:tcBorders>
          </w:tcPr>
          <w:p>
            <w:pPr>
              <w:pStyle w:val="TableParagraph"/>
              <w:spacing w:before="29"/>
              <w:ind w:left="1406" w:right="428"/>
              <w:jc w:val="center"/>
              <w:rPr>
                <w:b/>
                <w:sz w:val="14"/>
              </w:rPr>
            </w:pPr>
            <w:r>
              <w:rPr>
                <w:b/>
                <w:spacing w:val="2"/>
                <w:sz w:val="14"/>
              </w:rPr>
              <w:t>FY</w:t>
            </w:r>
            <w:r>
              <w:rPr>
                <w:b/>
                <w:spacing w:val="6"/>
                <w:sz w:val="14"/>
              </w:rPr>
              <w:t> </w:t>
            </w:r>
            <w:r>
              <w:rPr>
                <w:b/>
                <w:spacing w:val="4"/>
                <w:sz w:val="14"/>
              </w:rPr>
              <w:t>2020</w:t>
            </w:r>
          </w:p>
          <w:p>
            <w:pPr>
              <w:pStyle w:val="TableParagraph"/>
              <w:spacing w:before="17"/>
              <w:ind w:left="1415" w:right="308"/>
              <w:jc w:val="center"/>
              <w:rPr>
                <w:sz w:val="14"/>
              </w:rPr>
            </w:pPr>
            <w:r>
              <w:rPr>
                <w:sz w:val="14"/>
              </w:rPr>
              <w:t>Budget</w:t>
            </w:r>
          </w:p>
        </w:tc>
        <w:tc>
          <w:tcPr>
            <w:tcW w:w="1393" w:type="dxa"/>
            <w:tcBorders>
              <w:bottom w:val="single" w:sz="18" w:space="0" w:color="000000"/>
            </w:tcBorders>
          </w:tcPr>
          <w:p>
            <w:pPr>
              <w:pStyle w:val="TableParagraph"/>
              <w:spacing w:line="264" w:lineRule="auto" w:before="29"/>
              <w:ind w:left="338" w:right="96" w:firstLine="91"/>
              <w:rPr>
                <w:sz w:val="14"/>
              </w:rPr>
            </w:pPr>
            <w:r>
              <w:rPr>
                <w:sz w:val="14"/>
              </w:rPr>
              <w:t>% of Total Non Int/ Sal</w:t>
            </w:r>
          </w:p>
        </w:tc>
        <w:tc>
          <w:tcPr>
            <w:tcW w:w="1610" w:type="dxa"/>
            <w:tcBorders>
              <w:bottom w:val="single" w:sz="18" w:space="0" w:color="000000"/>
            </w:tcBorders>
          </w:tcPr>
          <w:p>
            <w:pPr>
              <w:pStyle w:val="TableParagraph"/>
              <w:spacing w:before="29"/>
              <w:ind w:left="655"/>
              <w:rPr>
                <w:b/>
                <w:sz w:val="14"/>
              </w:rPr>
            </w:pPr>
            <w:r>
              <w:rPr>
                <w:b/>
                <w:spacing w:val="2"/>
                <w:sz w:val="14"/>
              </w:rPr>
              <w:t>FY</w:t>
            </w:r>
            <w:r>
              <w:rPr>
                <w:b/>
                <w:spacing w:val="6"/>
                <w:sz w:val="14"/>
              </w:rPr>
              <w:t> </w:t>
            </w:r>
            <w:r>
              <w:rPr>
                <w:b/>
                <w:spacing w:val="4"/>
                <w:sz w:val="14"/>
              </w:rPr>
              <w:t>2021</w:t>
            </w:r>
          </w:p>
          <w:p>
            <w:pPr>
              <w:pStyle w:val="TableParagraph"/>
              <w:spacing w:before="17"/>
              <w:ind w:left="597"/>
              <w:rPr>
                <w:sz w:val="14"/>
              </w:rPr>
            </w:pPr>
            <w:r>
              <w:rPr>
                <w:spacing w:val="3"/>
                <w:sz w:val="14"/>
              </w:rPr>
              <w:t>Indicative</w:t>
            </w:r>
          </w:p>
        </w:tc>
        <w:tc>
          <w:tcPr>
            <w:tcW w:w="1335" w:type="dxa"/>
            <w:tcBorders>
              <w:bottom w:val="single" w:sz="18" w:space="0" w:color="000000"/>
            </w:tcBorders>
          </w:tcPr>
          <w:p>
            <w:pPr>
              <w:pStyle w:val="TableParagraph"/>
              <w:spacing w:line="249" w:lineRule="auto" w:before="29"/>
              <w:ind w:left="398" w:right="180" w:firstLine="86"/>
              <w:jc w:val="both"/>
              <w:rPr>
                <w:sz w:val="14"/>
              </w:rPr>
            </w:pPr>
            <w:r>
              <w:rPr>
                <w:sz w:val="14"/>
              </w:rPr>
              <w:t>% of Total Non Int/ Sal Recurr Exp</w:t>
            </w:r>
          </w:p>
        </w:tc>
        <w:tc>
          <w:tcPr>
            <w:tcW w:w="1246" w:type="dxa"/>
            <w:tcBorders>
              <w:bottom w:val="single" w:sz="18" w:space="0" w:color="000000"/>
            </w:tcBorders>
          </w:tcPr>
          <w:p>
            <w:pPr>
              <w:pStyle w:val="TableParagraph"/>
              <w:spacing w:before="29"/>
              <w:ind w:right="195"/>
              <w:jc w:val="right"/>
              <w:rPr>
                <w:b/>
                <w:sz w:val="14"/>
              </w:rPr>
            </w:pPr>
            <w:r>
              <w:rPr>
                <w:b/>
                <w:sz w:val="14"/>
              </w:rPr>
              <w:t>FY 2022</w:t>
            </w:r>
          </w:p>
        </w:tc>
        <w:tc>
          <w:tcPr>
            <w:tcW w:w="1259" w:type="dxa"/>
            <w:tcBorders>
              <w:bottom w:val="single" w:sz="18" w:space="0" w:color="000000"/>
            </w:tcBorders>
          </w:tcPr>
          <w:p>
            <w:pPr>
              <w:pStyle w:val="TableParagraph"/>
              <w:spacing w:line="249" w:lineRule="auto" w:before="29"/>
              <w:ind w:left="197" w:right="304" w:firstLine="86"/>
              <w:jc w:val="both"/>
              <w:rPr>
                <w:sz w:val="14"/>
              </w:rPr>
            </w:pPr>
            <w:r>
              <w:rPr>
                <w:sz w:val="14"/>
              </w:rPr>
              <w:t>% of Total Non Int/ Sal Recurr Exp</w:t>
            </w:r>
          </w:p>
        </w:tc>
      </w:tr>
      <w:tr>
        <w:trPr>
          <w:trHeight w:val="282" w:hRule="atLeast"/>
        </w:trPr>
        <w:tc>
          <w:tcPr>
            <w:tcW w:w="471" w:type="dxa"/>
            <w:tcBorders>
              <w:top w:val="single" w:sz="18" w:space="0" w:color="000000"/>
            </w:tcBorders>
          </w:tcPr>
          <w:p>
            <w:pPr>
              <w:pStyle w:val="TableParagraph"/>
              <w:spacing w:before="88"/>
              <w:ind w:left="125"/>
              <w:rPr>
                <w:sz w:val="14"/>
              </w:rPr>
            </w:pPr>
            <w:r>
              <w:rPr>
                <w:sz w:val="14"/>
              </w:rPr>
              <w:t>122</w:t>
            </w:r>
          </w:p>
        </w:tc>
        <w:tc>
          <w:tcPr>
            <w:tcW w:w="5032" w:type="dxa"/>
            <w:tcBorders>
              <w:top w:val="single" w:sz="18" w:space="0" w:color="000000"/>
            </w:tcBorders>
          </w:tcPr>
          <w:p>
            <w:pPr>
              <w:pStyle w:val="TableParagraph"/>
              <w:spacing w:before="88"/>
              <w:ind w:left="96"/>
              <w:rPr>
                <w:sz w:val="14"/>
              </w:rPr>
            </w:pPr>
            <w:r>
              <w:rPr>
                <w:sz w:val="14"/>
              </w:rPr>
              <w:t>Human Resource Management Office</w:t>
            </w:r>
          </w:p>
        </w:tc>
        <w:tc>
          <w:tcPr>
            <w:tcW w:w="2448" w:type="dxa"/>
            <w:tcBorders>
              <w:top w:val="single" w:sz="18" w:space="0" w:color="000000"/>
            </w:tcBorders>
          </w:tcPr>
          <w:p>
            <w:pPr>
              <w:pStyle w:val="TableParagraph"/>
              <w:spacing w:before="88"/>
              <w:ind w:right="347"/>
              <w:jc w:val="right"/>
              <w:rPr>
                <w:b/>
                <w:sz w:val="14"/>
              </w:rPr>
            </w:pPr>
            <w:r>
              <w:rPr>
                <w:b/>
                <w:sz w:val="14"/>
              </w:rPr>
              <w:t>3,543.6</w:t>
            </w:r>
          </w:p>
        </w:tc>
        <w:tc>
          <w:tcPr>
            <w:tcW w:w="1393" w:type="dxa"/>
            <w:tcBorders>
              <w:top w:val="single" w:sz="18" w:space="0" w:color="000000"/>
            </w:tcBorders>
          </w:tcPr>
          <w:p>
            <w:pPr>
              <w:pStyle w:val="TableParagraph"/>
              <w:spacing w:before="88"/>
              <w:ind w:right="455"/>
              <w:jc w:val="right"/>
              <w:rPr>
                <w:sz w:val="14"/>
              </w:rPr>
            </w:pPr>
            <w:r>
              <w:rPr>
                <w:sz w:val="14"/>
              </w:rPr>
              <w:t>0 . 2 %</w:t>
            </w:r>
          </w:p>
        </w:tc>
        <w:tc>
          <w:tcPr>
            <w:tcW w:w="1610" w:type="dxa"/>
            <w:tcBorders>
              <w:top w:val="single" w:sz="18" w:space="0" w:color="000000"/>
            </w:tcBorders>
          </w:tcPr>
          <w:p>
            <w:pPr>
              <w:pStyle w:val="TableParagraph"/>
              <w:spacing w:before="88"/>
              <w:ind w:right="496"/>
              <w:jc w:val="right"/>
              <w:rPr>
                <w:sz w:val="14"/>
              </w:rPr>
            </w:pPr>
            <w:r>
              <w:rPr>
                <w:sz w:val="14"/>
              </w:rPr>
              <w:t>3,370 .8</w:t>
            </w:r>
          </w:p>
        </w:tc>
        <w:tc>
          <w:tcPr>
            <w:tcW w:w="1335" w:type="dxa"/>
            <w:tcBorders>
              <w:top w:val="single" w:sz="18" w:space="0" w:color="000000"/>
            </w:tcBorders>
          </w:tcPr>
          <w:p>
            <w:pPr>
              <w:pStyle w:val="TableParagraph"/>
              <w:spacing w:before="88"/>
              <w:ind w:right="395"/>
              <w:jc w:val="right"/>
              <w:rPr>
                <w:sz w:val="14"/>
              </w:rPr>
            </w:pPr>
            <w:r>
              <w:rPr>
                <w:sz w:val="14"/>
              </w:rPr>
              <w:t>0 . 1 %</w:t>
            </w:r>
          </w:p>
        </w:tc>
        <w:tc>
          <w:tcPr>
            <w:tcW w:w="1246" w:type="dxa"/>
            <w:tcBorders>
              <w:top w:val="single" w:sz="18" w:space="0" w:color="000000"/>
            </w:tcBorders>
          </w:tcPr>
          <w:p>
            <w:pPr>
              <w:pStyle w:val="TableParagraph"/>
              <w:spacing w:before="88"/>
              <w:ind w:left="364"/>
              <w:rPr>
                <w:sz w:val="14"/>
              </w:rPr>
            </w:pPr>
            <w:r>
              <w:rPr>
                <w:sz w:val="14"/>
              </w:rPr>
              <w:t>3,572 .7</w:t>
            </w:r>
          </w:p>
        </w:tc>
        <w:tc>
          <w:tcPr>
            <w:tcW w:w="1259" w:type="dxa"/>
            <w:tcBorders>
              <w:top w:val="single" w:sz="18" w:space="0" w:color="000000"/>
            </w:tcBorders>
          </w:tcPr>
          <w:p>
            <w:pPr>
              <w:pStyle w:val="TableParagraph"/>
              <w:spacing w:before="88"/>
              <w:ind w:right="467"/>
              <w:jc w:val="right"/>
              <w:rPr>
                <w:sz w:val="14"/>
              </w:rPr>
            </w:pPr>
            <w:r>
              <w:rPr>
                <w:sz w:val="14"/>
              </w:rPr>
              <w:t>0 . 2 %</w:t>
            </w:r>
          </w:p>
        </w:tc>
      </w:tr>
      <w:tr>
        <w:trPr>
          <w:trHeight w:val="220" w:hRule="atLeast"/>
        </w:trPr>
        <w:tc>
          <w:tcPr>
            <w:tcW w:w="471" w:type="dxa"/>
          </w:tcPr>
          <w:p>
            <w:pPr>
              <w:pStyle w:val="TableParagraph"/>
              <w:spacing w:before="27"/>
              <w:ind w:left="125"/>
              <w:rPr>
                <w:sz w:val="14"/>
              </w:rPr>
            </w:pPr>
            <w:r>
              <w:rPr>
                <w:sz w:val="14"/>
              </w:rPr>
              <w:t>123</w:t>
            </w:r>
          </w:p>
        </w:tc>
        <w:tc>
          <w:tcPr>
            <w:tcW w:w="5032" w:type="dxa"/>
          </w:tcPr>
          <w:p>
            <w:pPr>
              <w:pStyle w:val="TableParagraph"/>
              <w:spacing w:before="27"/>
              <w:ind w:left="95"/>
              <w:rPr>
                <w:sz w:val="14"/>
              </w:rPr>
            </w:pPr>
            <w:r>
              <w:rPr>
                <w:sz w:val="14"/>
              </w:rPr>
              <w:t>Public Service Commission</w:t>
            </w:r>
          </w:p>
        </w:tc>
        <w:tc>
          <w:tcPr>
            <w:tcW w:w="2448" w:type="dxa"/>
          </w:tcPr>
          <w:p>
            <w:pPr>
              <w:pStyle w:val="TableParagraph"/>
              <w:spacing w:before="27"/>
              <w:ind w:right="347"/>
              <w:jc w:val="right"/>
              <w:rPr>
                <w:b/>
                <w:sz w:val="14"/>
              </w:rPr>
            </w:pPr>
            <w:r>
              <w:rPr>
                <w:b/>
                <w:sz w:val="14"/>
              </w:rPr>
              <w:t>2,408.8</w:t>
            </w:r>
          </w:p>
        </w:tc>
        <w:tc>
          <w:tcPr>
            <w:tcW w:w="1393" w:type="dxa"/>
          </w:tcPr>
          <w:p>
            <w:pPr>
              <w:pStyle w:val="TableParagraph"/>
              <w:spacing w:before="27"/>
              <w:ind w:right="455"/>
              <w:jc w:val="right"/>
              <w:rPr>
                <w:sz w:val="14"/>
              </w:rPr>
            </w:pPr>
            <w:r>
              <w:rPr>
                <w:sz w:val="14"/>
              </w:rPr>
              <w:t>0 . 1 %</w:t>
            </w:r>
          </w:p>
        </w:tc>
        <w:tc>
          <w:tcPr>
            <w:tcW w:w="1610" w:type="dxa"/>
          </w:tcPr>
          <w:p>
            <w:pPr>
              <w:pStyle w:val="TableParagraph"/>
              <w:spacing w:before="27"/>
              <w:ind w:right="496"/>
              <w:jc w:val="right"/>
              <w:rPr>
                <w:sz w:val="14"/>
              </w:rPr>
            </w:pPr>
            <w:r>
              <w:rPr>
                <w:sz w:val="14"/>
              </w:rPr>
              <w:t>2,312 .3</w:t>
            </w:r>
          </w:p>
        </w:tc>
        <w:tc>
          <w:tcPr>
            <w:tcW w:w="1335" w:type="dxa"/>
          </w:tcPr>
          <w:p>
            <w:pPr>
              <w:pStyle w:val="TableParagraph"/>
              <w:spacing w:before="27"/>
              <w:ind w:right="395"/>
              <w:jc w:val="right"/>
              <w:rPr>
                <w:sz w:val="14"/>
              </w:rPr>
            </w:pPr>
            <w:r>
              <w:rPr>
                <w:sz w:val="14"/>
              </w:rPr>
              <w:t>0 . 1 %</w:t>
            </w:r>
          </w:p>
        </w:tc>
        <w:tc>
          <w:tcPr>
            <w:tcW w:w="1246" w:type="dxa"/>
          </w:tcPr>
          <w:p>
            <w:pPr>
              <w:pStyle w:val="TableParagraph"/>
              <w:spacing w:before="27"/>
              <w:ind w:left="364"/>
              <w:rPr>
                <w:sz w:val="14"/>
              </w:rPr>
            </w:pPr>
            <w:r>
              <w:rPr>
                <w:sz w:val="14"/>
              </w:rPr>
              <w:t>2,450 .8</w:t>
            </w:r>
          </w:p>
        </w:tc>
        <w:tc>
          <w:tcPr>
            <w:tcW w:w="1259" w:type="dxa"/>
          </w:tcPr>
          <w:p>
            <w:pPr>
              <w:pStyle w:val="TableParagraph"/>
              <w:spacing w:before="27"/>
              <w:ind w:right="467"/>
              <w:jc w:val="right"/>
              <w:rPr>
                <w:sz w:val="14"/>
              </w:rPr>
            </w:pPr>
            <w:r>
              <w:rPr>
                <w:sz w:val="14"/>
              </w:rPr>
              <w:t>0 . 1 %</w:t>
            </w:r>
          </w:p>
        </w:tc>
      </w:tr>
      <w:tr>
        <w:trPr>
          <w:trHeight w:val="220" w:hRule="atLeast"/>
        </w:trPr>
        <w:tc>
          <w:tcPr>
            <w:tcW w:w="471" w:type="dxa"/>
          </w:tcPr>
          <w:p>
            <w:pPr>
              <w:pStyle w:val="TableParagraph"/>
              <w:spacing w:before="27"/>
              <w:ind w:left="125"/>
              <w:rPr>
                <w:sz w:val="14"/>
              </w:rPr>
            </w:pPr>
            <w:r>
              <w:rPr>
                <w:sz w:val="14"/>
              </w:rPr>
              <w:t>124</w:t>
            </w:r>
          </w:p>
        </w:tc>
        <w:tc>
          <w:tcPr>
            <w:tcW w:w="5032" w:type="dxa"/>
          </w:tcPr>
          <w:p>
            <w:pPr>
              <w:pStyle w:val="TableParagraph"/>
              <w:spacing w:before="27"/>
              <w:ind w:left="95"/>
              <w:rPr>
                <w:sz w:val="14"/>
              </w:rPr>
            </w:pPr>
            <w:r>
              <w:rPr>
                <w:sz w:val="14"/>
              </w:rPr>
              <w:t>Law Officers’ Department</w:t>
            </w:r>
          </w:p>
        </w:tc>
        <w:tc>
          <w:tcPr>
            <w:tcW w:w="2448" w:type="dxa"/>
          </w:tcPr>
          <w:p>
            <w:pPr>
              <w:pStyle w:val="TableParagraph"/>
              <w:spacing w:before="27"/>
              <w:ind w:right="354"/>
              <w:jc w:val="right"/>
              <w:rPr>
                <w:b/>
                <w:sz w:val="14"/>
              </w:rPr>
            </w:pPr>
            <w:r>
              <w:rPr>
                <w:b/>
                <w:sz w:val="14"/>
              </w:rPr>
              <w:t>18,776.3</w:t>
            </w:r>
          </w:p>
        </w:tc>
        <w:tc>
          <w:tcPr>
            <w:tcW w:w="1393" w:type="dxa"/>
          </w:tcPr>
          <w:p>
            <w:pPr>
              <w:pStyle w:val="TableParagraph"/>
              <w:spacing w:before="27"/>
              <w:ind w:right="455"/>
              <w:jc w:val="right"/>
              <w:rPr>
                <w:sz w:val="14"/>
              </w:rPr>
            </w:pPr>
            <w:r>
              <w:rPr>
                <w:sz w:val="14"/>
              </w:rPr>
              <w:t>0 . 8 %</w:t>
            </w:r>
          </w:p>
        </w:tc>
        <w:tc>
          <w:tcPr>
            <w:tcW w:w="1610" w:type="dxa"/>
          </w:tcPr>
          <w:p>
            <w:pPr>
              <w:pStyle w:val="TableParagraph"/>
              <w:spacing w:before="27"/>
              <w:ind w:right="505"/>
              <w:jc w:val="right"/>
              <w:rPr>
                <w:sz w:val="14"/>
              </w:rPr>
            </w:pPr>
            <w:r>
              <w:rPr>
                <w:sz w:val="14"/>
              </w:rPr>
              <w:t>17,700.7</w:t>
            </w:r>
          </w:p>
        </w:tc>
        <w:tc>
          <w:tcPr>
            <w:tcW w:w="1335" w:type="dxa"/>
          </w:tcPr>
          <w:p>
            <w:pPr>
              <w:pStyle w:val="TableParagraph"/>
              <w:spacing w:before="27"/>
              <w:ind w:right="395"/>
              <w:jc w:val="right"/>
              <w:rPr>
                <w:sz w:val="14"/>
              </w:rPr>
            </w:pPr>
            <w:r>
              <w:rPr>
                <w:sz w:val="14"/>
              </w:rPr>
              <w:t>0 . 8 %</w:t>
            </w:r>
          </w:p>
        </w:tc>
        <w:tc>
          <w:tcPr>
            <w:tcW w:w="1246" w:type="dxa"/>
          </w:tcPr>
          <w:p>
            <w:pPr>
              <w:pStyle w:val="TableParagraph"/>
              <w:spacing w:before="27"/>
              <w:ind w:left="273"/>
              <w:rPr>
                <w:sz w:val="14"/>
              </w:rPr>
            </w:pPr>
            <w:r>
              <w:rPr>
                <w:sz w:val="14"/>
              </w:rPr>
              <w:t>18,760.9</w:t>
            </w:r>
          </w:p>
        </w:tc>
        <w:tc>
          <w:tcPr>
            <w:tcW w:w="1259" w:type="dxa"/>
          </w:tcPr>
          <w:p>
            <w:pPr>
              <w:pStyle w:val="TableParagraph"/>
              <w:spacing w:before="27"/>
              <w:ind w:right="467"/>
              <w:jc w:val="right"/>
              <w:rPr>
                <w:sz w:val="14"/>
              </w:rPr>
            </w:pPr>
            <w:r>
              <w:rPr>
                <w:sz w:val="14"/>
              </w:rPr>
              <w:t>0 . 8 %</w:t>
            </w:r>
          </w:p>
        </w:tc>
      </w:tr>
      <w:tr>
        <w:trPr>
          <w:trHeight w:val="218" w:hRule="atLeast"/>
        </w:trPr>
        <w:tc>
          <w:tcPr>
            <w:tcW w:w="471" w:type="dxa"/>
          </w:tcPr>
          <w:p>
            <w:pPr>
              <w:pStyle w:val="TableParagraph"/>
              <w:spacing w:before="27"/>
              <w:ind w:left="125"/>
              <w:rPr>
                <w:sz w:val="14"/>
              </w:rPr>
            </w:pPr>
            <w:r>
              <w:rPr>
                <w:sz w:val="14"/>
              </w:rPr>
              <w:t>125</w:t>
            </w:r>
          </w:p>
        </w:tc>
        <w:tc>
          <w:tcPr>
            <w:tcW w:w="5032" w:type="dxa"/>
          </w:tcPr>
          <w:p>
            <w:pPr>
              <w:pStyle w:val="TableParagraph"/>
              <w:spacing w:before="27"/>
              <w:ind w:left="95"/>
              <w:rPr>
                <w:sz w:val="14"/>
              </w:rPr>
            </w:pPr>
            <w:r>
              <w:rPr>
                <w:sz w:val="14"/>
              </w:rPr>
              <w:t>Local Courts</w:t>
            </w:r>
          </w:p>
        </w:tc>
        <w:tc>
          <w:tcPr>
            <w:tcW w:w="2448" w:type="dxa"/>
          </w:tcPr>
          <w:p>
            <w:pPr>
              <w:pStyle w:val="TableParagraph"/>
              <w:spacing w:before="27"/>
              <w:ind w:right="336"/>
              <w:jc w:val="right"/>
              <w:rPr>
                <w:b/>
                <w:sz w:val="14"/>
              </w:rPr>
            </w:pPr>
            <w:r>
              <w:rPr>
                <w:b/>
                <w:sz w:val="14"/>
              </w:rPr>
              <w:t>425.3</w:t>
            </w:r>
          </w:p>
        </w:tc>
        <w:tc>
          <w:tcPr>
            <w:tcW w:w="1393" w:type="dxa"/>
          </w:tcPr>
          <w:p>
            <w:pPr>
              <w:pStyle w:val="TableParagraph"/>
              <w:spacing w:before="27"/>
              <w:ind w:right="455"/>
              <w:jc w:val="right"/>
              <w:rPr>
                <w:sz w:val="14"/>
              </w:rPr>
            </w:pPr>
            <w:r>
              <w:rPr>
                <w:sz w:val="14"/>
              </w:rPr>
              <w:t>0 . 0 %</w:t>
            </w:r>
          </w:p>
        </w:tc>
        <w:tc>
          <w:tcPr>
            <w:tcW w:w="1610" w:type="dxa"/>
          </w:tcPr>
          <w:p>
            <w:pPr>
              <w:pStyle w:val="TableParagraph"/>
              <w:spacing w:before="27"/>
              <w:ind w:right="493"/>
              <w:jc w:val="right"/>
              <w:rPr>
                <w:sz w:val="14"/>
              </w:rPr>
            </w:pPr>
            <w:r>
              <w:rPr>
                <w:sz w:val="14"/>
              </w:rPr>
              <w:t>716.2</w:t>
            </w:r>
          </w:p>
        </w:tc>
        <w:tc>
          <w:tcPr>
            <w:tcW w:w="1335" w:type="dxa"/>
          </w:tcPr>
          <w:p>
            <w:pPr>
              <w:pStyle w:val="TableParagraph"/>
              <w:spacing w:before="27"/>
              <w:ind w:right="395"/>
              <w:jc w:val="right"/>
              <w:rPr>
                <w:sz w:val="14"/>
              </w:rPr>
            </w:pPr>
            <w:r>
              <w:rPr>
                <w:sz w:val="14"/>
              </w:rPr>
              <w:t>0 . 0 %</w:t>
            </w:r>
          </w:p>
        </w:tc>
        <w:tc>
          <w:tcPr>
            <w:tcW w:w="1246" w:type="dxa"/>
          </w:tcPr>
          <w:p>
            <w:pPr>
              <w:pStyle w:val="TableParagraph"/>
              <w:spacing w:before="27"/>
              <w:ind w:left="513"/>
              <w:rPr>
                <w:sz w:val="14"/>
              </w:rPr>
            </w:pPr>
            <w:r>
              <w:rPr>
                <w:sz w:val="14"/>
              </w:rPr>
              <w:t>759.1</w:t>
            </w:r>
          </w:p>
        </w:tc>
        <w:tc>
          <w:tcPr>
            <w:tcW w:w="1259" w:type="dxa"/>
          </w:tcPr>
          <w:p>
            <w:pPr>
              <w:pStyle w:val="TableParagraph"/>
              <w:spacing w:before="27"/>
              <w:ind w:right="467"/>
              <w:jc w:val="right"/>
              <w:rPr>
                <w:sz w:val="14"/>
              </w:rPr>
            </w:pPr>
            <w:r>
              <w:rPr>
                <w:sz w:val="14"/>
              </w:rPr>
              <w:t>0 . 0 %</w:t>
            </w:r>
          </w:p>
        </w:tc>
      </w:tr>
      <w:tr>
        <w:trPr>
          <w:trHeight w:val="218" w:hRule="atLeast"/>
        </w:trPr>
        <w:tc>
          <w:tcPr>
            <w:tcW w:w="471" w:type="dxa"/>
          </w:tcPr>
          <w:p>
            <w:pPr>
              <w:pStyle w:val="TableParagraph"/>
              <w:spacing w:before="25"/>
              <w:ind w:left="125"/>
              <w:rPr>
                <w:sz w:val="14"/>
              </w:rPr>
            </w:pPr>
            <w:r>
              <w:rPr>
                <w:sz w:val="14"/>
              </w:rPr>
              <w:t>126</w:t>
            </w:r>
          </w:p>
        </w:tc>
        <w:tc>
          <w:tcPr>
            <w:tcW w:w="5032" w:type="dxa"/>
          </w:tcPr>
          <w:p>
            <w:pPr>
              <w:pStyle w:val="TableParagraph"/>
              <w:spacing w:before="25"/>
              <w:ind w:left="96"/>
              <w:rPr>
                <w:sz w:val="14"/>
              </w:rPr>
            </w:pPr>
            <w:r>
              <w:rPr>
                <w:sz w:val="14"/>
              </w:rPr>
              <w:t>Independent Police Complaints Board</w:t>
            </w:r>
          </w:p>
        </w:tc>
        <w:tc>
          <w:tcPr>
            <w:tcW w:w="2448" w:type="dxa"/>
          </w:tcPr>
          <w:p>
            <w:pPr>
              <w:pStyle w:val="TableParagraph"/>
              <w:spacing w:before="25"/>
              <w:ind w:right="347"/>
              <w:jc w:val="right"/>
              <w:rPr>
                <w:b/>
                <w:sz w:val="14"/>
              </w:rPr>
            </w:pPr>
            <w:r>
              <w:rPr>
                <w:b/>
                <w:sz w:val="14"/>
              </w:rPr>
              <w:t>1,090.8</w:t>
            </w:r>
          </w:p>
        </w:tc>
        <w:tc>
          <w:tcPr>
            <w:tcW w:w="1393" w:type="dxa"/>
          </w:tcPr>
          <w:p>
            <w:pPr>
              <w:pStyle w:val="TableParagraph"/>
              <w:spacing w:before="25"/>
              <w:ind w:right="455"/>
              <w:jc w:val="right"/>
              <w:rPr>
                <w:sz w:val="14"/>
              </w:rPr>
            </w:pPr>
            <w:r>
              <w:rPr>
                <w:sz w:val="14"/>
              </w:rPr>
              <w:t>0 . 0 %</w:t>
            </w:r>
          </w:p>
        </w:tc>
        <w:tc>
          <w:tcPr>
            <w:tcW w:w="1610" w:type="dxa"/>
          </w:tcPr>
          <w:p>
            <w:pPr>
              <w:pStyle w:val="TableParagraph"/>
              <w:spacing w:before="25"/>
              <w:ind w:right="496"/>
              <w:jc w:val="right"/>
              <w:rPr>
                <w:sz w:val="14"/>
              </w:rPr>
            </w:pPr>
            <w:r>
              <w:rPr>
                <w:sz w:val="14"/>
              </w:rPr>
              <w:t>1,016 .2</w:t>
            </w:r>
          </w:p>
        </w:tc>
        <w:tc>
          <w:tcPr>
            <w:tcW w:w="1335" w:type="dxa"/>
          </w:tcPr>
          <w:p>
            <w:pPr>
              <w:pStyle w:val="TableParagraph"/>
              <w:spacing w:before="25"/>
              <w:ind w:right="395"/>
              <w:jc w:val="right"/>
              <w:rPr>
                <w:sz w:val="14"/>
              </w:rPr>
            </w:pPr>
            <w:r>
              <w:rPr>
                <w:sz w:val="14"/>
              </w:rPr>
              <w:t>0 . 0 %</w:t>
            </w:r>
          </w:p>
        </w:tc>
        <w:tc>
          <w:tcPr>
            <w:tcW w:w="1246" w:type="dxa"/>
          </w:tcPr>
          <w:p>
            <w:pPr>
              <w:pStyle w:val="TableParagraph"/>
              <w:spacing w:before="25"/>
              <w:ind w:left="364"/>
              <w:rPr>
                <w:sz w:val="14"/>
              </w:rPr>
            </w:pPr>
            <w:r>
              <w:rPr>
                <w:sz w:val="14"/>
              </w:rPr>
              <w:t>1,077 .0</w:t>
            </w:r>
          </w:p>
        </w:tc>
        <w:tc>
          <w:tcPr>
            <w:tcW w:w="1259" w:type="dxa"/>
          </w:tcPr>
          <w:p>
            <w:pPr>
              <w:pStyle w:val="TableParagraph"/>
              <w:spacing w:before="25"/>
              <w:ind w:right="467"/>
              <w:jc w:val="right"/>
              <w:rPr>
                <w:sz w:val="14"/>
              </w:rPr>
            </w:pPr>
            <w:r>
              <w:rPr>
                <w:sz w:val="14"/>
              </w:rPr>
              <w:t>0 . 0 %</w:t>
            </w:r>
          </w:p>
        </w:tc>
      </w:tr>
      <w:tr>
        <w:trPr>
          <w:trHeight w:val="220" w:hRule="atLeast"/>
        </w:trPr>
        <w:tc>
          <w:tcPr>
            <w:tcW w:w="471" w:type="dxa"/>
          </w:tcPr>
          <w:p>
            <w:pPr>
              <w:pStyle w:val="TableParagraph"/>
              <w:spacing w:before="27"/>
              <w:ind w:left="125"/>
              <w:rPr>
                <w:sz w:val="14"/>
              </w:rPr>
            </w:pPr>
            <w:r>
              <w:rPr>
                <w:sz w:val="14"/>
              </w:rPr>
              <w:t>127</w:t>
            </w:r>
          </w:p>
        </w:tc>
        <w:tc>
          <w:tcPr>
            <w:tcW w:w="5032" w:type="dxa"/>
          </w:tcPr>
          <w:p>
            <w:pPr>
              <w:pStyle w:val="TableParagraph"/>
              <w:spacing w:before="27"/>
              <w:ind w:left="96"/>
              <w:rPr>
                <w:sz w:val="14"/>
              </w:rPr>
            </w:pPr>
            <w:r>
              <w:rPr>
                <w:sz w:val="14"/>
              </w:rPr>
              <w:t>Ministry of Planning and Economic Development</w:t>
            </w:r>
          </w:p>
        </w:tc>
        <w:tc>
          <w:tcPr>
            <w:tcW w:w="2448" w:type="dxa"/>
          </w:tcPr>
          <w:p>
            <w:pPr>
              <w:pStyle w:val="TableParagraph"/>
              <w:spacing w:before="27"/>
              <w:ind w:right="354"/>
              <w:jc w:val="right"/>
              <w:rPr>
                <w:b/>
                <w:sz w:val="14"/>
              </w:rPr>
            </w:pPr>
            <w:r>
              <w:rPr>
                <w:b/>
                <w:sz w:val="14"/>
              </w:rPr>
              <w:t>43,481.7</w:t>
            </w:r>
          </w:p>
        </w:tc>
        <w:tc>
          <w:tcPr>
            <w:tcW w:w="1393" w:type="dxa"/>
          </w:tcPr>
          <w:p>
            <w:pPr>
              <w:pStyle w:val="TableParagraph"/>
              <w:spacing w:before="27"/>
              <w:ind w:right="455"/>
              <w:jc w:val="right"/>
              <w:rPr>
                <w:sz w:val="14"/>
              </w:rPr>
            </w:pPr>
            <w:r>
              <w:rPr>
                <w:sz w:val="14"/>
              </w:rPr>
              <w:t>1 . 9 %</w:t>
            </w:r>
          </w:p>
        </w:tc>
        <w:tc>
          <w:tcPr>
            <w:tcW w:w="1610" w:type="dxa"/>
          </w:tcPr>
          <w:p>
            <w:pPr>
              <w:pStyle w:val="TableParagraph"/>
              <w:spacing w:before="27"/>
              <w:ind w:right="505"/>
              <w:jc w:val="right"/>
              <w:rPr>
                <w:sz w:val="14"/>
              </w:rPr>
            </w:pPr>
            <w:r>
              <w:rPr>
                <w:sz w:val="14"/>
              </w:rPr>
              <w:t>53,819.2</w:t>
            </w:r>
          </w:p>
        </w:tc>
        <w:tc>
          <w:tcPr>
            <w:tcW w:w="1335" w:type="dxa"/>
          </w:tcPr>
          <w:p>
            <w:pPr>
              <w:pStyle w:val="TableParagraph"/>
              <w:spacing w:before="27"/>
              <w:ind w:right="395"/>
              <w:jc w:val="right"/>
              <w:rPr>
                <w:sz w:val="14"/>
              </w:rPr>
            </w:pPr>
            <w:r>
              <w:rPr>
                <w:sz w:val="14"/>
              </w:rPr>
              <w:t>2 . 3 %</w:t>
            </w:r>
          </w:p>
        </w:tc>
        <w:tc>
          <w:tcPr>
            <w:tcW w:w="1246" w:type="dxa"/>
          </w:tcPr>
          <w:p>
            <w:pPr>
              <w:pStyle w:val="TableParagraph"/>
              <w:spacing w:before="27"/>
              <w:ind w:left="273"/>
              <w:rPr>
                <w:sz w:val="14"/>
              </w:rPr>
            </w:pPr>
            <w:r>
              <w:rPr>
                <w:sz w:val="14"/>
              </w:rPr>
              <w:t>57,186.1</w:t>
            </w:r>
          </w:p>
        </w:tc>
        <w:tc>
          <w:tcPr>
            <w:tcW w:w="1259" w:type="dxa"/>
          </w:tcPr>
          <w:p>
            <w:pPr>
              <w:pStyle w:val="TableParagraph"/>
              <w:spacing w:before="27"/>
              <w:ind w:right="467"/>
              <w:jc w:val="right"/>
              <w:rPr>
                <w:sz w:val="14"/>
              </w:rPr>
            </w:pPr>
            <w:r>
              <w:rPr>
                <w:sz w:val="14"/>
              </w:rPr>
              <w:t>2 . 5 %</w:t>
            </w:r>
          </w:p>
        </w:tc>
      </w:tr>
      <w:tr>
        <w:trPr>
          <w:trHeight w:val="220" w:hRule="atLeast"/>
        </w:trPr>
        <w:tc>
          <w:tcPr>
            <w:tcW w:w="471" w:type="dxa"/>
          </w:tcPr>
          <w:p>
            <w:pPr>
              <w:pStyle w:val="TableParagraph"/>
              <w:spacing w:before="27"/>
              <w:ind w:left="125"/>
              <w:rPr>
                <w:sz w:val="14"/>
              </w:rPr>
            </w:pPr>
            <w:r>
              <w:rPr>
                <w:sz w:val="14"/>
              </w:rPr>
              <w:t>128</w:t>
            </w:r>
          </w:p>
        </w:tc>
        <w:tc>
          <w:tcPr>
            <w:tcW w:w="5032" w:type="dxa"/>
          </w:tcPr>
          <w:p>
            <w:pPr>
              <w:pStyle w:val="TableParagraph"/>
              <w:spacing w:before="27"/>
              <w:ind w:left="96"/>
              <w:rPr>
                <w:sz w:val="14"/>
              </w:rPr>
            </w:pPr>
            <w:r>
              <w:rPr>
                <w:sz w:val="14"/>
              </w:rPr>
              <w:t>Ministry of Foreign Affairs &amp; International Co-operation</w:t>
            </w:r>
          </w:p>
        </w:tc>
        <w:tc>
          <w:tcPr>
            <w:tcW w:w="2448" w:type="dxa"/>
          </w:tcPr>
          <w:p>
            <w:pPr>
              <w:pStyle w:val="TableParagraph"/>
              <w:spacing w:before="27"/>
              <w:ind w:right="354"/>
              <w:jc w:val="right"/>
              <w:rPr>
                <w:b/>
                <w:sz w:val="14"/>
              </w:rPr>
            </w:pPr>
            <w:r>
              <w:rPr>
                <w:b/>
                <w:sz w:val="14"/>
              </w:rPr>
              <w:t>92,990.7</w:t>
            </w:r>
          </w:p>
        </w:tc>
        <w:tc>
          <w:tcPr>
            <w:tcW w:w="1393" w:type="dxa"/>
          </w:tcPr>
          <w:p>
            <w:pPr>
              <w:pStyle w:val="TableParagraph"/>
              <w:spacing w:before="27"/>
              <w:ind w:right="455"/>
              <w:jc w:val="right"/>
              <w:rPr>
                <w:sz w:val="14"/>
              </w:rPr>
            </w:pPr>
            <w:r>
              <w:rPr>
                <w:sz w:val="14"/>
              </w:rPr>
              <w:t>4 . 0 %</w:t>
            </w:r>
          </w:p>
        </w:tc>
        <w:tc>
          <w:tcPr>
            <w:tcW w:w="1610" w:type="dxa"/>
          </w:tcPr>
          <w:p>
            <w:pPr>
              <w:pStyle w:val="TableParagraph"/>
              <w:spacing w:before="27"/>
              <w:ind w:right="505"/>
              <w:jc w:val="right"/>
              <w:rPr>
                <w:sz w:val="14"/>
              </w:rPr>
            </w:pPr>
            <w:r>
              <w:rPr>
                <w:sz w:val="14"/>
              </w:rPr>
              <w:t>79,120.8</w:t>
            </w:r>
          </w:p>
        </w:tc>
        <w:tc>
          <w:tcPr>
            <w:tcW w:w="1335" w:type="dxa"/>
          </w:tcPr>
          <w:p>
            <w:pPr>
              <w:pStyle w:val="TableParagraph"/>
              <w:spacing w:before="27"/>
              <w:ind w:right="395"/>
              <w:jc w:val="right"/>
              <w:rPr>
                <w:sz w:val="14"/>
              </w:rPr>
            </w:pPr>
            <w:r>
              <w:rPr>
                <w:sz w:val="14"/>
              </w:rPr>
              <w:t>3 . 4 %</w:t>
            </w:r>
          </w:p>
        </w:tc>
        <w:tc>
          <w:tcPr>
            <w:tcW w:w="1246" w:type="dxa"/>
          </w:tcPr>
          <w:p>
            <w:pPr>
              <w:pStyle w:val="TableParagraph"/>
              <w:spacing w:before="27"/>
              <w:ind w:left="273"/>
              <w:rPr>
                <w:sz w:val="14"/>
              </w:rPr>
            </w:pPr>
            <w:r>
              <w:rPr>
                <w:sz w:val="14"/>
              </w:rPr>
              <w:t>61,477.2</w:t>
            </w:r>
          </w:p>
        </w:tc>
        <w:tc>
          <w:tcPr>
            <w:tcW w:w="1259" w:type="dxa"/>
          </w:tcPr>
          <w:p>
            <w:pPr>
              <w:pStyle w:val="TableParagraph"/>
              <w:spacing w:before="27"/>
              <w:ind w:right="467"/>
              <w:jc w:val="right"/>
              <w:rPr>
                <w:sz w:val="14"/>
              </w:rPr>
            </w:pPr>
            <w:r>
              <w:rPr>
                <w:sz w:val="14"/>
              </w:rPr>
              <w:t>2 . 7 %</w:t>
            </w:r>
          </w:p>
        </w:tc>
      </w:tr>
      <w:tr>
        <w:trPr>
          <w:trHeight w:val="220" w:hRule="atLeast"/>
        </w:trPr>
        <w:tc>
          <w:tcPr>
            <w:tcW w:w="471" w:type="dxa"/>
          </w:tcPr>
          <w:p>
            <w:pPr>
              <w:pStyle w:val="TableParagraph"/>
              <w:spacing w:before="27"/>
              <w:ind w:left="125"/>
              <w:rPr>
                <w:sz w:val="14"/>
              </w:rPr>
            </w:pPr>
            <w:r>
              <w:rPr>
                <w:sz w:val="14"/>
              </w:rPr>
              <w:t>129</w:t>
            </w:r>
          </w:p>
        </w:tc>
        <w:tc>
          <w:tcPr>
            <w:tcW w:w="5032" w:type="dxa"/>
          </w:tcPr>
          <w:p>
            <w:pPr>
              <w:pStyle w:val="TableParagraph"/>
              <w:spacing w:before="27"/>
              <w:ind w:left="96"/>
              <w:rPr>
                <w:sz w:val="14"/>
              </w:rPr>
            </w:pPr>
            <w:r>
              <w:rPr>
                <w:sz w:val="14"/>
              </w:rPr>
              <w:t>Ministry of Finance</w:t>
            </w:r>
          </w:p>
        </w:tc>
        <w:tc>
          <w:tcPr>
            <w:tcW w:w="2448" w:type="dxa"/>
          </w:tcPr>
          <w:p>
            <w:pPr>
              <w:pStyle w:val="TableParagraph"/>
              <w:spacing w:before="27"/>
              <w:ind w:right="354"/>
              <w:jc w:val="right"/>
              <w:rPr>
                <w:b/>
                <w:sz w:val="14"/>
              </w:rPr>
            </w:pPr>
            <w:r>
              <w:rPr>
                <w:b/>
                <w:sz w:val="14"/>
              </w:rPr>
              <w:t>82,952.3</w:t>
            </w:r>
          </w:p>
        </w:tc>
        <w:tc>
          <w:tcPr>
            <w:tcW w:w="1393" w:type="dxa"/>
          </w:tcPr>
          <w:p>
            <w:pPr>
              <w:pStyle w:val="TableParagraph"/>
              <w:spacing w:before="27"/>
              <w:ind w:right="455"/>
              <w:jc w:val="right"/>
              <w:rPr>
                <w:sz w:val="14"/>
              </w:rPr>
            </w:pPr>
            <w:r>
              <w:rPr>
                <w:sz w:val="14"/>
              </w:rPr>
              <w:t>3 . 6 %</w:t>
            </w:r>
          </w:p>
        </w:tc>
        <w:tc>
          <w:tcPr>
            <w:tcW w:w="1610" w:type="dxa"/>
          </w:tcPr>
          <w:p>
            <w:pPr>
              <w:pStyle w:val="TableParagraph"/>
              <w:spacing w:before="27"/>
              <w:ind w:right="505"/>
              <w:jc w:val="right"/>
              <w:rPr>
                <w:sz w:val="14"/>
              </w:rPr>
            </w:pPr>
            <w:r>
              <w:rPr>
                <w:sz w:val="14"/>
              </w:rPr>
              <w:t>97,254.0</w:t>
            </w:r>
          </w:p>
        </w:tc>
        <w:tc>
          <w:tcPr>
            <w:tcW w:w="1335" w:type="dxa"/>
          </w:tcPr>
          <w:p>
            <w:pPr>
              <w:pStyle w:val="TableParagraph"/>
              <w:spacing w:before="27"/>
              <w:ind w:right="395"/>
              <w:jc w:val="right"/>
              <w:rPr>
                <w:sz w:val="14"/>
              </w:rPr>
            </w:pPr>
            <w:r>
              <w:rPr>
                <w:sz w:val="14"/>
              </w:rPr>
              <w:t>4 . 2 %</w:t>
            </w:r>
          </w:p>
        </w:tc>
        <w:tc>
          <w:tcPr>
            <w:tcW w:w="1246" w:type="dxa"/>
          </w:tcPr>
          <w:p>
            <w:pPr>
              <w:pStyle w:val="TableParagraph"/>
              <w:spacing w:before="27"/>
              <w:ind w:left="182"/>
              <w:rPr>
                <w:sz w:val="14"/>
              </w:rPr>
            </w:pPr>
            <w:r>
              <w:rPr>
                <w:sz w:val="14"/>
              </w:rPr>
              <w:t>103,079.5</w:t>
            </w:r>
          </w:p>
        </w:tc>
        <w:tc>
          <w:tcPr>
            <w:tcW w:w="1259" w:type="dxa"/>
          </w:tcPr>
          <w:p>
            <w:pPr>
              <w:pStyle w:val="TableParagraph"/>
              <w:spacing w:before="27"/>
              <w:ind w:right="467"/>
              <w:jc w:val="right"/>
              <w:rPr>
                <w:sz w:val="14"/>
              </w:rPr>
            </w:pPr>
            <w:r>
              <w:rPr>
                <w:sz w:val="14"/>
              </w:rPr>
              <w:t>4 . 5 %</w:t>
            </w:r>
          </w:p>
        </w:tc>
      </w:tr>
      <w:tr>
        <w:trPr>
          <w:trHeight w:val="220" w:hRule="atLeast"/>
        </w:trPr>
        <w:tc>
          <w:tcPr>
            <w:tcW w:w="471" w:type="dxa"/>
          </w:tcPr>
          <w:p>
            <w:pPr>
              <w:pStyle w:val="TableParagraph"/>
              <w:spacing w:before="27"/>
              <w:ind w:left="125"/>
              <w:rPr>
                <w:sz w:val="14"/>
              </w:rPr>
            </w:pPr>
            <w:r>
              <w:rPr>
                <w:sz w:val="14"/>
              </w:rPr>
              <w:t>130</w:t>
            </w:r>
          </w:p>
        </w:tc>
        <w:tc>
          <w:tcPr>
            <w:tcW w:w="5032" w:type="dxa"/>
          </w:tcPr>
          <w:p>
            <w:pPr>
              <w:pStyle w:val="TableParagraph"/>
              <w:spacing w:before="27"/>
              <w:ind w:left="95"/>
              <w:rPr>
                <w:sz w:val="14"/>
              </w:rPr>
            </w:pPr>
            <w:r>
              <w:rPr>
                <w:sz w:val="14"/>
              </w:rPr>
              <w:t>National Revenue Authority</w:t>
            </w:r>
          </w:p>
        </w:tc>
        <w:tc>
          <w:tcPr>
            <w:tcW w:w="2448" w:type="dxa"/>
          </w:tcPr>
          <w:p>
            <w:pPr>
              <w:pStyle w:val="TableParagraph"/>
              <w:spacing w:before="27"/>
              <w:ind w:right="361"/>
              <w:jc w:val="right"/>
              <w:rPr>
                <w:b/>
                <w:sz w:val="14"/>
              </w:rPr>
            </w:pPr>
            <w:r>
              <w:rPr>
                <w:b/>
                <w:sz w:val="14"/>
              </w:rPr>
              <w:t>193,860.8</w:t>
            </w:r>
          </w:p>
        </w:tc>
        <w:tc>
          <w:tcPr>
            <w:tcW w:w="1393" w:type="dxa"/>
          </w:tcPr>
          <w:p>
            <w:pPr>
              <w:pStyle w:val="TableParagraph"/>
              <w:spacing w:before="27"/>
              <w:ind w:right="455"/>
              <w:jc w:val="right"/>
              <w:rPr>
                <w:sz w:val="14"/>
              </w:rPr>
            </w:pPr>
            <w:r>
              <w:rPr>
                <w:sz w:val="14"/>
              </w:rPr>
              <w:t>8 . 4 %</w:t>
            </w:r>
          </w:p>
        </w:tc>
        <w:tc>
          <w:tcPr>
            <w:tcW w:w="1610" w:type="dxa"/>
          </w:tcPr>
          <w:p>
            <w:pPr>
              <w:pStyle w:val="TableParagraph"/>
              <w:spacing w:before="27"/>
              <w:ind w:right="510"/>
              <w:jc w:val="right"/>
              <w:rPr>
                <w:sz w:val="14"/>
              </w:rPr>
            </w:pPr>
            <w:r>
              <w:rPr>
                <w:sz w:val="14"/>
              </w:rPr>
              <w:t>228,082.2</w:t>
            </w:r>
          </w:p>
        </w:tc>
        <w:tc>
          <w:tcPr>
            <w:tcW w:w="1335" w:type="dxa"/>
          </w:tcPr>
          <w:p>
            <w:pPr>
              <w:pStyle w:val="TableParagraph"/>
              <w:spacing w:before="27"/>
              <w:ind w:right="395"/>
              <w:jc w:val="right"/>
              <w:rPr>
                <w:sz w:val="14"/>
              </w:rPr>
            </w:pPr>
            <w:r>
              <w:rPr>
                <w:sz w:val="14"/>
              </w:rPr>
              <w:t>9 . 9 %</w:t>
            </w:r>
          </w:p>
        </w:tc>
        <w:tc>
          <w:tcPr>
            <w:tcW w:w="1246" w:type="dxa"/>
          </w:tcPr>
          <w:p>
            <w:pPr>
              <w:pStyle w:val="TableParagraph"/>
              <w:spacing w:before="27"/>
              <w:ind w:left="182"/>
              <w:rPr>
                <w:sz w:val="14"/>
              </w:rPr>
            </w:pPr>
            <w:r>
              <w:rPr>
                <w:sz w:val="14"/>
              </w:rPr>
              <w:t>270,169.8</w:t>
            </w:r>
          </w:p>
        </w:tc>
        <w:tc>
          <w:tcPr>
            <w:tcW w:w="1259" w:type="dxa"/>
          </w:tcPr>
          <w:p>
            <w:pPr>
              <w:pStyle w:val="TableParagraph"/>
              <w:spacing w:before="27"/>
              <w:ind w:right="467"/>
              <w:jc w:val="right"/>
              <w:rPr>
                <w:sz w:val="14"/>
              </w:rPr>
            </w:pPr>
            <w:r>
              <w:rPr>
                <w:sz w:val="14"/>
              </w:rPr>
              <w:t>1 1 . 7 %</w:t>
            </w:r>
          </w:p>
        </w:tc>
      </w:tr>
      <w:tr>
        <w:trPr>
          <w:trHeight w:val="218" w:hRule="atLeast"/>
        </w:trPr>
        <w:tc>
          <w:tcPr>
            <w:tcW w:w="471" w:type="dxa"/>
          </w:tcPr>
          <w:p>
            <w:pPr>
              <w:pStyle w:val="TableParagraph"/>
              <w:spacing w:before="27"/>
              <w:ind w:left="125"/>
              <w:rPr>
                <w:sz w:val="14"/>
              </w:rPr>
            </w:pPr>
            <w:r>
              <w:rPr>
                <w:sz w:val="14"/>
              </w:rPr>
              <w:t>131</w:t>
            </w:r>
          </w:p>
        </w:tc>
        <w:tc>
          <w:tcPr>
            <w:tcW w:w="5032" w:type="dxa"/>
          </w:tcPr>
          <w:p>
            <w:pPr>
              <w:pStyle w:val="TableParagraph"/>
              <w:spacing w:before="27"/>
              <w:ind w:left="95"/>
              <w:rPr>
                <w:sz w:val="14"/>
              </w:rPr>
            </w:pPr>
            <w:r>
              <w:rPr>
                <w:sz w:val="14"/>
              </w:rPr>
              <w:t>Revenue Appellate Board</w:t>
            </w:r>
          </w:p>
        </w:tc>
        <w:tc>
          <w:tcPr>
            <w:tcW w:w="2448" w:type="dxa"/>
          </w:tcPr>
          <w:p>
            <w:pPr>
              <w:pStyle w:val="TableParagraph"/>
              <w:spacing w:before="27"/>
              <w:ind w:right="336"/>
              <w:jc w:val="right"/>
              <w:rPr>
                <w:b/>
                <w:sz w:val="14"/>
              </w:rPr>
            </w:pPr>
            <w:r>
              <w:rPr>
                <w:b/>
                <w:sz w:val="14"/>
              </w:rPr>
              <w:t>802.5</w:t>
            </w:r>
          </w:p>
        </w:tc>
        <w:tc>
          <w:tcPr>
            <w:tcW w:w="1393" w:type="dxa"/>
          </w:tcPr>
          <w:p>
            <w:pPr>
              <w:pStyle w:val="TableParagraph"/>
              <w:spacing w:before="27"/>
              <w:ind w:right="455"/>
              <w:jc w:val="right"/>
              <w:rPr>
                <w:sz w:val="14"/>
              </w:rPr>
            </w:pPr>
            <w:r>
              <w:rPr>
                <w:sz w:val="14"/>
              </w:rPr>
              <w:t>0 . 0 %</w:t>
            </w:r>
          </w:p>
        </w:tc>
        <w:tc>
          <w:tcPr>
            <w:tcW w:w="1610" w:type="dxa"/>
          </w:tcPr>
          <w:p>
            <w:pPr>
              <w:pStyle w:val="TableParagraph"/>
              <w:spacing w:before="27"/>
              <w:ind w:right="493"/>
              <w:jc w:val="right"/>
              <w:rPr>
                <w:sz w:val="14"/>
              </w:rPr>
            </w:pPr>
            <w:r>
              <w:rPr>
                <w:sz w:val="14"/>
              </w:rPr>
              <w:t>976.6</w:t>
            </w:r>
          </w:p>
        </w:tc>
        <w:tc>
          <w:tcPr>
            <w:tcW w:w="1335" w:type="dxa"/>
          </w:tcPr>
          <w:p>
            <w:pPr>
              <w:pStyle w:val="TableParagraph"/>
              <w:spacing w:before="27"/>
              <w:ind w:right="395"/>
              <w:jc w:val="right"/>
              <w:rPr>
                <w:sz w:val="14"/>
              </w:rPr>
            </w:pPr>
            <w:r>
              <w:rPr>
                <w:sz w:val="14"/>
              </w:rPr>
              <w:t>0 . 0 %</w:t>
            </w:r>
          </w:p>
        </w:tc>
        <w:tc>
          <w:tcPr>
            <w:tcW w:w="1246" w:type="dxa"/>
          </w:tcPr>
          <w:p>
            <w:pPr>
              <w:pStyle w:val="TableParagraph"/>
              <w:spacing w:before="27"/>
              <w:ind w:left="364"/>
              <w:rPr>
                <w:sz w:val="14"/>
              </w:rPr>
            </w:pPr>
            <w:r>
              <w:rPr>
                <w:sz w:val="14"/>
              </w:rPr>
              <w:t>1,035 .1</w:t>
            </w:r>
          </w:p>
        </w:tc>
        <w:tc>
          <w:tcPr>
            <w:tcW w:w="1259" w:type="dxa"/>
          </w:tcPr>
          <w:p>
            <w:pPr>
              <w:pStyle w:val="TableParagraph"/>
              <w:spacing w:before="27"/>
              <w:ind w:right="467"/>
              <w:jc w:val="right"/>
              <w:rPr>
                <w:sz w:val="14"/>
              </w:rPr>
            </w:pPr>
            <w:r>
              <w:rPr>
                <w:sz w:val="14"/>
              </w:rPr>
              <w:t>0 . 0 %</w:t>
            </w:r>
          </w:p>
        </w:tc>
      </w:tr>
      <w:tr>
        <w:trPr>
          <w:trHeight w:val="218" w:hRule="atLeast"/>
        </w:trPr>
        <w:tc>
          <w:tcPr>
            <w:tcW w:w="471" w:type="dxa"/>
          </w:tcPr>
          <w:p>
            <w:pPr>
              <w:pStyle w:val="TableParagraph"/>
              <w:spacing w:before="25"/>
              <w:ind w:left="125"/>
              <w:rPr>
                <w:sz w:val="14"/>
              </w:rPr>
            </w:pPr>
            <w:r>
              <w:rPr>
                <w:sz w:val="14"/>
              </w:rPr>
              <w:t>132</w:t>
            </w:r>
          </w:p>
        </w:tc>
        <w:tc>
          <w:tcPr>
            <w:tcW w:w="5032" w:type="dxa"/>
          </w:tcPr>
          <w:p>
            <w:pPr>
              <w:pStyle w:val="TableParagraph"/>
              <w:spacing w:before="25"/>
              <w:ind w:left="95"/>
              <w:rPr>
                <w:sz w:val="14"/>
              </w:rPr>
            </w:pPr>
            <w:r>
              <w:rPr>
                <w:sz w:val="14"/>
              </w:rPr>
              <w:t>Accountant-General’s Department</w:t>
            </w:r>
          </w:p>
        </w:tc>
        <w:tc>
          <w:tcPr>
            <w:tcW w:w="2448" w:type="dxa"/>
          </w:tcPr>
          <w:p>
            <w:pPr>
              <w:pStyle w:val="TableParagraph"/>
              <w:spacing w:before="25"/>
              <w:ind w:right="354"/>
              <w:jc w:val="right"/>
              <w:rPr>
                <w:b/>
                <w:sz w:val="14"/>
              </w:rPr>
            </w:pPr>
            <w:r>
              <w:rPr>
                <w:b/>
                <w:sz w:val="14"/>
              </w:rPr>
              <w:t>35,020.4</w:t>
            </w:r>
          </w:p>
        </w:tc>
        <w:tc>
          <w:tcPr>
            <w:tcW w:w="1393" w:type="dxa"/>
          </w:tcPr>
          <w:p>
            <w:pPr>
              <w:pStyle w:val="TableParagraph"/>
              <w:spacing w:before="25"/>
              <w:ind w:right="455"/>
              <w:jc w:val="right"/>
              <w:rPr>
                <w:sz w:val="14"/>
              </w:rPr>
            </w:pPr>
            <w:r>
              <w:rPr>
                <w:sz w:val="14"/>
              </w:rPr>
              <w:t>1 . 5 %</w:t>
            </w:r>
          </w:p>
        </w:tc>
        <w:tc>
          <w:tcPr>
            <w:tcW w:w="1610" w:type="dxa"/>
          </w:tcPr>
          <w:p>
            <w:pPr>
              <w:pStyle w:val="TableParagraph"/>
              <w:spacing w:before="25"/>
              <w:ind w:right="505"/>
              <w:jc w:val="right"/>
              <w:rPr>
                <w:sz w:val="14"/>
              </w:rPr>
            </w:pPr>
            <w:r>
              <w:rPr>
                <w:sz w:val="14"/>
              </w:rPr>
              <w:t>36,621.3</w:t>
            </w:r>
          </w:p>
        </w:tc>
        <w:tc>
          <w:tcPr>
            <w:tcW w:w="1335" w:type="dxa"/>
          </w:tcPr>
          <w:p>
            <w:pPr>
              <w:pStyle w:val="TableParagraph"/>
              <w:spacing w:before="25"/>
              <w:ind w:right="395"/>
              <w:jc w:val="right"/>
              <w:rPr>
                <w:sz w:val="14"/>
              </w:rPr>
            </w:pPr>
            <w:r>
              <w:rPr>
                <w:sz w:val="14"/>
              </w:rPr>
              <w:t>1 . 6 %</w:t>
            </w:r>
          </w:p>
        </w:tc>
        <w:tc>
          <w:tcPr>
            <w:tcW w:w="1246" w:type="dxa"/>
          </w:tcPr>
          <w:p>
            <w:pPr>
              <w:pStyle w:val="TableParagraph"/>
              <w:spacing w:before="25"/>
              <w:ind w:left="273"/>
              <w:rPr>
                <w:sz w:val="14"/>
              </w:rPr>
            </w:pPr>
            <w:r>
              <w:rPr>
                <w:sz w:val="14"/>
              </w:rPr>
              <w:t>38,814.9</w:t>
            </w:r>
          </w:p>
        </w:tc>
        <w:tc>
          <w:tcPr>
            <w:tcW w:w="1259" w:type="dxa"/>
          </w:tcPr>
          <w:p>
            <w:pPr>
              <w:pStyle w:val="TableParagraph"/>
              <w:spacing w:before="25"/>
              <w:ind w:right="467"/>
              <w:jc w:val="right"/>
              <w:rPr>
                <w:sz w:val="14"/>
              </w:rPr>
            </w:pPr>
            <w:r>
              <w:rPr>
                <w:sz w:val="14"/>
              </w:rPr>
              <w:t>1 . 7 %</w:t>
            </w:r>
          </w:p>
        </w:tc>
      </w:tr>
      <w:tr>
        <w:trPr>
          <w:trHeight w:val="220" w:hRule="atLeast"/>
        </w:trPr>
        <w:tc>
          <w:tcPr>
            <w:tcW w:w="471" w:type="dxa"/>
          </w:tcPr>
          <w:p>
            <w:pPr>
              <w:pStyle w:val="TableParagraph"/>
              <w:spacing w:before="27"/>
              <w:ind w:left="125"/>
              <w:rPr>
                <w:sz w:val="14"/>
              </w:rPr>
            </w:pPr>
            <w:r>
              <w:rPr>
                <w:sz w:val="14"/>
              </w:rPr>
              <w:t>133</w:t>
            </w:r>
          </w:p>
        </w:tc>
        <w:tc>
          <w:tcPr>
            <w:tcW w:w="5032" w:type="dxa"/>
          </w:tcPr>
          <w:p>
            <w:pPr>
              <w:pStyle w:val="TableParagraph"/>
              <w:spacing w:before="27"/>
              <w:ind w:left="96"/>
              <w:rPr>
                <w:sz w:val="14"/>
              </w:rPr>
            </w:pPr>
            <w:r>
              <w:rPr>
                <w:sz w:val="14"/>
              </w:rPr>
              <w:t>Ministry of Information and Communication</w:t>
            </w:r>
          </w:p>
        </w:tc>
        <w:tc>
          <w:tcPr>
            <w:tcW w:w="2448" w:type="dxa"/>
          </w:tcPr>
          <w:p>
            <w:pPr>
              <w:pStyle w:val="TableParagraph"/>
              <w:spacing w:before="27"/>
              <w:ind w:right="347"/>
              <w:jc w:val="right"/>
              <w:rPr>
                <w:b/>
                <w:sz w:val="14"/>
              </w:rPr>
            </w:pPr>
            <w:r>
              <w:rPr>
                <w:b/>
                <w:sz w:val="14"/>
              </w:rPr>
              <w:t>4,626.7</w:t>
            </w:r>
          </w:p>
        </w:tc>
        <w:tc>
          <w:tcPr>
            <w:tcW w:w="1393" w:type="dxa"/>
          </w:tcPr>
          <w:p>
            <w:pPr>
              <w:pStyle w:val="TableParagraph"/>
              <w:spacing w:before="27"/>
              <w:ind w:right="455"/>
              <w:jc w:val="right"/>
              <w:rPr>
                <w:sz w:val="14"/>
              </w:rPr>
            </w:pPr>
            <w:r>
              <w:rPr>
                <w:sz w:val="14"/>
              </w:rPr>
              <w:t>0 . 2 %</w:t>
            </w:r>
          </w:p>
        </w:tc>
        <w:tc>
          <w:tcPr>
            <w:tcW w:w="1610" w:type="dxa"/>
          </w:tcPr>
          <w:p>
            <w:pPr>
              <w:pStyle w:val="TableParagraph"/>
              <w:spacing w:before="27"/>
              <w:ind w:right="496"/>
              <w:jc w:val="right"/>
              <w:rPr>
                <w:sz w:val="14"/>
              </w:rPr>
            </w:pPr>
            <w:r>
              <w:rPr>
                <w:sz w:val="14"/>
              </w:rPr>
              <w:t>5,699 .1</w:t>
            </w:r>
          </w:p>
        </w:tc>
        <w:tc>
          <w:tcPr>
            <w:tcW w:w="1335" w:type="dxa"/>
          </w:tcPr>
          <w:p>
            <w:pPr>
              <w:pStyle w:val="TableParagraph"/>
              <w:spacing w:before="27"/>
              <w:ind w:right="395"/>
              <w:jc w:val="right"/>
              <w:rPr>
                <w:sz w:val="14"/>
              </w:rPr>
            </w:pPr>
            <w:r>
              <w:rPr>
                <w:sz w:val="14"/>
              </w:rPr>
              <w:t>0 . 2 %</w:t>
            </w:r>
          </w:p>
        </w:tc>
        <w:tc>
          <w:tcPr>
            <w:tcW w:w="1246" w:type="dxa"/>
          </w:tcPr>
          <w:p>
            <w:pPr>
              <w:pStyle w:val="TableParagraph"/>
              <w:spacing w:before="27"/>
              <w:ind w:left="364"/>
              <w:rPr>
                <w:sz w:val="14"/>
              </w:rPr>
            </w:pPr>
            <w:r>
              <w:rPr>
                <w:sz w:val="14"/>
              </w:rPr>
              <w:t>6,040 .5</w:t>
            </w:r>
          </w:p>
        </w:tc>
        <w:tc>
          <w:tcPr>
            <w:tcW w:w="1259" w:type="dxa"/>
          </w:tcPr>
          <w:p>
            <w:pPr>
              <w:pStyle w:val="TableParagraph"/>
              <w:spacing w:before="27"/>
              <w:ind w:right="467"/>
              <w:jc w:val="right"/>
              <w:rPr>
                <w:sz w:val="14"/>
              </w:rPr>
            </w:pPr>
            <w:r>
              <w:rPr>
                <w:sz w:val="14"/>
              </w:rPr>
              <w:t>0 . 3 %</w:t>
            </w:r>
          </w:p>
        </w:tc>
      </w:tr>
      <w:tr>
        <w:trPr>
          <w:trHeight w:val="220" w:hRule="atLeast"/>
        </w:trPr>
        <w:tc>
          <w:tcPr>
            <w:tcW w:w="471" w:type="dxa"/>
          </w:tcPr>
          <w:p>
            <w:pPr>
              <w:pStyle w:val="TableParagraph"/>
              <w:spacing w:before="27"/>
              <w:ind w:left="125"/>
              <w:rPr>
                <w:sz w:val="14"/>
              </w:rPr>
            </w:pPr>
            <w:r>
              <w:rPr>
                <w:sz w:val="14"/>
              </w:rPr>
              <w:t>134</w:t>
            </w:r>
          </w:p>
        </w:tc>
        <w:tc>
          <w:tcPr>
            <w:tcW w:w="5032" w:type="dxa"/>
          </w:tcPr>
          <w:p>
            <w:pPr>
              <w:pStyle w:val="TableParagraph"/>
              <w:spacing w:before="27"/>
              <w:ind w:left="95"/>
              <w:rPr>
                <w:sz w:val="14"/>
              </w:rPr>
            </w:pPr>
            <w:r>
              <w:rPr>
                <w:sz w:val="14"/>
              </w:rPr>
              <w:t>National Electoral Commission</w:t>
            </w:r>
          </w:p>
        </w:tc>
        <w:tc>
          <w:tcPr>
            <w:tcW w:w="2448" w:type="dxa"/>
          </w:tcPr>
          <w:p>
            <w:pPr>
              <w:pStyle w:val="TableParagraph"/>
              <w:spacing w:before="27"/>
              <w:ind w:right="354"/>
              <w:jc w:val="right"/>
              <w:rPr>
                <w:b/>
                <w:sz w:val="14"/>
              </w:rPr>
            </w:pPr>
            <w:r>
              <w:rPr>
                <w:b/>
                <w:sz w:val="14"/>
              </w:rPr>
              <w:t>18,900.0</w:t>
            </w:r>
          </w:p>
        </w:tc>
        <w:tc>
          <w:tcPr>
            <w:tcW w:w="1393" w:type="dxa"/>
          </w:tcPr>
          <w:p>
            <w:pPr>
              <w:pStyle w:val="TableParagraph"/>
              <w:spacing w:before="27"/>
              <w:ind w:right="455"/>
              <w:jc w:val="right"/>
              <w:rPr>
                <w:sz w:val="14"/>
              </w:rPr>
            </w:pPr>
            <w:r>
              <w:rPr>
                <w:sz w:val="14"/>
              </w:rPr>
              <w:t>0 . 8 %</w:t>
            </w:r>
          </w:p>
        </w:tc>
        <w:tc>
          <w:tcPr>
            <w:tcW w:w="1610" w:type="dxa"/>
          </w:tcPr>
          <w:p>
            <w:pPr>
              <w:pStyle w:val="TableParagraph"/>
              <w:spacing w:before="27"/>
              <w:ind w:right="505"/>
              <w:jc w:val="right"/>
              <w:rPr>
                <w:sz w:val="14"/>
              </w:rPr>
            </w:pPr>
            <w:r>
              <w:rPr>
                <w:sz w:val="14"/>
              </w:rPr>
              <w:t>86,867.0</w:t>
            </w:r>
          </w:p>
        </w:tc>
        <w:tc>
          <w:tcPr>
            <w:tcW w:w="1335" w:type="dxa"/>
          </w:tcPr>
          <w:p>
            <w:pPr>
              <w:pStyle w:val="TableParagraph"/>
              <w:spacing w:before="27"/>
              <w:ind w:right="395"/>
              <w:jc w:val="right"/>
              <w:rPr>
                <w:sz w:val="14"/>
              </w:rPr>
            </w:pPr>
            <w:r>
              <w:rPr>
                <w:sz w:val="14"/>
              </w:rPr>
              <w:t>3 . 8 %</w:t>
            </w:r>
          </w:p>
        </w:tc>
        <w:tc>
          <w:tcPr>
            <w:tcW w:w="1246" w:type="dxa"/>
          </w:tcPr>
          <w:p>
            <w:pPr>
              <w:pStyle w:val="TableParagraph"/>
              <w:spacing w:before="27"/>
              <w:ind w:left="182"/>
              <w:rPr>
                <w:sz w:val="14"/>
              </w:rPr>
            </w:pPr>
            <w:r>
              <w:rPr>
                <w:sz w:val="14"/>
              </w:rPr>
              <w:t>203,369.0</w:t>
            </w:r>
          </w:p>
        </w:tc>
        <w:tc>
          <w:tcPr>
            <w:tcW w:w="1259" w:type="dxa"/>
          </w:tcPr>
          <w:p>
            <w:pPr>
              <w:pStyle w:val="TableParagraph"/>
              <w:spacing w:before="27"/>
              <w:ind w:right="467"/>
              <w:jc w:val="right"/>
              <w:rPr>
                <w:sz w:val="14"/>
              </w:rPr>
            </w:pPr>
            <w:r>
              <w:rPr>
                <w:sz w:val="14"/>
              </w:rPr>
              <w:t>8 . 8 %</w:t>
            </w:r>
          </w:p>
        </w:tc>
      </w:tr>
      <w:tr>
        <w:trPr>
          <w:trHeight w:val="220" w:hRule="atLeast"/>
        </w:trPr>
        <w:tc>
          <w:tcPr>
            <w:tcW w:w="471" w:type="dxa"/>
          </w:tcPr>
          <w:p>
            <w:pPr>
              <w:pStyle w:val="TableParagraph"/>
              <w:spacing w:before="27"/>
              <w:ind w:left="125"/>
              <w:rPr>
                <w:sz w:val="14"/>
              </w:rPr>
            </w:pPr>
            <w:r>
              <w:rPr>
                <w:sz w:val="14"/>
              </w:rPr>
              <w:t>137</w:t>
            </w:r>
          </w:p>
        </w:tc>
        <w:tc>
          <w:tcPr>
            <w:tcW w:w="5032" w:type="dxa"/>
          </w:tcPr>
          <w:p>
            <w:pPr>
              <w:pStyle w:val="TableParagraph"/>
              <w:spacing w:before="27"/>
              <w:ind w:left="95"/>
              <w:rPr>
                <w:sz w:val="14"/>
              </w:rPr>
            </w:pPr>
            <w:r>
              <w:rPr>
                <w:sz w:val="14"/>
              </w:rPr>
              <w:t>National Commission For Democracy</w:t>
            </w:r>
          </w:p>
        </w:tc>
        <w:tc>
          <w:tcPr>
            <w:tcW w:w="2448" w:type="dxa"/>
          </w:tcPr>
          <w:p>
            <w:pPr>
              <w:pStyle w:val="TableParagraph"/>
              <w:spacing w:before="27"/>
              <w:ind w:right="347"/>
              <w:jc w:val="right"/>
              <w:rPr>
                <w:b/>
                <w:sz w:val="14"/>
              </w:rPr>
            </w:pPr>
            <w:r>
              <w:rPr>
                <w:b/>
                <w:sz w:val="14"/>
              </w:rPr>
              <w:t>1,098.3</w:t>
            </w:r>
          </w:p>
        </w:tc>
        <w:tc>
          <w:tcPr>
            <w:tcW w:w="1393" w:type="dxa"/>
          </w:tcPr>
          <w:p>
            <w:pPr>
              <w:pStyle w:val="TableParagraph"/>
              <w:spacing w:before="27"/>
              <w:ind w:right="455"/>
              <w:jc w:val="right"/>
              <w:rPr>
                <w:sz w:val="14"/>
              </w:rPr>
            </w:pPr>
            <w:r>
              <w:rPr>
                <w:sz w:val="14"/>
              </w:rPr>
              <w:t>0 . 0 %</w:t>
            </w:r>
          </w:p>
        </w:tc>
        <w:tc>
          <w:tcPr>
            <w:tcW w:w="1610" w:type="dxa"/>
          </w:tcPr>
          <w:p>
            <w:pPr>
              <w:pStyle w:val="TableParagraph"/>
              <w:spacing w:before="27"/>
              <w:ind w:right="493"/>
              <w:jc w:val="right"/>
              <w:rPr>
                <w:sz w:val="14"/>
              </w:rPr>
            </w:pPr>
            <w:r>
              <w:rPr>
                <w:sz w:val="14"/>
              </w:rPr>
              <w:t>983.4</w:t>
            </w:r>
          </w:p>
        </w:tc>
        <w:tc>
          <w:tcPr>
            <w:tcW w:w="1335" w:type="dxa"/>
          </w:tcPr>
          <w:p>
            <w:pPr>
              <w:pStyle w:val="TableParagraph"/>
              <w:spacing w:before="27"/>
              <w:ind w:right="395"/>
              <w:jc w:val="right"/>
              <w:rPr>
                <w:sz w:val="14"/>
              </w:rPr>
            </w:pPr>
            <w:r>
              <w:rPr>
                <w:sz w:val="14"/>
              </w:rPr>
              <w:t>0 . 0 %</w:t>
            </w:r>
          </w:p>
        </w:tc>
        <w:tc>
          <w:tcPr>
            <w:tcW w:w="1246" w:type="dxa"/>
          </w:tcPr>
          <w:p>
            <w:pPr>
              <w:pStyle w:val="TableParagraph"/>
              <w:spacing w:before="27"/>
              <w:ind w:left="364"/>
              <w:rPr>
                <w:sz w:val="14"/>
              </w:rPr>
            </w:pPr>
            <w:r>
              <w:rPr>
                <w:sz w:val="14"/>
              </w:rPr>
              <w:t>1,042 .3</w:t>
            </w:r>
          </w:p>
        </w:tc>
        <w:tc>
          <w:tcPr>
            <w:tcW w:w="1259" w:type="dxa"/>
          </w:tcPr>
          <w:p>
            <w:pPr>
              <w:pStyle w:val="TableParagraph"/>
              <w:spacing w:before="27"/>
              <w:ind w:right="467"/>
              <w:jc w:val="right"/>
              <w:rPr>
                <w:sz w:val="14"/>
              </w:rPr>
            </w:pPr>
            <w:r>
              <w:rPr>
                <w:sz w:val="14"/>
              </w:rPr>
              <w:t>0 . 0 %</w:t>
            </w:r>
          </w:p>
        </w:tc>
      </w:tr>
      <w:tr>
        <w:trPr>
          <w:trHeight w:val="220" w:hRule="atLeast"/>
        </w:trPr>
        <w:tc>
          <w:tcPr>
            <w:tcW w:w="471" w:type="dxa"/>
          </w:tcPr>
          <w:p>
            <w:pPr>
              <w:pStyle w:val="TableParagraph"/>
              <w:spacing w:before="27"/>
              <w:ind w:left="125"/>
              <w:rPr>
                <w:sz w:val="14"/>
              </w:rPr>
            </w:pPr>
            <w:r>
              <w:rPr>
                <w:sz w:val="14"/>
              </w:rPr>
              <w:t>138</w:t>
            </w:r>
          </w:p>
        </w:tc>
        <w:tc>
          <w:tcPr>
            <w:tcW w:w="5032" w:type="dxa"/>
          </w:tcPr>
          <w:p>
            <w:pPr>
              <w:pStyle w:val="TableParagraph"/>
              <w:spacing w:before="27"/>
              <w:ind w:left="95"/>
              <w:rPr>
                <w:sz w:val="14"/>
              </w:rPr>
            </w:pPr>
            <w:r>
              <w:rPr>
                <w:sz w:val="14"/>
              </w:rPr>
              <w:t>Statistics - Sierra Leone</w:t>
            </w:r>
          </w:p>
        </w:tc>
        <w:tc>
          <w:tcPr>
            <w:tcW w:w="2448" w:type="dxa"/>
          </w:tcPr>
          <w:p>
            <w:pPr>
              <w:pStyle w:val="TableParagraph"/>
              <w:spacing w:before="27"/>
              <w:ind w:right="347"/>
              <w:jc w:val="right"/>
              <w:rPr>
                <w:b/>
                <w:sz w:val="14"/>
              </w:rPr>
            </w:pPr>
            <w:r>
              <w:rPr>
                <w:b/>
                <w:sz w:val="14"/>
              </w:rPr>
              <w:t>5,641.3</w:t>
            </w:r>
          </w:p>
        </w:tc>
        <w:tc>
          <w:tcPr>
            <w:tcW w:w="1393" w:type="dxa"/>
          </w:tcPr>
          <w:p>
            <w:pPr>
              <w:pStyle w:val="TableParagraph"/>
              <w:spacing w:before="27"/>
              <w:ind w:right="455"/>
              <w:jc w:val="right"/>
              <w:rPr>
                <w:sz w:val="14"/>
              </w:rPr>
            </w:pPr>
            <w:r>
              <w:rPr>
                <w:sz w:val="14"/>
              </w:rPr>
              <w:t>0 . 2 %</w:t>
            </w:r>
          </w:p>
        </w:tc>
        <w:tc>
          <w:tcPr>
            <w:tcW w:w="1610" w:type="dxa"/>
          </w:tcPr>
          <w:p>
            <w:pPr>
              <w:pStyle w:val="TableParagraph"/>
              <w:spacing w:before="27"/>
              <w:ind w:right="496"/>
              <w:jc w:val="right"/>
              <w:rPr>
                <w:sz w:val="14"/>
              </w:rPr>
            </w:pPr>
            <w:r>
              <w:rPr>
                <w:sz w:val="14"/>
              </w:rPr>
              <w:t>5,717 .2</w:t>
            </w:r>
          </w:p>
        </w:tc>
        <w:tc>
          <w:tcPr>
            <w:tcW w:w="1335" w:type="dxa"/>
          </w:tcPr>
          <w:p>
            <w:pPr>
              <w:pStyle w:val="TableParagraph"/>
              <w:spacing w:before="27"/>
              <w:ind w:right="395"/>
              <w:jc w:val="right"/>
              <w:rPr>
                <w:sz w:val="14"/>
              </w:rPr>
            </w:pPr>
            <w:r>
              <w:rPr>
                <w:sz w:val="14"/>
              </w:rPr>
              <w:t>0 . 2 %</w:t>
            </w:r>
          </w:p>
        </w:tc>
        <w:tc>
          <w:tcPr>
            <w:tcW w:w="1246" w:type="dxa"/>
          </w:tcPr>
          <w:p>
            <w:pPr>
              <w:pStyle w:val="TableParagraph"/>
              <w:spacing w:before="27"/>
              <w:ind w:left="364"/>
              <w:rPr>
                <w:sz w:val="14"/>
              </w:rPr>
            </w:pPr>
            <w:r>
              <w:rPr>
                <w:sz w:val="14"/>
              </w:rPr>
              <w:t>6,059 .6</w:t>
            </w:r>
          </w:p>
        </w:tc>
        <w:tc>
          <w:tcPr>
            <w:tcW w:w="1259" w:type="dxa"/>
          </w:tcPr>
          <w:p>
            <w:pPr>
              <w:pStyle w:val="TableParagraph"/>
              <w:spacing w:before="27"/>
              <w:ind w:right="467"/>
              <w:jc w:val="right"/>
              <w:rPr>
                <w:sz w:val="14"/>
              </w:rPr>
            </w:pPr>
            <w:r>
              <w:rPr>
                <w:sz w:val="14"/>
              </w:rPr>
              <w:t>0 . 3 %</w:t>
            </w:r>
          </w:p>
        </w:tc>
      </w:tr>
      <w:tr>
        <w:trPr>
          <w:trHeight w:val="218" w:hRule="atLeast"/>
        </w:trPr>
        <w:tc>
          <w:tcPr>
            <w:tcW w:w="471" w:type="dxa"/>
          </w:tcPr>
          <w:p>
            <w:pPr>
              <w:pStyle w:val="TableParagraph"/>
              <w:spacing w:before="27"/>
              <w:ind w:left="125"/>
              <w:rPr>
                <w:sz w:val="14"/>
              </w:rPr>
            </w:pPr>
            <w:r>
              <w:rPr>
                <w:sz w:val="14"/>
              </w:rPr>
              <w:t>139</w:t>
            </w:r>
          </w:p>
        </w:tc>
        <w:tc>
          <w:tcPr>
            <w:tcW w:w="5032" w:type="dxa"/>
          </w:tcPr>
          <w:p>
            <w:pPr>
              <w:pStyle w:val="TableParagraph"/>
              <w:spacing w:before="27"/>
              <w:ind w:left="95"/>
              <w:rPr>
                <w:sz w:val="14"/>
              </w:rPr>
            </w:pPr>
            <w:r>
              <w:rPr>
                <w:sz w:val="14"/>
              </w:rPr>
              <w:t>National Commission for Privatisation</w:t>
            </w:r>
          </w:p>
        </w:tc>
        <w:tc>
          <w:tcPr>
            <w:tcW w:w="2448" w:type="dxa"/>
          </w:tcPr>
          <w:p>
            <w:pPr>
              <w:pStyle w:val="TableParagraph"/>
              <w:spacing w:before="27"/>
              <w:ind w:right="347"/>
              <w:jc w:val="right"/>
              <w:rPr>
                <w:b/>
                <w:sz w:val="14"/>
              </w:rPr>
            </w:pPr>
            <w:r>
              <w:rPr>
                <w:b/>
                <w:sz w:val="14"/>
              </w:rPr>
              <w:t>2,056.6</w:t>
            </w:r>
          </w:p>
        </w:tc>
        <w:tc>
          <w:tcPr>
            <w:tcW w:w="1393" w:type="dxa"/>
          </w:tcPr>
          <w:p>
            <w:pPr>
              <w:pStyle w:val="TableParagraph"/>
              <w:spacing w:before="27"/>
              <w:ind w:right="455"/>
              <w:jc w:val="right"/>
              <w:rPr>
                <w:sz w:val="14"/>
              </w:rPr>
            </w:pPr>
            <w:r>
              <w:rPr>
                <w:sz w:val="14"/>
              </w:rPr>
              <w:t>0 . 1 %</w:t>
            </w:r>
          </w:p>
        </w:tc>
        <w:tc>
          <w:tcPr>
            <w:tcW w:w="1610" w:type="dxa"/>
          </w:tcPr>
          <w:p>
            <w:pPr>
              <w:pStyle w:val="TableParagraph"/>
              <w:spacing w:before="27"/>
              <w:ind w:right="496"/>
              <w:jc w:val="right"/>
              <w:rPr>
                <w:sz w:val="14"/>
              </w:rPr>
            </w:pPr>
            <w:r>
              <w:rPr>
                <w:sz w:val="14"/>
              </w:rPr>
              <w:t>2,263 .1</w:t>
            </w:r>
          </w:p>
        </w:tc>
        <w:tc>
          <w:tcPr>
            <w:tcW w:w="1335" w:type="dxa"/>
          </w:tcPr>
          <w:p>
            <w:pPr>
              <w:pStyle w:val="TableParagraph"/>
              <w:spacing w:before="27"/>
              <w:ind w:right="395"/>
              <w:jc w:val="right"/>
              <w:rPr>
                <w:sz w:val="14"/>
              </w:rPr>
            </w:pPr>
            <w:r>
              <w:rPr>
                <w:sz w:val="14"/>
              </w:rPr>
              <w:t>0 . 1 %</w:t>
            </w:r>
          </w:p>
        </w:tc>
        <w:tc>
          <w:tcPr>
            <w:tcW w:w="1246" w:type="dxa"/>
          </w:tcPr>
          <w:p>
            <w:pPr>
              <w:pStyle w:val="TableParagraph"/>
              <w:spacing w:before="27"/>
              <w:ind w:left="364"/>
              <w:rPr>
                <w:sz w:val="14"/>
              </w:rPr>
            </w:pPr>
            <w:r>
              <w:rPr>
                <w:sz w:val="14"/>
              </w:rPr>
              <w:t>2,398 .7</w:t>
            </w:r>
          </w:p>
        </w:tc>
        <w:tc>
          <w:tcPr>
            <w:tcW w:w="1259" w:type="dxa"/>
          </w:tcPr>
          <w:p>
            <w:pPr>
              <w:pStyle w:val="TableParagraph"/>
              <w:spacing w:before="27"/>
              <w:ind w:right="467"/>
              <w:jc w:val="right"/>
              <w:rPr>
                <w:sz w:val="14"/>
              </w:rPr>
            </w:pPr>
            <w:r>
              <w:rPr>
                <w:sz w:val="14"/>
              </w:rPr>
              <w:t>0 . 1 %</w:t>
            </w:r>
          </w:p>
        </w:tc>
      </w:tr>
      <w:tr>
        <w:trPr>
          <w:trHeight w:val="218" w:hRule="atLeast"/>
        </w:trPr>
        <w:tc>
          <w:tcPr>
            <w:tcW w:w="471" w:type="dxa"/>
          </w:tcPr>
          <w:p>
            <w:pPr>
              <w:pStyle w:val="TableParagraph"/>
              <w:spacing w:before="25"/>
              <w:ind w:left="125"/>
              <w:rPr>
                <w:sz w:val="14"/>
              </w:rPr>
            </w:pPr>
            <w:r>
              <w:rPr>
                <w:sz w:val="14"/>
              </w:rPr>
              <w:t>140</w:t>
            </w:r>
          </w:p>
        </w:tc>
        <w:tc>
          <w:tcPr>
            <w:tcW w:w="5032" w:type="dxa"/>
          </w:tcPr>
          <w:p>
            <w:pPr>
              <w:pStyle w:val="TableParagraph"/>
              <w:spacing w:before="25"/>
              <w:ind w:left="96"/>
              <w:rPr>
                <w:sz w:val="14"/>
              </w:rPr>
            </w:pPr>
            <w:r>
              <w:rPr>
                <w:sz w:val="14"/>
              </w:rPr>
              <w:t>Mass Media Services</w:t>
            </w:r>
          </w:p>
        </w:tc>
        <w:tc>
          <w:tcPr>
            <w:tcW w:w="2448" w:type="dxa"/>
          </w:tcPr>
          <w:p>
            <w:pPr>
              <w:pStyle w:val="TableParagraph"/>
              <w:spacing w:before="25"/>
              <w:ind w:right="347"/>
              <w:jc w:val="right"/>
              <w:rPr>
                <w:b/>
                <w:sz w:val="14"/>
              </w:rPr>
            </w:pPr>
            <w:r>
              <w:rPr>
                <w:b/>
                <w:sz w:val="14"/>
              </w:rPr>
              <w:t>2,730.3</w:t>
            </w:r>
          </w:p>
        </w:tc>
        <w:tc>
          <w:tcPr>
            <w:tcW w:w="1393" w:type="dxa"/>
          </w:tcPr>
          <w:p>
            <w:pPr>
              <w:pStyle w:val="TableParagraph"/>
              <w:spacing w:before="25"/>
              <w:ind w:right="455"/>
              <w:jc w:val="right"/>
              <w:rPr>
                <w:sz w:val="14"/>
              </w:rPr>
            </w:pPr>
            <w:r>
              <w:rPr>
                <w:sz w:val="14"/>
              </w:rPr>
              <w:t>0 . 1 %</w:t>
            </w:r>
          </w:p>
        </w:tc>
        <w:tc>
          <w:tcPr>
            <w:tcW w:w="1610" w:type="dxa"/>
          </w:tcPr>
          <w:p>
            <w:pPr>
              <w:pStyle w:val="TableParagraph"/>
              <w:spacing w:before="25"/>
              <w:ind w:right="496"/>
              <w:jc w:val="right"/>
              <w:rPr>
                <w:sz w:val="14"/>
              </w:rPr>
            </w:pPr>
            <w:r>
              <w:rPr>
                <w:sz w:val="14"/>
              </w:rPr>
              <w:t>3,093 .0</w:t>
            </w:r>
          </w:p>
        </w:tc>
        <w:tc>
          <w:tcPr>
            <w:tcW w:w="1335" w:type="dxa"/>
          </w:tcPr>
          <w:p>
            <w:pPr>
              <w:pStyle w:val="TableParagraph"/>
              <w:spacing w:before="25"/>
              <w:ind w:right="395"/>
              <w:jc w:val="right"/>
              <w:rPr>
                <w:sz w:val="14"/>
              </w:rPr>
            </w:pPr>
            <w:r>
              <w:rPr>
                <w:sz w:val="14"/>
              </w:rPr>
              <w:t>0 . 1 %</w:t>
            </w:r>
          </w:p>
        </w:tc>
        <w:tc>
          <w:tcPr>
            <w:tcW w:w="1246" w:type="dxa"/>
          </w:tcPr>
          <w:p>
            <w:pPr>
              <w:pStyle w:val="TableParagraph"/>
              <w:spacing w:before="25"/>
              <w:ind w:left="364"/>
              <w:rPr>
                <w:sz w:val="14"/>
              </w:rPr>
            </w:pPr>
            <w:r>
              <w:rPr>
                <w:sz w:val="14"/>
              </w:rPr>
              <w:t>3,278 .2</w:t>
            </w:r>
          </w:p>
        </w:tc>
        <w:tc>
          <w:tcPr>
            <w:tcW w:w="1259" w:type="dxa"/>
          </w:tcPr>
          <w:p>
            <w:pPr>
              <w:pStyle w:val="TableParagraph"/>
              <w:spacing w:before="25"/>
              <w:ind w:right="467"/>
              <w:jc w:val="right"/>
              <w:rPr>
                <w:sz w:val="14"/>
              </w:rPr>
            </w:pPr>
            <w:r>
              <w:rPr>
                <w:sz w:val="14"/>
              </w:rPr>
              <w:t>0 . 1 %</w:t>
            </w:r>
          </w:p>
        </w:tc>
      </w:tr>
      <w:tr>
        <w:trPr>
          <w:trHeight w:val="220" w:hRule="atLeast"/>
        </w:trPr>
        <w:tc>
          <w:tcPr>
            <w:tcW w:w="471" w:type="dxa"/>
          </w:tcPr>
          <w:p>
            <w:pPr>
              <w:pStyle w:val="TableParagraph"/>
              <w:spacing w:before="27"/>
              <w:ind w:left="125"/>
              <w:rPr>
                <w:sz w:val="14"/>
              </w:rPr>
            </w:pPr>
            <w:r>
              <w:rPr>
                <w:sz w:val="14"/>
              </w:rPr>
              <w:t>141</w:t>
            </w:r>
          </w:p>
        </w:tc>
        <w:tc>
          <w:tcPr>
            <w:tcW w:w="5032" w:type="dxa"/>
          </w:tcPr>
          <w:p>
            <w:pPr>
              <w:pStyle w:val="TableParagraph"/>
              <w:spacing w:before="27"/>
              <w:ind w:left="95"/>
              <w:rPr>
                <w:sz w:val="14"/>
              </w:rPr>
            </w:pPr>
            <w:r>
              <w:rPr>
                <w:sz w:val="14"/>
              </w:rPr>
              <w:t>Government Printing Department</w:t>
            </w:r>
          </w:p>
        </w:tc>
        <w:tc>
          <w:tcPr>
            <w:tcW w:w="2448" w:type="dxa"/>
          </w:tcPr>
          <w:p>
            <w:pPr>
              <w:pStyle w:val="TableParagraph"/>
              <w:spacing w:before="27"/>
              <w:ind w:right="347"/>
              <w:jc w:val="right"/>
              <w:rPr>
                <w:b/>
                <w:sz w:val="14"/>
              </w:rPr>
            </w:pPr>
            <w:r>
              <w:rPr>
                <w:b/>
                <w:sz w:val="14"/>
              </w:rPr>
              <w:t>2,080.3</w:t>
            </w:r>
          </w:p>
        </w:tc>
        <w:tc>
          <w:tcPr>
            <w:tcW w:w="1393" w:type="dxa"/>
          </w:tcPr>
          <w:p>
            <w:pPr>
              <w:pStyle w:val="TableParagraph"/>
              <w:spacing w:before="27"/>
              <w:ind w:right="455"/>
              <w:jc w:val="right"/>
              <w:rPr>
                <w:sz w:val="14"/>
              </w:rPr>
            </w:pPr>
            <w:r>
              <w:rPr>
                <w:sz w:val="14"/>
              </w:rPr>
              <w:t>0 . 1 %</w:t>
            </w:r>
          </w:p>
        </w:tc>
        <w:tc>
          <w:tcPr>
            <w:tcW w:w="1610" w:type="dxa"/>
          </w:tcPr>
          <w:p>
            <w:pPr>
              <w:pStyle w:val="TableParagraph"/>
              <w:spacing w:before="27"/>
              <w:ind w:right="496"/>
              <w:jc w:val="right"/>
              <w:rPr>
                <w:sz w:val="14"/>
              </w:rPr>
            </w:pPr>
            <w:r>
              <w:rPr>
                <w:sz w:val="14"/>
              </w:rPr>
              <w:t>2,316 .2</w:t>
            </w:r>
          </w:p>
        </w:tc>
        <w:tc>
          <w:tcPr>
            <w:tcW w:w="1335" w:type="dxa"/>
          </w:tcPr>
          <w:p>
            <w:pPr>
              <w:pStyle w:val="TableParagraph"/>
              <w:spacing w:before="27"/>
              <w:ind w:right="395"/>
              <w:jc w:val="right"/>
              <w:rPr>
                <w:sz w:val="14"/>
              </w:rPr>
            </w:pPr>
            <w:r>
              <w:rPr>
                <w:sz w:val="14"/>
              </w:rPr>
              <w:t>0 . 1 %</w:t>
            </w:r>
          </w:p>
        </w:tc>
        <w:tc>
          <w:tcPr>
            <w:tcW w:w="1246" w:type="dxa"/>
          </w:tcPr>
          <w:p>
            <w:pPr>
              <w:pStyle w:val="TableParagraph"/>
              <w:spacing w:before="27"/>
              <w:ind w:left="364"/>
              <w:rPr>
                <w:sz w:val="14"/>
              </w:rPr>
            </w:pPr>
            <w:r>
              <w:rPr>
                <w:sz w:val="14"/>
              </w:rPr>
              <w:t>2,454 .9</w:t>
            </w:r>
          </w:p>
        </w:tc>
        <w:tc>
          <w:tcPr>
            <w:tcW w:w="1259" w:type="dxa"/>
          </w:tcPr>
          <w:p>
            <w:pPr>
              <w:pStyle w:val="TableParagraph"/>
              <w:spacing w:before="27"/>
              <w:ind w:right="467"/>
              <w:jc w:val="right"/>
              <w:rPr>
                <w:sz w:val="14"/>
              </w:rPr>
            </w:pPr>
            <w:r>
              <w:rPr>
                <w:sz w:val="14"/>
              </w:rPr>
              <w:t>0 . 1 %</w:t>
            </w:r>
          </w:p>
        </w:tc>
      </w:tr>
      <w:tr>
        <w:trPr>
          <w:trHeight w:val="220" w:hRule="atLeast"/>
        </w:trPr>
        <w:tc>
          <w:tcPr>
            <w:tcW w:w="471" w:type="dxa"/>
          </w:tcPr>
          <w:p>
            <w:pPr>
              <w:pStyle w:val="TableParagraph"/>
              <w:spacing w:before="27"/>
              <w:ind w:left="125"/>
              <w:rPr>
                <w:sz w:val="14"/>
              </w:rPr>
            </w:pPr>
            <w:r>
              <w:rPr>
                <w:sz w:val="14"/>
              </w:rPr>
              <w:t>142</w:t>
            </w:r>
          </w:p>
        </w:tc>
        <w:tc>
          <w:tcPr>
            <w:tcW w:w="5032" w:type="dxa"/>
          </w:tcPr>
          <w:p>
            <w:pPr>
              <w:pStyle w:val="TableParagraph"/>
              <w:spacing w:before="27"/>
              <w:ind w:left="95"/>
              <w:rPr>
                <w:sz w:val="14"/>
              </w:rPr>
            </w:pPr>
            <w:r>
              <w:rPr>
                <w:sz w:val="14"/>
              </w:rPr>
              <w:t>National Public Procurement Authority</w:t>
            </w:r>
          </w:p>
        </w:tc>
        <w:tc>
          <w:tcPr>
            <w:tcW w:w="2448" w:type="dxa"/>
          </w:tcPr>
          <w:p>
            <w:pPr>
              <w:pStyle w:val="TableParagraph"/>
              <w:spacing w:before="27"/>
              <w:ind w:right="347"/>
              <w:jc w:val="right"/>
              <w:rPr>
                <w:b/>
                <w:sz w:val="14"/>
              </w:rPr>
            </w:pPr>
            <w:r>
              <w:rPr>
                <w:b/>
                <w:sz w:val="14"/>
              </w:rPr>
              <w:t>2,247.7</w:t>
            </w:r>
          </w:p>
        </w:tc>
        <w:tc>
          <w:tcPr>
            <w:tcW w:w="1393" w:type="dxa"/>
          </w:tcPr>
          <w:p>
            <w:pPr>
              <w:pStyle w:val="TableParagraph"/>
              <w:spacing w:before="27"/>
              <w:ind w:right="455"/>
              <w:jc w:val="right"/>
              <w:rPr>
                <w:sz w:val="14"/>
              </w:rPr>
            </w:pPr>
            <w:r>
              <w:rPr>
                <w:sz w:val="14"/>
              </w:rPr>
              <w:t>0 . 1 %</w:t>
            </w:r>
          </w:p>
        </w:tc>
        <w:tc>
          <w:tcPr>
            <w:tcW w:w="1610" w:type="dxa"/>
          </w:tcPr>
          <w:p>
            <w:pPr>
              <w:pStyle w:val="TableParagraph"/>
              <w:spacing w:before="27"/>
              <w:ind w:right="496"/>
              <w:jc w:val="right"/>
              <w:rPr>
                <w:sz w:val="14"/>
              </w:rPr>
            </w:pPr>
            <w:r>
              <w:rPr>
                <w:sz w:val="14"/>
              </w:rPr>
              <w:t>2,399 .2</w:t>
            </w:r>
          </w:p>
        </w:tc>
        <w:tc>
          <w:tcPr>
            <w:tcW w:w="1335" w:type="dxa"/>
          </w:tcPr>
          <w:p>
            <w:pPr>
              <w:pStyle w:val="TableParagraph"/>
              <w:spacing w:before="27"/>
              <w:ind w:right="395"/>
              <w:jc w:val="right"/>
              <w:rPr>
                <w:sz w:val="14"/>
              </w:rPr>
            </w:pPr>
            <w:r>
              <w:rPr>
                <w:sz w:val="14"/>
              </w:rPr>
              <w:t>0 . 1 %</w:t>
            </w:r>
          </w:p>
        </w:tc>
        <w:tc>
          <w:tcPr>
            <w:tcW w:w="1246" w:type="dxa"/>
          </w:tcPr>
          <w:p>
            <w:pPr>
              <w:pStyle w:val="TableParagraph"/>
              <w:spacing w:before="27"/>
              <w:ind w:left="364"/>
              <w:rPr>
                <w:sz w:val="14"/>
              </w:rPr>
            </w:pPr>
            <w:r>
              <w:rPr>
                <w:sz w:val="14"/>
              </w:rPr>
              <w:t>2,542 .9</w:t>
            </w:r>
          </w:p>
        </w:tc>
        <w:tc>
          <w:tcPr>
            <w:tcW w:w="1259" w:type="dxa"/>
          </w:tcPr>
          <w:p>
            <w:pPr>
              <w:pStyle w:val="TableParagraph"/>
              <w:spacing w:before="27"/>
              <w:ind w:right="467"/>
              <w:jc w:val="right"/>
              <w:rPr>
                <w:sz w:val="14"/>
              </w:rPr>
            </w:pPr>
            <w:r>
              <w:rPr>
                <w:sz w:val="14"/>
              </w:rPr>
              <w:t>0 . 1 %</w:t>
            </w:r>
          </w:p>
        </w:tc>
      </w:tr>
      <w:tr>
        <w:trPr>
          <w:trHeight w:val="220" w:hRule="atLeast"/>
        </w:trPr>
        <w:tc>
          <w:tcPr>
            <w:tcW w:w="471" w:type="dxa"/>
          </w:tcPr>
          <w:p>
            <w:pPr>
              <w:pStyle w:val="TableParagraph"/>
              <w:spacing w:before="27"/>
              <w:ind w:left="125"/>
              <w:rPr>
                <w:sz w:val="14"/>
              </w:rPr>
            </w:pPr>
            <w:r>
              <w:rPr>
                <w:sz w:val="14"/>
              </w:rPr>
              <w:t>143</w:t>
            </w:r>
          </w:p>
        </w:tc>
        <w:tc>
          <w:tcPr>
            <w:tcW w:w="5032" w:type="dxa"/>
          </w:tcPr>
          <w:p>
            <w:pPr>
              <w:pStyle w:val="TableParagraph"/>
              <w:spacing w:before="27"/>
              <w:ind w:left="96"/>
              <w:rPr>
                <w:sz w:val="14"/>
              </w:rPr>
            </w:pPr>
            <w:r>
              <w:rPr>
                <w:sz w:val="14"/>
              </w:rPr>
              <w:t>Justice and Legal Service Commission</w:t>
            </w:r>
          </w:p>
        </w:tc>
        <w:tc>
          <w:tcPr>
            <w:tcW w:w="2448" w:type="dxa"/>
          </w:tcPr>
          <w:p>
            <w:pPr>
              <w:pStyle w:val="TableParagraph"/>
              <w:spacing w:before="27"/>
              <w:ind w:right="336"/>
              <w:jc w:val="right"/>
              <w:rPr>
                <w:b/>
                <w:sz w:val="14"/>
              </w:rPr>
            </w:pPr>
            <w:r>
              <w:rPr>
                <w:b/>
                <w:sz w:val="14"/>
              </w:rPr>
              <w:t>401.4</w:t>
            </w:r>
          </w:p>
        </w:tc>
        <w:tc>
          <w:tcPr>
            <w:tcW w:w="1393" w:type="dxa"/>
          </w:tcPr>
          <w:p>
            <w:pPr>
              <w:pStyle w:val="TableParagraph"/>
              <w:spacing w:before="27"/>
              <w:ind w:right="455"/>
              <w:jc w:val="right"/>
              <w:rPr>
                <w:sz w:val="14"/>
              </w:rPr>
            </w:pPr>
            <w:r>
              <w:rPr>
                <w:sz w:val="14"/>
              </w:rPr>
              <w:t>0 . 0 %</w:t>
            </w:r>
          </w:p>
        </w:tc>
        <w:tc>
          <w:tcPr>
            <w:tcW w:w="1610" w:type="dxa"/>
          </w:tcPr>
          <w:p>
            <w:pPr>
              <w:pStyle w:val="TableParagraph"/>
              <w:spacing w:before="27"/>
              <w:ind w:right="493"/>
              <w:jc w:val="right"/>
              <w:rPr>
                <w:sz w:val="14"/>
              </w:rPr>
            </w:pPr>
            <w:r>
              <w:rPr>
                <w:sz w:val="14"/>
              </w:rPr>
              <w:t>413.4</w:t>
            </w:r>
          </w:p>
        </w:tc>
        <w:tc>
          <w:tcPr>
            <w:tcW w:w="1335" w:type="dxa"/>
          </w:tcPr>
          <w:p>
            <w:pPr>
              <w:pStyle w:val="TableParagraph"/>
              <w:spacing w:before="27"/>
              <w:ind w:right="395"/>
              <w:jc w:val="right"/>
              <w:rPr>
                <w:sz w:val="14"/>
              </w:rPr>
            </w:pPr>
            <w:r>
              <w:rPr>
                <w:sz w:val="14"/>
              </w:rPr>
              <w:t>0 . 0 %</w:t>
            </w:r>
          </w:p>
        </w:tc>
        <w:tc>
          <w:tcPr>
            <w:tcW w:w="1246" w:type="dxa"/>
          </w:tcPr>
          <w:p>
            <w:pPr>
              <w:pStyle w:val="TableParagraph"/>
              <w:spacing w:before="27"/>
              <w:ind w:left="513"/>
              <w:rPr>
                <w:sz w:val="14"/>
              </w:rPr>
            </w:pPr>
            <w:r>
              <w:rPr>
                <w:sz w:val="14"/>
              </w:rPr>
              <w:t>438.2</w:t>
            </w:r>
          </w:p>
        </w:tc>
        <w:tc>
          <w:tcPr>
            <w:tcW w:w="1259" w:type="dxa"/>
          </w:tcPr>
          <w:p>
            <w:pPr>
              <w:pStyle w:val="TableParagraph"/>
              <w:spacing w:before="27"/>
              <w:ind w:right="467"/>
              <w:jc w:val="right"/>
              <w:rPr>
                <w:sz w:val="14"/>
              </w:rPr>
            </w:pPr>
            <w:r>
              <w:rPr>
                <w:sz w:val="14"/>
              </w:rPr>
              <w:t>0 . 0 %</w:t>
            </w:r>
          </w:p>
        </w:tc>
      </w:tr>
      <w:tr>
        <w:trPr>
          <w:trHeight w:val="220" w:hRule="atLeast"/>
        </w:trPr>
        <w:tc>
          <w:tcPr>
            <w:tcW w:w="471" w:type="dxa"/>
          </w:tcPr>
          <w:p>
            <w:pPr>
              <w:pStyle w:val="TableParagraph"/>
              <w:spacing w:before="27"/>
              <w:ind w:left="125"/>
              <w:rPr>
                <w:sz w:val="14"/>
              </w:rPr>
            </w:pPr>
            <w:r>
              <w:rPr>
                <w:sz w:val="14"/>
              </w:rPr>
              <w:t>144</w:t>
            </w:r>
          </w:p>
        </w:tc>
        <w:tc>
          <w:tcPr>
            <w:tcW w:w="5032" w:type="dxa"/>
          </w:tcPr>
          <w:p>
            <w:pPr>
              <w:pStyle w:val="TableParagraph"/>
              <w:spacing w:before="27"/>
              <w:ind w:left="95"/>
              <w:rPr>
                <w:sz w:val="14"/>
              </w:rPr>
            </w:pPr>
            <w:r>
              <w:rPr>
                <w:sz w:val="14"/>
              </w:rPr>
              <w:t>National Commission for Human Rights</w:t>
            </w:r>
          </w:p>
        </w:tc>
        <w:tc>
          <w:tcPr>
            <w:tcW w:w="2448" w:type="dxa"/>
          </w:tcPr>
          <w:p>
            <w:pPr>
              <w:pStyle w:val="TableParagraph"/>
              <w:spacing w:before="27"/>
              <w:ind w:left="1510"/>
              <w:rPr>
                <w:b/>
                <w:sz w:val="14"/>
              </w:rPr>
            </w:pPr>
            <w:r>
              <w:rPr>
                <w:b/>
                <w:sz w:val="14"/>
              </w:rPr>
              <w:t>1,578.7</w:t>
            </w:r>
          </w:p>
        </w:tc>
        <w:tc>
          <w:tcPr>
            <w:tcW w:w="1393" w:type="dxa"/>
          </w:tcPr>
          <w:p>
            <w:pPr>
              <w:pStyle w:val="TableParagraph"/>
              <w:spacing w:before="27"/>
              <w:ind w:right="455"/>
              <w:jc w:val="right"/>
              <w:rPr>
                <w:sz w:val="14"/>
              </w:rPr>
            </w:pPr>
            <w:r>
              <w:rPr>
                <w:sz w:val="14"/>
              </w:rPr>
              <w:t>0 . 1 %</w:t>
            </w:r>
          </w:p>
        </w:tc>
        <w:tc>
          <w:tcPr>
            <w:tcW w:w="1610" w:type="dxa"/>
          </w:tcPr>
          <w:p>
            <w:pPr>
              <w:pStyle w:val="TableParagraph"/>
              <w:spacing w:before="27"/>
              <w:ind w:left="472"/>
              <w:rPr>
                <w:sz w:val="14"/>
              </w:rPr>
            </w:pPr>
            <w:r>
              <w:rPr>
                <w:sz w:val="14"/>
              </w:rPr>
              <w:t>1,439 .9</w:t>
            </w:r>
          </w:p>
        </w:tc>
        <w:tc>
          <w:tcPr>
            <w:tcW w:w="1335" w:type="dxa"/>
          </w:tcPr>
          <w:p>
            <w:pPr>
              <w:pStyle w:val="TableParagraph"/>
              <w:spacing w:before="27"/>
              <w:ind w:left="389"/>
              <w:rPr>
                <w:sz w:val="14"/>
              </w:rPr>
            </w:pPr>
            <w:r>
              <w:rPr>
                <w:sz w:val="14"/>
              </w:rPr>
              <w:t>0 . 1 %</w:t>
            </w:r>
          </w:p>
        </w:tc>
        <w:tc>
          <w:tcPr>
            <w:tcW w:w="1246" w:type="dxa"/>
          </w:tcPr>
          <w:p>
            <w:pPr>
              <w:pStyle w:val="TableParagraph"/>
              <w:spacing w:before="27"/>
              <w:ind w:right="240"/>
              <w:jc w:val="right"/>
              <w:rPr>
                <w:sz w:val="14"/>
              </w:rPr>
            </w:pPr>
            <w:r>
              <w:rPr>
                <w:sz w:val="14"/>
              </w:rPr>
              <w:t>1,526 .2</w:t>
            </w:r>
          </w:p>
        </w:tc>
        <w:tc>
          <w:tcPr>
            <w:tcW w:w="1259" w:type="dxa"/>
          </w:tcPr>
          <w:p>
            <w:pPr>
              <w:pStyle w:val="TableParagraph"/>
              <w:spacing w:before="27"/>
              <w:ind w:right="467"/>
              <w:jc w:val="right"/>
              <w:rPr>
                <w:sz w:val="14"/>
              </w:rPr>
            </w:pPr>
            <w:r>
              <w:rPr>
                <w:sz w:val="14"/>
              </w:rPr>
              <w:t>0 . 1 %</w:t>
            </w:r>
          </w:p>
        </w:tc>
      </w:tr>
      <w:tr>
        <w:trPr>
          <w:trHeight w:val="218" w:hRule="atLeast"/>
        </w:trPr>
        <w:tc>
          <w:tcPr>
            <w:tcW w:w="471" w:type="dxa"/>
          </w:tcPr>
          <w:p>
            <w:pPr>
              <w:pStyle w:val="TableParagraph"/>
              <w:spacing w:before="27"/>
              <w:ind w:left="125"/>
              <w:rPr>
                <w:sz w:val="14"/>
              </w:rPr>
            </w:pPr>
            <w:r>
              <w:rPr>
                <w:sz w:val="14"/>
              </w:rPr>
              <w:t>145</w:t>
            </w:r>
          </w:p>
        </w:tc>
        <w:tc>
          <w:tcPr>
            <w:tcW w:w="5032" w:type="dxa"/>
          </w:tcPr>
          <w:p>
            <w:pPr>
              <w:pStyle w:val="TableParagraph"/>
              <w:spacing w:before="27"/>
              <w:ind w:left="95"/>
              <w:rPr>
                <w:sz w:val="14"/>
              </w:rPr>
            </w:pPr>
            <w:r>
              <w:rPr>
                <w:sz w:val="14"/>
              </w:rPr>
              <w:t>Rights to Access Information Commission</w:t>
            </w:r>
          </w:p>
        </w:tc>
        <w:tc>
          <w:tcPr>
            <w:tcW w:w="2448" w:type="dxa"/>
          </w:tcPr>
          <w:p>
            <w:pPr>
              <w:pStyle w:val="TableParagraph"/>
              <w:spacing w:before="27"/>
              <w:ind w:right="451"/>
              <w:jc w:val="right"/>
              <w:rPr>
                <w:b/>
                <w:sz w:val="14"/>
              </w:rPr>
            </w:pPr>
            <w:r>
              <w:rPr>
                <w:b/>
                <w:sz w:val="14"/>
              </w:rPr>
              <w:t>977.2</w:t>
            </w:r>
          </w:p>
        </w:tc>
        <w:tc>
          <w:tcPr>
            <w:tcW w:w="1393" w:type="dxa"/>
          </w:tcPr>
          <w:p>
            <w:pPr>
              <w:pStyle w:val="TableParagraph"/>
              <w:spacing w:before="27"/>
              <w:ind w:right="455"/>
              <w:jc w:val="right"/>
              <w:rPr>
                <w:sz w:val="14"/>
              </w:rPr>
            </w:pPr>
            <w:r>
              <w:rPr>
                <w:sz w:val="14"/>
              </w:rPr>
              <w:t>0 . 0 %</w:t>
            </w:r>
          </w:p>
        </w:tc>
        <w:tc>
          <w:tcPr>
            <w:tcW w:w="1610" w:type="dxa"/>
          </w:tcPr>
          <w:p>
            <w:pPr>
              <w:pStyle w:val="TableParagraph"/>
              <w:spacing w:before="27"/>
              <w:ind w:left="472"/>
              <w:rPr>
                <w:sz w:val="14"/>
              </w:rPr>
            </w:pPr>
            <w:r>
              <w:rPr>
                <w:sz w:val="14"/>
              </w:rPr>
              <w:t>1,149 .6</w:t>
            </w:r>
          </w:p>
        </w:tc>
        <w:tc>
          <w:tcPr>
            <w:tcW w:w="1335" w:type="dxa"/>
          </w:tcPr>
          <w:p>
            <w:pPr>
              <w:pStyle w:val="TableParagraph"/>
              <w:spacing w:before="27"/>
              <w:ind w:left="389"/>
              <w:rPr>
                <w:sz w:val="14"/>
              </w:rPr>
            </w:pPr>
            <w:r>
              <w:rPr>
                <w:sz w:val="14"/>
              </w:rPr>
              <w:t>0 . 0 %</w:t>
            </w:r>
          </w:p>
        </w:tc>
        <w:tc>
          <w:tcPr>
            <w:tcW w:w="1246" w:type="dxa"/>
          </w:tcPr>
          <w:p>
            <w:pPr>
              <w:pStyle w:val="TableParagraph"/>
              <w:spacing w:before="27"/>
              <w:ind w:right="240"/>
              <w:jc w:val="right"/>
              <w:rPr>
                <w:sz w:val="14"/>
              </w:rPr>
            </w:pPr>
            <w:r>
              <w:rPr>
                <w:sz w:val="14"/>
              </w:rPr>
              <w:t>1,218 .5</w:t>
            </w:r>
          </w:p>
        </w:tc>
        <w:tc>
          <w:tcPr>
            <w:tcW w:w="1259" w:type="dxa"/>
          </w:tcPr>
          <w:p>
            <w:pPr>
              <w:pStyle w:val="TableParagraph"/>
              <w:spacing w:before="27"/>
              <w:ind w:right="467"/>
              <w:jc w:val="right"/>
              <w:rPr>
                <w:sz w:val="14"/>
              </w:rPr>
            </w:pPr>
            <w:r>
              <w:rPr>
                <w:sz w:val="14"/>
              </w:rPr>
              <w:t>0 . 1 %</w:t>
            </w:r>
          </w:p>
        </w:tc>
      </w:tr>
      <w:tr>
        <w:trPr>
          <w:trHeight w:val="218" w:hRule="atLeast"/>
        </w:trPr>
        <w:tc>
          <w:tcPr>
            <w:tcW w:w="471" w:type="dxa"/>
          </w:tcPr>
          <w:p>
            <w:pPr>
              <w:pStyle w:val="TableParagraph"/>
              <w:spacing w:before="25"/>
              <w:ind w:left="125"/>
              <w:rPr>
                <w:sz w:val="14"/>
              </w:rPr>
            </w:pPr>
            <w:r>
              <w:rPr>
                <w:sz w:val="14"/>
              </w:rPr>
              <w:t>146</w:t>
            </w:r>
          </w:p>
        </w:tc>
        <w:tc>
          <w:tcPr>
            <w:tcW w:w="5032" w:type="dxa"/>
          </w:tcPr>
          <w:p>
            <w:pPr>
              <w:pStyle w:val="TableParagraph"/>
              <w:spacing w:before="25"/>
              <w:ind w:left="95"/>
              <w:rPr>
                <w:sz w:val="14"/>
              </w:rPr>
            </w:pPr>
            <w:r>
              <w:rPr>
                <w:sz w:val="14"/>
              </w:rPr>
              <w:t>Wages and Compensation Commission</w:t>
            </w:r>
          </w:p>
        </w:tc>
        <w:tc>
          <w:tcPr>
            <w:tcW w:w="2448" w:type="dxa"/>
          </w:tcPr>
          <w:p>
            <w:pPr>
              <w:pStyle w:val="TableParagraph"/>
              <w:spacing w:before="25"/>
              <w:ind w:right="451"/>
              <w:jc w:val="right"/>
              <w:rPr>
                <w:b/>
                <w:sz w:val="14"/>
              </w:rPr>
            </w:pPr>
            <w:r>
              <w:rPr>
                <w:b/>
                <w:sz w:val="14"/>
              </w:rPr>
              <w:t>400.0</w:t>
            </w:r>
          </w:p>
        </w:tc>
        <w:tc>
          <w:tcPr>
            <w:tcW w:w="1393" w:type="dxa"/>
          </w:tcPr>
          <w:p>
            <w:pPr>
              <w:pStyle w:val="TableParagraph"/>
              <w:spacing w:before="25"/>
              <w:ind w:right="455"/>
              <w:jc w:val="right"/>
              <w:rPr>
                <w:sz w:val="14"/>
              </w:rPr>
            </w:pPr>
            <w:r>
              <w:rPr>
                <w:sz w:val="14"/>
              </w:rPr>
              <w:t>0 . 0 %</w:t>
            </w:r>
          </w:p>
        </w:tc>
        <w:tc>
          <w:tcPr>
            <w:tcW w:w="1610" w:type="dxa"/>
          </w:tcPr>
          <w:p>
            <w:pPr>
              <w:pStyle w:val="TableParagraph"/>
              <w:spacing w:before="25"/>
              <w:ind w:left="619" w:right="599"/>
              <w:jc w:val="center"/>
              <w:rPr>
                <w:sz w:val="14"/>
              </w:rPr>
            </w:pPr>
            <w:r>
              <w:rPr>
                <w:sz w:val="14"/>
              </w:rPr>
              <w:t>563.5</w:t>
            </w:r>
          </w:p>
        </w:tc>
        <w:tc>
          <w:tcPr>
            <w:tcW w:w="1335" w:type="dxa"/>
          </w:tcPr>
          <w:p>
            <w:pPr>
              <w:pStyle w:val="TableParagraph"/>
              <w:spacing w:before="25"/>
              <w:ind w:left="389"/>
              <w:rPr>
                <w:sz w:val="14"/>
              </w:rPr>
            </w:pPr>
            <w:r>
              <w:rPr>
                <w:sz w:val="14"/>
              </w:rPr>
              <w:t>0 . 0 %</w:t>
            </w:r>
          </w:p>
        </w:tc>
        <w:tc>
          <w:tcPr>
            <w:tcW w:w="1246" w:type="dxa"/>
          </w:tcPr>
          <w:p>
            <w:pPr>
              <w:pStyle w:val="TableParagraph"/>
              <w:spacing w:before="25"/>
              <w:ind w:right="237"/>
              <w:jc w:val="right"/>
              <w:rPr>
                <w:sz w:val="14"/>
              </w:rPr>
            </w:pPr>
            <w:r>
              <w:rPr>
                <w:sz w:val="14"/>
              </w:rPr>
              <w:t>597.2</w:t>
            </w:r>
          </w:p>
        </w:tc>
        <w:tc>
          <w:tcPr>
            <w:tcW w:w="1259" w:type="dxa"/>
          </w:tcPr>
          <w:p>
            <w:pPr>
              <w:pStyle w:val="TableParagraph"/>
              <w:spacing w:before="25"/>
              <w:ind w:right="467"/>
              <w:jc w:val="right"/>
              <w:rPr>
                <w:sz w:val="14"/>
              </w:rPr>
            </w:pPr>
            <w:r>
              <w:rPr>
                <w:sz w:val="14"/>
              </w:rPr>
              <w:t>0 . 0 %</w:t>
            </w:r>
          </w:p>
        </w:tc>
      </w:tr>
      <w:tr>
        <w:trPr>
          <w:trHeight w:val="220" w:hRule="atLeast"/>
        </w:trPr>
        <w:tc>
          <w:tcPr>
            <w:tcW w:w="471" w:type="dxa"/>
          </w:tcPr>
          <w:p>
            <w:pPr>
              <w:pStyle w:val="TableParagraph"/>
              <w:spacing w:before="27"/>
              <w:ind w:left="125"/>
              <w:rPr>
                <w:sz w:val="14"/>
              </w:rPr>
            </w:pPr>
            <w:r>
              <w:rPr>
                <w:sz w:val="14"/>
              </w:rPr>
              <w:t>201</w:t>
            </w:r>
          </w:p>
        </w:tc>
        <w:tc>
          <w:tcPr>
            <w:tcW w:w="5032" w:type="dxa"/>
          </w:tcPr>
          <w:p>
            <w:pPr>
              <w:pStyle w:val="TableParagraph"/>
              <w:spacing w:before="27"/>
              <w:ind w:left="96"/>
              <w:rPr>
                <w:sz w:val="14"/>
              </w:rPr>
            </w:pPr>
            <w:r>
              <w:rPr>
                <w:sz w:val="14"/>
              </w:rPr>
              <w:t>Ministry of Defence</w:t>
            </w:r>
          </w:p>
        </w:tc>
        <w:tc>
          <w:tcPr>
            <w:tcW w:w="2448" w:type="dxa"/>
          </w:tcPr>
          <w:p>
            <w:pPr>
              <w:pStyle w:val="TableParagraph"/>
              <w:spacing w:before="27"/>
              <w:ind w:left="1419"/>
              <w:rPr>
                <w:b/>
                <w:sz w:val="14"/>
              </w:rPr>
            </w:pPr>
            <w:r>
              <w:rPr>
                <w:b/>
                <w:sz w:val="14"/>
              </w:rPr>
              <w:t>70,756.1</w:t>
            </w:r>
          </w:p>
        </w:tc>
        <w:tc>
          <w:tcPr>
            <w:tcW w:w="1393" w:type="dxa"/>
          </w:tcPr>
          <w:p>
            <w:pPr>
              <w:pStyle w:val="TableParagraph"/>
              <w:spacing w:before="27"/>
              <w:ind w:right="455"/>
              <w:jc w:val="right"/>
              <w:rPr>
                <w:sz w:val="14"/>
              </w:rPr>
            </w:pPr>
            <w:r>
              <w:rPr>
                <w:sz w:val="14"/>
              </w:rPr>
              <w:t>3 . 1 %</w:t>
            </w:r>
          </w:p>
        </w:tc>
        <w:tc>
          <w:tcPr>
            <w:tcW w:w="1610" w:type="dxa"/>
          </w:tcPr>
          <w:p>
            <w:pPr>
              <w:pStyle w:val="TableParagraph"/>
              <w:spacing w:before="27"/>
              <w:ind w:left="295"/>
              <w:rPr>
                <w:sz w:val="14"/>
              </w:rPr>
            </w:pPr>
            <w:r>
              <w:rPr>
                <w:sz w:val="14"/>
              </w:rPr>
              <w:t>119,688.5</w:t>
            </w:r>
          </w:p>
        </w:tc>
        <w:tc>
          <w:tcPr>
            <w:tcW w:w="1335" w:type="dxa"/>
          </w:tcPr>
          <w:p>
            <w:pPr>
              <w:pStyle w:val="TableParagraph"/>
              <w:spacing w:before="27"/>
              <w:ind w:left="389"/>
              <w:rPr>
                <w:sz w:val="14"/>
              </w:rPr>
            </w:pPr>
            <w:r>
              <w:rPr>
                <w:sz w:val="14"/>
              </w:rPr>
              <w:t>5 . 2 %</w:t>
            </w:r>
          </w:p>
        </w:tc>
        <w:tc>
          <w:tcPr>
            <w:tcW w:w="1246" w:type="dxa"/>
          </w:tcPr>
          <w:p>
            <w:pPr>
              <w:pStyle w:val="TableParagraph"/>
              <w:spacing w:before="27"/>
              <w:ind w:right="254"/>
              <w:jc w:val="right"/>
              <w:rPr>
                <w:sz w:val="14"/>
              </w:rPr>
            </w:pPr>
            <w:r>
              <w:rPr>
                <w:sz w:val="14"/>
              </w:rPr>
              <w:t>126,857.9</w:t>
            </w:r>
          </w:p>
        </w:tc>
        <w:tc>
          <w:tcPr>
            <w:tcW w:w="1259" w:type="dxa"/>
          </w:tcPr>
          <w:p>
            <w:pPr>
              <w:pStyle w:val="TableParagraph"/>
              <w:spacing w:before="27"/>
              <w:ind w:right="467"/>
              <w:jc w:val="right"/>
              <w:rPr>
                <w:sz w:val="14"/>
              </w:rPr>
            </w:pPr>
            <w:r>
              <w:rPr>
                <w:sz w:val="14"/>
              </w:rPr>
              <w:t>5 . 5 %</w:t>
            </w:r>
          </w:p>
        </w:tc>
      </w:tr>
      <w:tr>
        <w:trPr>
          <w:trHeight w:val="220" w:hRule="atLeast"/>
        </w:trPr>
        <w:tc>
          <w:tcPr>
            <w:tcW w:w="471" w:type="dxa"/>
          </w:tcPr>
          <w:p>
            <w:pPr>
              <w:pStyle w:val="TableParagraph"/>
              <w:spacing w:before="27"/>
              <w:ind w:left="125"/>
              <w:rPr>
                <w:sz w:val="14"/>
              </w:rPr>
            </w:pPr>
            <w:r>
              <w:rPr>
                <w:sz w:val="14"/>
              </w:rPr>
              <w:t>203</w:t>
            </w:r>
          </w:p>
        </w:tc>
        <w:tc>
          <w:tcPr>
            <w:tcW w:w="5032" w:type="dxa"/>
          </w:tcPr>
          <w:p>
            <w:pPr>
              <w:pStyle w:val="TableParagraph"/>
              <w:spacing w:before="27"/>
              <w:ind w:left="95"/>
              <w:rPr>
                <w:sz w:val="14"/>
              </w:rPr>
            </w:pPr>
            <w:r>
              <w:rPr>
                <w:sz w:val="14"/>
              </w:rPr>
              <w:t>National Civil Registration Authority</w:t>
            </w:r>
          </w:p>
        </w:tc>
        <w:tc>
          <w:tcPr>
            <w:tcW w:w="2448" w:type="dxa"/>
          </w:tcPr>
          <w:p>
            <w:pPr>
              <w:pStyle w:val="TableParagraph"/>
              <w:spacing w:before="27"/>
              <w:ind w:left="1510"/>
              <w:rPr>
                <w:b/>
                <w:sz w:val="14"/>
              </w:rPr>
            </w:pPr>
            <w:r>
              <w:rPr>
                <w:b/>
                <w:sz w:val="14"/>
              </w:rPr>
              <w:t>1,505.6</w:t>
            </w:r>
          </w:p>
        </w:tc>
        <w:tc>
          <w:tcPr>
            <w:tcW w:w="1393" w:type="dxa"/>
          </w:tcPr>
          <w:p>
            <w:pPr>
              <w:pStyle w:val="TableParagraph"/>
              <w:spacing w:before="27"/>
              <w:ind w:right="455"/>
              <w:jc w:val="right"/>
              <w:rPr>
                <w:sz w:val="14"/>
              </w:rPr>
            </w:pPr>
            <w:r>
              <w:rPr>
                <w:sz w:val="14"/>
              </w:rPr>
              <w:t>0 . 1 %</w:t>
            </w:r>
          </w:p>
        </w:tc>
        <w:tc>
          <w:tcPr>
            <w:tcW w:w="1610" w:type="dxa"/>
          </w:tcPr>
          <w:p>
            <w:pPr>
              <w:pStyle w:val="TableParagraph"/>
              <w:spacing w:before="27"/>
              <w:ind w:left="472"/>
              <w:rPr>
                <w:sz w:val="14"/>
              </w:rPr>
            </w:pPr>
            <w:r>
              <w:rPr>
                <w:sz w:val="14"/>
              </w:rPr>
              <w:t>1,854 .6</w:t>
            </w:r>
          </w:p>
        </w:tc>
        <w:tc>
          <w:tcPr>
            <w:tcW w:w="1335" w:type="dxa"/>
          </w:tcPr>
          <w:p>
            <w:pPr>
              <w:pStyle w:val="TableParagraph"/>
              <w:spacing w:before="27"/>
              <w:ind w:left="389"/>
              <w:rPr>
                <w:sz w:val="14"/>
              </w:rPr>
            </w:pPr>
            <w:r>
              <w:rPr>
                <w:sz w:val="14"/>
              </w:rPr>
              <w:t>0 . 1 %</w:t>
            </w:r>
          </w:p>
        </w:tc>
        <w:tc>
          <w:tcPr>
            <w:tcW w:w="1246" w:type="dxa"/>
          </w:tcPr>
          <w:p>
            <w:pPr>
              <w:pStyle w:val="TableParagraph"/>
              <w:spacing w:before="27"/>
              <w:ind w:right="240"/>
              <w:jc w:val="right"/>
              <w:rPr>
                <w:sz w:val="14"/>
              </w:rPr>
            </w:pPr>
            <w:r>
              <w:rPr>
                <w:sz w:val="14"/>
              </w:rPr>
              <w:t>1,965 .7</w:t>
            </w:r>
          </w:p>
        </w:tc>
        <w:tc>
          <w:tcPr>
            <w:tcW w:w="1259" w:type="dxa"/>
          </w:tcPr>
          <w:p>
            <w:pPr>
              <w:pStyle w:val="TableParagraph"/>
              <w:spacing w:before="27"/>
              <w:ind w:right="467"/>
              <w:jc w:val="right"/>
              <w:rPr>
                <w:sz w:val="14"/>
              </w:rPr>
            </w:pPr>
            <w:r>
              <w:rPr>
                <w:sz w:val="14"/>
              </w:rPr>
              <w:t>0 . 1 %</w:t>
            </w:r>
          </w:p>
        </w:tc>
      </w:tr>
      <w:tr>
        <w:trPr>
          <w:trHeight w:val="220" w:hRule="atLeast"/>
        </w:trPr>
        <w:tc>
          <w:tcPr>
            <w:tcW w:w="471" w:type="dxa"/>
          </w:tcPr>
          <w:p>
            <w:pPr>
              <w:pStyle w:val="TableParagraph"/>
              <w:spacing w:before="27"/>
              <w:ind w:left="125"/>
              <w:rPr>
                <w:sz w:val="14"/>
              </w:rPr>
            </w:pPr>
            <w:r>
              <w:rPr>
                <w:sz w:val="14"/>
              </w:rPr>
              <w:t>205</w:t>
            </w:r>
          </w:p>
        </w:tc>
        <w:tc>
          <w:tcPr>
            <w:tcW w:w="5032" w:type="dxa"/>
          </w:tcPr>
          <w:p>
            <w:pPr>
              <w:pStyle w:val="TableParagraph"/>
              <w:spacing w:before="27"/>
              <w:ind w:left="96"/>
              <w:rPr>
                <w:sz w:val="14"/>
              </w:rPr>
            </w:pPr>
            <w:r>
              <w:rPr>
                <w:sz w:val="14"/>
              </w:rPr>
              <w:t>Ministry of Internal Affairs</w:t>
            </w:r>
          </w:p>
        </w:tc>
        <w:tc>
          <w:tcPr>
            <w:tcW w:w="2448" w:type="dxa"/>
          </w:tcPr>
          <w:p>
            <w:pPr>
              <w:pStyle w:val="TableParagraph"/>
              <w:spacing w:before="27"/>
              <w:ind w:right="451"/>
              <w:jc w:val="right"/>
              <w:rPr>
                <w:b/>
                <w:sz w:val="14"/>
              </w:rPr>
            </w:pPr>
            <w:r>
              <w:rPr>
                <w:b/>
                <w:sz w:val="14"/>
              </w:rPr>
              <w:t>880.5</w:t>
            </w:r>
          </w:p>
        </w:tc>
        <w:tc>
          <w:tcPr>
            <w:tcW w:w="1393" w:type="dxa"/>
          </w:tcPr>
          <w:p>
            <w:pPr>
              <w:pStyle w:val="TableParagraph"/>
              <w:spacing w:before="27"/>
              <w:ind w:right="455"/>
              <w:jc w:val="right"/>
              <w:rPr>
                <w:sz w:val="14"/>
              </w:rPr>
            </w:pPr>
            <w:r>
              <w:rPr>
                <w:sz w:val="14"/>
              </w:rPr>
              <w:t>0 . 0 %</w:t>
            </w:r>
          </w:p>
        </w:tc>
        <w:tc>
          <w:tcPr>
            <w:tcW w:w="1610" w:type="dxa"/>
          </w:tcPr>
          <w:p>
            <w:pPr>
              <w:pStyle w:val="TableParagraph"/>
              <w:spacing w:before="27"/>
              <w:ind w:left="472"/>
              <w:rPr>
                <w:sz w:val="14"/>
              </w:rPr>
            </w:pPr>
            <w:r>
              <w:rPr>
                <w:sz w:val="14"/>
              </w:rPr>
              <w:t>1,084 .6</w:t>
            </w:r>
          </w:p>
        </w:tc>
        <w:tc>
          <w:tcPr>
            <w:tcW w:w="1335" w:type="dxa"/>
          </w:tcPr>
          <w:p>
            <w:pPr>
              <w:pStyle w:val="TableParagraph"/>
              <w:spacing w:before="27"/>
              <w:ind w:left="389"/>
              <w:rPr>
                <w:sz w:val="14"/>
              </w:rPr>
            </w:pPr>
            <w:r>
              <w:rPr>
                <w:sz w:val="14"/>
              </w:rPr>
              <w:t>0 . 0 %</w:t>
            </w:r>
          </w:p>
        </w:tc>
        <w:tc>
          <w:tcPr>
            <w:tcW w:w="1246" w:type="dxa"/>
          </w:tcPr>
          <w:p>
            <w:pPr>
              <w:pStyle w:val="TableParagraph"/>
              <w:spacing w:before="27"/>
              <w:ind w:right="240"/>
              <w:jc w:val="right"/>
              <w:rPr>
                <w:sz w:val="14"/>
              </w:rPr>
            </w:pPr>
            <w:r>
              <w:rPr>
                <w:sz w:val="14"/>
              </w:rPr>
              <w:t>1,149 .6</w:t>
            </w:r>
          </w:p>
        </w:tc>
        <w:tc>
          <w:tcPr>
            <w:tcW w:w="1259" w:type="dxa"/>
          </w:tcPr>
          <w:p>
            <w:pPr>
              <w:pStyle w:val="TableParagraph"/>
              <w:spacing w:before="27"/>
              <w:ind w:right="467"/>
              <w:jc w:val="right"/>
              <w:rPr>
                <w:sz w:val="14"/>
              </w:rPr>
            </w:pPr>
            <w:r>
              <w:rPr>
                <w:sz w:val="14"/>
              </w:rPr>
              <w:t>0 . 0 %</w:t>
            </w:r>
          </w:p>
        </w:tc>
      </w:tr>
      <w:tr>
        <w:trPr>
          <w:trHeight w:val="220" w:hRule="atLeast"/>
        </w:trPr>
        <w:tc>
          <w:tcPr>
            <w:tcW w:w="471" w:type="dxa"/>
          </w:tcPr>
          <w:p>
            <w:pPr>
              <w:pStyle w:val="TableParagraph"/>
              <w:spacing w:before="27"/>
              <w:ind w:left="125"/>
              <w:rPr>
                <w:sz w:val="14"/>
              </w:rPr>
            </w:pPr>
            <w:r>
              <w:rPr>
                <w:sz w:val="14"/>
              </w:rPr>
              <w:t>206</w:t>
            </w:r>
          </w:p>
        </w:tc>
        <w:tc>
          <w:tcPr>
            <w:tcW w:w="5032" w:type="dxa"/>
          </w:tcPr>
          <w:p>
            <w:pPr>
              <w:pStyle w:val="TableParagraph"/>
              <w:spacing w:before="27"/>
              <w:ind w:left="95"/>
              <w:rPr>
                <w:sz w:val="14"/>
              </w:rPr>
            </w:pPr>
            <w:r>
              <w:rPr>
                <w:sz w:val="14"/>
              </w:rPr>
              <w:t>Sierra Leone Police</w:t>
            </w:r>
          </w:p>
        </w:tc>
        <w:tc>
          <w:tcPr>
            <w:tcW w:w="2448" w:type="dxa"/>
          </w:tcPr>
          <w:p>
            <w:pPr>
              <w:pStyle w:val="TableParagraph"/>
              <w:spacing w:before="27"/>
              <w:ind w:left="1419"/>
              <w:rPr>
                <w:b/>
                <w:sz w:val="14"/>
              </w:rPr>
            </w:pPr>
            <w:r>
              <w:rPr>
                <w:b/>
                <w:sz w:val="14"/>
              </w:rPr>
              <w:t>60,075.1</w:t>
            </w:r>
          </w:p>
        </w:tc>
        <w:tc>
          <w:tcPr>
            <w:tcW w:w="1393" w:type="dxa"/>
          </w:tcPr>
          <w:p>
            <w:pPr>
              <w:pStyle w:val="TableParagraph"/>
              <w:spacing w:before="27"/>
              <w:ind w:right="455"/>
              <w:jc w:val="right"/>
              <w:rPr>
                <w:sz w:val="14"/>
              </w:rPr>
            </w:pPr>
            <w:r>
              <w:rPr>
                <w:sz w:val="14"/>
              </w:rPr>
              <w:t>2 . 6 %</w:t>
            </w:r>
          </w:p>
        </w:tc>
        <w:tc>
          <w:tcPr>
            <w:tcW w:w="1610" w:type="dxa"/>
          </w:tcPr>
          <w:p>
            <w:pPr>
              <w:pStyle w:val="TableParagraph"/>
              <w:spacing w:before="27"/>
              <w:ind w:left="386"/>
              <w:rPr>
                <w:sz w:val="14"/>
              </w:rPr>
            </w:pPr>
            <w:r>
              <w:rPr>
                <w:sz w:val="14"/>
              </w:rPr>
              <w:t>81,408.0</w:t>
            </w:r>
          </w:p>
        </w:tc>
        <w:tc>
          <w:tcPr>
            <w:tcW w:w="1335" w:type="dxa"/>
          </w:tcPr>
          <w:p>
            <w:pPr>
              <w:pStyle w:val="TableParagraph"/>
              <w:spacing w:before="27"/>
              <w:ind w:left="389"/>
              <w:rPr>
                <w:sz w:val="14"/>
              </w:rPr>
            </w:pPr>
            <w:r>
              <w:rPr>
                <w:sz w:val="14"/>
              </w:rPr>
              <w:t>3 . 5 %</w:t>
            </w:r>
          </w:p>
        </w:tc>
        <w:tc>
          <w:tcPr>
            <w:tcW w:w="1246" w:type="dxa"/>
          </w:tcPr>
          <w:p>
            <w:pPr>
              <w:pStyle w:val="TableParagraph"/>
              <w:spacing w:before="27"/>
              <w:ind w:right="249"/>
              <w:jc w:val="right"/>
              <w:rPr>
                <w:sz w:val="14"/>
              </w:rPr>
            </w:pPr>
            <w:r>
              <w:rPr>
                <w:sz w:val="14"/>
              </w:rPr>
              <w:t>86,284.3</w:t>
            </w:r>
          </w:p>
        </w:tc>
        <w:tc>
          <w:tcPr>
            <w:tcW w:w="1259" w:type="dxa"/>
          </w:tcPr>
          <w:p>
            <w:pPr>
              <w:pStyle w:val="TableParagraph"/>
              <w:spacing w:before="27"/>
              <w:ind w:right="467"/>
              <w:jc w:val="right"/>
              <w:rPr>
                <w:sz w:val="14"/>
              </w:rPr>
            </w:pPr>
            <w:r>
              <w:rPr>
                <w:sz w:val="14"/>
              </w:rPr>
              <w:t>3 . 7 %</w:t>
            </w:r>
          </w:p>
        </w:tc>
      </w:tr>
      <w:tr>
        <w:trPr>
          <w:trHeight w:val="218" w:hRule="atLeast"/>
        </w:trPr>
        <w:tc>
          <w:tcPr>
            <w:tcW w:w="471" w:type="dxa"/>
          </w:tcPr>
          <w:p>
            <w:pPr>
              <w:pStyle w:val="TableParagraph"/>
              <w:spacing w:before="27"/>
              <w:ind w:left="125"/>
              <w:rPr>
                <w:sz w:val="14"/>
              </w:rPr>
            </w:pPr>
            <w:r>
              <w:rPr>
                <w:sz w:val="14"/>
              </w:rPr>
              <w:t>207</w:t>
            </w:r>
          </w:p>
        </w:tc>
        <w:tc>
          <w:tcPr>
            <w:tcW w:w="5032" w:type="dxa"/>
          </w:tcPr>
          <w:p>
            <w:pPr>
              <w:pStyle w:val="TableParagraph"/>
              <w:spacing w:before="27"/>
              <w:ind w:left="95"/>
              <w:rPr>
                <w:sz w:val="14"/>
              </w:rPr>
            </w:pPr>
            <w:r>
              <w:rPr>
                <w:sz w:val="14"/>
              </w:rPr>
              <w:t>Sierra Leone Correctional Services</w:t>
            </w:r>
          </w:p>
        </w:tc>
        <w:tc>
          <w:tcPr>
            <w:tcW w:w="2448" w:type="dxa"/>
          </w:tcPr>
          <w:p>
            <w:pPr>
              <w:pStyle w:val="TableParagraph"/>
              <w:spacing w:before="27"/>
              <w:ind w:left="1419"/>
              <w:rPr>
                <w:b/>
                <w:sz w:val="14"/>
              </w:rPr>
            </w:pPr>
            <w:r>
              <w:rPr>
                <w:b/>
                <w:sz w:val="14"/>
              </w:rPr>
              <w:t>43,817.4</w:t>
            </w:r>
          </w:p>
        </w:tc>
        <w:tc>
          <w:tcPr>
            <w:tcW w:w="1393" w:type="dxa"/>
          </w:tcPr>
          <w:p>
            <w:pPr>
              <w:pStyle w:val="TableParagraph"/>
              <w:spacing w:before="27"/>
              <w:ind w:right="455"/>
              <w:jc w:val="right"/>
              <w:rPr>
                <w:sz w:val="14"/>
              </w:rPr>
            </w:pPr>
            <w:r>
              <w:rPr>
                <w:sz w:val="14"/>
              </w:rPr>
              <w:t>1 . 9 %</w:t>
            </w:r>
          </w:p>
        </w:tc>
        <w:tc>
          <w:tcPr>
            <w:tcW w:w="1610" w:type="dxa"/>
          </w:tcPr>
          <w:p>
            <w:pPr>
              <w:pStyle w:val="TableParagraph"/>
              <w:spacing w:before="27"/>
              <w:ind w:left="386"/>
              <w:rPr>
                <w:sz w:val="14"/>
              </w:rPr>
            </w:pPr>
            <w:r>
              <w:rPr>
                <w:sz w:val="14"/>
              </w:rPr>
              <w:t>61,298.9</w:t>
            </w:r>
          </w:p>
        </w:tc>
        <w:tc>
          <w:tcPr>
            <w:tcW w:w="1335" w:type="dxa"/>
          </w:tcPr>
          <w:p>
            <w:pPr>
              <w:pStyle w:val="TableParagraph"/>
              <w:spacing w:before="27"/>
              <w:ind w:left="389"/>
              <w:rPr>
                <w:sz w:val="14"/>
              </w:rPr>
            </w:pPr>
            <w:r>
              <w:rPr>
                <w:sz w:val="14"/>
              </w:rPr>
              <w:t>2 . 6 %</w:t>
            </w:r>
          </w:p>
        </w:tc>
        <w:tc>
          <w:tcPr>
            <w:tcW w:w="1246" w:type="dxa"/>
          </w:tcPr>
          <w:p>
            <w:pPr>
              <w:pStyle w:val="TableParagraph"/>
              <w:spacing w:before="27"/>
              <w:ind w:right="249"/>
              <w:jc w:val="right"/>
              <w:rPr>
                <w:sz w:val="14"/>
              </w:rPr>
            </w:pPr>
            <w:r>
              <w:rPr>
                <w:sz w:val="14"/>
              </w:rPr>
              <w:t>64,970.7</w:t>
            </w:r>
          </w:p>
        </w:tc>
        <w:tc>
          <w:tcPr>
            <w:tcW w:w="1259" w:type="dxa"/>
          </w:tcPr>
          <w:p>
            <w:pPr>
              <w:pStyle w:val="TableParagraph"/>
              <w:spacing w:before="27"/>
              <w:ind w:right="467"/>
              <w:jc w:val="right"/>
              <w:rPr>
                <w:sz w:val="14"/>
              </w:rPr>
            </w:pPr>
            <w:r>
              <w:rPr>
                <w:sz w:val="14"/>
              </w:rPr>
              <w:t>2 . 8 %</w:t>
            </w:r>
          </w:p>
        </w:tc>
      </w:tr>
      <w:tr>
        <w:trPr>
          <w:trHeight w:val="218" w:hRule="atLeast"/>
        </w:trPr>
        <w:tc>
          <w:tcPr>
            <w:tcW w:w="471" w:type="dxa"/>
          </w:tcPr>
          <w:p>
            <w:pPr>
              <w:pStyle w:val="TableParagraph"/>
              <w:spacing w:before="25"/>
              <w:ind w:left="125"/>
              <w:rPr>
                <w:sz w:val="14"/>
              </w:rPr>
            </w:pPr>
            <w:r>
              <w:rPr>
                <w:sz w:val="14"/>
              </w:rPr>
              <w:t>208</w:t>
            </w:r>
          </w:p>
        </w:tc>
        <w:tc>
          <w:tcPr>
            <w:tcW w:w="5032" w:type="dxa"/>
          </w:tcPr>
          <w:p>
            <w:pPr>
              <w:pStyle w:val="TableParagraph"/>
              <w:spacing w:before="25"/>
              <w:ind w:left="95"/>
              <w:rPr>
                <w:sz w:val="14"/>
              </w:rPr>
            </w:pPr>
            <w:r>
              <w:rPr>
                <w:sz w:val="14"/>
              </w:rPr>
              <w:t>National Fire Authority</w:t>
            </w:r>
          </w:p>
        </w:tc>
        <w:tc>
          <w:tcPr>
            <w:tcW w:w="2448" w:type="dxa"/>
          </w:tcPr>
          <w:p>
            <w:pPr>
              <w:pStyle w:val="TableParagraph"/>
              <w:spacing w:before="25"/>
              <w:ind w:left="1510"/>
              <w:rPr>
                <w:b/>
                <w:sz w:val="14"/>
              </w:rPr>
            </w:pPr>
            <w:r>
              <w:rPr>
                <w:b/>
                <w:sz w:val="14"/>
              </w:rPr>
              <w:t>3,428.9</w:t>
            </w:r>
          </w:p>
        </w:tc>
        <w:tc>
          <w:tcPr>
            <w:tcW w:w="1393" w:type="dxa"/>
          </w:tcPr>
          <w:p>
            <w:pPr>
              <w:pStyle w:val="TableParagraph"/>
              <w:spacing w:before="25"/>
              <w:ind w:right="455"/>
              <w:jc w:val="right"/>
              <w:rPr>
                <w:sz w:val="14"/>
              </w:rPr>
            </w:pPr>
            <w:r>
              <w:rPr>
                <w:sz w:val="14"/>
              </w:rPr>
              <w:t>0 . 1 %</w:t>
            </w:r>
          </w:p>
        </w:tc>
        <w:tc>
          <w:tcPr>
            <w:tcW w:w="1610" w:type="dxa"/>
          </w:tcPr>
          <w:p>
            <w:pPr>
              <w:pStyle w:val="TableParagraph"/>
              <w:spacing w:before="25"/>
              <w:ind w:left="472"/>
              <w:rPr>
                <w:sz w:val="14"/>
              </w:rPr>
            </w:pPr>
            <w:r>
              <w:rPr>
                <w:sz w:val="14"/>
              </w:rPr>
              <w:t>3,361 .5</w:t>
            </w:r>
          </w:p>
        </w:tc>
        <w:tc>
          <w:tcPr>
            <w:tcW w:w="1335" w:type="dxa"/>
          </w:tcPr>
          <w:p>
            <w:pPr>
              <w:pStyle w:val="TableParagraph"/>
              <w:spacing w:before="25"/>
              <w:ind w:left="389"/>
              <w:rPr>
                <w:sz w:val="14"/>
              </w:rPr>
            </w:pPr>
            <w:r>
              <w:rPr>
                <w:sz w:val="14"/>
              </w:rPr>
              <w:t>0 . 1 %</w:t>
            </w:r>
          </w:p>
        </w:tc>
        <w:tc>
          <w:tcPr>
            <w:tcW w:w="1246" w:type="dxa"/>
          </w:tcPr>
          <w:p>
            <w:pPr>
              <w:pStyle w:val="TableParagraph"/>
              <w:spacing w:before="25"/>
              <w:ind w:right="240"/>
              <w:jc w:val="right"/>
              <w:rPr>
                <w:sz w:val="14"/>
              </w:rPr>
            </w:pPr>
            <w:r>
              <w:rPr>
                <w:sz w:val="14"/>
              </w:rPr>
              <w:t>3,562 .8</w:t>
            </w:r>
          </w:p>
        </w:tc>
        <w:tc>
          <w:tcPr>
            <w:tcW w:w="1259" w:type="dxa"/>
          </w:tcPr>
          <w:p>
            <w:pPr>
              <w:pStyle w:val="TableParagraph"/>
              <w:spacing w:before="25"/>
              <w:ind w:right="467"/>
              <w:jc w:val="right"/>
              <w:rPr>
                <w:sz w:val="14"/>
              </w:rPr>
            </w:pPr>
            <w:r>
              <w:rPr>
                <w:sz w:val="14"/>
              </w:rPr>
              <w:t>0 . 2 %</w:t>
            </w:r>
          </w:p>
        </w:tc>
      </w:tr>
      <w:tr>
        <w:trPr>
          <w:trHeight w:val="220" w:hRule="atLeast"/>
        </w:trPr>
        <w:tc>
          <w:tcPr>
            <w:tcW w:w="471" w:type="dxa"/>
          </w:tcPr>
          <w:p>
            <w:pPr>
              <w:pStyle w:val="TableParagraph"/>
              <w:spacing w:before="27"/>
              <w:ind w:left="125"/>
              <w:rPr>
                <w:sz w:val="14"/>
              </w:rPr>
            </w:pPr>
            <w:r>
              <w:rPr>
                <w:sz w:val="14"/>
              </w:rPr>
              <w:t>209</w:t>
            </w:r>
          </w:p>
        </w:tc>
        <w:tc>
          <w:tcPr>
            <w:tcW w:w="5032" w:type="dxa"/>
          </w:tcPr>
          <w:p>
            <w:pPr>
              <w:pStyle w:val="TableParagraph"/>
              <w:spacing w:before="27"/>
              <w:ind w:left="95"/>
              <w:rPr>
                <w:sz w:val="14"/>
              </w:rPr>
            </w:pPr>
            <w:r>
              <w:rPr>
                <w:sz w:val="14"/>
              </w:rPr>
              <w:t>Central Intelligence &amp; Security Unit</w:t>
            </w:r>
          </w:p>
        </w:tc>
        <w:tc>
          <w:tcPr>
            <w:tcW w:w="2448" w:type="dxa"/>
          </w:tcPr>
          <w:p>
            <w:pPr>
              <w:pStyle w:val="TableParagraph"/>
              <w:spacing w:before="27"/>
              <w:ind w:left="1510"/>
              <w:rPr>
                <w:b/>
                <w:sz w:val="14"/>
              </w:rPr>
            </w:pPr>
            <w:r>
              <w:rPr>
                <w:b/>
                <w:sz w:val="14"/>
              </w:rPr>
              <w:t>4,479.2</w:t>
            </w:r>
          </w:p>
        </w:tc>
        <w:tc>
          <w:tcPr>
            <w:tcW w:w="1393" w:type="dxa"/>
          </w:tcPr>
          <w:p>
            <w:pPr>
              <w:pStyle w:val="TableParagraph"/>
              <w:spacing w:before="27"/>
              <w:ind w:right="455"/>
              <w:jc w:val="right"/>
              <w:rPr>
                <w:sz w:val="14"/>
              </w:rPr>
            </w:pPr>
            <w:r>
              <w:rPr>
                <w:sz w:val="14"/>
              </w:rPr>
              <w:t>0 . 2 %</w:t>
            </w:r>
          </w:p>
        </w:tc>
        <w:tc>
          <w:tcPr>
            <w:tcW w:w="1610" w:type="dxa"/>
          </w:tcPr>
          <w:p>
            <w:pPr>
              <w:pStyle w:val="TableParagraph"/>
              <w:spacing w:before="27"/>
              <w:ind w:left="472"/>
              <w:rPr>
                <w:sz w:val="14"/>
              </w:rPr>
            </w:pPr>
            <w:r>
              <w:rPr>
                <w:sz w:val="14"/>
              </w:rPr>
              <w:t>4,593 .6</w:t>
            </w:r>
          </w:p>
        </w:tc>
        <w:tc>
          <w:tcPr>
            <w:tcW w:w="1335" w:type="dxa"/>
          </w:tcPr>
          <w:p>
            <w:pPr>
              <w:pStyle w:val="TableParagraph"/>
              <w:spacing w:before="27"/>
              <w:ind w:left="389"/>
              <w:rPr>
                <w:sz w:val="14"/>
              </w:rPr>
            </w:pPr>
            <w:r>
              <w:rPr>
                <w:sz w:val="14"/>
              </w:rPr>
              <w:t>0 . 2 %</w:t>
            </w:r>
          </w:p>
        </w:tc>
        <w:tc>
          <w:tcPr>
            <w:tcW w:w="1246" w:type="dxa"/>
          </w:tcPr>
          <w:p>
            <w:pPr>
              <w:pStyle w:val="TableParagraph"/>
              <w:spacing w:before="27"/>
              <w:ind w:right="240"/>
              <w:jc w:val="right"/>
              <w:rPr>
                <w:sz w:val="14"/>
              </w:rPr>
            </w:pPr>
            <w:r>
              <w:rPr>
                <w:sz w:val="14"/>
              </w:rPr>
              <w:t>4,868 .7</w:t>
            </w:r>
          </w:p>
        </w:tc>
        <w:tc>
          <w:tcPr>
            <w:tcW w:w="1259" w:type="dxa"/>
          </w:tcPr>
          <w:p>
            <w:pPr>
              <w:pStyle w:val="TableParagraph"/>
              <w:spacing w:before="27"/>
              <w:ind w:right="467"/>
              <w:jc w:val="right"/>
              <w:rPr>
                <w:sz w:val="14"/>
              </w:rPr>
            </w:pPr>
            <w:r>
              <w:rPr>
                <w:sz w:val="14"/>
              </w:rPr>
              <w:t>0 . 2 %</w:t>
            </w:r>
          </w:p>
        </w:tc>
      </w:tr>
      <w:tr>
        <w:trPr>
          <w:trHeight w:val="220" w:hRule="atLeast"/>
        </w:trPr>
        <w:tc>
          <w:tcPr>
            <w:tcW w:w="471" w:type="dxa"/>
          </w:tcPr>
          <w:p>
            <w:pPr>
              <w:pStyle w:val="TableParagraph"/>
              <w:spacing w:before="27"/>
              <w:ind w:left="125"/>
              <w:rPr>
                <w:sz w:val="14"/>
              </w:rPr>
            </w:pPr>
            <w:r>
              <w:rPr>
                <w:sz w:val="14"/>
              </w:rPr>
              <w:t>210</w:t>
            </w:r>
          </w:p>
        </w:tc>
        <w:tc>
          <w:tcPr>
            <w:tcW w:w="5032" w:type="dxa"/>
          </w:tcPr>
          <w:p>
            <w:pPr>
              <w:pStyle w:val="TableParagraph"/>
              <w:spacing w:before="27"/>
              <w:ind w:left="95"/>
              <w:rPr>
                <w:sz w:val="14"/>
              </w:rPr>
            </w:pPr>
            <w:r>
              <w:rPr>
                <w:sz w:val="14"/>
              </w:rPr>
              <w:t>Office of National Security</w:t>
            </w:r>
          </w:p>
        </w:tc>
        <w:tc>
          <w:tcPr>
            <w:tcW w:w="2448" w:type="dxa"/>
          </w:tcPr>
          <w:p>
            <w:pPr>
              <w:pStyle w:val="TableParagraph"/>
              <w:spacing w:before="27"/>
              <w:ind w:left="1510"/>
              <w:rPr>
                <w:b/>
                <w:sz w:val="14"/>
              </w:rPr>
            </w:pPr>
            <w:r>
              <w:rPr>
                <w:b/>
                <w:sz w:val="14"/>
              </w:rPr>
              <w:t>6,598.2</w:t>
            </w:r>
          </w:p>
        </w:tc>
        <w:tc>
          <w:tcPr>
            <w:tcW w:w="1393" w:type="dxa"/>
          </w:tcPr>
          <w:p>
            <w:pPr>
              <w:pStyle w:val="TableParagraph"/>
              <w:spacing w:before="27"/>
              <w:ind w:right="455"/>
              <w:jc w:val="right"/>
              <w:rPr>
                <w:sz w:val="14"/>
              </w:rPr>
            </w:pPr>
            <w:r>
              <w:rPr>
                <w:sz w:val="14"/>
              </w:rPr>
              <w:t>0 . 3 %</w:t>
            </w:r>
          </w:p>
        </w:tc>
        <w:tc>
          <w:tcPr>
            <w:tcW w:w="1610" w:type="dxa"/>
          </w:tcPr>
          <w:p>
            <w:pPr>
              <w:pStyle w:val="TableParagraph"/>
              <w:spacing w:before="27"/>
              <w:ind w:left="472"/>
              <w:rPr>
                <w:sz w:val="14"/>
              </w:rPr>
            </w:pPr>
            <w:r>
              <w:rPr>
                <w:sz w:val="14"/>
              </w:rPr>
              <w:t>7,118 .3</w:t>
            </w:r>
          </w:p>
        </w:tc>
        <w:tc>
          <w:tcPr>
            <w:tcW w:w="1335" w:type="dxa"/>
          </w:tcPr>
          <w:p>
            <w:pPr>
              <w:pStyle w:val="TableParagraph"/>
              <w:spacing w:before="27"/>
              <w:ind w:left="389"/>
              <w:rPr>
                <w:sz w:val="14"/>
              </w:rPr>
            </w:pPr>
            <w:r>
              <w:rPr>
                <w:sz w:val="14"/>
              </w:rPr>
              <w:t>0 . 3 %</w:t>
            </w:r>
          </w:p>
        </w:tc>
        <w:tc>
          <w:tcPr>
            <w:tcW w:w="1246" w:type="dxa"/>
          </w:tcPr>
          <w:p>
            <w:pPr>
              <w:pStyle w:val="TableParagraph"/>
              <w:spacing w:before="27"/>
              <w:ind w:right="240"/>
              <w:jc w:val="right"/>
              <w:rPr>
                <w:sz w:val="14"/>
              </w:rPr>
            </w:pPr>
            <w:r>
              <w:rPr>
                <w:sz w:val="14"/>
              </w:rPr>
              <w:t>7,544 .7</w:t>
            </w:r>
          </w:p>
        </w:tc>
        <w:tc>
          <w:tcPr>
            <w:tcW w:w="1259" w:type="dxa"/>
          </w:tcPr>
          <w:p>
            <w:pPr>
              <w:pStyle w:val="TableParagraph"/>
              <w:spacing w:before="27"/>
              <w:ind w:right="467"/>
              <w:jc w:val="right"/>
              <w:rPr>
                <w:sz w:val="14"/>
              </w:rPr>
            </w:pPr>
            <w:r>
              <w:rPr>
                <w:sz w:val="14"/>
              </w:rPr>
              <w:t>0 . 3 %</w:t>
            </w:r>
          </w:p>
        </w:tc>
      </w:tr>
      <w:tr>
        <w:trPr>
          <w:trHeight w:val="220" w:hRule="atLeast"/>
        </w:trPr>
        <w:tc>
          <w:tcPr>
            <w:tcW w:w="471" w:type="dxa"/>
          </w:tcPr>
          <w:p>
            <w:pPr>
              <w:pStyle w:val="TableParagraph"/>
              <w:spacing w:before="27"/>
              <w:ind w:left="125"/>
              <w:rPr>
                <w:sz w:val="14"/>
              </w:rPr>
            </w:pPr>
            <w:r>
              <w:rPr>
                <w:sz w:val="14"/>
              </w:rPr>
              <w:t>211</w:t>
            </w:r>
          </w:p>
        </w:tc>
        <w:tc>
          <w:tcPr>
            <w:tcW w:w="5032" w:type="dxa"/>
          </w:tcPr>
          <w:p>
            <w:pPr>
              <w:pStyle w:val="TableParagraph"/>
              <w:spacing w:before="27"/>
              <w:ind w:left="96"/>
              <w:rPr>
                <w:sz w:val="14"/>
              </w:rPr>
            </w:pPr>
            <w:r>
              <w:rPr>
                <w:sz w:val="14"/>
              </w:rPr>
              <w:t>Immigration Department</w:t>
            </w:r>
          </w:p>
        </w:tc>
        <w:tc>
          <w:tcPr>
            <w:tcW w:w="2448" w:type="dxa"/>
          </w:tcPr>
          <w:p>
            <w:pPr>
              <w:pStyle w:val="TableParagraph"/>
              <w:spacing w:before="27"/>
              <w:ind w:left="1510"/>
              <w:rPr>
                <w:b/>
                <w:sz w:val="14"/>
              </w:rPr>
            </w:pPr>
            <w:r>
              <w:rPr>
                <w:b/>
                <w:sz w:val="14"/>
              </w:rPr>
              <w:t>3,732.6</w:t>
            </w:r>
          </w:p>
        </w:tc>
        <w:tc>
          <w:tcPr>
            <w:tcW w:w="1393" w:type="dxa"/>
          </w:tcPr>
          <w:p>
            <w:pPr>
              <w:pStyle w:val="TableParagraph"/>
              <w:spacing w:before="27"/>
              <w:ind w:right="455"/>
              <w:jc w:val="right"/>
              <w:rPr>
                <w:sz w:val="14"/>
              </w:rPr>
            </w:pPr>
            <w:r>
              <w:rPr>
                <w:sz w:val="14"/>
              </w:rPr>
              <w:t>0 . 2 %</w:t>
            </w:r>
          </w:p>
        </w:tc>
        <w:tc>
          <w:tcPr>
            <w:tcW w:w="1610" w:type="dxa"/>
          </w:tcPr>
          <w:p>
            <w:pPr>
              <w:pStyle w:val="TableParagraph"/>
              <w:spacing w:before="27"/>
              <w:ind w:left="472"/>
              <w:rPr>
                <w:sz w:val="14"/>
              </w:rPr>
            </w:pPr>
            <w:r>
              <w:rPr>
                <w:sz w:val="14"/>
              </w:rPr>
              <w:t>3,981 .9</w:t>
            </w:r>
          </w:p>
        </w:tc>
        <w:tc>
          <w:tcPr>
            <w:tcW w:w="1335" w:type="dxa"/>
          </w:tcPr>
          <w:p>
            <w:pPr>
              <w:pStyle w:val="TableParagraph"/>
              <w:spacing w:before="27"/>
              <w:ind w:left="389"/>
              <w:rPr>
                <w:sz w:val="14"/>
              </w:rPr>
            </w:pPr>
            <w:r>
              <w:rPr>
                <w:sz w:val="14"/>
              </w:rPr>
              <w:t>0 . 2 %</w:t>
            </w:r>
          </w:p>
        </w:tc>
        <w:tc>
          <w:tcPr>
            <w:tcW w:w="1246" w:type="dxa"/>
          </w:tcPr>
          <w:p>
            <w:pPr>
              <w:pStyle w:val="TableParagraph"/>
              <w:spacing w:before="27"/>
              <w:ind w:right="240"/>
              <w:jc w:val="right"/>
              <w:rPr>
                <w:sz w:val="14"/>
              </w:rPr>
            </w:pPr>
            <w:r>
              <w:rPr>
                <w:sz w:val="14"/>
              </w:rPr>
              <w:t>4,220 .5</w:t>
            </w:r>
          </w:p>
        </w:tc>
        <w:tc>
          <w:tcPr>
            <w:tcW w:w="1259" w:type="dxa"/>
          </w:tcPr>
          <w:p>
            <w:pPr>
              <w:pStyle w:val="TableParagraph"/>
              <w:spacing w:before="27"/>
              <w:ind w:right="467"/>
              <w:jc w:val="right"/>
              <w:rPr>
                <w:sz w:val="14"/>
              </w:rPr>
            </w:pPr>
            <w:r>
              <w:rPr>
                <w:sz w:val="14"/>
              </w:rPr>
              <w:t>0 . 2 %</w:t>
            </w:r>
          </w:p>
        </w:tc>
      </w:tr>
      <w:tr>
        <w:trPr>
          <w:trHeight w:val="220" w:hRule="atLeast"/>
        </w:trPr>
        <w:tc>
          <w:tcPr>
            <w:tcW w:w="471" w:type="dxa"/>
          </w:tcPr>
          <w:p>
            <w:pPr>
              <w:pStyle w:val="TableParagraph"/>
              <w:spacing w:before="27"/>
              <w:ind w:left="125"/>
              <w:rPr>
                <w:sz w:val="14"/>
              </w:rPr>
            </w:pPr>
            <w:r>
              <w:rPr>
                <w:sz w:val="14"/>
              </w:rPr>
              <w:t>212</w:t>
            </w:r>
          </w:p>
        </w:tc>
        <w:tc>
          <w:tcPr>
            <w:tcW w:w="5032" w:type="dxa"/>
          </w:tcPr>
          <w:p>
            <w:pPr>
              <w:pStyle w:val="TableParagraph"/>
              <w:spacing w:before="27"/>
              <w:ind w:left="95"/>
              <w:rPr>
                <w:sz w:val="14"/>
              </w:rPr>
            </w:pPr>
            <w:r>
              <w:rPr>
                <w:sz w:val="14"/>
              </w:rPr>
              <w:t>National Drugs Law Enforcement Agency</w:t>
            </w:r>
          </w:p>
        </w:tc>
        <w:tc>
          <w:tcPr>
            <w:tcW w:w="2448" w:type="dxa"/>
          </w:tcPr>
          <w:p>
            <w:pPr>
              <w:pStyle w:val="TableParagraph"/>
              <w:spacing w:before="27"/>
              <w:ind w:right="451"/>
              <w:jc w:val="right"/>
              <w:rPr>
                <w:b/>
                <w:sz w:val="14"/>
              </w:rPr>
            </w:pPr>
            <w:r>
              <w:rPr>
                <w:b/>
                <w:sz w:val="14"/>
              </w:rPr>
              <w:t>685.4</w:t>
            </w:r>
          </w:p>
        </w:tc>
        <w:tc>
          <w:tcPr>
            <w:tcW w:w="1393" w:type="dxa"/>
          </w:tcPr>
          <w:p>
            <w:pPr>
              <w:pStyle w:val="TableParagraph"/>
              <w:spacing w:before="27"/>
              <w:ind w:right="455"/>
              <w:jc w:val="right"/>
              <w:rPr>
                <w:sz w:val="14"/>
              </w:rPr>
            </w:pPr>
            <w:r>
              <w:rPr>
                <w:sz w:val="14"/>
              </w:rPr>
              <w:t>0 . 0 %</w:t>
            </w:r>
          </w:p>
        </w:tc>
        <w:tc>
          <w:tcPr>
            <w:tcW w:w="1610" w:type="dxa"/>
          </w:tcPr>
          <w:p>
            <w:pPr>
              <w:pStyle w:val="TableParagraph"/>
              <w:spacing w:before="27"/>
              <w:ind w:left="619" w:right="599"/>
              <w:jc w:val="center"/>
              <w:rPr>
                <w:sz w:val="14"/>
              </w:rPr>
            </w:pPr>
            <w:r>
              <w:rPr>
                <w:sz w:val="14"/>
              </w:rPr>
              <w:t>844.3</w:t>
            </w:r>
          </w:p>
        </w:tc>
        <w:tc>
          <w:tcPr>
            <w:tcW w:w="1335" w:type="dxa"/>
          </w:tcPr>
          <w:p>
            <w:pPr>
              <w:pStyle w:val="TableParagraph"/>
              <w:spacing w:before="27"/>
              <w:ind w:left="389"/>
              <w:rPr>
                <w:sz w:val="14"/>
              </w:rPr>
            </w:pPr>
            <w:r>
              <w:rPr>
                <w:sz w:val="14"/>
              </w:rPr>
              <w:t>0 . 0 %</w:t>
            </w:r>
          </w:p>
        </w:tc>
        <w:tc>
          <w:tcPr>
            <w:tcW w:w="1246" w:type="dxa"/>
          </w:tcPr>
          <w:p>
            <w:pPr>
              <w:pStyle w:val="TableParagraph"/>
              <w:spacing w:before="27"/>
              <w:ind w:right="237"/>
              <w:jc w:val="right"/>
              <w:rPr>
                <w:sz w:val="14"/>
              </w:rPr>
            </w:pPr>
            <w:r>
              <w:rPr>
                <w:sz w:val="14"/>
              </w:rPr>
              <w:t>894.8</w:t>
            </w:r>
          </w:p>
        </w:tc>
        <w:tc>
          <w:tcPr>
            <w:tcW w:w="1259" w:type="dxa"/>
          </w:tcPr>
          <w:p>
            <w:pPr>
              <w:pStyle w:val="TableParagraph"/>
              <w:spacing w:before="27"/>
              <w:ind w:right="467"/>
              <w:jc w:val="right"/>
              <w:rPr>
                <w:sz w:val="14"/>
              </w:rPr>
            </w:pPr>
            <w:r>
              <w:rPr>
                <w:sz w:val="14"/>
              </w:rPr>
              <w:t>0 . 0 %</w:t>
            </w:r>
          </w:p>
        </w:tc>
      </w:tr>
      <w:tr>
        <w:trPr>
          <w:trHeight w:val="218" w:hRule="atLeast"/>
        </w:trPr>
        <w:tc>
          <w:tcPr>
            <w:tcW w:w="471" w:type="dxa"/>
          </w:tcPr>
          <w:p>
            <w:pPr>
              <w:pStyle w:val="TableParagraph"/>
              <w:spacing w:before="27"/>
              <w:ind w:left="125"/>
              <w:rPr>
                <w:sz w:val="14"/>
              </w:rPr>
            </w:pPr>
            <w:r>
              <w:rPr>
                <w:sz w:val="14"/>
              </w:rPr>
              <w:t>408</w:t>
            </w:r>
          </w:p>
        </w:tc>
        <w:tc>
          <w:tcPr>
            <w:tcW w:w="5032" w:type="dxa"/>
          </w:tcPr>
          <w:p>
            <w:pPr>
              <w:pStyle w:val="TableParagraph"/>
              <w:spacing w:before="27"/>
              <w:ind w:left="96"/>
              <w:rPr>
                <w:sz w:val="14"/>
              </w:rPr>
            </w:pPr>
            <w:r>
              <w:rPr>
                <w:sz w:val="14"/>
              </w:rPr>
              <w:t>Ministry of Works and Public Assests</w:t>
            </w:r>
          </w:p>
        </w:tc>
        <w:tc>
          <w:tcPr>
            <w:tcW w:w="2448" w:type="dxa"/>
          </w:tcPr>
          <w:p>
            <w:pPr>
              <w:pStyle w:val="TableParagraph"/>
              <w:spacing w:before="27"/>
              <w:ind w:left="1419"/>
              <w:rPr>
                <w:b/>
                <w:sz w:val="14"/>
              </w:rPr>
            </w:pPr>
            <w:r>
              <w:rPr>
                <w:b/>
                <w:sz w:val="14"/>
              </w:rPr>
              <w:t>10,904.9</w:t>
            </w:r>
          </w:p>
        </w:tc>
        <w:tc>
          <w:tcPr>
            <w:tcW w:w="1393" w:type="dxa"/>
          </w:tcPr>
          <w:p>
            <w:pPr>
              <w:pStyle w:val="TableParagraph"/>
              <w:spacing w:before="27"/>
              <w:ind w:right="455"/>
              <w:jc w:val="right"/>
              <w:rPr>
                <w:sz w:val="14"/>
              </w:rPr>
            </w:pPr>
            <w:r>
              <w:rPr>
                <w:sz w:val="14"/>
              </w:rPr>
              <w:t>0 . 5 %</w:t>
            </w:r>
          </w:p>
        </w:tc>
        <w:tc>
          <w:tcPr>
            <w:tcW w:w="1610" w:type="dxa"/>
          </w:tcPr>
          <w:p>
            <w:pPr>
              <w:pStyle w:val="TableParagraph"/>
              <w:spacing w:before="27"/>
              <w:ind w:left="386"/>
              <w:rPr>
                <w:sz w:val="14"/>
              </w:rPr>
            </w:pPr>
            <w:r>
              <w:rPr>
                <w:sz w:val="14"/>
              </w:rPr>
              <w:t>13,432.6</w:t>
            </w:r>
          </w:p>
        </w:tc>
        <w:tc>
          <w:tcPr>
            <w:tcW w:w="1335" w:type="dxa"/>
          </w:tcPr>
          <w:p>
            <w:pPr>
              <w:pStyle w:val="TableParagraph"/>
              <w:spacing w:before="27"/>
              <w:ind w:left="389"/>
              <w:rPr>
                <w:sz w:val="14"/>
              </w:rPr>
            </w:pPr>
            <w:r>
              <w:rPr>
                <w:sz w:val="14"/>
              </w:rPr>
              <w:t>0 . 6 %</w:t>
            </w:r>
          </w:p>
        </w:tc>
        <w:tc>
          <w:tcPr>
            <w:tcW w:w="1246" w:type="dxa"/>
          </w:tcPr>
          <w:p>
            <w:pPr>
              <w:pStyle w:val="TableParagraph"/>
              <w:spacing w:before="27"/>
              <w:ind w:right="249"/>
              <w:jc w:val="right"/>
              <w:rPr>
                <w:sz w:val="14"/>
              </w:rPr>
            </w:pPr>
            <w:r>
              <w:rPr>
                <w:sz w:val="14"/>
              </w:rPr>
              <w:t>14,237.2</w:t>
            </w:r>
          </w:p>
        </w:tc>
        <w:tc>
          <w:tcPr>
            <w:tcW w:w="1259" w:type="dxa"/>
          </w:tcPr>
          <w:p>
            <w:pPr>
              <w:pStyle w:val="TableParagraph"/>
              <w:spacing w:before="27"/>
              <w:ind w:right="467"/>
              <w:jc w:val="right"/>
              <w:rPr>
                <w:sz w:val="14"/>
              </w:rPr>
            </w:pPr>
            <w:r>
              <w:rPr>
                <w:sz w:val="14"/>
              </w:rPr>
              <w:t>0 . 6 %</w:t>
            </w:r>
          </w:p>
        </w:tc>
      </w:tr>
      <w:tr>
        <w:trPr>
          <w:trHeight w:val="220" w:hRule="atLeast"/>
        </w:trPr>
        <w:tc>
          <w:tcPr>
            <w:tcW w:w="471" w:type="dxa"/>
          </w:tcPr>
          <w:p>
            <w:pPr>
              <w:pStyle w:val="TableParagraph"/>
              <w:spacing w:before="25"/>
              <w:ind w:left="125"/>
              <w:rPr>
                <w:sz w:val="14"/>
              </w:rPr>
            </w:pPr>
            <w:r>
              <w:rPr>
                <w:sz w:val="14"/>
              </w:rPr>
              <w:t>411</w:t>
            </w:r>
          </w:p>
        </w:tc>
        <w:tc>
          <w:tcPr>
            <w:tcW w:w="5032" w:type="dxa"/>
          </w:tcPr>
          <w:p>
            <w:pPr>
              <w:pStyle w:val="TableParagraph"/>
              <w:spacing w:before="25"/>
              <w:ind w:left="95"/>
              <w:rPr>
                <w:sz w:val="14"/>
              </w:rPr>
            </w:pPr>
            <w:r>
              <w:rPr>
                <w:sz w:val="14"/>
              </w:rPr>
              <w:t>Road Maintenance Fund</w:t>
            </w:r>
          </w:p>
        </w:tc>
        <w:tc>
          <w:tcPr>
            <w:tcW w:w="2448" w:type="dxa"/>
          </w:tcPr>
          <w:p>
            <w:pPr>
              <w:pStyle w:val="TableParagraph"/>
              <w:spacing w:before="25"/>
              <w:ind w:left="1328"/>
              <w:rPr>
                <w:b/>
                <w:sz w:val="14"/>
              </w:rPr>
            </w:pPr>
            <w:r>
              <w:rPr>
                <w:b/>
                <w:sz w:val="14"/>
              </w:rPr>
              <w:t>124,829.0</w:t>
            </w:r>
          </w:p>
        </w:tc>
        <w:tc>
          <w:tcPr>
            <w:tcW w:w="1393" w:type="dxa"/>
          </w:tcPr>
          <w:p>
            <w:pPr>
              <w:pStyle w:val="TableParagraph"/>
              <w:spacing w:before="25"/>
              <w:ind w:right="455"/>
              <w:jc w:val="right"/>
              <w:rPr>
                <w:sz w:val="14"/>
              </w:rPr>
            </w:pPr>
            <w:r>
              <w:rPr>
                <w:sz w:val="14"/>
              </w:rPr>
              <w:t>5 . 4 %</w:t>
            </w:r>
          </w:p>
        </w:tc>
        <w:tc>
          <w:tcPr>
            <w:tcW w:w="1610" w:type="dxa"/>
          </w:tcPr>
          <w:p>
            <w:pPr>
              <w:pStyle w:val="TableParagraph"/>
              <w:spacing w:before="25"/>
              <w:ind w:left="295"/>
              <w:rPr>
                <w:sz w:val="14"/>
              </w:rPr>
            </w:pPr>
            <w:r>
              <w:rPr>
                <w:sz w:val="14"/>
              </w:rPr>
              <w:t>145,368.6</w:t>
            </w:r>
          </w:p>
        </w:tc>
        <w:tc>
          <w:tcPr>
            <w:tcW w:w="1335" w:type="dxa"/>
          </w:tcPr>
          <w:p>
            <w:pPr>
              <w:pStyle w:val="TableParagraph"/>
              <w:spacing w:before="25"/>
              <w:ind w:left="389"/>
              <w:rPr>
                <w:sz w:val="14"/>
              </w:rPr>
            </w:pPr>
            <w:r>
              <w:rPr>
                <w:sz w:val="14"/>
              </w:rPr>
              <w:t>6 . 3 %</w:t>
            </w:r>
          </w:p>
        </w:tc>
        <w:tc>
          <w:tcPr>
            <w:tcW w:w="1246" w:type="dxa"/>
          </w:tcPr>
          <w:p>
            <w:pPr>
              <w:pStyle w:val="TableParagraph"/>
              <w:spacing w:before="25"/>
              <w:ind w:right="254"/>
              <w:jc w:val="right"/>
              <w:rPr>
                <w:sz w:val="14"/>
              </w:rPr>
            </w:pPr>
            <w:r>
              <w:rPr>
                <w:sz w:val="14"/>
              </w:rPr>
              <w:t>174,442.3</w:t>
            </w:r>
          </w:p>
        </w:tc>
        <w:tc>
          <w:tcPr>
            <w:tcW w:w="1259" w:type="dxa"/>
          </w:tcPr>
          <w:p>
            <w:pPr>
              <w:pStyle w:val="TableParagraph"/>
              <w:spacing w:before="25"/>
              <w:ind w:right="467"/>
              <w:jc w:val="right"/>
              <w:rPr>
                <w:sz w:val="14"/>
              </w:rPr>
            </w:pPr>
            <w:r>
              <w:rPr>
                <w:sz w:val="14"/>
              </w:rPr>
              <w:t>7 . 5 %</w:t>
            </w:r>
          </w:p>
        </w:tc>
      </w:tr>
    </w:tbl>
    <w:p>
      <w:pPr>
        <w:spacing w:after="0"/>
        <w:jc w:val="right"/>
        <w:rPr>
          <w:sz w:val="14"/>
        </w:rPr>
        <w:sectPr>
          <w:pgSz w:w="16840" w:h="11900" w:orient="landscape"/>
          <w:pgMar w:header="1059" w:footer="0" w:top="2460" w:bottom="280" w:left="880" w:right="920"/>
        </w:sectPr>
      </w:pPr>
    </w:p>
    <w:p>
      <w:pPr>
        <w:pStyle w:val="BodyText"/>
        <w:rPr>
          <w:rFonts w:ascii="Times New Roman"/>
          <w:sz w:val="6"/>
        </w:rPr>
      </w:pPr>
      <w:r>
        <w:rPr/>
        <w:pict>
          <v:shape style="position:absolute;margin-left:27.140491pt;margin-top:284.910004pt;width:14.35pt;height:22.25pt;mso-position-horizontal-relative:page;mso-position-vertical-relative:page;z-index:1624" type="#_x0000_t202" filled="false" stroked="false">
            <v:textbox inset="0,0,0,0" style="layout-flow:vertical">
              <w:txbxContent>
                <w:p>
                  <w:pPr>
                    <w:spacing w:before="13"/>
                    <w:ind w:left="20" w:right="0" w:firstLine="0"/>
                    <w:jc w:val="left"/>
                    <w:rPr>
                      <w:rFonts w:ascii="Arial"/>
                      <w:sz w:val="22"/>
                    </w:rPr>
                  </w:pPr>
                  <w:r>
                    <w:rPr>
                      <w:rFonts w:ascii="Arial"/>
                      <w:sz w:val="22"/>
                    </w:rPr>
                    <w:t>xxiv</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5532"/>
        <w:gridCol w:w="1925"/>
        <w:gridCol w:w="1414"/>
        <w:gridCol w:w="1580"/>
        <w:gridCol w:w="1420"/>
        <w:gridCol w:w="1187"/>
        <w:gridCol w:w="1257"/>
      </w:tblGrid>
      <w:tr>
        <w:trPr>
          <w:trHeight w:val="567" w:hRule="atLeast"/>
        </w:trPr>
        <w:tc>
          <w:tcPr>
            <w:tcW w:w="6003" w:type="dxa"/>
            <w:gridSpan w:val="2"/>
            <w:tcBorders>
              <w:bottom w:val="single" w:sz="18" w:space="0" w:color="000000"/>
            </w:tcBorders>
          </w:tcPr>
          <w:p>
            <w:pPr>
              <w:pStyle w:val="TableParagraph"/>
              <w:rPr>
                <w:rFonts w:ascii="Times New Roman"/>
                <w:sz w:val="14"/>
              </w:rPr>
            </w:pPr>
          </w:p>
        </w:tc>
        <w:tc>
          <w:tcPr>
            <w:tcW w:w="1925" w:type="dxa"/>
            <w:tcBorders>
              <w:bottom w:val="single" w:sz="18" w:space="0" w:color="000000"/>
            </w:tcBorders>
          </w:tcPr>
          <w:p>
            <w:pPr>
              <w:pStyle w:val="TableParagraph"/>
              <w:spacing w:before="29"/>
              <w:ind w:left="906" w:right="405"/>
              <w:jc w:val="center"/>
              <w:rPr>
                <w:b/>
                <w:sz w:val="14"/>
              </w:rPr>
            </w:pPr>
            <w:r>
              <w:rPr>
                <w:b/>
                <w:spacing w:val="2"/>
                <w:sz w:val="14"/>
              </w:rPr>
              <w:t>FY</w:t>
            </w:r>
            <w:r>
              <w:rPr>
                <w:b/>
                <w:spacing w:val="6"/>
                <w:sz w:val="14"/>
              </w:rPr>
              <w:t> </w:t>
            </w:r>
            <w:r>
              <w:rPr>
                <w:b/>
                <w:spacing w:val="4"/>
                <w:sz w:val="14"/>
              </w:rPr>
              <w:t>2020</w:t>
            </w:r>
          </w:p>
          <w:p>
            <w:pPr>
              <w:pStyle w:val="TableParagraph"/>
              <w:spacing w:before="17"/>
              <w:ind w:left="915" w:right="285"/>
              <w:jc w:val="center"/>
              <w:rPr>
                <w:sz w:val="14"/>
              </w:rPr>
            </w:pPr>
            <w:r>
              <w:rPr>
                <w:sz w:val="14"/>
              </w:rPr>
              <w:t>Budget</w:t>
            </w:r>
          </w:p>
        </w:tc>
        <w:tc>
          <w:tcPr>
            <w:tcW w:w="1414" w:type="dxa"/>
            <w:tcBorders>
              <w:bottom w:val="single" w:sz="18" w:space="0" w:color="000000"/>
            </w:tcBorders>
          </w:tcPr>
          <w:p>
            <w:pPr>
              <w:pStyle w:val="TableParagraph"/>
              <w:spacing w:line="264" w:lineRule="auto" w:before="29"/>
              <w:ind w:left="361" w:right="94" w:firstLine="91"/>
              <w:rPr>
                <w:sz w:val="14"/>
              </w:rPr>
            </w:pPr>
            <w:r>
              <w:rPr>
                <w:sz w:val="14"/>
              </w:rPr>
              <w:t>% of Total Non Int/ Sal</w:t>
            </w:r>
          </w:p>
        </w:tc>
        <w:tc>
          <w:tcPr>
            <w:tcW w:w="1580" w:type="dxa"/>
            <w:tcBorders>
              <w:bottom w:val="single" w:sz="18" w:space="0" w:color="000000"/>
            </w:tcBorders>
          </w:tcPr>
          <w:p>
            <w:pPr>
              <w:pStyle w:val="TableParagraph"/>
              <w:spacing w:before="29"/>
              <w:ind w:left="657"/>
              <w:rPr>
                <w:b/>
                <w:sz w:val="14"/>
              </w:rPr>
            </w:pPr>
            <w:r>
              <w:rPr>
                <w:b/>
                <w:spacing w:val="2"/>
                <w:sz w:val="14"/>
              </w:rPr>
              <w:t>FY</w:t>
            </w:r>
            <w:r>
              <w:rPr>
                <w:b/>
                <w:spacing w:val="6"/>
                <w:sz w:val="14"/>
              </w:rPr>
              <w:t> </w:t>
            </w:r>
            <w:r>
              <w:rPr>
                <w:b/>
                <w:spacing w:val="4"/>
                <w:sz w:val="14"/>
              </w:rPr>
              <w:t>2021</w:t>
            </w:r>
          </w:p>
          <w:p>
            <w:pPr>
              <w:pStyle w:val="TableParagraph"/>
              <w:spacing w:before="17"/>
              <w:ind w:left="599"/>
              <w:rPr>
                <w:sz w:val="14"/>
              </w:rPr>
            </w:pPr>
            <w:r>
              <w:rPr>
                <w:spacing w:val="3"/>
                <w:sz w:val="14"/>
              </w:rPr>
              <w:t>Indicative</w:t>
            </w:r>
          </w:p>
        </w:tc>
        <w:tc>
          <w:tcPr>
            <w:tcW w:w="1420" w:type="dxa"/>
            <w:tcBorders>
              <w:bottom w:val="single" w:sz="18" w:space="0" w:color="000000"/>
            </w:tcBorders>
          </w:tcPr>
          <w:p>
            <w:pPr>
              <w:pStyle w:val="TableParagraph"/>
              <w:spacing w:line="249" w:lineRule="auto" w:before="29"/>
              <w:ind w:left="430" w:right="233" w:firstLine="86"/>
              <w:jc w:val="both"/>
              <w:rPr>
                <w:sz w:val="14"/>
              </w:rPr>
            </w:pPr>
            <w:r>
              <w:rPr>
                <w:sz w:val="14"/>
              </w:rPr>
              <w:t>% of Total Non Int/ Sal Recurr Exp</w:t>
            </w:r>
          </w:p>
        </w:tc>
        <w:tc>
          <w:tcPr>
            <w:tcW w:w="1187" w:type="dxa"/>
            <w:tcBorders>
              <w:bottom w:val="single" w:sz="18" w:space="0" w:color="000000"/>
            </w:tcBorders>
          </w:tcPr>
          <w:p>
            <w:pPr>
              <w:pStyle w:val="TableParagraph"/>
              <w:spacing w:before="29"/>
              <w:ind w:right="189"/>
              <w:jc w:val="right"/>
              <w:rPr>
                <w:b/>
                <w:sz w:val="14"/>
              </w:rPr>
            </w:pPr>
            <w:r>
              <w:rPr>
                <w:b/>
                <w:sz w:val="14"/>
              </w:rPr>
              <w:t>FY 2022</w:t>
            </w:r>
          </w:p>
        </w:tc>
        <w:tc>
          <w:tcPr>
            <w:tcW w:w="1257" w:type="dxa"/>
            <w:tcBorders>
              <w:bottom w:val="single" w:sz="18" w:space="0" w:color="000000"/>
            </w:tcBorders>
          </w:tcPr>
          <w:p>
            <w:pPr>
              <w:pStyle w:val="TableParagraph"/>
              <w:spacing w:line="249" w:lineRule="auto" w:before="29"/>
              <w:ind w:left="203" w:right="296" w:firstLine="86"/>
              <w:jc w:val="both"/>
              <w:rPr>
                <w:sz w:val="14"/>
              </w:rPr>
            </w:pPr>
            <w:r>
              <w:rPr>
                <w:sz w:val="14"/>
              </w:rPr>
              <w:t>% of Total Non Int/ Sal Recurr Exp</w:t>
            </w:r>
          </w:p>
        </w:tc>
      </w:tr>
      <w:tr>
        <w:trPr>
          <w:trHeight w:val="507" w:hRule="atLeast"/>
        </w:trPr>
        <w:tc>
          <w:tcPr>
            <w:tcW w:w="471" w:type="dxa"/>
            <w:tcBorders>
              <w:top w:val="single" w:sz="18" w:space="0" w:color="000000"/>
            </w:tcBorders>
          </w:tcPr>
          <w:p>
            <w:pPr>
              <w:pStyle w:val="TableParagraph"/>
              <w:rPr>
                <w:rFonts w:ascii="Times New Roman"/>
                <w:sz w:val="16"/>
              </w:rPr>
            </w:pPr>
          </w:p>
          <w:p>
            <w:pPr>
              <w:pStyle w:val="TableParagraph"/>
              <w:spacing w:before="130"/>
              <w:ind w:right="92"/>
              <w:jc w:val="right"/>
              <w:rPr>
                <w:sz w:val="14"/>
              </w:rPr>
            </w:pPr>
            <w:r>
              <w:rPr>
                <w:w w:val="95"/>
                <w:sz w:val="14"/>
              </w:rPr>
              <w:t>412</w:t>
            </w:r>
          </w:p>
        </w:tc>
        <w:tc>
          <w:tcPr>
            <w:tcW w:w="5532" w:type="dxa"/>
            <w:tcBorders>
              <w:top w:val="single" w:sz="18" w:space="0" w:color="000000"/>
            </w:tcBorders>
          </w:tcPr>
          <w:p>
            <w:pPr>
              <w:pStyle w:val="TableParagraph"/>
              <w:rPr>
                <w:rFonts w:ascii="Times New Roman"/>
                <w:sz w:val="16"/>
              </w:rPr>
            </w:pPr>
          </w:p>
          <w:p>
            <w:pPr>
              <w:pStyle w:val="TableParagraph"/>
              <w:spacing w:before="130"/>
              <w:ind w:left="95"/>
              <w:rPr>
                <w:sz w:val="14"/>
              </w:rPr>
            </w:pPr>
            <w:r>
              <w:rPr>
                <w:sz w:val="14"/>
              </w:rPr>
              <w:t>National Telecommunications Commission</w:t>
            </w:r>
          </w:p>
        </w:tc>
        <w:tc>
          <w:tcPr>
            <w:tcW w:w="1925" w:type="dxa"/>
            <w:tcBorders>
              <w:top w:val="single" w:sz="18" w:space="0" w:color="000000"/>
            </w:tcBorders>
          </w:tcPr>
          <w:p>
            <w:pPr>
              <w:pStyle w:val="TableParagraph"/>
              <w:rPr>
                <w:rFonts w:ascii="Times New Roman"/>
                <w:sz w:val="16"/>
              </w:rPr>
            </w:pPr>
          </w:p>
          <w:p>
            <w:pPr>
              <w:pStyle w:val="TableParagraph"/>
              <w:spacing w:before="130"/>
              <w:ind w:right="454"/>
              <w:jc w:val="right"/>
              <w:rPr>
                <w:b/>
                <w:sz w:val="14"/>
              </w:rPr>
            </w:pPr>
            <w:r>
              <w:rPr>
                <w:b/>
                <w:sz w:val="14"/>
              </w:rPr>
              <w:t>167,640.7</w:t>
            </w:r>
          </w:p>
        </w:tc>
        <w:tc>
          <w:tcPr>
            <w:tcW w:w="1414" w:type="dxa"/>
            <w:tcBorders>
              <w:top w:val="single" w:sz="18" w:space="0" w:color="000000"/>
            </w:tcBorders>
          </w:tcPr>
          <w:p>
            <w:pPr>
              <w:pStyle w:val="TableParagraph"/>
              <w:rPr>
                <w:rFonts w:ascii="Times New Roman"/>
                <w:sz w:val="16"/>
              </w:rPr>
            </w:pPr>
          </w:p>
          <w:p>
            <w:pPr>
              <w:pStyle w:val="TableParagraph"/>
              <w:spacing w:before="130"/>
              <w:ind w:right="453"/>
              <w:jc w:val="right"/>
              <w:rPr>
                <w:sz w:val="14"/>
              </w:rPr>
            </w:pPr>
            <w:r>
              <w:rPr>
                <w:sz w:val="14"/>
              </w:rPr>
              <w:t>7 . 2 %</w:t>
            </w:r>
          </w:p>
        </w:tc>
        <w:tc>
          <w:tcPr>
            <w:tcW w:w="1580" w:type="dxa"/>
            <w:tcBorders>
              <w:top w:val="single" w:sz="18" w:space="0" w:color="000000"/>
            </w:tcBorders>
          </w:tcPr>
          <w:p>
            <w:pPr>
              <w:pStyle w:val="TableParagraph"/>
              <w:rPr>
                <w:rFonts w:ascii="Times New Roman"/>
                <w:sz w:val="16"/>
              </w:rPr>
            </w:pPr>
          </w:p>
          <w:p>
            <w:pPr>
              <w:pStyle w:val="TableParagraph"/>
              <w:spacing w:before="130"/>
              <w:ind w:right="588"/>
              <w:jc w:val="right"/>
              <w:rPr>
                <w:sz w:val="14"/>
              </w:rPr>
            </w:pPr>
            <w:r>
              <w:rPr>
                <w:sz w:val="14"/>
              </w:rPr>
              <w:t>146,991.0</w:t>
            </w:r>
          </w:p>
        </w:tc>
        <w:tc>
          <w:tcPr>
            <w:tcW w:w="1420" w:type="dxa"/>
            <w:tcBorders>
              <w:top w:val="single" w:sz="18" w:space="0" w:color="000000"/>
            </w:tcBorders>
          </w:tcPr>
          <w:p>
            <w:pPr>
              <w:pStyle w:val="TableParagraph"/>
              <w:rPr>
                <w:rFonts w:ascii="Times New Roman"/>
                <w:sz w:val="16"/>
              </w:rPr>
            </w:pPr>
          </w:p>
          <w:p>
            <w:pPr>
              <w:pStyle w:val="TableParagraph"/>
              <w:spacing w:before="130"/>
              <w:ind w:right="621"/>
              <w:jc w:val="right"/>
              <w:rPr>
                <w:sz w:val="14"/>
              </w:rPr>
            </w:pPr>
            <w:r>
              <w:rPr>
                <w:sz w:val="14"/>
              </w:rPr>
              <w:t>6 . 4 %</w:t>
            </w:r>
          </w:p>
        </w:tc>
        <w:tc>
          <w:tcPr>
            <w:tcW w:w="1187" w:type="dxa"/>
            <w:tcBorders>
              <w:top w:val="single" w:sz="18" w:space="0" w:color="000000"/>
            </w:tcBorders>
          </w:tcPr>
          <w:p>
            <w:pPr>
              <w:pStyle w:val="TableParagraph"/>
              <w:rPr>
                <w:rFonts w:ascii="Times New Roman"/>
                <w:sz w:val="16"/>
              </w:rPr>
            </w:pPr>
          </w:p>
          <w:p>
            <w:pPr>
              <w:pStyle w:val="TableParagraph"/>
              <w:spacing w:before="130"/>
              <w:ind w:right="248"/>
              <w:jc w:val="right"/>
              <w:rPr>
                <w:sz w:val="14"/>
              </w:rPr>
            </w:pPr>
            <w:r>
              <w:rPr>
                <w:sz w:val="14"/>
              </w:rPr>
              <w:t>179,995.9</w:t>
            </w:r>
          </w:p>
        </w:tc>
        <w:tc>
          <w:tcPr>
            <w:tcW w:w="1257" w:type="dxa"/>
            <w:tcBorders>
              <w:top w:val="single" w:sz="18" w:space="0" w:color="000000"/>
            </w:tcBorders>
          </w:tcPr>
          <w:p>
            <w:pPr>
              <w:pStyle w:val="TableParagraph"/>
              <w:rPr>
                <w:rFonts w:ascii="Times New Roman"/>
                <w:sz w:val="16"/>
              </w:rPr>
            </w:pPr>
          </w:p>
          <w:p>
            <w:pPr>
              <w:pStyle w:val="TableParagraph"/>
              <w:spacing w:before="130"/>
              <w:ind w:right="459"/>
              <w:jc w:val="right"/>
              <w:rPr>
                <w:sz w:val="14"/>
              </w:rPr>
            </w:pPr>
            <w:r>
              <w:rPr>
                <w:sz w:val="14"/>
              </w:rPr>
              <w:t>7 . 8 %</w:t>
            </w:r>
          </w:p>
        </w:tc>
      </w:tr>
      <w:tr>
        <w:trPr>
          <w:trHeight w:val="220" w:hRule="atLeast"/>
        </w:trPr>
        <w:tc>
          <w:tcPr>
            <w:tcW w:w="471" w:type="dxa"/>
          </w:tcPr>
          <w:p>
            <w:pPr>
              <w:pStyle w:val="TableParagraph"/>
              <w:spacing w:before="27"/>
              <w:ind w:right="92"/>
              <w:jc w:val="right"/>
              <w:rPr>
                <w:sz w:val="14"/>
              </w:rPr>
            </w:pPr>
            <w:r>
              <w:rPr>
                <w:w w:val="95"/>
                <w:sz w:val="14"/>
              </w:rPr>
              <w:t>416</w:t>
            </w:r>
          </w:p>
        </w:tc>
        <w:tc>
          <w:tcPr>
            <w:tcW w:w="5532" w:type="dxa"/>
          </w:tcPr>
          <w:p>
            <w:pPr>
              <w:pStyle w:val="TableParagraph"/>
              <w:spacing w:before="27"/>
              <w:ind w:left="95"/>
              <w:rPr>
                <w:sz w:val="14"/>
              </w:rPr>
            </w:pPr>
            <w:r>
              <w:rPr>
                <w:sz w:val="14"/>
              </w:rPr>
              <w:t>Civil Aviation Authority</w:t>
            </w:r>
          </w:p>
        </w:tc>
        <w:tc>
          <w:tcPr>
            <w:tcW w:w="1925" w:type="dxa"/>
          </w:tcPr>
          <w:p>
            <w:pPr>
              <w:pStyle w:val="TableParagraph"/>
              <w:spacing w:before="27"/>
              <w:ind w:right="446"/>
              <w:jc w:val="right"/>
              <w:rPr>
                <w:b/>
                <w:sz w:val="14"/>
              </w:rPr>
            </w:pPr>
            <w:r>
              <w:rPr>
                <w:b/>
                <w:sz w:val="14"/>
              </w:rPr>
              <w:t>43,238.3</w:t>
            </w:r>
          </w:p>
        </w:tc>
        <w:tc>
          <w:tcPr>
            <w:tcW w:w="1414" w:type="dxa"/>
          </w:tcPr>
          <w:p>
            <w:pPr>
              <w:pStyle w:val="TableParagraph"/>
              <w:spacing w:before="27"/>
              <w:ind w:right="453"/>
              <w:jc w:val="right"/>
              <w:rPr>
                <w:sz w:val="14"/>
              </w:rPr>
            </w:pPr>
            <w:r>
              <w:rPr>
                <w:sz w:val="14"/>
              </w:rPr>
              <w:t>1 . 9 %</w:t>
            </w:r>
          </w:p>
        </w:tc>
        <w:tc>
          <w:tcPr>
            <w:tcW w:w="1580" w:type="dxa"/>
          </w:tcPr>
          <w:p>
            <w:pPr>
              <w:pStyle w:val="TableParagraph"/>
              <w:spacing w:before="27"/>
              <w:ind w:right="583"/>
              <w:jc w:val="right"/>
              <w:rPr>
                <w:sz w:val="14"/>
              </w:rPr>
            </w:pPr>
            <w:r>
              <w:rPr>
                <w:sz w:val="14"/>
              </w:rPr>
              <w:t>27,095.1</w:t>
            </w:r>
          </w:p>
        </w:tc>
        <w:tc>
          <w:tcPr>
            <w:tcW w:w="1420" w:type="dxa"/>
          </w:tcPr>
          <w:p>
            <w:pPr>
              <w:pStyle w:val="TableParagraph"/>
              <w:spacing w:before="27"/>
              <w:ind w:right="621"/>
              <w:jc w:val="right"/>
              <w:rPr>
                <w:sz w:val="14"/>
              </w:rPr>
            </w:pPr>
            <w:r>
              <w:rPr>
                <w:sz w:val="14"/>
              </w:rPr>
              <w:t>1 . 2 %</w:t>
            </w:r>
          </w:p>
        </w:tc>
        <w:tc>
          <w:tcPr>
            <w:tcW w:w="1187" w:type="dxa"/>
          </w:tcPr>
          <w:p>
            <w:pPr>
              <w:pStyle w:val="TableParagraph"/>
              <w:spacing w:before="27"/>
              <w:ind w:right="243"/>
              <w:jc w:val="right"/>
              <w:rPr>
                <w:sz w:val="14"/>
              </w:rPr>
            </w:pPr>
            <w:r>
              <w:rPr>
                <w:sz w:val="14"/>
              </w:rPr>
              <w:t>31,804.2</w:t>
            </w:r>
          </w:p>
        </w:tc>
        <w:tc>
          <w:tcPr>
            <w:tcW w:w="1257" w:type="dxa"/>
          </w:tcPr>
          <w:p>
            <w:pPr>
              <w:pStyle w:val="TableParagraph"/>
              <w:spacing w:before="27"/>
              <w:ind w:right="459"/>
              <w:jc w:val="right"/>
              <w:rPr>
                <w:sz w:val="14"/>
              </w:rPr>
            </w:pPr>
            <w:r>
              <w:rPr>
                <w:sz w:val="14"/>
              </w:rPr>
              <w:t>1 . 4 %</w:t>
            </w:r>
          </w:p>
        </w:tc>
      </w:tr>
      <w:tr>
        <w:trPr>
          <w:trHeight w:val="220" w:hRule="atLeast"/>
        </w:trPr>
        <w:tc>
          <w:tcPr>
            <w:tcW w:w="471" w:type="dxa"/>
          </w:tcPr>
          <w:p>
            <w:pPr>
              <w:pStyle w:val="TableParagraph"/>
              <w:spacing w:before="27"/>
              <w:ind w:right="92"/>
              <w:jc w:val="right"/>
              <w:rPr>
                <w:sz w:val="14"/>
              </w:rPr>
            </w:pPr>
            <w:r>
              <w:rPr>
                <w:w w:val="95"/>
                <w:sz w:val="14"/>
              </w:rPr>
              <w:t>423</w:t>
            </w:r>
          </w:p>
        </w:tc>
        <w:tc>
          <w:tcPr>
            <w:tcW w:w="5532" w:type="dxa"/>
          </w:tcPr>
          <w:p>
            <w:pPr>
              <w:pStyle w:val="TableParagraph"/>
              <w:spacing w:before="27"/>
              <w:ind w:left="95"/>
              <w:rPr>
                <w:sz w:val="14"/>
              </w:rPr>
            </w:pPr>
            <w:r>
              <w:rPr>
                <w:sz w:val="14"/>
              </w:rPr>
              <w:t>Sierra Leone Petroleum Regulation Agency</w:t>
            </w:r>
          </w:p>
        </w:tc>
        <w:tc>
          <w:tcPr>
            <w:tcW w:w="1925" w:type="dxa"/>
          </w:tcPr>
          <w:p>
            <w:pPr>
              <w:pStyle w:val="TableParagraph"/>
              <w:spacing w:before="27"/>
              <w:ind w:right="446"/>
              <w:jc w:val="right"/>
              <w:rPr>
                <w:b/>
                <w:sz w:val="14"/>
              </w:rPr>
            </w:pPr>
            <w:r>
              <w:rPr>
                <w:b/>
                <w:sz w:val="14"/>
              </w:rPr>
              <w:t>10,216.7</w:t>
            </w:r>
          </w:p>
        </w:tc>
        <w:tc>
          <w:tcPr>
            <w:tcW w:w="1414" w:type="dxa"/>
          </w:tcPr>
          <w:p>
            <w:pPr>
              <w:pStyle w:val="TableParagraph"/>
              <w:spacing w:before="27"/>
              <w:ind w:right="453"/>
              <w:jc w:val="right"/>
              <w:rPr>
                <w:sz w:val="14"/>
              </w:rPr>
            </w:pPr>
            <w:r>
              <w:rPr>
                <w:sz w:val="14"/>
              </w:rPr>
              <w:t>0 . 4 %</w:t>
            </w:r>
          </w:p>
        </w:tc>
        <w:tc>
          <w:tcPr>
            <w:tcW w:w="1580" w:type="dxa"/>
          </w:tcPr>
          <w:p>
            <w:pPr>
              <w:pStyle w:val="TableParagraph"/>
              <w:spacing w:before="27"/>
              <w:ind w:right="583"/>
              <w:jc w:val="right"/>
              <w:rPr>
                <w:sz w:val="14"/>
              </w:rPr>
            </w:pPr>
            <w:r>
              <w:rPr>
                <w:sz w:val="14"/>
              </w:rPr>
              <w:t>11,128.0</w:t>
            </w:r>
          </w:p>
        </w:tc>
        <w:tc>
          <w:tcPr>
            <w:tcW w:w="1420" w:type="dxa"/>
          </w:tcPr>
          <w:p>
            <w:pPr>
              <w:pStyle w:val="TableParagraph"/>
              <w:spacing w:before="27"/>
              <w:ind w:right="621"/>
              <w:jc w:val="right"/>
              <w:rPr>
                <w:sz w:val="14"/>
              </w:rPr>
            </w:pPr>
            <w:r>
              <w:rPr>
                <w:sz w:val="14"/>
              </w:rPr>
              <w:t>0 . 5 %</w:t>
            </w:r>
          </w:p>
        </w:tc>
        <w:tc>
          <w:tcPr>
            <w:tcW w:w="1187" w:type="dxa"/>
          </w:tcPr>
          <w:p>
            <w:pPr>
              <w:pStyle w:val="TableParagraph"/>
              <w:spacing w:before="27"/>
              <w:ind w:right="243"/>
              <w:jc w:val="right"/>
              <w:rPr>
                <w:sz w:val="14"/>
              </w:rPr>
            </w:pPr>
            <w:r>
              <w:rPr>
                <w:sz w:val="14"/>
              </w:rPr>
              <w:t>13,062.1</w:t>
            </w:r>
          </w:p>
        </w:tc>
        <w:tc>
          <w:tcPr>
            <w:tcW w:w="1257" w:type="dxa"/>
          </w:tcPr>
          <w:p>
            <w:pPr>
              <w:pStyle w:val="TableParagraph"/>
              <w:spacing w:before="27"/>
              <w:ind w:right="459"/>
              <w:jc w:val="right"/>
              <w:rPr>
                <w:sz w:val="14"/>
              </w:rPr>
            </w:pPr>
            <w:r>
              <w:rPr>
                <w:sz w:val="14"/>
              </w:rPr>
              <w:t>0 . 6 %</w:t>
            </w:r>
          </w:p>
        </w:tc>
      </w:tr>
      <w:tr>
        <w:trPr>
          <w:trHeight w:val="218" w:hRule="atLeast"/>
        </w:trPr>
        <w:tc>
          <w:tcPr>
            <w:tcW w:w="471" w:type="dxa"/>
          </w:tcPr>
          <w:p>
            <w:pPr>
              <w:pStyle w:val="TableParagraph"/>
              <w:spacing w:before="27"/>
              <w:ind w:right="92"/>
              <w:jc w:val="right"/>
              <w:rPr>
                <w:sz w:val="14"/>
              </w:rPr>
            </w:pPr>
            <w:r>
              <w:rPr>
                <w:w w:val="95"/>
                <w:sz w:val="14"/>
              </w:rPr>
              <w:t>701</w:t>
            </w:r>
          </w:p>
        </w:tc>
        <w:tc>
          <w:tcPr>
            <w:tcW w:w="5532" w:type="dxa"/>
          </w:tcPr>
          <w:p>
            <w:pPr>
              <w:pStyle w:val="TableParagraph"/>
              <w:spacing w:before="27"/>
              <w:ind w:left="96"/>
              <w:rPr>
                <w:sz w:val="14"/>
              </w:rPr>
            </w:pPr>
            <w:r>
              <w:rPr>
                <w:sz w:val="14"/>
              </w:rPr>
              <w:t>Devolved Function - Sensitisation on Fire Prevention Services</w:t>
            </w:r>
          </w:p>
        </w:tc>
        <w:tc>
          <w:tcPr>
            <w:tcW w:w="1925" w:type="dxa"/>
          </w:tcPr>
          <w:p>
            <w:pPr>
              <w:pStyle w:val="TableParagraph"/>
              <w:spacing w:before="27"/>
              <w:ind w:right="428"/>
              <w:jc w:val="right"/>
              <w:rPr>
                <w:b/>
                <w:sz w:val="14"/>
              </w:rPr>
            </w:pPr>
            <w:r>
              <w:rPr>
                <w:b/>
                <w:sz w:val="14"/>
              </w:rPr>
              <w:t>742.1</w:t>
            </w:r>
          </w:p>
        </w:tc>
        <w:tc>
          <w:tcPr>
            <w:tcW w:w="1414" w:type="dxa"/>
          </w:tcPr>
          <w:p>
            <w:pPr>
              <w:pStyle w:val="TableParagraph"/>
              <w:spacing w:before="27"/>
              <w:ind w:right="453"/>
              <w:jc w:val="right"/>
              <w:rPr>
                <w:sz w:val="14"/>
              </w:rPr>
            </w:pPr>
            <w:r>
              <w:rPr>
                <w:sz w:val="14"/>
              </w:rPr>
              <w:t>0 . 0 %</w:t>
            </w:r>
          </w:p>
        </w:tc>
        <w:tc>
          <w:tcPr>
            <w:tcW w:w="1580" w:type="dxa"/>
          </w:tcPr>
          <w:p>
            <w:pPr>
              <w:pStyle w:val="TableParagraph"/>
              <w:spacing w:before="27"/>
              <w:ind w:right="572"/>
              <w:jc w:val="right"/>
              <w:rPr>
                <w:sz w:val="14"/>
              </w:rPr>
            </w:pPr>
            <w:r>
              <w:rPr>
                <w:sz w:val="14"/>
              </w:rPr>
              <w:t>808.3</w:t>
            </w:r>
          </w:p>
        </w:tc>
        <w:tc>
          <w:tcPr>
            <w:tcW w:w="1420" w:type="dxa"/>
          </w:tcPr>
          <w:p>
            <w:pPr>
              <w:pStyle w:val="TableParagraph"/>
              <w:spacing w:before="27"/>
              <w:ind w:right="621"/>
              <w:jc w:val="right"/>
              <w:rPr>
                <w:sz w:val="14"/>
              </w:rPr>
            </w:pPr>
            <w:r>
              <w:rPr>
                <w:sz w:val="14"/>
              </w:rPr>
              <w:t>0 . 0 %</w:t>
            </w:r>
          </w:p>
        </w:tc>
        <w:tc>
          <w:tcPr>
            <w:tcW w:w="1187" w:type="dxa"/>
          </w:tcPr>
          <w:p>
            <w:pPr>
              <w:pStyle w:val="TableParagraph"/>
              <w:spacing w:before="27"/>
              <w:ind w:right="231"/>
              <w:jc w:val="right"/>
              <w:rPr>
                <w:sz w:val="14"/>
              </w:rPr>
            </w:pPr>
            <w:r>
              <w:rPr>
                <w:sz w:val="14"/>
              </w:rPr>
              <w:t>948.7</w:t>
            </w:r>
          </w:p>
        </w:tc>
        <w:tc>
          <w:tcPr>
            <w:tcW w:w="1257" w:type="dxa"/>
          </w:tcPr>
          <w:p>
            <w:pPr>
              <w:pStyle w:val="TableParagraph"/>
              <w:spacing w:before="27"/>
              <w:ind w:right="459"/>
              <w:jc w:val="right"/>
              <w:rPr>
                <w:sz w:val="14"/>
              </w:rPr>
            </w:pPr>
            <w:r>
              <w:rPr>
                <w:sz w:val="14"/>
              </w:rPr>
              <w:t>0 . 0 %</w:t>
            </w:r>
          </w:p>
        </w:tc>
      </w:tr>
      <w:tr>
        <w:trPr>
          <w:trHeight w:val="220" w:hRule="atLeast"/>
        </w:trPr>
        <w:tc>
          <w:tcPr>
            <w:tcW w:w="471" w:type="dxa"/>
          </w:tcPr>
          <w:p>
            <w:pPr>
              <w:pStyle w:val="TableParagraph"/>
              <w:spacing w:before="25"/>
              <w:ind w:right="92"/>
              <w:jc w:val="right"/>
              <w:rPr>
                <w:sz w:val="14"/>
              </w:rPr>
            </w:pPr>
            <w:r>
              <w:rPr>
                <w:w w:val="95"/>
                <w:sz w:val="14"/>
              </w:rPr>
              <w:t>701</w:t>
            </w:r>
          </w:p>
        </w:tc>
        <w:tc>
          <w:tcPr>
            <w:tcW w:w="5532" w:type="dxa"/>
          </w:tcPr>
          <w:p>
            <w:pPr>
              <w:pStyle w:val="TableParagraph"/>
              <w:spacing w:before="25"/>
              <w:ind w:left="95"/>
              <w:rPr>
                <w:sz w:val="14"/>
              </w:rPr>
            </w:pPr>
            <w:r>
              <w:rPr>
                <w:sz w:val="14"/>
              </w:rPr>
              <w:t>Local Government Administration Grants</w:t>
            </w:r>
          </w:p>
        </w:tc>
        <w:tc>
          <w:tcPr>
            <w:tcW w:w="1925" w:type="dxa"/>
          </w:tcPr>
          <w:p>
            <w:pPr>
              <w:pStyle w:val="TableParagraph"/>
              <w:spacing w:before="25"/>
              <w:ind w:right="439"/>
              <w:jc w:val="right"/>
              <w:rPr>
                <w:b/>
                <w:sz w:val="14"/>
              </w:rPr>
            </w:pPr>
            <w:r>
              <w:rPr>
                <w:b/>
                <w:sz w:val="14"/>
              </w:rPr>
              <w:t>4,071.6</w:t>
            </w:r>
          </w:p>
        </w:tc>
        <w:tc>
          <w:tcPr>
            <w:tcW w:w="1414" w:type="dxa"/>
          </w:tcPr>
          <w:p>
            <w:pPr>
              <w:pStyle w:val="TableParagraph"/>
              <w:spacing w:before="25"/>
              <w:ind w:right="453"/>
              <w:jc w:val="right"/>
              <w:rPr>
                <w:sz w:val="14"/>
              </w:rPr>
            </w:pPr>
            <w:r>
              <w:rPr>
                <w:sz w:val="14"/>
              </w:rPr>
              <w:t>0 . 2 %</w:t>
            </w:r>
          </w:p>
        </w:tc>
        <w:tc>
          <w:tcPr>
            <w:tcW w:w="1580" w:type="dxa"/>
          </w:tcPr>
          <w:p>
            <w:pPr>
              <w:pStyle w:val="TableParagraph"/>
              <w:spacing w:before="25"/>
              <w:ind w:right="579"/>
              <w:jc w:val="right"/>
              <w:rPr>
                <w:sz w:val="14"/>
              </w:rPr>
            </w:pPr>
            <w:r>
              <w:rPr>
                <w:sz w:val="14"/>
              </w:rPr>
              <w:t>4,275 .2</w:t>
            </w:r>
          </w:p>
        </w:tc>
        <w:tc>
          <w:tcPr>
            <w:tcW w:w="1420" w:type="dxa"/>
          </w:tcPr>
          <w:p>
            <w:pPr>
              <w:pStyle w:val="TableParagraph"/>
              <w:spacing w:before="25"/>
              <w:ind w:right="621"/>
              <w:jc w:val="right"/>
              <w:rPr>
                <w:sz w:val="14"/>
              </w:rPr>
            </w:pPr>
            <w:r>
              <w:rPr>
                <w:sz w:val="14"/>
              </w:rPr>
              <w:t>0 . 2 %</w:t>
            </w:r>
          </w:p>
        </w:tc>
        <w:tc>
          <w:tcPr>
            <w:tcW w:w="1187" w:type="dxa"/>
          </w:tcPr>
          <w:p>
            <w:pPr>
              <w:pStyle w:val="TableParagraph"/>
              <w:spacing w:before="25"/>
              <w:ind w:right="234"/>
              <w:jc w:val="right"/>
              <w:rPr>
                <w:sz w:val="14"/>
              </w:rPr>
            </w:pPr>
            <w:r>
              <w:rPr>
                <w:sz w:val="14"/>
              </w:rPr>
              <w:t>5,130 .2</w:t>
            </w:r>
          </w:p>
        </w:tc>
        <w:tc>
          <w:tcPr>
            <w:tcW w:w="1257" w:type="dxa"/>
          </w:tcPr>
          <w:p>
            <w:pPr>
              <w:pStyle w:val="TableParagraph"/>
              <w:spacing w:before="25"/>
              <w:ind w:right="459"/>
              <w:jc w:val="right"/>
              <w:rPr>
                <w:sz w:val="14"/>
              </w:rPr>
            </w:pPr>
            <w:r>
              <w:rPr>
                <w:sz w:val="14"/>
              </w:rPr>
              <w:t>0 . 2 %</w:t>
            </w:r>
          </w:p>
        </w:tc>
      </w:tr>
      <w:tr>
        <w:trPr>
          <w:trHeight w:val="549" w:hRule="atLeast"/>
        </w:trPr>
        <w:tc>
          <w:tcPr>
            <w:tcW w:w="14786" w:type="dxa"/>
            <w:gridSpan w:val="8"/>
          </w:tcPr>
          <w:p>
            <w:pPr>
              <w:pStyle w:val="TableParagraph"/>
              <w:spacing w:before="4"/>
              <w:rPr>
                <w:rFonts w:ascii="Times New Roman"/>
                <w:sz w:val="21"/>
              </w:rPr>
            </w:pPr>
          </w:p>
          <w:p>
            <w:pPr>
              <w:pStyle w:val="TableParagraph"/>
              <w:tabs>
                <w:tab w:pos="6831" w:val="left" w:leader="none"/>
                <w:tab w:pos="8510" w:val="left" w:leader="none"/>
                <w:tab w:pos="9638" w:val="left" w:leader="none"/>
                <w:tab w:pos="11251" w:val="left" w:leader="none"/>
                <w:tab w:pos="12586" w:val="left" w:leader="none"/>
                <w:tab w:pos="13949" w:val="left" w:leader="none"/>
              </w:tabs>
              <w:rPr>
                <w:sz w:val="14"/>
              </w:rPr>
            </w:pPr>
            <w:r>
              <w:rPr>
                <w:b/>
                <w:spacing w:val="2"/>
                <w:sz w:val="14"/>
              </w:rPr>
              <w:t>CLUSTER </w:t>
            </w:r>
            <w:r>
              <w:rPr>
                <w:b/>
                <w:sz w:val="14"/>
              </w:rPr>
              <w:t>5  </w:t>
            </w:r>
            <w:r>
              <w:rPr>
                <w:b/>
                <w:spacing w:val="3"/>
                <w:sz w:val="14"/>
              </w:rPr>
              <w:t>INFRASTRUCTURE </w:t>
            </w:r>
            <w:r>
              <w:rPr>
                <w:b/>
                <w:sz w:val="14"/>
              </w:rPr>
              <w:t>AND</w:t>
            </w:r>
            <w:r>
              <w:rPr>
                <w:b/>
                <w:spacing w:val="26"/>
                <w:sz w:val="14"/>
              </w:rPr>
              <w:t> </w:t>
            </w:r>
            <w:r>
              <w:rPr>
                <w:b/>
                <w:spacing w:val="3"/>
                <w:sz w:val="14"/>
              </w:rPr>
              <w:t>ECONOMIC</w:t>
            </w:r>
            <w:r>
              <w:rPr>
                <w:b/>
                <w:spacing w:val="-3"/>
                <w:sz w:val="14"/>
              </w:rPr>
              <w:t> </w:t>
            </w:r>
            <w:r>
              <w:rPr>
                <w:b/>
                <w:spacing w:val="4"/>
                <w:sz w:val="14"/>
              </w:rPr>
              <w:t>COMPETITIVENESS</w:t>
              <w:tab/>
            </w:r>
            <w:r>
              <w:rPr>
                <w:b/>
                <w:sz w:val="14"/>
              </w:rPr>
              <w:t>225,973.7</w:t>
              <w:tab/>
            </w:r>
            <w:r>
              <w:rPr>
                <w:sz w:val="14"/>
              </w:rPr>
              <w:t>9</w:t>
            </w:r>
            <w:r>
              <w:rPr>
                <w:spacing w:val="-21"/>
                <w:sz w:val="14"/>
              </w:rPr>
              <w:t> </w:t>
            </w:r>
            <w:r>
              <w:rPr>
                <w:sz w:val="14"/>
              </w:rPr>
              <w:t>.</w:t>
            </w:r>
            <w:r>
              <w:rPr>
                <w:spacing w:val="-18"/>
                <w:sz w:val="14"/>
              </w:rPr>
              <w:t> </w:t>
            </w:r>
            <w:r>
              <w:rPr>
                <w:sz w:val="14"/>
              </w:rPr>
              <w:t>8</w:t>
            </w:r>
            <w:r>
              <w:rPr>
                <w:spacing w:val="-22"/>
                <w:sz w:val="14"/>
              </w:rPr>
              <w:t> </w:t>
            </w:r>
            <w:r>
              <w:rPr>
                <w:sz w:val="14"/>
              </w:rPr>
              <w:t>%</w:t>
              <w:tab/>
            </w:r>
            <w:r>
              <w:rPr>
                <w:spacing w:val="7"/>
                <w:sz w:val="14"/>
              </w:rPr>
              <w:t>268,316.1</w:t>
              <w:tab/>
            </w:r>
            <w:r>
              <w:rPr>
                <w:sz w:val="14"/>
              </w:rPr>
              <w:t>1</w:t>
            </w:r>
            <w:r>
              <w:rPr>
                <w:spacing w:val="-20"/>
                <w:sz w:val="14"/>
              </w:rPr>
              <w:t> </w:t>
            </w:r>
            <w:r>
              <w:rPr>
                <w:sz w:val="14"/>
              </w:rPr>
              <w:t>1</w:t>
            </w:r>
            <w:r>
              <w:rPr>
                <w:spacing w:val="-26"/>
                <w:sz w:val="14"/>
              </w:rPr>
              <w:t> </w:t>
            </w:r>
            <w:r>
              <w:rPr>
                <w:sz w:val="14"/>
              </w:rPr>
              <w:t>.</w:t>
            </w:r>
            <w:r>
              <w:rPr>
                <w:spacing w:val="-23"/>
                <w:sz w:val="14"/>
              </w:rPr>
              <w:t> </w:t>
            </w:r>
            <w:r>
              <w:rPr>
                <w:sz w:val="14"/>
              </w:rPr>
              <w:t>6</w:t>
            </w:r>
            <w:r>
              <w:rPr>
                <w:spacing w:val="-22"/>
                <w:sz w:val="14"/>
              </w:rPr>
              <w:t> </w:t>
            </w:r>
            <w:r>
              <w:rPr>
                <w:sz w:val="14"/>
              </w:rPr>
              <w:t>%</w:t>
              <w:tab/>
            </w:r>
            <w:r>
              <w:rPr>
                <w:spacing w:val="7"/>
                <w:sz w:val="14"/>
              </w:rPr>
              <w:t>202,722.1</w:t>
              <w:tab/>
            </w:r>
            <w:r>
              <w:rPr>
                <w:sz w:val="14"/>
              </w:rPr>
              <w:t>8</w:t>
            </w:r>
            <w:r>
              <w:rPr>
                <w:spacing w:val="-21"/>
                <w:sz w:val="14"/>
              </w:rPr>
              <w:t> </w:t>
            </w:r>
            <w:r>
              <w:rPr>
                <w:sz w:val="14"/>
              </w:rPr>
              <w:t>.</w:t>
            </w:r>
            <w:r>
              <w:rPr>
                <w:spacing w:val="-18"/>
                <w:sz w:val="14"/>
              </w:rPr>
              <w:t> </w:t>
            </w:r>
            <w:r>
              <w:rPr>
                <w:sz w:val="14"/>
              </w:rPr>
              <w:t>8</w:t>
            </w:r>
            <w:r>
              <w:rPr>
                <w:spacing w:val="-21"/>
                <w:sz w:val="14"/>
              </w:rPr>
              <w:t> </w:t>
            </w:r>
            <w:r>
              <w:rPr>
                <w:sz w:val="14"/>
              </w:rPr>
              <w:t>%</w:t>
            </w:r>
          </w:p>
        </w:tc>
      </w:tr>
      <w:tr>
        <w:trPr>
          <w:trHeight w:val="439" w:hRule="atLeast"/>
        </w:trPr>
        <w:tc>
          <w:tcPr>
            <w:tcW w:w="471" w:type="dxa"/>
          </w:tcPr>
          <w:p>
            <w:pPr>
              <w:pStyle w:val="TableParagraph"/>
              <w:spacing w:before="137"/>
              <w:ind w:right="99"/>
              <w:jc w:val="right"/>
              <w:rPr>
                <w:b/>
                <w:sz w:val="14"/>
              </w:rPr>
            </w:pPr>
            <w:r>
              <w:rPr>
                <w:b/>
                <w:w w:val="95"/>
                <w:sz w:val="14"/>
              </w:rPr>
              <w:t>5.1</w:t>
            </w:r>
          </w:p>
        </w:tc>
        <w:tc>
          <w:tcPr>
            <w:tcW w:w="5532" w:type="dxa"/>
          </w:tcPr>
          <w:p>
            <w:pPr>
              <w:pStyle w:val="TableParagraph"/>
              <w:spacing w:before="137"/>
              <w:ind w:left="96"/>
              <w:rPr>
                <w:b/>
                <w:sz w:val="14"/>
              </w:rPr>
            </w:pPr>
            <w:r>
              <w:rPr>
                <w:b/>
                <w:sz w:val="14"/>
              </w:rPr>
              <w:t>IMPROVING SUPPLY OF ENERGY</w:t>
            </w:r>
          </w:p>
        </w:tc>
        <w:tc>
          <w:tcPr>
            <w:tcW w:w="1925" w:type="dxa"/>
          </w:tcPr>
          <w:p>
            <w:pPr>
              <w:pStyle w:val="TableParagraph"/>
              <w:spacing w:before="137"/>
              <w:ind w:right="454"/>
              <w:jc w:val="right"/>
              <w:rPr>
                <w:b/>
                <w:sz w:val="14"/>
              </w:rPr>
            </w:pPr>
            <w:r>
              <w:rPr>
                <w:b/>
                <w:sz w:val="14"/>
              </w:rPr>
              <w:t>128,359.0</w:t>
            </w:r>
          </w:p>
        </w:tc>
        <w:tc>
          <w:tcPr>
            <w:tcW w:w="1414" w:type="dxa"/>
          </w:tcPr>
          <w:p>
            <w:pPr>
              <w:pStyle w:val="TableParagraph"/>
              <w:spacing w:before="137"/>
              <w:ind w:right="453"/>
              <w:jc w:val="right"/>
              <w:rPr>
                <w:sz w:val="14"/>
              </w:rPr>
            </w:pPr>
            <w:r>
              <w:rPr>
                <w:sz w:val="14"/>
              </w:rPr>
              <w:t>5 . 5 %</w:t>
            </w:r>
          </w:p>
        </w:tc>
        <w:tc>
          <w:tcPr>
            <w:tcW w:w="1580" w:type="dxa"/>
          </w:tcPr>
          <w:p>
            <w:pPr>
              <w:pStyle w:val="TableParagraph"/>
              <w:spacing w:before="137"/>
              <w:ind w:right="588"/>
              <w:jc w:val="right"/>
              <w:rPr>
                <w:sz w:val="14"/>
              </w:rPr>
            </w:pPr>
            <w:r>
              <w:rPr>
                <w:sz w:val="14"/>
              </w:rPr>
              <w:t>184,001.1</w:t>
            </w:r>
          </w:p>
        </w:tc>
        <w:tc>
          <w:tcPr>
            <w:tcW w:w="1420" w:type="dxa"/>
          </w:tcPr>
          <w:p>
            <w:pPr>
              <w:pStyle w:val="TableParagraph"/>
              <w:spacing w:before="137"/>
              <w:ind w:right="621"/>
              <w:jc w:val="right"/>
              <w:rPr>
                <w:sz w:val="14"/>
              </w:rPr>
            </w:pPr>
            <w:r>
              <w:rPr>
                <w:sz w:val="14"/>
              </w:rPr>
              <w:t>8 . 0 %</w:t>
            </w:r>
          </w:p>
        </w:tc>
        <w:tc>
          <w:tcPr>
            <w:tcW w:w="1187" w:type="dxa"/>
          </w:tcPr>
          <w:p>
            <w:pPr>
              <w:pStyle w:val="TableParagraph"/>
              <w:spacing w:before="137"/>
              <w:ind w:right="248"/>
              <w:jc w:val="right"/>
              <w:rPr>
                <w:sz w:val="14"/>
              </w:rPr>
            </w:pPr>
            <w:r>
              <w:rPr>
                <w:sz w:val="14"/>
              </w:rPr>
              <w:t>111,260.8</w:t>
            </w:r>
          </w:p>
        </w:tc>
        <w:tc>
          <w:tcPr>
            <w:tcW w:w="1257" w:type="dxa"/>
          </w:tcPr>
          <w:p>
            <w:pPr>
              <w:pStyle w:val="TableParagraph"/>
              <w:spacing w:before="137"/>
              <w:ind w:right="459"/>
              <w:jc w:val="right"/>
              <w:rPr>
                <w:sz w:val="14"/>
              </w:rPr>
            </w:pPr>
            <w:r>
              <w:rPr>
                <w:sz w:val="14"/>
              </w:rPr>
              <w:t>4 . 8 %</w:t>
            </w:r>
          </w:p>
        </w:tc>
      </w:tr>
      <w:tr>
        <w:trPr>
          <w:trHeight w:val="439" w:hRule="atLeast"/>
        </w:trPr>
        <w:tc>
          <w:tcPr>
            <w:tcW w:w="471" w:type="dxa"/>
          </w:tcPr>
          <w:p>
            <w:pPr>
              <w:pStyle w:val="TableParagraph"/>
              <w:spacing w:before="135"/>
              <w:ind w:right="92"/>
              <w:jc w:val="right"/>
              <w:rPr>
                <w:sz w:val="14"/>
              </w:rPr>
            </w:pPr>
            <w:r>
              <w:rPr>
                <w:w w:val="95"/>
                <w:sz w:val="14"/>
              </w:rPr>
              <w:t>406</w:t>
            </w:r>
          </w:p>
        </w:tc>
        <w:tc>
          <w:tcPr>
            <w:tcW w:w="5532" w:type="dxa"/>
          </w:tcPr>
          <w:p>
            <w:pPr>
              <w:pStyle w:val="TableParagraph"/>
              <w:spacing w:before="135"/>
              <w:ind w:left="96"/>
              <w:rPr>
                <w:sz w:val="14"/>
              </w:rPr>
            </w:pPr>
            <w:r>
              <w:rPr>
                <w:sz w:val="14"/>
              </w:rPr>
              <w:t>Ministry of Energy</w:t>
            </w:r>
          </w:p>
        </w:tc>
        <w:tc>
          <w:tcPr>
            <w:tcW w:w="1925" w:type="dxa"/>
          </w:tcPr>
          <w:p>
            <w:pPr>
              <w:pStyle w:val="TableParagraph"/>
              <w:spacing w:before="135"/>
              <w:ind w:right="454"/>
              <w:jc w:val="right"/>
              <w:rPr>
                <w:b/>
                <w:sz w:val="14"/>
              </w:rPr>
            </w:pPr>
            <w:r>
              <w:rPr>
                <w:b/>
                <w:sz w:val="14"/>
              </w:rPr>
              <w:t>127,537.2</w:t>
            </w:r>
          </w:p>
        </w:tc>
        <w:tc>
          <w:tcPr>
            <w:tcW w:w="1414" w:type="dxa"/>
          </w:tcPr>
          <w:p>
            <w:pPr>
              <w:pStyle w:val="TableParagraph"/>
              <w:spacing w:before="135"/>
              <w:ind w:right="453"/>
              <w:jc w:val="right"/>
              <w:rPr>
                <w:sz w:val="14"/>
              </w:rPr>
            </w:pPr>
            <w:r>
              <w:rPr>
                <w:sz w:val="14"/>
              </w:rPr>
              <w:t>5 . 5 %</w:t>
            </w:r>
          </w:p>
        </w:tc>
        <w:tc>
          <w:tcPr>
            <w:tcW w:w="1580" w:type="dxa"/>
          </w:tcPr>
          <w:p>
            <w:pPr>
              <w:pStyle w:val="TableParagraph"/>
              <w:spacing w:before="135"/>
              <w:ind w:right="588"/>
              <w:jc w:val="right"/>
              <w:rPr>
                <w:sz w:val="14"/>
              </w:rPr>
            </w:pPr>
            <w:r>
              <w:rPr>
                <w:sz w:val="14"/>
              </w:rPr>
              <w:t>182,988.8</w:t>
            </w:r>
          </w:p>
        </w:tc>
        <w:tc>
          <w:tcPr>
            <w:tcW w:w="1420" w:type="dxa"/>
          </w:tcPr>
          <w:p>
            <w:pPr>
              <w:pStyle w:val="TableParagraph"/>
              <w:spacing w:before="135"/>
              <w:ind w:right="621"/>
              <w:jc w:val="right"/>
              <w:rPr>
                <w:sz w:val="14"/>
              </w:rPr>
            </w:pPr>
            <w:r>
              <w:rPr>
                <w:sz w:val="14"/>
              </w:rPr>
              <w:t>7 . 9 %</w:t>
            </w:r>
          </w:p>
        </w:tc>
        <w:tc>
          <w:tcPr>
            <w:tcW w:w="1187" w:type="dxa"/>
          </w:tcPr>
          <w:p>
            <w:pPr>
              <w:pStyle w:val="TableParagraph"/>
              <w:spacing w:before="135"/>
              <w:ind w:right="248"/>
              <w:jc w:val="right"/>
              <w:rPr>
                <w:sz w:val="14"/>
              </w:rPr>
            </w:pPr>
            <w:r>
              <w:rPr>
                <w:sz w:val="14"/>
              </w:rPr>
              <w:t>110,187.9</w:t>
            </w:r>
          </w:p>
        </w:tc>
        <w:tc>
          <w:tcPr>
            <w:tcW w:w="1257" w:type="dxa"/>
          </w:tcPr>
          <w:p>
            <w:pPr>
              <w:pStyle w:val="TableParagraph"/>
              <w:spacing w:before="135"/>
              <w:ind w:right="459"/>
              <w:jc w:val="right"/>
              <w:rPr>
                <w:sz w:val="14"/>
              </w:rPr>
            </w:pPr>
            <w:r>
              <w:rPr>
                <w:sz w:val="14"/>
              </w:rPr>
              <w:t>4 . 8 %</w:t>
            </w:r>
          </w:p>
        </w:tc>
      </w:tr>
      <w:tr>
        <w:trPr>
          <w:trHeight w:val="441" w:hRule="atLeast"/>
        </w:trPr>
        <w:tc>
          <w:tcPr>
            <w:tcW w:w="471" w:type="dxa"/>
          </w:tcPr>
          <w:p>
            <w:pPr>
              <w:pStyle w:val="TableParagraph"/>
              <w:spacing w:before="137"/>
              <w:ind w:right="92"/>
              <w:jc w:val="right"/>
              <w:rPr>
                <w:sz w:val="14"/>
              </w:rPr>
            </w:pPr>
            <w:r>
              <w:rPr>
                <w:w w:val="95"/>
                <w:sz w:val="14"/>
              </w:rPr>
              <w:t>413</w:t>
            </w:r>
          </w:p>
        </w:tc>
        <w:tc>
          <w:tcPr>
            <w:tcW w:w="5532" w:type="dxa"/>
          </w:tcPr>
          <w:p>
            <w:pPr>
              <w:pStyle w:val="TableParagraph"/>
              <w:spacing w:before="137"/>
              <w:ind w:left="95"/>
              <w:rPr>
                <w:sz w:val="14"/>
              </w:rPr>
            </w:pPr>
            <w:r>
              <w:rPr>
                <w:sz w:val="14"/>
              </w:rPr>
              <w:t>Sierra Leone Electricity and Water Regulatory Commission</w:t>
            </w:r>
          </w:p>
        </w:tc>
        <w:tc>
          <w:tcPr>
            <w:tcW w:w="1925" w:type="dxa"/>
          </w:tcPr>
          <w:p>
            <w:pPr>
              <w:pStyle w:val="TableParagraph"/>
              <w:spacing w:before="137"/>
              <w:ind w:right="428"/>
              <w:jc w:val="right"/>
              <w:rPr>
                <w:b/>
                <w:sz w:val="14"/>
              </w:rPr>
            </w:pPr>
            <w:r>
              <w:rPr>
                <w:b/>
                <w:sz w:val="14"/>
              </w:rPr>
              <w:t>821.8</w:t>
            </w:r>
          </w:p>
        </w:tc>
        <w:tc>
          <w:tcPr>
            <w:tcW w:w="1414" w:type="dxa"/>
          </w:tcPr>
          <w:p>
            <w:pPr>
              <w:pStyle w:val="TableParagraph"/>
              <w:spacing w:before="137"/>
              <w:ind w:right="453"/>
              <w:jc w:val="right"/>
              <w:rPr>
                <w:sz w:val="14"/>
              </w:rPr>
            </w:pPr>
            <w:r>
              <w:rPr>
                <w:sz w:val="14"/>
              </w:rPr>
              <w:t>0 . 0 %</w:t>
            </w:r>
          </w:p>
        </w:tc>
        <w:tc>
          <w:tcPr>
            <w:tcW w:w="1580" w:type="dxa"/>
          </w:tcPr>
          <w:p>
            <w:pPr>
              <w:pStyle w:val="TableParagraph"/>
              <w:spacing w:before="137"/>
              <w:ind w:right="579"/>
              <w:jc w:val="right"/>
              <w:rPr>
                <w:sz w:val="14"/>
              </w:rPr>
            </w:pPr>
            <w:r>
              <w:rPr>
                <w:sz w:val="14"/>
              </w:rPr>
              <w:t>1,012 .3</w:t>
            </w:r>
          </w:p>
        </w:tc>
        <w:tc>
          <w:tcPr>
            <w:tcW w:w="1420" w:type="dxa"/>
          </w:tcPr>
          <w:p>
            <w:pPr>
              <w:pStyle w:val="TableParagraph"/>
              <w:spacing w:before="137"/>
              <w:ind w:right="621"/>
              <w:jc w:val="right"/>
              <w:rPr>
                <w:sz w:val="14"/>
              </w:rPr>
            </w:pPr>
            <w:r>
              <w:rPr>
                <w:sz w:val="14"/>
              </w:rPr>
              <w:t>0 . 0 %</w:t>
            </w:r>
          </w:p>
        </w:tc>
        <w:tc>
          <w:tcPr>
            <w:tcW w:w="1187" w:type="dxa"/>
          </w:tcPr>
          <w:p>
            <w:pPr>
              <w:pStyle w:val="TableParagraph"/>
              <w:spacing w:before="137"/>
              <w:ind w:right="234"/>
              <w:jc w:val="right"/>
              <w:rPr>
                <w:sz w:val="14"/>
              </w:rPr>
            </w:pPr>
            <w:r>
              <w:rPr>
                <w:sz w:val="14"/>
              </w:rPr>
              <w:t>1,072 .9</w:t>
            </w:r>
          </w:p>
        </w:tc>
        <w:tc>
          <w:tcPr>
            <w:tcW w:w="1257" w:type="dxa"/>
          </w:tcPr>
          <w:p>
            <w:pPr>
              <w:pStyle w:val="TableParagraph"/>
              <w:spacing w:before="137"/>
              <w:ind w:right="459"/>
              <w:jc w:val="right"/>
              <w:rPr>
                <w:sz w:val="14"/>
              </w:rPr>
            </w:pPr>
            <w:r>
              <w:rPr>
                <w:sz w:val="14"/>
              </w:rPr>
              <w:t>0 . 0 %</w:t>
            </w:r>
          </w:p>
        </w:tc>
      </w:tr>
      <w:tr>
        <w:trPr>
          <w:trHeight w:val="439" w:hRule="atLeast"/>
        </w:trPr>
        <w:tc>
          <w:tcPr>
            <w:tcW w:w="471" w:type="dxa"/>
          </w:tcPr>
          <w:p>
            <w:pPr>
              <w:pStyle w:val="TableParagraph"/>
              <w:spacing w:before="137"/>
              <w:ind w:right="99"/>
              <w:jc w:val="right"/>
              <w:rPr>
                <w:b/>
                <w:sz w:val="14"/>
              </w:rPr>
            </w:pPr>
            <w:r>
              <w:rPr>
                <w:b/>
                <w:w w:val="95"/>
                <w:sz w:val="14"/>
              </w:rPr>
              <w:t>5.2</w:t>
            </w:r>
          </w:p>
        </w:tc>
        <w:tc>
          <w:tcPr>
            <w:tcW w:w="5532" w:type="dxa"/>
          </w:tcPr>
          <w:p>
            <w:pPr>
              <w:pStyle w:val="TableParagraph"/>
              <w:spacing w:before="137"/>
              <w:ind w:left="96"/>
              <w:rPr>
                <w:b/>
                <w:sz w:val="14"/>
              </w:rPr>
            </w:pPr>
            <w:r>
              <w:rPr>
                <w:b/>
                <w:sz w:val="14"/>
              </w:rPr>
              <w:t>IMPROVING WATER SUPPLY INFRASTRUCTURE</w:t>
            </w:r>
          </w:p>
        </w:tc>
        <w:tc>
          <w:tcPr>
            <w:tcW w:w="1925" w:type="dxa"/>
          </w:tcPr>
          <w:p>
            <w:pPr>
              <w:pStyle w:val="TableParagraph"/>
              <w:spacing w:before="137"/>
              <w:ind w:right="409"/>
              <w:jc w:val="right"/>
              <w:rPr>
                <w:b/>
                <w:sz w:val="14"/>
              </w:rPr>
            </w:pPr>
            <w:r>
              <w:rPr>
                <w:b/>
                <w:w w:val="95"/>
                <w:sz w:val="14"/>
              </w:rPr>
              <w:t>0.0</w:t>
            </w:r>
          </w:p>
        </w:tc>
        <w:tc>
          <w:tcPr>
            <w:tcW w:w="1414" w:type="dxa"/>
          </w:tcPr>
          <w:p>
            <w:pPr>
              <w:pStyle w:val="TableParagraph"/>
              <w:spacing w:before="137"/>
              <w:ind w:right="453"/>
              <w:jc w:val="right"/>
              <w:rPr>
                <w:sz w:val="14"/>
              </w:rPr>
            </w:pPr>
            <w:r>
              <w:rPr>
                <w:sz w:val="14"/>
              </w:rPr>
              <w:t>0 . 0 %</w:t>
            </w:r>
          </w:p>
        </w:tc>
        <w:tc>
          <w:tcPr>
            <w:tcW w:w="1580" w:type="dxa"/>
          </w:tcPr>
          <w:p>
            <w:pPr>
              <w:pStyle w:val="TableParagraph"/>
              <w:spacing w:before="137"/>
              <w:ind w:right="563"/>
              <w:jc w:val="right"/>
              <w:rPr>
                <w:sz w:val="14"/>
              </w:rPr>
            </w:pPr>
            <w:r>
              <w:rPr>
                <w:w w:val="95"/>
                <w:sz w:val="14"/>
              </w:rPr>
              <w:t>0.0</w:t>
            </w:r>
          </w:p>
        </w:tc>
        <w:tc>
          <w:tcPr>
            <w:tcW w:w="1420" w:type="dxa"/>
          </w:tcPr>
          <w:p>
            <w:pPr>
              <w:pStyle w:val="TableParagraph"/>
              <w:spacing w:before="137"/>
              <w:ind w:right="621"/>
              <w:jc w:val="right"/>
              <w:rPr>
                <w:sz w:val="14"/>
              </w:rPr>
            </w:pPr>
            <w:r>
              <w:rPr>
                <w:sz w:val="14"/>
              </w:rPr>
              <w:t>0 . 0 %</w:t>
            </w:r>
          </w:p>
        </w:tc>
        <w:tc>
          <w:tcPr>
            <w:tcW w:w="1187" w:type="dxa"/>
          </w:tcPr>
          <w:p>
            <w:pPr>
              <w:pStyle w:val="TableParagraph"/>
              <w:spacing w:before="137"/>
              <w:ind w:right="222"/>
              <w:jc w:val="right"/>
              <w:rPr>
                <w:sz w:val="14"/>
              </w:rPr>
            </w:pPr>
            <w:r>
              <w:rPr>
                <w:w w:val="95"/>
                <w:sz w:val="14"/>
              </w:rPr>
              <w:t>0.0</w:t>
            </w:r>
          </w:p>
        </w:tc>
        <w:tc>
          <w:tcPr>
            <w:tcW w:w="1257" w:type="dxa"/>
          </w:tcPr>
          <w:p>
            <w:pPr>
              <w:pStyle w:val="TableParagraph"/>
              <w:spacing w:before="137"/>
              <w:ind w:right="459"/>
              <w:jc w:val="right"/>
              <w:rPr>
                <w:sz w:val="14"/>
              </w:rPr>
            </w:pPr>
            <w:r>
              <w:rPr>
                <w:sz w:val="14"/>
              </w:rPr>
              <w:t>0 . 0 %</w:t>
            </w:r>
          </w:p>
        </w:tc>
      </w:tr>
      <w:tr>
        <w:trPr>
          <w:trHeight w:val="439" w:hRule="atLeast"/>
        </w:trPr>
        <w:tc>
          <w:tcPr>
            <w:tcW w:w="471" w:type="dxa"/>
          </w:tcPr>
          <w:p>
            <w:pPr>
              <w:pStyle w:val="TableParagraph"/>
              <w:spacing w:before="135"/>
              <w:ind w:right="92"/>
              <w:jc w:val="right"/>
              <w:rPr>
                <w:sz w:val="14"/>
              </w:rPr>
            </w:pPr>
            <w:r>
              <w:rPr>
                <w:w w:val="95"/>
                <w:sz w:val="14"/>
              </w:rPr>
              <w:t>000</w:t>
            </w:r>
          </w:p>
        </w:tc>
        <w:tc>
          <w:tcPr>
            <w:tcW w:w="5532" w:type="dxa"/>
          </w:tcPr>
          <w:p>
            <w:pPr>
              <w:pStyle w:val="TableParagraph"/>
              <w:spacing w:before="135"/>
              <w:ind w:left="95"/>
              <w:rPr>
                <w:sz w:val="14"/>
              </w:rPr>
            </w:pPr>
            <w:r>
              <w:rPr>
                <w:sz w:val="14"/>
              </w:rPr>
              <w:t>Not Applicable</w:t>
            </w:r>
          </w:p>
        </w:tc>
        <w:tc>
          <w:tcPr>
            <w:tcW w:w="1925" w:type="dxa"/>
          </w:tcPr>
          <w:p>
            <w:pPr>
              <w:pStyle w:val="TableParagraph"/>
              <w:spacing w:before="135"/>
              <w:ind w:right="409"/>
              <w:jc w:val="right"/>
              <w:rPr>
                <w:b/>
                <w:sz w:val="14"/>
              </w:rPr>
            </w:pPr>
            <w:r>
              <w:rPr>
                <w:b/>
                <w:w w:val="95"/>
                <w:sz w:val="14"/>
              </w:rPr>
              <w:t>0.0</w:t>
            </w:r>
          </w:p>
        </w:tc>
        <w:tc>
          <w:tcPr>
            <w:tcW w:w="1414" w:type="dxa"/>
          </w:tcPr>
          <w:p>
            <w:pPr>
              <w:pStyle w:val="TableParagraph"/>
              <w:spacing w:before="135"/>
              <w:ind w:right="453"/>
              <w:jc w:val="right"/>
              <w:rPr>
                <w:sz w:val="14"/>
              </w:rPr>
            </w:pPr>
            <w:r>
              <w:rPr>
                <w:sz w:val="14"/>
              </w:rPr>
              <w:t>0 . 0 %</w:t>
            </w:r>
          </w:p>
        </w:tc>
        <w:tc>
          <w:tcPr>
            <w:tcW w:w="1580" w:type="dxa"/>
          </w:tcPr>
          <w:p>
            <w:pPr>
              <w:pStyle w:val="TableParagraph"/>
              <w:spacing w:before="135"/>
              <w:ind w:right="563"/>
              <w:jc w:val="right"/>
              <w:rPr>
                <w:sz w:val="14"/>
              </w:rPr>
            </w:pPr>
            <w:r>
              <w:rPr>
                <w:w w:val="95"/>
                <w:sz w:val="14"/>
              </w:rPr>
              <w:t>0.0</w:t>
            </w:r>
          </w:p>
        </w:tc>
        <w:tc>
          <w:tcPr>
            <w:tcW w:w="1420" w:type="dxa"/>
          </w:tcPr>
          <w:p>
            <w:pPr>
              <w:pStyle w:val="TableParagraph"/>
              <w:spacing w:before="135"/>
              <w:ind w:right="621"/>
              <w:jc w:val="right"/>
              <w:rPr>
                <w:sz w:val="14"/>
              </w:rPr>
            </w:pPr>
            <w:r>
              <w:rPr>
                <w:sz w:val="14"/>
              </w:rPr>
              <w:t>0 . 0 %</w:t>
            </w:r>
          </w:p>
        </w:tc>
        <w:tc>
          <w:tcPr>
            <w:tcW w:w="1187" w:type="dxa"/>
          </w:tcPr>
          <w:p>
            <w:pPr>
              <w:pStyle w:val="TableParagraph"/>
              <w:spacing w:before="135"/>
              <w:ind w:right="222"/>
              <w:jc w:val="right"/>
              <w:rPr>
                <w:sz w:val="14"/>
              </w:rPr>
            </w:pPr>
            <w:r>
              <w:rPr>
                <w:w w:val="95"/>
                <w:sz w:val="14"/>
              </w:rPr>
              <w:t>0.0</w:t>
            </w:r>
          </w:p>
        </w:tc>
        <w:tc>
          <w:tcPr>
            <w:tcW w:w="1257" w:type="dxa"/>
          </w:tcPr>
          <w:p>
            <w:pPr>
              <w:pStyle w:val="TableParagraph"/>
              <w:spacing w:before="135"/>
              <w:ind w:right="459"/>
              <w:jc w:val="right"/>
              <w:rPr>
                <w:sz w:val="14"/>
              </w:rPr>
            </w:pPr>
            <w:r>
              <w:rPr>
                <w:sz w:val="14"/>
              </w:rPr>
              <w:t>0 . 0 %</w:t>
            </w:r>
          </w:p>
        </w:tc>
      </w:tr>
      <w:tr>
        <w:trPr>
          <w:trHeight w:val="441" w:hRule="atLeast"/>
        </w:trPr>
        <w:tc>
          <w:tcPr>
            <w:tcW w:w="471" w:type="dxa"/>
          </w:tcPr>
          <w:p>
            <w:pPr>
              <w:pStyle w:val="TableParagraph"/>
              <w:spacing w:before="137"/>
              <w:ind w:right="99"/>
              <w:jc w:val="right"/>
              <w:rPr>
                <w:b/>
                <w:sz w:val="14"/>
              </w:rPr>
            </w:pPr>
            <w:r>
              <w:rPr>
                <w:b/>
                <w:w w:val="95"/>
                <w:sz w:val="14"/>
              </w:rPr>
              <w:t>5.3</w:t>
            </w:r>
          </w:p>
        </w:tc>
        <w:tc>
          <w:tcPr>
            <w:tcW w:w="5532" w:type="dxa"/>
          </w:tcPr>
          <w:p>
            <w:pPr>
              <w:pStyle w:val="TableParagraph"/>
              <w:spacing w:before="137"/>
              <w:ind w:left="95"/>
              <w:rPr>
                <w:b/>
                <w:sz w:val="14"/>
              </w:rPr>
            </w:pPr>
            <w:r>
              <w:rPr>
                <w:b/>
                <w:sz w:val="14"/>
              </w:rPr>
              <w:t>ADVANCING NATIONAL TRANSPORT SYSTEM</w:t>
            </w:r>
          </w:p>
        </w:tc>
        <w:tc>
          <w:tcPr>
            <w:tcW w:w="1925" w:type="dxa"/>
          </w:tcPr>
          <w:p>
            <w:pPr>
              <w:pStyle w:val="TableParagraph"/>
              <w:spacing w:before="137"/>
              <w:ind w:right="446"/>
              <w:jc w:val="right"/>
              <w:rPr>
                <w:b/>
                <w:sz w:val="14"/>
              </w:rPr>
            </w:pPr>
            <w:r>
              <w:rPr>
                <w:b/>
                <w:sz w:val="14"/>
              </w:rPr>
              <w:t>97,614.7</w:t>
            </w:r>
          </w:p>
        </w:tc>
        <w:tc>
          <w:tcPr>
            <w:tcW w:w="1414" w:type="dxa"/>
          </w:tcPr>
          <w:p>
            <w:pPr>
              <w:pStyle w:val="TableParagraph"/>
              <w:spacing w:before="137"/>
              <w:ind w:right="453"/>
              <w:jc w:val="right"/>
              <w:rPr>
                <w:sz w:val="14"/>
              </w:rPr>
            </w:pPr>
            <w:r>
              <w:rPr>
                <w:sz w:val="14"/>
              </w:rPr>
              <w:t>4 . 2 %</w:t>
            </w:r>
          </w:p>
        </w:tc>
        <w:tc>
          <w:tcPr>
            <w:tcW w:w="1580" w:type="dxa"/>
          </w:tcPr>
          <w:p>
            <w:pPr>
              <w:pStyle w:val="TableParagraph"/>
              <w:spacing w:before="137"/>
              <w:ind w:right="583"/>
              <w:jc w:val="right"/>
              <w:rPr>
                <w:sz w:val="14"/>
              </w:rPr>
            </w:pPr>
            <w:r>
              <w:rPr>
                <w:sz w:val="14"/>
              </w:rPr>
              <w:t>84,315.1</w:t>
            </w:r>
          </w:p>
        </w:tc>
        <w:tc>
          <w:tcPr>
            <w:tcW w:w="1420" w:type="dxa"/>
          </w:tcPr>
          <w:p>
            <w:pPr>
              <w:pStyle w:val="TableParagraph"/>
              <w:spacing w:before="137"/>
              <w:ind w:right="621"/>
              <w:jc w:val="right"/>
              <w:rPr>
                <w:sz w:val="14"/>
              </w:rPr>
            </w:pPr>
            <w:r>
              <w:rPr>
                <w:sz w:val="14"/>
              </w:rPr>
              <w:t>3 . 6 %</w:t>
            </w:r>
          </w:p>
        </w:tc>
        <w:tc>
          <w:tcPr>
            <w:tcW w:w="1187" w:type="dxa"/>
          </w:tcPr>
          <w:p>
            <w:pPr>
              <w:pStyle w:val="TableParagraph"/>
              <w:spacing w:before="137"/>
              <w:ind w:right="243"/>
              <w:jc w:val="right"/>
              <w:rPr>
                <w:sz w:val="14"/>
              </w:rPr>
            </w:pPr>
            <w:r>
              <w:rPr>
                <w:sz w:val="14"/>
              </w:rPr>
              <w:t>91,461.3</w:t>
            </w:r>
          </w:p>
        </w:tc>
        <w:tc>
          <w:tcPr>
            <w:tcW w:w="1257" w:type="dxa"/>
          </w:tcPr>
          <w:p>
            <w:pPr>
              <w:pStyle w:val="TableParagraph"/>
              <w:spacing w:before="137"/>
              <w:ind w:right="459"/>
              <w:jc w:val="right"/>
              <w:rPr>
                <w:sz w:val="14"/>
              </w:rPr>
            </w:pPr>
            <w:r>
              <w:rPr>
                <w:sz w:val="14"/>
              </w:rPr>
              <w:t>4 . 0 %</w:t>
            </w:r>
          </w:p>
        </w:tc>
      </w:tr>
      <w:tr>
        <w:trPr>
          <w:trHeight w:val="439" w:hRule="atLeast"/>
        </w:trPr>
        <w:tc>
          <w:tcPr>
            <w:tcW w:w="471" w:type="dxa"/>
          </w:tcPr>
          <w:p>
            <w:pPr>
              <w:pStyle w:val="TableParagraph"/>
              <w:spacing w:before="137"/>
              <w:ind w:right="92"/>
              <w:jc w:val="right"/>
              <w:rPr>
                <w:sz w:val="14"/>
              </w:rPr>
            </w:pPr>
            <w:r>
              <w:rPr>
                <w:w w:val="95"/>
                <w:sz w:val="14"/>
              </w:rPr>
              <w:t>404</w:t>
            </w:r>
          </w:p>
        </w:tc>
        <w:tc>
          <w:tcPr>
            <w:tcW w:w="5532" w:type="dxa"/>
          </w:tcPr>
          <w:p>
            <w:pPr>
              <w:pStyle w:val="TableParagraph"/>
              <w:spacing w:before="137"/>
              <w:ind w:left="96"/>
              <w:rPr>
                <w:sz w:val="14"/>
              </w:rPr>
            </w:pPr>
            <w:r>
              <w:rPr>
                <w:sz w:val="14"/>
              </w:rPr>
              <w:t>Ministry of Transport and Aviation</w:t>
            </w:r>
          </w:p>
        </w:tc>
        <w:tc>
          <w:tcPr>
            <w:tcW w:w="1925" w:type="dxa"/>
          </w:tcPr>
          <w:p>
            <w:pPr>
              <w:pStyle w:val="TableParagraph"/>
              <w:spacing w:before="137"/>
              <w:ind w:right="446"/>
              <w:jc w:val="right"/>
              <w:rPr>
                <w:b/>
                <w:sz w:val="14"/>
              </w:rPr>
            </w:pPr>
            <w:r>
              <w:rPr>
                <w:b/>
                <w:sz w:val="14"/>
              </w:rPr>
              <w:t>56,370.8</w:t>
            </w:r>
          </w:p>
        </w:tc>
        <w:tc>
          <w:tcPr>
            <w:tcW w:w="1414" w:type="dxa"/>
          </w:tcPr>
          <w:p>
            <w:pPr>
              <w:pStyle w:val="TableParagraph"/>
              <w:spacing w:before="137"/>
              <w:ind w:right="453"/>
              <w:jc w:val="right"/>
              <w:rPr>
                <w:sz w:val="14"/>
              </w:rPr>
            </w:pPr>
            <w:r>
              <w:rPr>
                <w:sz w:val="14"/>
              </w:rPr>
              <w:t>2 . 4 %</w:t>
            </w:r>
          </w:p>
        </w:tc>
        <w:tc>
          <w:tcPr>
            <w:tcW w:w="1580" w:type="dxa"/>
          </w:tcPr>
          <w:p>
            <w:pPr>
              <w:pStyle w:val="TableParagraph"/>
              <w:spacing w:before="137"/>
              <w:ind w:right="583"/>
              <w:jc w:val="right"/>
              <w:rPr>
                <w:sz w:val="14"/>
              </w:rPr>
            </w:pPr>
            <w:r>
              <w:rPr>
                <w:sz w:val="14"/>
              </w:rPr>
              <w:t>39,392.3</w:t>
            </w:r>
          </w:p>
        </w:tc>
        <w:tc>
          <w:tcPr>
            <w:tcW w:w="1420" w:type="dxa"/>
          </w:tcPr>
          <w:p>
            <w:pPr>
              <w:pStyle w:val="TableParagraph"/>
              <w:spacing w:before="137"/>
              <w:ind w:right="621"/>
              <w:jc w:val="right"/>
              <w:rPr>
                <w:sz w:val="14"/>
              </w:rPr>
            </w:pPr>
            <w:r>
              <w:rPr>
                <w:sz w:val="14"/>
              </w:rPr>
              <w:t>1 . 7 %</w:t>
            </w:r>
          </w:p>
        </w:tc>
        <w:tc>
          <w:tcPr>
            <w:tcW w:w="1187" w:type="dxa"/>
          </w:tcPr>
          <w:p>
            <w:pPr>
              <w:pStyle w:val="TableParagraph"/>
              <w:spacing w:before="137"/>
              <w:ind w:right="243"/>
              <w:jc w:val="right"/>
              <w:rPr>
                <w:sz w:val="14"/>
              </w:rPr>
            </w:pPr>
            <w:r>
              <w:rPr>
                <w:sz w:val="14"/>
              </w:rPr>
              <w:t>38,730.9</w:t>
            </w:r>
          </w:p>
        </w:tc>
        <w:tc>
          <w:tcPr>
            <w:tcW w:w="1257" w:type="dxa"/>
          </w:tcPr>
          <w:p>
            <w:pPr>
              <w:pStyle w:val="TableParagraph"/>
              <w:spacing w:before="137"/>
              <w:ind w:right="459"/>
              <w:jc w:val="right"/>
              <w:rPr>
                <w:sz w:val="14"/>
              </w:rPr>
            </w:pPr>
            <w:r>
              <w:rPr>
                <w:sz w:val="14"/>
              </w:rPr>
              <w:t>1 . 7 %</w:t>
            </w:r>
          </w:p>
        </w:tc>
      </w:tr>
      <w:tr>
        <w:trPr>
          <w:trHeight w:val="439" w:hRule="atLeast"/>
        </w:trPr>
        <w:tc>
          <w:tcPr>
            <w:tcW w:w="471" w:type="dxa"/>
          </w:tcPr>
          <w:p>
            <w:pPr>
              <w:pStyle w:val="TableParagraph"/>
              <w:spacing w:before="135"/>
              <w:ind w:right="92"/>
              <w:jc w:val="right"/>
              <w:rPr>
                <w:sz w:val="14"/>
              </w:rPr>
            </w:pPr>
            <w:r>
              <w:rPr>
                <w:w w:val="95"/>
                <w:sz w:val="14"/>
              </w:rPr>
              <w:t>425</w:t>
            </w:r>
          </w:p>
        </w:tc>
        <w:tc>
          <w:tcPr>
            <w:tcW w:w="5532" w:type="dxa"/>
          </w:tcPr>
          <w:p>
            <w:pPr>
              <w:pStyle w:val="TableParagraph"/>
              <w:spacing w:before="135"/>
              <w:ind w:left="95"/>
              <w:rPr>
                <w:sz w:val="14"/>
              </w:rPr>
            </w:pPr>
            <w:r>
              <w:rPr>
                <w:sz w:val="14"/>
              </w:rPr>
              <w:t>Sierra Leone Road Safety Authority</w:t>
            </w:r>
          </w:p>
        </w:tc>
        <w:tc>
          <w:tcPr>
            <w:tcW w:w="1925" w:type="dxa"/>
          </w:tcPr>
          <w:p>
            <w:pPr>
              <w:pStyle w:val="TableParagraph"/>
              <w:spacing w:before="135"/>
              <w:ind w:right="446"/>
              <w:jc w:val="right"/>
              <w:rPr>
                <w:b/>
                <w:sz w:val="14"/>
              </w:rPr>
            </w:pPr>
            <w:r>
              <w:rPr>
                <w:b/>
                <w:sz w:val="14"/>
              </w:rPr>
              <w:t>41,243.9</w:t>
            </w:r>
          </w:p>
        </w:tc>
        <w:tc>
          <w:tcPr>
            <w:tcW w:w="1414" w:type="dxa"/>
          </w:tcPr>
          <w:p>
            <w:pPr>
              <w:pStyle w:val="TableParagraph"/>
              <w:spacing w:before="135"/>
              <w:ind w:right="453"/>
              <w:jc w:val="right"/>
              <w:rPr>
                <w:sz w:val="14"/>
              </w:rPr>
            </w:pPr>
            <w:r>
              <w:rPr>
                <w:sz w:val="14"/>
              </w:rPr>
              <w:t>1 . 8 %</w:t>
            </w:r>
          </w:p>
        </w:tc>
        <w:tc>
          <w:tcPr>
            <w:tcW w:w="1580" w:type="dxa"/>
          </w:tcPr>
          <w:p>
            <w:pPr>
              <w:pStyle w:val="TableParagraph"/>
              <w:spacing w:before="135"/>
              <w:ind w:right="583"/>
              <w:jc w:val="right"/>
              <w:rPr>
                <w:sz w:val="14"/>
              </w:rPr>
            </w:pPr>
            <w:r>
              <w:rPr>
                <w:sz w:val="14"/>
              </w:rPr>
              <w:t>44,922.8</w:t>
            </w:r>
          </w:p>
        </w:tc>
        <w:tc>
          <w:tcPr>
            <w:tcW w:w="1420" w:type="dxa"/>
          </w:tcPr>
          <w:p>
            <w:pPr>
              <w:pStyle w:val="TableParagraph"/>
              <w:spacing w:before="135"/>
              <w:ind w:right="621"/>
              <w:jc w:val="right"/>
              <w:rPr>
                <w:sz w:val="14"/>
              </w:rPr>
            </w:pPr>
            <w:r>
              <w:rPr>
                <w:sz w:val="14"/>
              </w:rPr>
              <w:t>1 . 9 %</w:t>
            </w:r>
          </w:p>
        </w:tc>
        <w:tc>
          <w:tcPr>
            <w:tcW w:w="1187" w:type="dxa"/>
          </w:tcPr>
          <w:p>
            <w:pPr>
              <w:pStyle w:val="TableParagraph"/>
              <w:spacing w:before="135"/>
              <w:ind w:right="243"/>
              <w:jc w:val="right"/>
              <w:rPr>
                <w:sz w:val="14"/>
              </w:rPr>
            </w:pPr>
            <w:r>
              <w:rPr>
                <w:sz w:val="14"/>
              </w:rPr>
              <w:t>52,730.4</w:t>
            </w:r>
          </w:p>
        </w:tc>
        <w:tc>
          <w:tcPr>
            <w:tcW w:w="1257" w:type="dxa"/>
          </w:tcPr>
          <w:p>
            <w:pPr>
              <w:pStyle w:val="TableParagraph"/>
              <w:spacing w:before="135"/>
              <w:ind w:right="459"/>
              <w:jc w:val="right"/>
              <w:rPr>
                <w:sz w:val="14"/>
              </w:rPr>
            </w:pPr>
            <w:r>
              <w:rPr>
                <w:sz w:val="14"/>
              </w:rPr>
              <w:t>2 . 3 %</w:t>
            </w:r>
          </w:p>
        </w:tc>
      </w:tr>
      <w:tr>
        <w:trPr>
          <w:trHeight w:val="441" w:hRule="atLeast"/>
        </w:trPr>
        <w:tc>
          <w:tcPr>
            <w:tcW w:w="471" w:type="dxa"/>
          </w:tcPr>
          <w:p>
            <w:pPr>
              <w:pStyle w:val="TableParagraph"/>
              <w:spacing w:before="137"/>
              <w:ind w:right="99"/>
              <w:jc w:val="right"/>
              <w:rPr>
                <w:b/>
                <w:sz w:val="14"/>
              </w:rPr>
            </w:pPr>
            <w:r>
              <w:rPr>
                <w:b/>
                <w:w w:val="95"/>
                <w:sz w:val="14"/>
              </w:rPr>
              <w:t>5.4</w:t>
            </w:r>
          </w:p>
        </w:tc>
        <w:tc>
          <w:tcPr>
            <w:tcW w:w="5532" w:type="dxa"/>
          </w:tcPr>
          <w:p>
            <w:pPr>
              <w:pStyle w:val="TableParagraph"/>
              <w:spacing w:before="137"/>
              <w:ind w:left="96"/>
              <w:rPr>
                <w:b/>
                <w:sz w:val="14"/>
              </w:rPr>
            </w:pPr>
            <w:r>
              <w:rPr>
                <w:b/>
                <w:sz w:val="14"/>
              </w:rPr>
              <w:t>IMPROVING ROADS NETWORK SYSTEM</w:t>
            </w:r>
          </w:p>
        </w:tc>
        <w:tc>
          <w:tcPr>
            <w:tcW w:w="1925" w:type="dxa"/>
          </w:tcPr>
          <w:p>
            <w:pPr>
              <w:pStyle w:val="TableParagraph"/>
              <w:spacing w:before="137"/>
              <w:ind w:right="356"/>
              <w:jc w:val="right"/>
              <w:rPr>
                <w:b/>
                <w:sz w:val="14"/>
              </w:rPr>
            </w:pPr>
            <w:r>
              <w:rPr>
                <w:b/>
                <w:w w:val="95"/>
                <w:sz w:val="14"/>
              </w:rPr>
              <w:t>0.0</w:t>
            </w:r>
          </w:p>
        </w:tc>
        <w:tc>
          <w:tcPr>
            <w:tcW w:w="1414" w:type="dxa"/>
          </w:tcPr>
          <w:p>
            <w:pPr>
              <w:pStyle w:val="TableParagraph"/>
              <w:spacing w:before="137"/>
              <w:ind w:right="453"/>
              <w:jc w:val="right"/>
              <w:rPr>
                <w:sz w:val="14"/>
              </w:rPr>
            </w:pPr>
            <w:r>
              <w:rPr>
                <w:sz w:val="14"/>
              </w:rPr>
              <w:t>0 . 0 %</w:t>
            </w:r>
          </w:p>
        </w:tc>
        <w:tc>
          <w:tcPr>
            <w:tcW w:w="1580" w:type="dxa"/>
          </w:tcPr>
          <w:p>
            <w:pPr>
              <w:pStyle w:val="TableParagraph"/>
              <w:spacing w:before="137"/>
              <w:ind w:right="563"/>
              <w:jc w:val="right"/>
              <w:rPr>
                <w:sz w:val="14"/>
              </w:rPr>
            </w:pPr>
            <w:r>
              <w:rPr>
                <w:w w:val="95"/>
                <w:sz w:val="14"/>
              </w:rPr>
              <w:t>0.0</w:t>
            </w:r>
          </w:p>
        </w:tc>
        <w:tc>
          <w:tcPr>
            <w:tcW w:w="1420" w:type="dxa"/>
          </w:tcPr>
          <w:p>
            <w:pPr>
              <w:pStyle w:val="TableParagraph"/>
              <w:spacing w:before="137"/>
              <w:ind w:left="363"/>
              <w:rPr>
                <w:sz w:val="14"/>
              </w:rPr>
            </w:pPr>
            <w:r>
              <w:rPr>
                <w:sz w:val="14"/>
              </w:rPr>
              <w:t>0 . 0 %</w:t>
            </w:r>
          </w:p>
        </w:tc>
        <w:tc>
          <w:tcPr>
            <w:tcW w:w="1187" w:type="dxa"/>
          </w:tcPr>
          <w:p>
            <w:pPr>
              <w:pStyle w:val="TableParagraph"/>
              <w:spacing w:before="137"/>
              <w:ind w:left="458" w:right="494"/>
              <w:jc w:val="center"/>
              <w:rPr>
                <w:sz w:val="14"/>
              </w:rPr>
            </w:pPr>
            <w:r>
              <w:rPr>
                <w:sz w:val="14"/>
              </w:rPr>
              <w:t>0.0</w:t>
            </w:r>
          </w:p>
        </w:tc>
        <w:tc>
          <w:tcPr>
            <w:tcW w:w="1257" w:type="dxa"/>
          </w:tcPr>
          <w:p>
            <w:pPr>
              <w:pStyle w:val="TableParagraph"/>
              <w:spacing w:before="137"/>
              <w:ind w:right="512"/>
              <w:jc w:val="right"/>
              <w:rPr>
                <w:sz w:val="14"/>
              </w:rPr>
            </w:pPr>
            <w:r>
              <w:rPr>
                <w:sz w:val="14"/>
              </w:rPr>
              <w:t>0 . 0 %</w:t>
            </w:r>
          </w:p>
        </w:tc>
      </w:tr>
      <w:tr>
        <w:trPr>
          <w:trHeight w:val="439" w:hRule="atLeast"/>
        </w:trPr>
        <w:tc>
          <w:tcPr>
            <w:tcW w:w="471" w:type="dxa"/>
          </w:tcPr>
          <w:p>
            <w:pPr>
              <w:pStyle w:val="TableParagraph"/>
              <w:spacing w:before="137"/>
              <w:ind w:right="92"/>
              <w:jc w:val="right"/>
              <w:rPr>
                <w:sz w:val="14"/>
              </w:rPr>
            </w:pPr>
            <w:r>
              <w:rPr>
                <w:w w:val="95"/>
                <w:sz w:val="14"/>
              </w:rPr>
              <w:t>000</w:t>
            </w:r>
          </w:p>
        </w:tc>
        <w:tc>
          <w:tcPr>
            <w:tcW w:w="5532" w:type="dxa"/>
          </w:tcPr>
          <w:p>
            <w:pPr>
              <w:pStyle w:val="TableParagraph"/>
              <w:spacing w:before="137"/>
              <w:ind w:left="95"/>
              <w:rPr>
                <w:sz w:val="14"/>
              </w:rPr>
            </w:pPr>
            <w:r>
              <w:rPr>
                <w:sz w:val="14"/>
              </w:rPr>
              <w:t>Not Applicable</w:t>
            </w:r>
          </w:p>
        </w:tc>
        <w:tc>
          <w:tcPr>
            <w:tcW w:w="1925" w:type="dxa"/>
          </w:tcPr>
          <w:p>
            <w:pPr>
              <w:pStyle w:val="TableParagraph"/>
              <w:spacing w:before="137"/>
              <w:ind w:right="356"/>
              <w:jc w:val="right"/>
              <w:rPr>
                <w:b/>
                <w:sz w:val="14"/>
              </w:rPr>
            </w:pPr>
            <w:r>
              <w:rPr>
                <w:b/>
                <w:w w:val="95"/>
                <w:sz w:val="14"/>
              </w:rPr>
              <w:t>0.0</w:t>
            </w:r>
          </w:p>
        </w:tc>
        <w:tc>
          <w:tcPr>
            <w:tcW w:w="1414" w:type="dxa"/>
          </w:tcPr>
          <w:p>
            <w:pPr>
              <w:pStyle w:val="TableParagraph"/>
              <w:spacing w:before="137"/>
              <w:ind w:right="453"/>
              <w:jc w:val="right"/>
              <w:rPr>
                <w:sz w:val="14"/>
              </w:rPr>
            </w:pPr>
            <w:r>
              <w:rPr>
                <w:sz w:val="14"/>
              </w:rPr>
              <w:t>0 . 0 %</w:t>
            </w:r>
          </w:p>
        </w:tc>
        <w:tc>
          <w:tcPr>
            <w:tcW w:w="1580" w:type="dxa"/>
          </w:tcPr>
          <w:p>
            <w:pPr>
              <w:pStyle w:val="TableParagraph"/>
              <w:spacing w:before="137"/>
              <w:ind w:right="563"/>
              <w:jc w:val="right"/>
              <w:rPr>
                <w:sz w:val="14"/>
              </w:rPr>
            </w:pPr>
            <w:r>
              <w:rPr>
                <w:w w:val="95"/>
                <w:sz w:val="14"/>
              </w:rPr>
              <w:t>0.0</w:t>
            </w:r>
          </w:p>
        </w:tc>
        <w:tc>
          <w:tcPr>
            <w:tcW w:w="1420" w:type="dxa"/>
          </w:tcPr>
          <w:p>
            <w:pPr>
              <w:pStyle w:val="TableParagraph"/>
              <w:spacing w:before="137"/>
              <w:ind w:left="363"/>
              <w:rPr>
                <w:sz w:val="14"/>
              </w:rPr>
            </w:pPr>
            <w:r>
              <w:rPr>
                <w:sz w:val="14"/>
              </w:rPr>
              <w:t>0 . 0 %</w:t>
            </w:r>
          </w:p>
        </w:tc>
        <w:tc>
          <w:tcPr>
            <w:tcW w:w="1187" w:type="dxa"/>
          </w:tcPr>
          <w:p>
            <w:pPr>
              <w:pStyle w:val="TableParagraph"/>
              <w:spacing w:before="137"/>
              <w:ind w:left="458" w:right="494"/>
              <w:jc w:val="center"/>
              <w:rPr>
                <w:sz w:val="14"/>
              </w:rPr>
            </w:pPr>
            <w:r>
              <w:rPr>
                <w:sz w:val="14"/>
              </w:rPr>
              <w:t>0.0</w:t>
            </w:r>
          </w:p>
        </w:tc>
        <w:tc>
          <w:tcPr>
            <w:tcW w:w="1257" w:type="dxa"/>
          </w:tcPr>
          <w:p>
            <w:pPr>
              <w:pStyle w:val="TableParagraph"/>
              <w:spacing w:before="137"/>
              <w:ind w:right="512"/>
              <w:jc w:val="right"/>
              <w:rPr>
                <w:sz w:val="14"/>
              </w:rPr>
            </w:pPr>
            <w:r>
              <w:rPr>
                <w:sz w:val="14"/>
              </w:rPr>
              <w:t>0 . 0 %</w:t>
            </w:r>
          </w:p>
        </w:tc>
      </w:tr>
      <w:tr>
        <w:trPr>
          <w:trHeight w:val="439" w:hRule="atLeast"/>
        </w:trPr>
        <w:tc>
          <w:tcPr>
            <w:tcW w:w="471" w:type="dxa"/>
          </w:tcPr>
          <w:p>
            <w:pPr>
              <w:pStyle w:val="TableParagraph"/>
              <w:spacing w:before="135"/>
              <w:ind w:right="99"/>
              <w:jc w:val="right"/>
              <w:rPr>
                <w:b/>
                <w:sz w:val="14"/>
              </w:rPr>
            </w:pPr>
            <w:r>
              <w:rPr>
                <w:b/>
                <w:w w:val="95"/>
                <w:sz w:val="14"/>
              </w:rPr>
              <w:t>5.5</w:t>
            </w:r>
          </w:p>
        </w:tc>
        <w:tc>
          <w:tcPr>
            <w:tcW w:w="5532" w:type="dxa"/>
          </w:tcPr>
          <w:p>
            <w:pPr>
              <w:pStyle w:val="TableParagraph"/>
              <w:spacing w:before="135"/>
              <w:ind w:left="96"/>
              <w:rPr>
                <w:b/>
                <w:sz w:val="14"/>
              </w:rPr>
            </w:pPr>
            <w:r>
              <w:rPr>
                <w:b/>
                <w:sz w:val="14"/>
              </w:rPr>
              <w:t>IMPROVING INFORMATION, COMMUNICATION AND TECHNOLOGY</w:t>
            </w:r>
          </w:p>
        </w:tc>
        <w:tc>
          <w:tcPr>
            <w:tcW w:w="1925" w:type="dxa"/>
          </w:tcPr>
          <w:p>
            <w:pPr>
              <w:pStyle w:val="TableParagraph"/>
              <w:spacing w:before="135"/>
              <w:ind w:right="356"/>
              <w:jc w:val="right"/>
              <w:rPr>
                <w:b/>
                <w:sz w:val="14"/>
              </w:rPr>
            </w:pPr>
            <w:r>
              <w:rPr>
                <w:b/>
                <w:w w:val="95"/>
                <w:sz w:val="14"/>
              </w:rPr>
              <w:t>0.0</w:t>
            </w:r>
          </w:p>
        </w:tc>
        <w:tc>
          <w:tcPr>
            <w:tcW w:w="1414" w:type="dxa"/>
          </w:tcPr>
          <w:p>
            <w:pPr>
              <w:pStyle w:val="TableParagraph"/>
              <w:spacing w:before="135"/>
              <w:ind w:right="453"/>
              <w:jc w:val="right"/>
              <w:rPr>
                <w:sz w:val="14"/>
              </w:rPr>
            </w:pPr>
            <w:r>
              <w:rPr>
                <w:sz w:val="14"/>
              </w:rPr>
              <w:t>0 . 0 %</w:t>
            </w:r>
          </w:p>
        </w:tc>
        <w:tc>
          <w:tcPr>
            <w:tcW w:w="1580" w:type="dxa"/>
          </w:tcPr>
          <w:p>
            <w:pPr>
              <w:pStyle w:val="TableParagraph"/>
              <w:spacing w:before="135"/>
              <w:ind w:right="563"/>
              <w:jc w:val="right"/>
              <w:rPr>
                <w:sz w:val="14"/>
              </w:rPr>
            </w:pPr>
            <w:r>
              <w:rPr>
                <w:w w:val="95"/>
                <w:sz w:val="14"/>
              </w:rPr>
              <w:t>0.0</w:t>
            </w:r>
          </w:p>
        </w:tc>
        <w:tc>
          <w:tcPr>
            <w:tcW w:w="1420" w:type="dxa"/>
          </w:tcPr>
          <w:p>
            <w:pPr>
              <w:pStyle w:val="TableParagraph"/>
              <w:spacing w:before="135"/>
              <w:ind w:left="363"/>
              <w:rPr>
                <w:sz w:val="14"/>
              </w:rPr>
            </w:pPr>
            <w:r>
              <w:rPr>
                <w:sz w:val="14"/>
              </w:rPr>
              <w:t>0 . 0 %</w:t>
            </w:r>
          </w:p>
        </w:tc>
        <w:tc>
          <w:tcPr>
            <w:tcW w:w="1187" w:type="dxa"/>
          </w:tcPr>
          <w:p>
            <w:pPr>
              <w:pStyle w:val="TableParagraph"/>
              <w:spacing w:before="135"/>
              <w:ind w:left="458" w:right="494"/>
              <w:jc w:val="center"/>
              <w:rPr>
                <w:sz w:val="14"/>
              </w:rPr>
            </w:pPr>
            <w:r>
              <w:rPr>
                <w:sz w:val="14"/>
              </w:rPr>
              <w:t>0.0</w:t>
            </w:r>
          </w:p>
        </w:tc>
        <w:tc>
          <w:tcPr>
            <w:tcW w:w="1257" w:type="dxa"/>
          </w:tcPr>
          <w:p>
            <w:pPr>
              <w:pStyle w:val="TableParagraph"/>
              <w:spacing w:before="135"/>
              <w:ind w:right="512"/>
              <w:jc w:val="right"/>
              <w:rPr>
                <w:sz w:val="14"/>
              </w:rPr>
            </w:pPr>
            <w:r>
              <w:rPr>
                <w:sz w:val="14"/>
              </w:rPr>
              <w:t>0 . 0 %</w:t>
            </w:r>
          </w:p>
        </w:tc>
      </w:tr>
      <w:tr>
        <w:trPr>
          <w:trHeight w:val="333" w:hRule="atLeast"/>
        </w:trPr>
        <w:tc>
          <w:tcPr>
            <w:tcW w:w="471" w:type="dxa"/>
          </w:tcPr>
          <w:p>
            <w:pPr>
              <w:pStyle w:val="TableParagraph"/>
              <w:spacing w:before="137"/>
              <w:ind w:right="92"/>
              <w:jc w:val="right"/>
              <w:rPr>
                <w:sz w:val="14"/>
              </w:rPr>
            </w:pPr>
            <w:r>
              <w:rPr>
                <w:w w:val="95"/>
                <w:sz w:val="14"/>
              </w:rPr>
              <w:t>000</w:t>
            </w:r>
          </w:p>
        </w:tc>
        <w:tc>
          <w:tcPr>
            <w:tcW w:w="5532" w:type="dxa"/>
          </w:tcPr>
          <w:p>
            <w:pPr>
              <w:pStyle w:val="TableParagraph"/>
              <w:spacing w:before="137"/>
              <w:ind w:left="95"/>
              <w:rPr>
                <w:sz w:val="14"/>
              </w:rPr>
            </w:pPr>
            <w:r>
              <w:rPr>
                <w:sz w:val="14"/>
              </w:rPr>
              <w:t>Not Applicable</w:t>
            </w:r>
          </w:p>
        </w:tc>
        <w:tc>
          <w:tcPr>
            <w:tcW w:w="1925" w:type="dxa"/>
          </w:tcPr>
          <w:p>
            <w:pPr>
              <w:pStyle w:val="TableParagraph"/>
              <w:spacing w:before="137"/>
              <w:ind w:right="356"/>
              <w:jc w:val="right"/>
              <w:rPr>
                <w:b/>
                <w:sz w:val="14"/>
              </w:rPr>
            </w:pPr>
            <w:r>
              <w:rPr>
                <w:b/>
                <w:w w:val="95"/>
                <w:sz w:val="14"/>
              </w:rPr>
              <w:t>0.0</w:t>
            </w:r>
          </w:p>
        </w:tc>
        <w:tc>
          <w:tcPr>
            <w:tcW w:w="1414" w:type="dxa"/>
          </w:tcPr>
          <w:p>
            <w:pPr>
              <w:pStyle w:val="TableParagraph"/>
              <w:spacing w:before="137"/>
              <w:ind w:right="453"/>
              <w:jc w:val="right"/>
              <w:rPr>
                <w:sz w:val="14"/>
              </w:rPr>
            </w:pPr>
            <w:r>
              <w:rPr>
                <w:sz w:val="14"/>
              </w:rPr>
              <w:t>0 . 0 %</w:t>
            </w:r>
          </w:p>
        </w:tc>
        <w:tc>
          <w:tcPr>
            <w:tcW w:w="1580" w:type="dxa"/>
          </w:tcPr>
          <w:p>
            <w:pPr>
              <w:pStyle w:val="TableParagraph"/>
              <w:spacing w:before="137"/>
              <w:ind w:right="563"/>
              <w:jc w:val="right"/>
              <w:rPr>
                <w:sz w:val="14"/>
              </w:rPr>
            </w:pPr>
            <w:r>
              <w:rPr>
                <w:w w:val="95"/>
                <w:sz w:val="14"/>
              </w:rPr>
              <w:t>0.0</w:t>
            </w:r>
          </w:p>
        </w:tc>
        <w:tc>
          <w:tcPr>
            <w:tcW w:w="1420" w:type="dxa"/>
          </w:tcPr>
          <w:p>
            <w:pPr>
              <w:pStyle w:val="TableParagraph"/>
              <w:spacing w:before="137"/>
              <w:ind w:left="363"/>
              <w:rPr>
                <w:sz w:val="14"/>
              </w:rPr>
            </w:pPr>
            <w:r>
              <w:rPr>
                <w:sz w:val="14"/>
              </w:rPr>
              <w:t>0 . 0 %</w:t>
            </w:r>
          </w:p>
        </w:tc>
        <w:tc>
          <w:tcPr>
            <w:tcW w:w="1187" w:type="dxa"/>
          </w:tcPr>
          <w:p>
            <w:pPr>
              <w:pStyle w:val="TableParagraph"/>
              <w:spacing w:before="137"/>
              <w:ind w:left="458" w:right="494"/>
              <w:jc w:val="center"/>
              <w:rPr>
                <w:sz w:val="14"/>
              </w:rPr>
            </w:pPr>
            <w:r>
              <w:rPr>
                <w:sz w:val="14"/>
              </w:rPr>
              <w:t>0.0</w:t>
            </w:r>
          </w:p>
        </w:tc>
        <w:tc>
          <w:tcPr>
            <w:tcW w:w="1257" w:type="dxa"/>
          </w:tcPr>
          <w:p>
            <w:pPr>
              <w:pStyle w:val="TableParagraph"/>
              <w:spacing w:before="137"/>
              <w:ind w:right="512"/>
              <w:jc w:val="right"/>
              <w:rPr>
                <w:sz w:val="14"/>
              </w:rPr>
            </w:pPr>
            <w:r>
              <w:rPr>
                <w:sz w:val="14"/>
              </w:rPr>
              <w:t>0 . 0 %</w:t>
            </w:r>
          </w:p>
        </w:tc>
      </w:tr>
    </w:tbl>
    <w:p>
      <w:pPr>
        <w:pStyle w:val="BodyText"/>
        <w:spacing w:before="2"/>
        <w:rPr>
          <w:rFonts w:ascii="Times New Roman"/>
          <w:sz w:val="13"/>
        </w:rPr>
      </w:pPr>
    </w:p>
    <w:p>
      <w:pPr>
        <w:tabs>
          <w:tab w:pos="7117" w:val="left" w:leader="none"/>
          <w:tab w:pos="8648" w:val="left" w:leader="none"/>
          <w:tab w:pos="9867" w:val="left" w:leader="none"/>
          <w:tab w:pos="11422" w:val="left" w:leader="none"/>
          <w:tab w:pos="12531" w:val="left" w:leader="none"/>
          <w:tab w:pos="14034" w:val="left" w:leader="none"/>
        </w:tabs>
        <w:spacing w:before="95"/>
        <w:ind w:left="137" w:right="0" w:firstLine="0"/>
        <w:jc w:val="left"/>
        <w:rPr>
          <w:rFonts w:ascii="Arial"/>
          <w:sz w:val="14"/>
        </w:rPr>
      </w:pPr>
      <w:r>
        <w:rPr>
          <w:rFonts w:ascii="Arial"/>
          <w:b/>
          <w:spacing w:val="2"/>
          <w:sz w:val="14"/>
        </w:rPr>
        <w:t>CLUSTER  </w:t>
      </w:r>
      <w:r>
        <w:rPr>
          <w:rFonts w:ascii="Arial"/>
          <w:b/>
          <w:sz w:val="14"/>
        </w:rPr>
        <w:t>6</w:t>
      </w:r>
      <w:r>
        <w:rPr>
          <w:rFonts w:ascii="Arial"/>
          <w:b/>
          <w:spacing w:val="38"/>
          <w:sz w:val="14"/>
        </w:rPr>
        <w:t> </w:t>
      </w:r>
      <w:r>
        <w:rPr>
          <w:rFonts w:ascii="Arial"/>
          <w:b/>
          <w:spacing w:val="4"/>
          <w:sz w:val="14"/>
        </w:rPr>
        <w:t>ADDRESSING WOMEN</w:t>
      </w:r>
      <w:r>
        <w:rPr>
          <w:rFonts w:ascii="Arial"/>
          <w:b/>
          <w:spacing w:val="-19"/>
          <w:sz w:val="14"/>
        </w:rPr>
        <w:t> </w:t>
      </w:r>
      <w:r>
        <w:rPr>
          <w:rFonts w:ascii="Arial"/>
          <w:b/>
          <w:sz w:val="14"/>
        </w:rPr>
        <w:t>AND</w:t>
      </w:r>
      <w:r>
        <w:rPr>
          <w:rFonts w:ascii="Arial"/>
          <w:b/>
          <w:spacing w:val="4"/>
          <w:sz w:val="14"/>
        </w:rPr>
        <w:t> </w:t>
      </w:r>
      <w:r>
        <w:rPr>
          <w:rFonts w:ascii="Arial"/>
          <w:b/>
          <w:spacing w:val="6"/>
          <w:sz w:val="14"/>
        </w:rPr>
        <w:t>CHILDREN</w:t>
        <w:tab/>
      </w:r>
      <w:r>
        <w:rPr>
          <w:rFonts w:ascii="Arial"/>
          <w:b/>
          <w:sz w:val="14"/>
        </w:rPr>
        <w:t>26,210.5</w:t>
        <w:tab/>
      </w:r>
      <w:r>
        <w:rPr>
          <w:rFonts w:ascii="Arial"/>
          <w:sz w:val="14"/>
        </w:rPr>
        <w:t>1</w:t>
      </w:r>
      <w:r>
        <w:rPr>
          <w:rFonts w:ascii="Arial"/>
          <w:spacing w:val="-21"/>
          <w:sz w:val="14"/>
        </w:rPr>
        <w:t> </w:t>
      </w:r>
      <w:r>
        <w:rPr>
          <w:rFonts w:ascii="Arial"/>
          <w:sz w:val="14"/>
        </w:rPr>
        <w:t>.</w:t>
      </w:r>
      <w:r>
        <w:rPr>
          <w:rFonts w:ascii="Arial"/>
          <w:spacing w:val="-19"/>
          <w:sz w:val="14"/>
        </w:rPr>
        <w:t> </w:t>
      </w:r>
      <w:r>
        <w:rPr>
          <w:rFonts w:ascii="Arial"/>
          <w:sz w:val="14"/>
        </w:rPr>
        <w:t>1</w:t>
      </w:r>
      <w:r>
        <w:rPr>
          <w:rFonts w:ascii="Arial"/>
          <w:spacing w:val="-21"/>
          <w:sz w:val="14"/>
        </w:rPr>
        <w:t> </w:t>
      </w:r>
      <w:r>
        <w:rPr>
          <w:rFonts w:ascii="Arial"/>
          <w:sz w:val="14"/>
        </w:rPr>
        <w:t>%</w:t>
        <w:tab/>
      </w:r>
      <w:r>
        <w:rPr>
          <w:rFonts w:ascii="Arial"/>
          <w:spacing w:val="7"/>
          <w:sz w:val="14"/>
        </w:rPr>
        <w:t>31,518.7</w:t>
        <w:tab/>
      </w:r>
      <w:r>
        <w:rPr>
          <w:rFonts w:ascii="Arial"/>
          <w:sz w:val="14"/>
        </w:rPr>
        <w:t>1</w:t>
      </w:r>
      <w:r>
        <w:rPr>
          <w:rFonts w:ascii="Arial"/>
          <w:spacing w:val="-21"/>
          <w:sz w:val="14"/>
        </w:rPr>
        <w:t> </w:t>
      </w:r>
      <w:r>
        <w:rPr>
          <w:rFonts w:ascii="Arial"/>
          <w:sz w:val="14"/>
        </w:rPr>
        <w:t>.</w:t>
      </w:r>
      <w:r>
        <w:rPr>
          <w:rFonts w:ascii="Arial"/>
          <w:spacing w:val="-18"/>
          <w:sz w:val="14"/>
        </w:rPr>
        <w:t> </w:t>
      </w:r>
      <w:r>
        <w:rPr>
          <w:rFonts w:ascii="Arial"/>
          <w:sz w:val="14"/>
        </w:rPr>
        <w:t>4</w:t>
      </w:r>
      <w:r>
        <w:rPr>
          <w:rFonts w:ascii="Arial"/>
          <w:spacing w:val="-21"/>
          <w:sz w:val="14"/>
        </w:rPr>
        <w:t> </w:t>
      </w:r>
      <w:r>
        <w:rPr>
          <w:rFonts w:ascii="Arial"/>
          <w:sz w:val="14"/>
        </w:rPr>
        <w:t>%</w:t>
        <w:tab/>
      </w:r>
      <w:r>
        <w:rPr>
          <w:rFonts w:ascii="Arial"/>
          <w:spacing w:val="7"/>
          <w:sz w:val="14"/>
        </w:rPr>
        <w:t>34,502.0</w:t>
        <w:tab/>
      </w:r>
      <w:r>
        <w:rPr>
          <w:rFonts w:ascii="Arial"/>
          <w:sz w:val="14"/>
        </w:rPr>
        <w:t>1</w:t>
      </w:r>
      <w:r>
        <w:rPr>
          <w:rFonts w:ascii="Arial"/>
          <w:spacing w:val="-22"/>
          <w:sz w:val="14"/>
        </w:rPr>
        <w:t> </w:t>
      </w:r>
      <w:r>
        <w:rPr>
          <w:rFonts w:ascii="Arial"/>
          <w:sz w:val="14"/>
        </w:rPr>
        <w:t>.</w:t>
      </w:r>
      <w:r>
        <w:rPr>
          <w:rFonts w:ascii="Arial"/>
          <w:spacing w:val="-18"/>
          <w:sz w:val="14"/>
        </w:rPr>
        <w:t> </w:t>
      </w:r>
      <w:r>
        <w:rPr>
          <w:rFonts w:ascii="Arial"/>
          <w:sz w:val="14"/>
        </w:rPr>
        <w:t>5</w:t>
      </w:r>
      <w:r>
        <w:rPr>
          <w:rFonts w:ascii="Arial"/>
          <w:spacing w:val="-21"/>
          <w:sz w:val="14"/>
        </w:rPr>
        <w:t> </w:t>
      </w:r>
      <w:r>
        <w:rPr>
          <w:rFonts w:ascii="Arial"/>
          <w:sz w:val="14"/>
        </w:rPr>
        <w:t>%</w:t>
      </w:r>
    </w:p>
    <w:p>
      <w:pPr>
        <w:spacing w:after="0"/>
        <w:jc w:val="left"/>
        <w:rPr>
          <w:rFonts w:ascii="Arial"/>
          <w:sz w:val="14"/>
        </w:rPr>
        <w:sectPr>
          <w:pgSz w:w="16840" w:h="11900" w:orient="landscape"/>
          <w:pgMar w:header="1059" w:footer="0" w:top="2520" w:bottom="280" w:left="880" w:right="920"/>
        </w:sectPr>
      </w:pPr>
    </w:p>
    <w:p>
      <w:pPr>
        <w:pStyle w:val="BodyText"/>
        <w:rPr>
          <w:rFonts w:ascii="Arial"/>
          <w:sz w:val="6"/>
        </w:rPr>
      </w:pPr>
      <w:r>
        <w:rPr/>
        <w:pict>
          <v:shape style="position:absolute;margin-left:27.140491pt;margin-top:286.589996pt;width:14.35pt;height:19.350pt;mso-position-horizontal-relative:page;mso-position-vertical-relative:page;z-index:1648" type="#_x0000_t202" filled="false" stroked="false">
            <v:textbox inset="0,0,0,0" style="layout-flow:vertical">
              <w:txbxContent>
                <w:p>
                  <w:pPr>
                    <w:spacing w:before="13"/>
                    <w:ind w:left="20" w:right="0" w:firstLine="0"/>
                    <w:jc w:val="left"/>
                    <w:rPr>
                      <w:rFonts w:ascii="Arial"/>
                      <w:sz w:val="22"/>
                    </w:rPr>
                  </w:pPr>
                  <w:r>
                    <w:rPr>
                      <w:rFonts w:ascii="Arial"/>
                      <w:sz w:val="22"/>
                    </w:rPr>
                    <w:t>xxv</w:t>
                  </w:r>
                </w:p>
              </w:txbxContent>
            </v:textbox>
            <w10:wrap type="none"/>
          </v:shape>
        </w:pic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4906"/>
        <w:gridCol w:w="2539"/>
        <w:gridCol w:w="1473"/>
        <w:gridCol w:w="1535"/>
        <w:gridCol w:w="1325"/>
        <w:gridCol w:w="1284"/>
        <w:gridCol w:w="1258"/>
      </w:tblGrid>
      <w:tr>
        <w:trPr>
          <w:trHeight w:val="567" w:hRule="atLeast"/>
        </w:trPr>
        <w:tc>
          <w:tcPr>
            <w:tcW w:w="5377" w:type="dxa"/>
            <w:gridSpan w:val="2"/>
            <w:tcBorders>
              <w:bottom w:val="single" w:sz="18" w:space="0" w:color="000000"/>
            </w:tcBorders>
          </w:tcPr>
          <w:p>
            <w:pPr>
              <w:pStyle w:val="TableParagraph"/>
              <w:rPr>
                <w:rFonts w:ascii="Times New Roman"/>
                <w:sz w:val="14"/>
              </w:rPr>
            </w:pPr>
          </w:p>
        </w:tc>
        <w:tc>
          <w:tcPr>
            <w:tcW w:w="2539" w:type="dxa"/>
            <w:tcBorders>
              <w:bottom w:val="single" w:sz="18" w:space="0" w:color="000000"/>
            </w:tcBorders>
          </w:tcPr>
          <w:p>
            <w:pPr>
              <w:pStyle w:val="TableParagraph"/>
              <w:spacing w:before="29"/>
              <w:ind w:left="1532" w:right="393"/>
              <w:jc w:val="center"/>
              <w:rPr>
                <w:b/>
                <w:sz w:val="14"/>
              </w:rPr>
            </w:pPr>
            <w:r>
              <w:rPr>
                <w:b/>
                <w:spacing w:val="2"/>
                <w:sz w:val="14"/>
              </w:rPr>
              <w:t>FY</w:t>
            </w:r>
            <w:r>
              <w:rPr>
                <w:b/>
                <w:spacing w:val="6"/>
                <w:sz w:val="14"/>
              </w:rPr>
              <w:t> </w:t>
            </w:r>
            <w:r>
              <w:rPr>
                <w:b/>
                <w:spacing w:val="4"/>
                <w:sz w:val="14"/>
              </w:rPr>
              <w:t>2020</w:t>
            </w:r>
          </w:p>
          <w:p>
            <w:pPr>
              <w:pStyle w:val="TableParagraph"/>
              <w:spacing w:before="17"/>
              <w:ind w:left="1541" w:right="273"/>
              <w:jc w:val="center"/>
              <w:rPr>
                <w:sz w:val="14"/>
              </w:rPr>
            </w:pPr>
            <w:r>
              <w:rPr>
                <w:sz w:val="14"/>
              </w:rPr>
              <w:t>Budget</w:t>
            </w:r>
          </w:p>
        </w:tc>
        <w:tc>
          <w:tcPr>
            <w:tcW w:w="1473" w:type="dxa"/>
            <w:tcBorders>
              <w:bottom w:val="single" w:sz="18" w:space="0" w:color="000000"/>
            </w:tcBorders>
          </w:tcPr>
          <w:p>
            <w:pPr>
              <w:pStyle w:val="TableParagraph"/>
              <w:spacing w:line="264" w:lineRule="auto" w:before="29"/>
              <w:ind w:left="373" w:right="141" w:firstLine="91"/>
              <w:rPr>
                <w:sz w:val="14"/>
              </w:rPr>
            </w:pPr>
            <w:r>
              <w:rPr>
                <w:sz w:val="14"/>
              </w:rPr>
              <w:t>% of Total Non Int/ Sal</w:t>
            </w:r>
          </w:p>
        </w:tc>
        <w:tc>
          <w:tcPr>
            <w:tcW w:w="1535" w:type="dxa"/>
            <w:tcBorders>
              <w:bottom w:val="single" w:sz="18" w:space="0" w:color="000000"/>
            </w:tcBorders>
          </w:tcPr>
          <w:p>
            <w:pPr>
              <w:pStyle w:val="TableParagraph"/>
              <w:spacing w:before="29"/>
              <w:ind w:left="610"/>
              <w:rPr>
                <w:b/>
                <w:sz w:val="14"/>
              </w:rPr>
            </w:pPr>
            <w:r>
              <w:rPr>
                <w:b/>
                <w:spacing w:val="2"/>
                <w:sz w:val="14"/>
              </w:rPr>
              <w:t>FY</w:t>
            </w:r>
            <w:r>
              <w:rPr>
                <w:b/>
                <w:spacing w:val="6"/>
                <w:sz w:val="14"/>
              </w:rPr>
              <w:t> </w:t>
            </w:r>
            <w:r>
              <w:rPr>
                <w:b/>
                <w:spacing w:val="4"/>
                <w:sz w:val="14"/>
              </w:rPr>
              <w:t>2021</w:t>
            </w:r>
          </w:p>
          <w:p>
            <w:pPr>
              <w:pStyle w:val="TableParagraph"/>
              <w:spacing w:before="17"/>
              <w:ind w:left="552"/>
              <w:rPr>
                <w:sz w:val="14"/>
              </w:rPr>
            </w:pPr>
            <w:r>
              <w:rPr>
                <w:spacing w:val="3"/>
                <w:sz w:val="14"/>
              </w:rPr>
              <w:t>Indicative</w:t>
            </w:r>
          </w:p>
        </w:tc>
        <w:tc>
          <w:tcPr>
            <w:tcW w:w="1325" w:type="dxa"/>
            <w:tcBorders>
              <w:bottom w:val="single" w:sz="18" w:space="0" w:color="000000"/>
            </w:tcBorders>
          </w:tcPr>
          <w:p>
            <w:pPr>
              <w:pStyle w:val="TableParagraph"/>
              <w:spacing w:line="249" w:lineRule="auto" w:before="29"/>
              <w:ind w:left="427" w:right="140" w:firstLine="86"/>
              <w:jc w:val="both"/>
              <w:rPr>
                <w:sz w:val="14"/>
              </w:rPr>
            </w:pPr>
            <w:r>
              <w:rPr>
                <w:sz w:val="14"/>
              </w:rPr>
              <w:t>% of Total Non Int/ Sal Recurr Exp</w:t>
            </w:r>
          </w:p>
        </w:tc>
        <w:tc>
          <w:tcPr>
            <w:tcW w:w="1284" w:type="dxa"/>
            <w:tcBorders>
              <w:bottom w:val="single" w:sz="18" w:space="0" w:color="000000"/>
            </w:tcBorders>
          </w:tcPr>
          <w:p>
            <w:pPr>
              <w:pStyle w:val="TableParagraph"/>
              <w:spacing w:before="29"/>
              <w:ind w:left="529"/>
              <w:rPr>
                <w:b/>
                <w:sz w:val="14"/>
              </w:rPr>
            </w:pPr>
            <w:r>
              <w:rPr>
                <w:b/>
                <w:sz w:val="14"/>
              </w:rPr>
              <w:t>FY 2022</w:t>
            </w:r>
          </w:p>
        </w:tc>
        <w:tc>
          <w:tcPr>
            <w:tcW w:w="1258" w:type="dxa"/>
            <w:tcBorders>
              <w:bottom w:val="single" w:sz="18" w:space="0" w:color="000000"/>
            </w:tcBorders>
          </w:tcPr>
          <w:p>
            <w:pPr>
              <w:pStyle w:val="TableParagraph"/>
              <w:spacing w:line="249" w:lineRule="auto" w:before="29"/>
              <w:ind w:left="199" w:right="301" w:firstLine="86"/>
              <w:jc w:val="both"/>
              <w:rPr>
                <w:sz w:val="14"/>
              </w:rPr>
            </w:pPr>
            <w:r>
              <w:rPr>
                <w:sz w:val="14"/>
              </w:rPr>
              <w:t>% of Total Non Int/ Sal Recurr Exp</w:t>
            </w:r>
          </w:p>
        </w:tc>
      </w:tr>
      <w:tr>
        <w:trPr>
          <w:trHeight w:val="565" w:hRule="atLeast"/>
        </w:trPr>
        <w:tc>
          <w:tcPr>
            <w:tcW w:w="471" w:type="dxa"/>
            <w:tcBorders>
              <w:top w:val="single" w:sz="18" w:space="0" w:color="000000"/>
            </w:tcBorders>
          </w:tcPr>
          <w:p>
            <w:pPr>
              <w:pStyle w:val="TableParagraph"/>
              <w:spacing w:before="8"/>
              <w:rPr>
                <w:sz w:val="22"/>
              </w:rPr>
            </w:pPr>
          </w:p>
          <w:p>
            <w:pPr>
              <w:pStyle w:val="TableParagraph"/>
              <w:ind w:right="99"/>
              <w:jc w:val="right"/>
              <w:rPr>
                <w:b/>
                <w:sz w:val="14"/>
              </w:rPr>
            </w:pPr>
            <w:r>
              <w:rPr>
                <w:b/>
                <w:w w:val="95"/>
                <w:sz w:val="14"/>
              </w:rPr>
              <w:t>6.1</w:t>
            </w:r>
          </w:p>
        </w:tc>
        <w:tc>
          <w:tcPr>
            <w:tcW w:w="4906" w:type="dxa"/>
            <w:tcBorders>
              <w:top w:val="single" w:sz="18" w:space="0" w:color="000000"/>
            </w:tcBorders>
          </w:tcPr>
          <w:p>
            <w:pPr>
              <w:pStyle w:val="TableParagraph"/>
              <w:spacing w:before="8"/>
              <w:rPr>
                <w:sz w:val="22"/>
              </w:rPr>
            </w:pPr>
          </w:p>
          <w:p>
            <w:pPr>
              <w:pStyle w:val="TableParagraph"/>
              <w:ind w:left="95"/>
              <w:rPr>
                <w:b/>
                <w:sz w:val="14"/>
              </w:rPr>
            </w:pPr>
            <w:r>
              <w:rPr>
                <w:b/>
                <w:sz w:val="14"/>
              </w:rPr>
              <w:t>WOMEN ISSUES</w:t>
            </w:r>
          </w:p>
        </w:tc>
        <w:tc>
          <w:tcPr>
            <w:tcW w:w="2539" w:type="dxa"/>
            <w:tcBorders>
              <w:top w:val="single" w:sz="18" w:space="0" w:color="000000"/>
            </w:tcBorders>
          </w:tcPr>
          <w:p>
            <w:pPr>
              <w:pStyle w:val="TableParagraph"/>
              <w:spacing w:before="8"/>
              <w:rPr>
                <w:sz w:val="22"/>
              </w:rPr>
            </w:pPr>
          </w:p>
          <w:p>
            <w:pPr>
              <w:pStyle w:val="TableParagraph"/>
              <w:ind w:right="377"/>
              <w:jc w:val="right"/>
              <w:rPr>
                <w:b/>
                <w:sz w:val="14"/>
              </w:rPr>
            </w:pPr>
            <w:r>
              <w:rPr>
                <w:b/>
                <w:sz w:val="14"/>
              </w:rPr>
              <w:t>22,623.5</w:t>
            </w:r>
          </w:p>
        </w:tc>
        <w:tc>
          <w:tcPr>
            <w:tcW w:w="1473" w:type="dxa"/>
            <w:tcBorders>
              <w:top w:val="single" w:sz="18" w:space="0" w:color="000000"/>
            </w:tcBorders>
          </w:tcPr>
          <w:p>
            <w:pPr>
              <w:pStyle w:val="TableParagraph"/>
              <w:spacing w:before="8"/>
              <w:rPr>
                <w:sz w:val="22"/>
              </w:rPr>
            </w:pPr>
          </w:p>
          <w:p>
            <w:pPr>
              <w:pStyle w:val="TableParagraph"/>
              <w:ind w:right="500"/>
              <w:jc w:val="right"/>
              <w:rPr>
                <w:sz w:val="14"/>
              </w:rPr>
            </w:pPr>
            <w:r>
              <w:rPr>
                <w:sz w:val="14"/>
              </w:rPr>
              <w:t>1 . 0 %</w:t>
            </w:r>
          </w:p>
        </w:tc>
        <w:tc>
          <w:tcPr>
            <w:tcW w:w="1535" w:type="dxa"/>
            <w:tcBorders>
              <w:top w:val="single" w:sz="18" w:space="0" w:color="000000"/>
            </w:tcBorders>
          </w:tcPr>
          <w:p>
            <w:pPr>
              <w:pStyle w:val="TableParagraph"/>
              <w:spacing w:before="8"/>
              <w:rPr>
                <w:sz w:val="22"/>
              </w:rPr>
            </w:pPr>
          </w:p>
          <w:p>
            <w:pPr>
              <w:pStyle w:val="TableParagraph"/>
              <w:ind w:right="585"/>
              <w:jc w:val="right"/>
              <w:rPr>
                <w:sz w:val="14"/>
              </w:rPr>
            </w:pPr>
            <w:r>
              <w:rPr>
                <w:sz w:val="14"/>
              </w:rPr>
              <w:t>27,401.7</w:t>
            </w:r>
          </w:p>
        </w:tc>
        <w:tc>
          <w:tcPr>
            <w:tcW w:w="1325" w:type="dxa"/>
            <w:tcBorders>
              <w:top w:val="single" w:sz="18" w:space="0" w:color="000000"/>
            </w:tcBorders>
          </w:tcPr>
          <w:p>
            <w:pPr>
              <w:pStyle w:val="TableParagraph"/>
              <w:spacing w:before="8"/>
              <w:rPr>
                <w:sz w:val="22"/>
              </w:rPr>
            </w:pPr>
          </w:p>
          <w:p>
            <w:pPr>
              <w:pStyle w:val="TableParagraph"/>
              <w:ind w:left="361"/>
              <w:rPr>
                <w:sz w:val="14"/>
              </w:rPr>
            </w:pPr>
            <w:r>
              <w:rPr>
                <w:sz w:val="14"/>
              </w:rPr>
              <w:t>1 . 2 %</w:t>
            </w:r>
          </w:p>
        </w:tc>
        <w:tc>
          <w:tcPr>
            <w:tcW w:w="1284" w:type="dxa"/>
            <w:tcBorders>
              <w:top w:val="single" w:sz="18" w:space="0" w:color="000000"/>
            </w:tcBorders>
          </w:tcPr>
          <w:p>
            <w:pPr>
              <w:pStyle w:val="TableParagraph"/>
              <w:spacing w:before="8"/>
              <w:rPr>
                <w:sz w:val="22"/>
              </w:rPr>
            </w:pPr>
          </w:p>
          <w:p>
            <w:pPr>
              <w:pStyle w:val="TableParagraph"/>
              <w:ind w:left="145"/>
              <w:rPr>
                <w:sz w:val="14"/>
              </w:rPr>
            </w:pPr>
            <w:r>
              <w:rPr>
                <w:sz w:val="14"/>
              </w:rPr>
              <w:t>29,448.3</w:t>
            </w:r>
          </w:p>
        </w:tc>
        <w:tc>
          <w:tcPr>
            <w:tcW w:w="1258" w:type="dxa"/>
            <w:tcBorders>
              <w:top w:val="single" w:sz="18" w:space="0" w:color="000000"/>
            </w:tcBorders>
          </w:tcPr>
          <w:p>
            <w:pPr>
              <w:pStyle w:val="TableParagraph"/>
              <w:spacing w:before="8"/>
              <w:rPr>
                <w:sz w:val="22"/>
              </w:rPr>
            </w:pPr>
          </w:p>
          <w:p>
            <w:pPr>
              <w:pStyle w:val="TableParagraph"/>
              <w:ind w:left="363"/>
              <w:rPr>
                <w:sz w:val="14"/>
              </w:rPr>
            </w:pPr>
            <w:r>
              <w:rPr>
                <w:sz w:val="14"/>
              </w:rPr>
              <w:t>1 . 3 %</w:t>
            </w:r>
          </w:p>
        </w:tc>
      </w:tr>
      <w:tr>
        <w:trPr>
          <w:trHeight w:val="441" w:hRule="atLeast"/>
        </w:trPr>
        <w:tc>
          <w:tcPr>
            <w:tcW w:w="471" w:type="dxa"/>
          </w:tcPr>
          <w:p>
            <w:pPr>
              <w:pStyle w:val="TableParagraph"/>
              <w:spacing w:before="137"/>
              <w:ind w:right="92"/>
              <w:jc w:val="right"/>
              <w:rPr>
                <w:sz w:val="14"/>
              </w:rPr>
            </w:pPr>
            <w:r>
              <w:rPr>
                <w:w w:val="95"/>
                <w:sz w:val="14"/>
              </w:rPr>
              <w:t>305</w:t>
            </w:r>
          </w:p>
        </w:tc>
        <w:tc>
          <w:tcPr>
            <w:tcW w:w="4906" w:type="dxa"/>
          </w:tcPr>
          <w:p>
            <w:pPr>
              <w:pStyle w:val="TableParagraph"/>
              <w:spacing w:before="137"/>
              <w:ind w:left="96"/>
              <w:rPr>
                <w:sz w:val="14"/>
              </w:rPr>
            </w:pPr>
            <w:r>
              <w:rPr>
                <w:sz w:val="14"/>
              </w:rPr>
              <w:t>Ministry of Social Welfare</w:t>
            </w:r>
          </w:p>
        </w:tc>
        <w:tc>
          <w:tcPr>
            <w:tcW w:w="2539" w:type="dxa"/>
          </w:tcPr>
          <w:p>
            <w:pPr>
              <w:pStyle w:val="TableParagraph"/>
              <w:spacing w:before="137"/>
              <w:ind w:right="377"/>
              <w:jc w:val="right"/>
              <w:rPr>
                <w:b/>
                <w:sz w:val="14"/>
              </w:rPr>
            </w:pPr>
            <w:r>
              <w:rPr>
                <w:b/>
                <w:sz w:val="14"/>
              </w:rPr>
              <w:t>19,357.1</w:t>
            </w:r>
          </w:p>
        </w:tc>
        <w:tc>
          <w:tcPr>
            <w:tcW w:w="1473" w:type="dxa"/>
          </w:tcPr>
          <w:p>
            <w:pPr>
              <w:pStyle w:val="TableParagraph"/>
              <w:spacing w:before="137"/>
              <w:ind w:right="500"/>
              <w:jc w:val="right"/>
              <w:rPr>
                <w:sz w:val="14"/>
              </w:rPr>
            </w:pPr>
            <w:r>
              <w:rPr>
                <w:sz w:val="14"/>
              </w:rPr>
              <w:t>0 . 8 %</w:t>
            </w:r>
          </w:p>
        </w:tc>
        <w:tc>
          <w:tcPr>
            <w:tcW w:w="1535" w:type="dxa"/>
          </w:tcPr>
          <w:p>
            <w:pPr>
              <w:pStyle w:val="TableParagraph"/>
              <w:spacing w:before="137"/>
              <w:ind w:right="585"/>
              <w:jc w:val="right"/>
              <w:rPr>
                <w:sz w:val="14"/>
              </w:rPr>
            </w:pPr>
            <w:r>
              <w:rPr>
                <w:sz w:val="14"/>
              </w:rPr>
              <w:t>23,843.9</w:t>
            </w:r>
          </w:p>
        </w:tc>
        <w:tc>
          <w:tcPr>
            <w:tcW w:w="1325" w:type="dxa"/>
          </w:tcPr>
          <w:p>
            <w:pPr>
              <w:pStyle w:val="TableParagraph"/>
              <w:spacing w:before="137"/>
              <w:ind w:left="361"/>
              <w:rPr>
                <w:sz w:val="14"/>
              </w:rPr>
            </w:pPr>
            <w:r>
              <w:rPr>
                <w:sz w:val="14"/>
              </w:rPr>
              <w:t>1 . 0 %</w:t>
            </w:r>
          </w:p>
        </w:tc>
        <w:tc>
          <w:tcPr>
            <w:tcW w:w="1284" w:type="dxa"/>
          </w:tcPr>
          <w:p>
            <w:pPr>
              <w:pStyle w:val="TableParagraph"/>
              <w:spacing w:before="137"/>
              <w:ind w:left="145"/>
              <w:rPr>
                <w:sz w:val="14"/>
              </w:rPr>
            </w:pPr>
            <w:r>
              <w:rPr>
                <w:sz w:val="14"/>
              </w:rPr>
              <w:t>25,272.1</w:t>
            </w:r>
          </w:p>
        </w:tc>
        <w:tc>
          <w:tcPr>
            <w:tcW w:w="1258" w:type="dxa"/>
          </w:tcPr>
          <w:p>
            <w:pPr>
              <w:pStyle w:val="TableParagraph"/>
              <w:spacing w:before="137"/>
              <w:ind w:left="363"/>
              <w:rPr>
                <w:sz w:val="14"/>
              </w:rPr>
            </w:pPr>
            <w:r>
              <w:rPr>
                <w:sz w:val="14"/>
              </w:rPr>
              <w:t>1 . 1 %</w:t>
            </w:r>
          </w:p>
        </w:tc>
      </w:tr>
      <w:tr>
        <w:trPr>
          <w:trHeight w:val="439" w:hRule="atLeast"/>
        </w:trPr>
        <w:tc>
          <w:tcPr>
            <w:tcW w:w="471" w:type="dxa"/>
          </w:tcPr>
          <w:p>
            <w:pPr>
              <w:pStyle w:val="TableParagraph"/>
              <w:spacing w:before="137"/>
              <w:ind w:right="92"/>
              <w:jc w:val="right"/>
              <w:rPr>
                <w:sz w:val="14"/>
              </w:rPr>
            </w:pPr>
            <w:r>
              <w:rPr>
                <w:w w:val="95"/>
                <w:sz w:val="14"/>
              </w:rPr>
              <w:t>701</w:t>
            </w:r>
          </w:p>
        </w:tc>
        <w:tc>
          <w:tcPr>
            <w:tcW w:w="4906" w:type="dxa"/>
          </w:tcPr>
          <w:p>
            <w:pPr>
              <w:pStyle w:val="TableParagraph"/>
              <w:spacing w:before="137"/>
              <w:ind w:left="96"/>
              <w:rPr>
                <w:sz w:val="14"/>
              </w:rPr>
            </w:pPr>
            <w:r>
              <w:rPr>
                <w:sz w:val="14"/>
              </w:rPr>
              <w:t>Devolved Function - Social Welfare</w:t>
            </w:r>
          </w:p>
        </w:tc>
        <w:tc>
          <w:tcPr>
            <w:tcW w:w="2539" w:type="dxa"/>
          </w:tcPr>
          <w:p>
            <w:pPr>
              <w:pStyle w:val="TableParagraph"/>
              <w:spacing w:before="137"/>
              <w:ind w:right="370"/>
              <w:jc w:val="right"/>
              <w:rPr>
                <w:b/>
                <w:sz w:val="14"/>
              </w:rPr>
            </w:pPr>
            <w:r>
              <w:rPr>
                <w:b/>
                <w:sz w:val="14"/>
              </w:rPr>
              <w:t>3,266.4</w:t>
            </w:r>
          </w:p>
        </w:tc>
        <w:tc>
          <w:tcPr>
            <w:tcW w:w="1473" w:type="dxa"/>
          </w:tcPr>
          <w:p>
            <w:pPr>
              <w:pStyle w:val="TableParagraph"/>
              <w:spacing w:before="137"/>
              <w:ind w:right="500"/>
              <w:jc w:val="right"/>
              <w:rPr>
                <w:sz w:val="14"/>
              </w:rPr>
            </w:pPr>
            <w:r>
              <w:rPr>
                <w:sz w:val="14"/>
              </w:rPr>
              <w:t>0 . 1 %</w:t>
            </w:r>
          </w:p>
        </w:tc>
        <w:tc>
          <w:tcPr>
            <w:tcW w:w="1535" w:type="dxa"/>
          </w:tcPr>
          <w:p>
            <w:pPr>
              <w:pStyle w:val="TableParagraph"/>
              <w:spacing w:before="137"/>
              <w:ind w:right="581"/>
              <w:jc w:val="right"/>
              <w:rPr>
                <w:sz w:val="14"/>
              </w:rPr>
            </w:pPr>
            <w:r>
              <w:rPr>
                <w:sz w:val="14"/>
              </w:rPr>
              <w:t>3,557 .8</w:t>
            </w:r>
          </w:p>
        </w:tc>
        <w:tc>
          <w:tcPr>
            <w:tcW w:w="1325" w:type="dxa"/>
          </w:tcPr>
          <w:p>
            <w:pPr>
              <w:pStyle w:val="TableParagraph"/>
              <w:spacing w:before="137"/>
              <w:ind w:left="361"/>
              <w:rPr>
                <w:sz w:val="14"/>
              </w:rPr>
            </w:pPr>
            <w:r>
              <w:rPr>
                <w:sz w:val="14"/>
              </w:rPr>
              <w:t>0 . 2 %</w:t>
            </w:r>
          </w:p>
        </w:tc>
        <w:tc>
          <w:tcPr>
            <w:tcW w:w="1284" w:type="dxa"/>
          </w:tcPr>
          <w:p>
            <w:pPr>
              <w:pStyle w:val="TableParagraph"/>
              <w:spacing w:before="137"/>
              <w:ind w:left="231"/>
              <w:rPr>
                <w:sz w:val="14"/>
              </w:rPr>
            </w:pPr>
            <w:r>
              <w:rPr>
                <w:sz w:val="14"/>
              </w:rPr>
              <w:t>4,176 .1</w:t>
            </w:r>
          </w:p>
        </w:tc>
        <w:tc>
          <w:tcPr>
            <w:tcW w:w="1258" w:type="dxa"/>
          </w:tcPr>
          <w:p>
            <w:pPr>
              <w:pStyle w:val="TableParagraph"/>
              <w:spacing w:before="137"/>
              <w:ind w:left="363"/>
              <w:rPr>
                <w:sz w:val="14"/>
              </w:rPr>
            </w:pPr>
            <w:r>
              <w:rPr>
                <w:sz w:val="14"/>
              </w:rPr>
              <w:t>0 . 2 %</w:t>
            </w:r>
          </w:p>
        </w:tc>
      </w:tr>
      <w:tr>
        <w:trPr>
          <w:trHeight w:val="439" w:hRule="atLeast"/>
        </w:trPr>
        <w:tc>
          <w:tcPr>
            <w:tcW w:w="471" w:type="dxa"/>
          </w:tcPr>
          <w:p>
            <w:pPr>
              <w:pStyle w:val="TableParagraph"/>
              <w:spacing w:before="135"/>
              <w:ind w:right="99"/>
              <w:jc w:val="right"/>
              <w:rPr>
                <w:b/>
                <w:sz w:val="14"/>
              </w:rPr>
            </w:pPr>
            <w:r>
              <w:rPr>
                <w:b/>
                <w:w w:val="95"/>
                <w:sz w:val="14"/>
              </w:rPr>
              <w:t>6.2</w:t>
            </w:r>
          </w:p>
        </w:tc>
        <w:tc>
          <w:tcPr>
            <w:tcW w:w="4906" w:type="dxa"/>
          </w:tcPr>
          <w:p>
            <w:pPr>
              <w:pStyle w:val="TableParagraph"/>
              <w:spacing w:before="135"/>
              <w:ind w:left="95"/>
              <w:rPr>
                <w:b/>
                <w:sz w:val="14"/>
              </w:rPr>
            </w:pPr>
            <w:r>
              <w:rPr>
                <w:b/>
                <w:sz w:val="14"/>
              </w:rPr>
              <w:t>CHILDREN ISSUES</w:t>
            </w:r>
          </w:p>
        </w:tc>
        <w:tc>
          <w:tcPr>
            <w:tcW w:w="2539" w:type="dxa"/>
          </w:tcPr>
          <w:p>
            <w:pPr>
              <w:pStyle w:val="TableParagraph"/>
              <w:spacing w:before="135"/>
              <w:ind w:right="370"/>
              <w:jc w:val="right"/>
              <w:rPr>
                <w:b/>
                <w:sz w:val="14"/>
              </w:rPr>
            </w:pPr>
            <w:r>
              <w:rPr>
                <w:b/>
                <w:sz w:val="14"/>
              </w:rPr>
              <w:t>3,587.0</w:t>
            </w:r>
          </w:p>
        </w:tc>
        <w:tc>
          <w:tcPr>
            <w:tcW w:w="1473" w:type="dxa"/>
          </w:tcPr>
          <w:p>
            <w:pPr>
              <w:pStyle w:val="TableParagraph"/>
              <w:spacing w:before="135"/>
              <w:ind w:right="500"/>
              <w:jc w:val="right"/>
              <w:rPr>
                <w:sz w:val="14"/>
              </w:rPr>
            </w:pPr>
            <w:r>
              <w:rPr>
                <w:sz w:val="14"/>
              </w:rPr>
              <w:t>0 . 2 %</w:t>
            </w:r>
          </w:p>
        </w:tc>
        <w:tc>
          <w:tcPr>
            <w:tcW w:w="1535" w:type="dxa"/>
          </w:tcPr>
          <w:p>
            <w:pPr>
              <w:pStyle w:val="TableParagraph"/>
              <w:spacing w:before="135"/>
              <w:ind w:right="581"/>
              <w:jc w:val="right"/>
              <w:rPr>
                <w:sz w:val="14"/>
              </w:rPr>
            </w:pPr>
            <w:r>
              <w:rPr>
                <w:sz w:val="14"/>
              </w:rPr>
              <w:t>4,117 .0</w:t>
            </w:r>
          </w:p>
        </w:tc>
        <w:tc>
          <w:tcPr>
            <w:tcW w:w="1325" w:type="dxa"/>
          </w:tcPr>
          <w:p>
            <w:pPr>
              <w:pStyle w:val="TableParagraph"/>
              <w:spacing w:before="135"/>
              <w:ind w:left="361"/>
              <w:rPr>
                <w:sz w:val="14"/>
              </w:rPr>
            </w:pPr>
            <w:r>
              <w:rPr>
                <w:sz w:val="14"/>
              </w:rPr>
              <w:t>0 . 2 %</w:t>
            </w:r>
          </w:p>
        </w:tc>
        <w:tc>
          <w:tcPr>
            <w:tcW w:w="1284" w:type="dxa"/>
          </w:tcPr>
          <w:p>
            <w:pPr>
              <w:pStyle w:val="TableParagraph"/>
              <w:spacing w:before="135"/>
              <w:ind w:left="231"/>
              <w:rPr>
                <w:sz w:val="14"/>
              </w:rPr>
            </w:pPr>
            <w:r>
              <w:rPr>
                <w:sz w:val="14"/>
              </w:rPr>
              <w:t>5,053 .8</w:t>
            </w:r>
          </w:p>
        </w:tc>
        <w:tc>
          <w:tcPr>
            <w:tcW w:w="1258" w:type="dxa"/>
          </w:tcPr>
          <w:p>
            <w:pPr>
              <w:pStyle w:val="TableParagraph"/>
              <w:spacing w:before="135"/>
              <w:ind w:left="363"/>
              <w:rPr>
                <w:sz w:val="14"/>
              </w:rPr>
            </w:pPr>
            <w:r>
              <w:rPr>
                <w:sz w:val="14"/>
              </w:rPr>
              <w:t>0 . 2 %</w:t>
            </w:r>
          </w:p>
        </w:tc>
      </w:tr>
      <w:tr>
        <w:trPr>
          <w:trHeight w:val="441" w:hRule="atLeast"/>
        </w:trPr>
        <w:tc>
          <w:tcPr>
            <w:tcW w:w="471" w:type="dxa"/>
          </w:tcPr>
          <w:p>
            <w:pPr>
              <w:pStyle w:val="TableParagraph"/>
              <w:spacing w:before="137"/>
              <w:ind w:right="92"/>
              <w:jc w:val="right"/>
              <w:rPr>
                <w:sz w:val="14"/>
              </w:rPr>
            </w:pPr>
            <w:r>
              <w:rPr>
                <w:w w:val="95"/>
                <w:sz w:val="14"/>
              </w:rPr>
              <w:t>305</w:t>
            </w:r>
          </w:p>
        </w:tc>
        <w:tc>
          <w:tcPr>
            <w:tcW w:w="4906" w:type="dxa"/>
          </w:tcPr>
          <w:p>
            <w:pPr>
              <w:pStyle w:val="TableParagraph"/>
              <w:spacing w:before="137"/>
              <w:ind w:left="95"/>
              <w:rPr>
                <w:sz w:val="14"/>
              </w:rPr>
            </w:pPr>
            <w:r>
              <w:rPr>
                <w:sz w:val="14"/>
              </w:rPr>
              <w:t>National Children’s Commission</w:t>
            </w:r>
          </w:p>
        </w:tc>
        <w:tc>
          <w:tcPr>
            <w:tcW w:w="2539" w:type="dxa"/>
          </w:tcPr>
          <w:p>
            <w:pPr>
              <w:pStyle w:val="TableParagraph"/>
              <w:spacing w:before="137"/>
              <w:ind w:right="370"/>
              <w:jc w:val="right"/>
              <w:rPr>
                <w:b/>
                <w:sz w:val="14"/>
              </w:rPr>
            </w:pPr>
            <w:r>
              <w:rPr>
                <w:b/>
                <w:sz w:val="14"/>
              </w:rPr>
              <w:t>1,300.4</w:t>
            </w:r>
          </w:p>
        </w:tc>
        <w:tc>
          <w:tcPr>
            <w:tcW w:w="1473" w:type="dxa"/>
          </w:tcPr>
          <w:p>
            <w:pPr>
              <w:pStyle w:val="TableParagraph"/>
              <w:spacing w:before="137"/>
              <w:ind w:right="500"/>
              <w:jc w:val="right"/>
              <w:rPr>
                <w:sz w:val="14"/>
              </w:rPr>
            </w:pPr>
            <w:r>
              <w:rPr>
                <w:sz w:val="14"/>
              </w:rPr>
              <w:t>0 . 1 %</w:t>
            </w:r>
          </w:p>
        </w:tc>
        <w:tc>
          <w:tcPr>
            <w:tcW w:w="1535" w:type="dxa"/>
          </w:tcPr>
          <w:p>
            <w:pPr>
              <w:pStyle w:val="TableParagraph"/>
              <w:spacing w:before="137"/>
              <w:ind w:right="581"/>
              <w:jc w:val="right"/>
              <w:rPr>
                <w:sz w:val="14"/>
              </w:rPr>
            </w:pPr>
            <w:r>
              <w:rPr>
                <w:sz w:val="14"/>
              </w:rPr>
              <w:t>1,601 .9</w:t>
            </w:r>
          </w:p>
        </w:tc>
        <w:tc>
          <w:tcPr>
            <w:tcW w:w="1325" w:type="dxa"/>
          </w:tcPr>
          <w:p>
            <w:pPr>
              <w:pStyle w:val="TableParagraph"/>
              <w:spacing w:before="137"/>
              <w:ind w:left="361"/>
              <w:rPr>
                <w:sz w:val="14"/>
              </w:rPr>
            </w:pPr>
            <w:r>
              <w:rPr>
                <w:sz w:val="14"/>
              </w:rPr>
              <w:t>0 . 1 %</w:t>
            </w:r>
          </w:p>
        </w:tc>
        <w:tc>
          <w:tcPr>
            <w:tcW w:w="1284" w:type="dxa"/>
          </w:tcPr>
          <w:p>
            <w:pPr>
              <w:pStyle w:val="TableParagraph"/>
              <w:spacing w:before="137"/>
              <w:ind w:left="231"/>
              <w:rPr>
                <w:sz w:val="14"/>
              </w:rPr>
            </w:pPr>
            <w:r>
              <w:rPr>
                <w:sz w:val="14"/>
              </w:rPr>
              <w:t>1,697 .8</w:t>
            </w:r>
          </w:p>
        </w:tc>
        <w:tc>
          <w:tcPr>
            <w:tcW w:w="1258" w:type="dxa"/>
          </w:tcPr>
          <w:p>
            <w:pPr>
              <w:pStyle w:val="TableParagraph"/>
              <w:spacing w:before="137"/>
              <w:ind w:left="363"/>
              <w:rPr>
                <w:sz w:val="14"/>
              </w:rPr>
            </w:pPr>
            <w:r>
              <w:rPr>
                <w:sz w:val="14"/>
              </w:rPr>
              <w:t>0 . 1 %</w:t>
            </w:r>
          </w:p>
        </w:tc>
      </w:tr>
      <w:tr>
        <w:trPr>
          <w:trHeight w:val="333" w:hRule="atLeast"/>
        </w:trPr>
        <w:tc>
          <w:tcPr>
            <w:tcW w:w="471" w:type="dxa"/>
          </w:tcPr>
          <w:p>
            <w:pPr>
              <w:pStyle w:val="TableParagraph"/>
              <w:spacing w:before="137"/>
              <w:ind w:right="92"/>
              <w:jc w:val="right"/>
              <w:rPr>
                <w:sz w:val="14"/>
              </w:rPr>
            </w:pPr>
            <w:r>
              <w:rPr>
                <w:w w:val="95"/>
                <w:sz w:val="14"/>
              </w:rPr>
              <w:t>701</w:t>
            </w:r>
          </w:p>
        </w:tc>
        <w:tc>
          <w:tcPr>
            <w:tcW w:w="4906" w:type="dxa"/>
          </w:tcPr>
          <w:p>
            <w:pPr>
              <w:pStyle w:val="TableParagraph"/>
              <w:spacing w:before="137"/>
              <w:ind w:left="96"/>
              <w:rPr>
                <w:sz w:val="14"/>
              </w:rPr>
            </w:pPr>
            <w:r>
              <w:rPr>
                <w:sz w:val="14"/>
              </w:rPr>
              <w:t>Devolved Function - Children’s Affairs Services</w:t>
            </w:r>
          </w:p>
        </w:tc>
        <w:tc>
          <w:tcPr>
            <w:tcW w:w="2539" w:type="dxa"/>
          </w:tcPr>
          <w:p>
            <w:pPr>
              <w:pStyle w:val="TableParagraph"/>
              <w:spacing w:before="137"/>
              <w:ind w:right="370"/>
              <w:jc w:val="right"/>
              <w:rPr>
                <w:b/>
                <w:sz w:val="14"/>
              </w:rPr>
            </w:pPr>
            <w:r>
              <w:rPr>
                <w:b/>
                <w:sz w:val="14"/>
              </w:rPr>
              <w:t>2,286.5</w:t>
            </w:r>
          </w:p>
        </w:tc>
        <w:tc>
          <w:tcPr>
            <w:tcW w:w="1473" w:type="dxa"/>
          </w:tcPr>
          <w:p>
            <w:pPr>
              <w:pStyle w:val="TableParagraph"/>
              <w:spacing w:before="137"/>
              <w:ind w:right="500"/>
              <w:jc w:val="right"/>
              <w:rPr>
                <w:sz w:val="14"/>
              </w:rPr>
            </w:pPr>
            <w:r>
              <w:rPr>
                <w:sz w:val="14"/>
              </w:rPr>
              <w:t>0 . 1 %</w:t>
            </w:r>
          </w:p>
        </w:tc>
        <w:tc>
          <w:tcPr>
            <w:tcW w:w="1535" w:type="dxa"/>
          </w:tcPr>
          <w:p>
            <w:pPr>
              <w:pStyle w:val="TableParagraph"/>
              <w:spacing w:before="137"/>
              <w:ind w:right="581"/>
              <w:jc w:val="right"/>
              <w:rPr>
                <w:sz w:val="14"/>
              </w:rPr>
            </w:pPr>
            <w:r>
              <w:rPr>
                <w:sz w:val="14"/>
              </w:rPr>
              <w:t>2,515 .2</w:t>
            </w:r>
          </w:p>
        </w:tc>
        <w:tc>
          <w:tcPr>
            <w:tcW w:w="1325" w:type="dxa"/>
          </w:tcPr>
          <w:p>
            <w:pPr>
              <w:pStyle w:val="TableParagraph"/>
              <w:spacing w:before="137"/>
              <w:ind w:left="361"/>
              <w:rPr>
                <w:sz w:val="14"/>
              </w:rPr>
            </w:pPr>
            <w:r>
              <w:rPr>
                <w:sz w:val="14"/>
              </w:rPr>
              <w:t>0 . 1 %</w:t>
            </w:r>
          </w:p>
        </w:tc>
        <w:tc>
          <w:tcPr>
            <w:tcW w:w="1284" w:type="dxa"/>
          </w:tcPr>
          <w:p>
            <w:pPr>
              <w:pStyle w:val="TableParagraph"/>
              <w:spacing w:before="137"/>
              <w:ind w:left="231"/>
              <w:rPr>
                <w:sz w:val="14"/>
              </w:rPr>
            </w:pPr>
            <w:r>
              <w:rPr>
                <w:sz w:val="14"/>
              </w:rPr>
              <w:t>3,355 .9</w:t>
            </w:r>
          </w:p>
        </w:tc>
        <w:tc>
          <w:tcPr>
            <w:tcW w:w="1258" w:type="dxa"/>
          </w:tcPr>
          <w:p>
            <w:pPr>
              <w:pStyle w:val="TableParagraph"/>
              <w:spacing w:before="137"/>
              <w:ind w:left="363"/>
              <w:rPr>
                <w:sz w:val="14"/>
              </w:rPr>
            </w:pPr>
            <w:r>
              <w:rPr>
                <w:sz w:val="14"/>
              </w:rPr>
              <w:t>0 . 1 %</w:t>
            </w:r>
          </w:p>
        </w:tc>
      </w:tr>
      <w:tr>
        <w:trPr>
          <w:trHeight w:val="545" w:hRule="atLeast"/>
        </w:trPr>
        <w:tc>
          <w:tcPr>
            <w:tcW w:w="14791" w:type="dxa"/>
            <w:gridSpan w:val="8"/>
          </w:tcPr>
          <w:p>
            <w:pPr>
              <w:pStyle w:val="TableParagraph"/>
              <w:spacing w:before="11"/>
              <w:rPr>
                <w:sz w:val="20"/>
              </w:rPr>
            </w:pPr>
          </w:p>
          <w:p>
            <w:pPr>
              <w:pStyle w:val="TableParagraph"/>
              <w:tabs>
                <w:tab w:pos="6980" w:val="left" w:leader="none"/>
                <w:tab w:pos="8510" w:val="left" w:leader="none"/>
                <w:tab w:pos="9730" w:val="left" w:leader="none"/>
                <w:tab w:pos="11285" w:val="left" w:leader="none"/>
                <w:tab w:pos="12394" w:val="left" w:leader="none"/>
                <w:tab w:pos="13896" w:val="left" w:leader="none"/>
              </w:tabs>
              <w:rPr>
                <w:sz w:val="14"/>
              </w:rPr>
            </w:pPr>
            <w:r>
              <w:rPr>
                <w:b/>
                <w:spacing w:val="2"/>
                <w:sz w:val="14"/>
              </w:rPr>
              <w:t>CLUSTER </w:t>
            </w:r>
            <w:r>
              <w:rPr>
                <w:b/>
                <w:sz w:val="14"/>
              </w:rPr>
              <w:t>7   </w:t>
            </w:r>
            <w:r>
              <w:rPr>
                <w:b/>
                <w:spacing w:val="3"/>
                <w:sz w:val="14"/>
              </w:rPr>
              <w:t>ENVIRONMENT, </w:t>
            </w:r>
            <w:r>
              <w:rPr>
                <w:b/>
                <w:spacing w:val="4"/>
                <w:sz w:val="14"/>
              </w:rPr>
              <w:t>CLIMATE </w:t>
            </w:r>
            <w:r>
              <w:rPr>
                <w:b/>
                <w:sz w:val="14"/>
              </w:rPr>
              <w:t>CHANGE AND</w:t>
            </w:r>
            <w:r>
              <w:rPr>
                <w:b/>
                <w:spacing w:val="-11"/>
                <w:sz w:val="14"/>
              </w:rPr>
              <w:t> </w:t>
            </w:r>
            <w:r>
              <w:rPr>
                <w:b/>
                <w:spacing w:val="3"/>
                <w:sz w:val="14"/>
              </w:rPr>
              <w:t>DISASTER</w:t>
            </w:r>
            <w:r>
              <w:rPr>
                <w:b/>
                <w:spacing w:val="6"/>
                <w:sz w:val="14"/>
              </w:rPr>
              <w:t> </w:t>
            </w:r>
            <w:r>
              <w:rPr>
                <w:b/>
                <w:spacing w:val="3"/>
                <w:sz w:val="14"/>
              </w:rPr>
              <w:t>MANAGEMENT</w:t>
              <w:tab/>
            </w:r>
            <w:r>
              <w:rPr>
                <w:b/>
                <w:sz w:val="14"/>
              </w:rPr>
              <w:t>31,905.1</w:t>
              <w:tab/>
            </w:r>
            <w:r>
              <w:rPr>
                <w:sz w:val="14"/>
              </w:rPr>
              <w:t>1</w:t>
            </w:r>
            <w:r>
              <w:rPr>
                <w:spacing w:val="-21"/>
                <w:sz w:val="14"/>
              </w:rPr>
              <w:t> </w:t>
            </w:r>
            <w:r>
              <w:rPr>
                <w:sz w:val="14"/>
              </w:rPr>
              <w:t>.</w:t>
            </w:r>
            <w:r>
              <w:rPr>
                <w:spacing w:val="-19"/>
                <w:sz w:val="14"/>
              </w:rPr>
              <w:t> </w:t>
            </w:r>
            <w:r>
              <w:rPr>
                <w:sz w:val="14"/>
              </w:rPr>
              <w:t>4</w:t>
            </w:r>
            <w:r>
              <w:rPr>
                <w:spacing w:val="-21"/>
                <w:sz w:val="14"/>
              </w:rPr>
              <w:t> </w:t>
            </w:r>
            <w:r>
              <w:rPr>
                <w:sz w:val="14"/>
              </w:rPr>
              <w:t>%</w:t>
              <w:tab/>
            </w:r>
            <w:r>
              <w:rPr>
                <w:spacing w:val="7"/>
                <w:sz w:val="14"/>
              </w:rPr>
              <w:t>29,614.8</w:t>
              <w:tab/>
            </w:r>
            <w:r>
              <w:rPr>
                <w:sz w:val="14"/>
              </w:rPr>
              <w:t>1</w:t>
            </w:r>
            <w:r>
              <w:rPr>
                <w:spacing w:val="-21"/>
                <w:sz w:val="14"/>
              </w:rPr>
              <w:t> </w:t>
            </w:r>
            <w:r>
              <w:rPr>
                <w:sz w:val="14"/>
              </w:rPr>
              <w:t>.</w:t>
            </w:r>
            <w:r>
              <w:rPr>
                <w:spacing w:val="-18"/>
                <w:sz w:val="14"/>
              </w:rPr>
              <w:t> </w:t>
            </w:r>
            <w:r>
              <w:rPr>
                <w:sz w:val="14"/>
              </w:rPr>
              <w:t>3</w:t>
            </w:r>
            <w:r>
              <w:rPr>
                <w:spacing w:val="-22"/>
                <w:sz w:val="14"/>
              </w:rPr>
              <w:t> </w:t>
            </w:r>
            <w:r>
              <w:rPr>
                <w:sz w:val="14"/>
              </w:rPr>
              <w:t>%</w:t>
              <w:tab/>
            </w:r>
            <w:r>
              <w:rPr>
                <w:spacing w:val="7"/>
                <w:sz w:val="14"/>
              </w:rPr>
              <w:t>34,360.1</w:t>
              <w:tab/>
            </w:r>
            <w:r>
              <w:rPr>
                <w:sz w:val="14"/>
              </w:rPr>
              <w:t>1</w:t>
            </w:r>
            <w:r>
              <w:rPr>
                <w:spacing w:val="-21"/>
                <w:sz w:val="14"/>
              </w:rPr>
              <w:t> </w:t>
            </w:r>
            <w:r>
              <w:rPr>
                <w:sz w:val="14"/>
              </w:rPr>
              <w:t>.</w:t>
            </w:r>
            <w:r>
              <w:rPr>
                <w:spacing w:val="-18"/>
                <w:sz w:val="14"/>
              </w:rPr>
              <w:t> </w:t>
            </w:r>
            <w:r>
              <w:rPr>
                <w:sz w:val="14"/>
              </w:rPr>
              <w:t>5</w:t>
            </w:r>
            <w:r>
              <w:rPr>
                <w:spacing w:val="-21"/>
                <w:sz w:val="14"/>
              </w:rPr>
              <w:t> </w:t>
            </w:r>
            <w:r>
              <w:rPr>
                <w:sz w:val="14"/>
              </w:rPr>
              <w:t>%</w:t>
            </w:r>
          </w:p>
        </w:tc>
      </w:tr>
      <w:tr>
        <w:trPr>
          <w:trHeight w:val="441" w:hRule="atLeast"/>
        </w:trPr>
        <w:tc>
          <w:tcPr>
            <w:tcW w:w="471" w:type="dxa"/>
          </w:tcPr>
          <w:p>
            <w:pPr>
              <w:pStyle w:val="TableParagraph"/>
              <w:spacing w:before="137"/>
              <w:ind w:right="92"/>
              <w:jc w:val="right"/>
              <w:rPr>
                <w:sz w:val="14"/>
              </w:rPr>
            </w:pPr>
            <w:r>
              <w:rPr>
                <w:w w:val="95"/>
                <w:sz w:val="14"/>
              </w:rPr>
              <w:t>417</w:t>
            </w:r>
          </w:p>
        </w:tc>
        <w:tc>
          <w:tcPr>
            <w:tcW w:w="4906" w:type="dxa"/>
          </w:tcPr>
          <w:p>
            <w:pPr>
              <w:pStyle w:val="TableParagraph"/>
              <w:spacing w:before="137"/>
              <w:ind w:left="95"/>
              <w:rPr>
                <w:sz w:val="14"/>
              </w:rPr>
            </w:pPr>
            <w:r>
              <w:rPr>
                <w:sz w:val="14"/>
              </w:rPr>
              <w:t>Nuclear Safety and Radiation Protection Authority</w:t>
            </w:r>
          </w:p>
        </w:tc>
        <w:tc>
          <w:tcPr>
            <w:tcW w:w="2539" w:type="dxa"/>
          </w:tcPr>
          <w:p>
            <w:pPr>
              <w:pStyle w:val="TableParagraph"/>
              <w:spacing w:before="137"/>
              <w:ind w:right="370"/>
              <w:jc w:val="right"/>
              <w:rPr>
                <w:b/>
                <w:sz w:val="14"/>
              </w:rPr>
            </w:pPr>
            <w:r>
              <w:rPr>
                <w:b/>
                <w:sz w:val="14"/>
              </w:rPr>
              <w:t>1,954.7</w:t>
            </w:r>
          </w:p>
        </w:tc>
        <w:tc>
          <w:tcPr>
            <w:tcW w:w="1473" w:type="dxa"/>
          </w:tcPr>
          <w:p>
            <w:pPr>
              <w:pStyle w:val="TableParagraph"/>
              <w:spacing w:before="137"/>
              <w:ind w:right="500"/>
              <w:jc w:val="right"/>
              <w:rPr>
                <w:sz w:val="14"/>
              </w:rPr>
            </w:pPr>
            <w:r>
              <w:rPr>
                <w:sz w:val="14"/>
              </w:rPr>
              <w:t>0 . 1 %</w:t>
            </w:r>
          </w:p>
        </w:tc>
        <w:tc>
          <w:tcPr>
            <w:tcW w:w="1535" w:type="dxa"/>
          </w:tcPr>
          <w:p>
            <w:pPr>
              <w:pStyle w:val="TableParagraph"/>
              <w:spacing w:before="137"/>
              <w:ind w:right="581"/>
              <w:jc w:val="right"/>
              <w:rPr>
                <w:sz w:val="14"/>
              </w:rPr>
            </w:pPr>
            <w:r>
              <w:rPr>
                <w:sz w:val="14"/>
              </w:rPr>
              <w:t>1,791 .9</w:t>
            </w:r>
          </w:p>
        </w:tc>
        <w:tc>
          <w:tcPr>
            <w:tcW w:w="1325" w:type="dxa"/>
          </w:tcPr>
          <w:p>
            <w:pPr>
              <w:pStyle w:val="TableParagraph"/>
              <w:spacing w:before="137"/>
              <w:ind w:left="361"/>
              <w:rPr>
                <w:sz w:val="14"/>
              </w:rPr>
            </w:pPr>
            <w:r>
              <w:rPr>
                <w:sz w:val="14"/>
              </w:rPr>
              <w:t>0 . 1 %</w:t>
            </w:r>
          </w:p>
        </w:tc>
        <w:tc>
          <w:tcPr>
            <w:tcW w:w="1284" w:type="dxa"/>
          </w:tcPr>
          <w:p>
            <w:pPr>
              <w:pStyle w:val="TableParagraph"/>
              <w:spacing w:before="137"/>
              <w:ind w:left="231"/>
              <w:rPr>
                <w:sz w:val="14"/>
              </w:rPr>
            </w:pPr>
            <w:r>
              <w:rPr>
                <w:sz w:val="14"/>
              </w:rPr>
              <w:t>1,899 .3</w:t>
            </w:r>
          </w:p>
        </w:tc>
        <w:tc>
          <w:tcPr>
            <w:tcW w:w="1258" w:type="dxa"/>
          </w:tcPr>
          <w:p>
            <w:pPr>
              <w:pStyle w:val="TableParagraph"/>
              <w:spacing w:before="137"/>
              <w:ind w:left="363"/>
              <w:rPr>
                <w:sz w:val="14"/>
              </w:rPr>
            </w:pPr>
            <w:r>
              <w:rPr>
                <w:sz w:val="14"/>
              </w:rPr>
              <w:t>0 . 1 %</w:t>
            </w:r>
          </w:p>
        </w:tc>
      </w:tr>
      <w:tr>
        <w:trPr>
          <w:trHeight w:val="439" w:hRule="atLeast"/>
        </w:trPr>
        <w:tc>
          <w:tcPr>
            <w:tcW w:w="471" w:type="dxa"/>
          </w:tcPr>
          <w:p>
            <w:pPr>
              <w:pStyle w:val="TableParagraph"/>
              <w:spacing w:before="137"/>
              <w:ind w:right="92"/>
              <w:jc w:val="right"/>
              <w:rPr>
                <w:sz w:val="14"/>
              </w:rPr>
            </w:pPr>
            <w:r>
              <w:rPr>
                <w:w w:val="95"/>
                <w:sz w:val="14"/>
              </w:rPr>
              <w:t>420</w:t>
            </w:r>
          </w:p>
        </w:tc>
        <w:tc>
          <w:tcPr>
            <w:tcW w:w="4906" w:type="dxa"/>
          </w:tcPr>
          <w:p>
            <w:pPr>
              <w:pStyle w:val="TableParagraph"/>
              <w:spacing w:before="137"/>
              <w:ind w:left="95"/>
              <w:rPr>
                <w:sz w:val="14"/>
              </w:rPr>
            </w:pPr>
            <w:r>
              <w:rPr>
                <w:sz w:val="14"/>
              </w:rPr>
              <w:t>Sierra Leone Environment Protection Agency</w:t>
            </w:r>
          </w:p>
        </w:tc>
        <w:tc>
          <w:tcPr>
            <w:tcW w:w="2539" w:type="dxa"/>
          </w:tcPr>
          <w:p>
            <w:pPr>
              <w:pStyle w:val="TableParagraph"/>
              <w:spacing w:before="137"/>
              <w:ind w:right="377"/>
              <w:jc w:val="right"/>
              <w:rPr>
                <w:b/>
                <w:sz w:val="14"/>
              </w:rPr>
            </w:pPr>
            <w:r>
              <w:rPr>
                <w:b/>
                <w:sz w:val="14"/>
              </w:rPr>
              <w:t>28,541.6</w:t>
            </w:r>
          </w:p>
        </w:tc>
        <w:tc>
          <w:tcPr>
            <w:tcW w:w="1473" w:type="dxa"/>
          </w:tcPr>
          <w:p>
            <w:pPr>
              <w:pStyle w:val="TableParagraph"/>
              <w:spacing w:before="137"/>
              <w:ind w:right="500"/>
              <w:jc w:val="right"/>
              <w:rPr>
                <w:sz w:val="14"/>
              </w:rPr>
            </w:pPr>
            <w:r>
              <w:rPr>
                <w:sz w:val="14"/>
              </w:rPr>
              <w:t>1 . 2 %</w:t>
            </w:r>
          </w:p>
        </w:tc>
        <w:tc>
          <w:tcPr>
            <w:tcW w:w="1535" w:type="dxa"/>
          </w:tcPr>
          <w:p>
            <w:pPr>
              <w:pStyle w:val="TableParagraph"/>
              <w:spacing w:before="137"/>
              <w:ind w:right="585"/>
              <w:jc w:val="right"/>
              <w:rPr>
                <w:sz w:val="14"/>
              </w:rPr>
            </w:pPr>
            <w:r>
              <w:rPr>
                <w:sz w:val="14"/>
              </w:rPr>
              <w:t>26,087.5</w:t>
            </w:r>
          </w:p>
        </w:tc>
        <w:tc>
          <w:tcPr>
            <w:tcW w:w="1325" w:type="dxa"/>
          </w:tcPr>
          <w:p>
            <w:pPr>
              <w:pStyle w:val="TableParagraph"/>
              <w:spacing w:before="137"/>
              <w:ind w:left="361"/>
              <w:rPr>
                <w:sz w:val="14"/>
              </w:rPr>
            </w:pPr>
            <w:r>
              <w:rPr>
                <w:sz w:val="14"/>
              </w:rPr>
              <w:t>1 . 1 %</w:t>
            </w:r>
          </w:p>
        </w:tc>
        <w:tc>
          <w:tcPr>
            <w:tcW w:w="1284" w:type="dxa"/>
          </w:tcPr>
          <w:p>
            <w:pPr>
              <w:pStyle w:val="TableParagraph"/>
              <w:spacing w:before="137"/>
              <w:ind w:left="145"/>
              <w:rPr>
                <w:sz w:val="14"/>
              </w:rPr>
            </w:pPr>
            <w:r>
              <w:rPr>
                <w:sz w:val="14"/>
              </w:rPr>
              <w:t>30,621.5</w:t>
            </w:r>
          </w:p>
        </w:tc>
        <w:tc>
          <w:tcPr>
            <w:tcW w:w="1258" w:type="dxa"/>
          </w:tcPr>
          <w:p>
            <w:pPr>
              <w:pStyle w:val="TableParagraph"/>
              <w:spacing w:before="137"/>
              <w:ind w:left="363"/>
              <w:rPr>
                <w:sz w:val="14"/>
              </w:rPr>
            </w:pPr>
            <w:r>
              <w:rPr>
                <w:sz w:val="14"/>
              </w:rPr>
              <w:t>1 . 3 %</w:t>
            </w:r>
          </w:p>
        </w:tc>
      </w:tr>
      <w:tr>
        <w:trPr>
          <w:trHeight w:val="330" w:hRule="atLeast"/>
        </w:trPr>
        <w:tc>
          <w:tcPr>
            <w:tcW w:w="471" w:type="dxa"/>
          </w:tcPr>
          <w:p>
            <w:pPr>
              <w:pStyle w:val="TableParagraph"/>
              <w:spacing w:before="135"/>
              <w:ind w:right="92"/>
              <w:jc w:val="right"/>
              <w:rPr>
                <w:sz w:val="14"/>
              </w:rPr>
            </w:pPr>
            <w:r>
              <w:rPr>
                <w:w w:val="95"/>
                <w:sz w:val="14"/>
              </w:rPr>
              <w:t>422</w:t>
            </w:r>
          </w:p>
        </w:tc>
        <w:tc>
          <w:tcPr>
            <w:tcW w:w="4906" w:type="dxa"/>
          </w:tcPr>
          <w:p>
            <w:pPr>
              <w:pStyle w:val="TableParagraph"/>
              <w:spacing w:before="135"/>
              <w:ind w:left="95"/>
              <w:rPr>
                <w:sz w:val="14"/>
              </w:rPr>
            </w:pPr>
            <w:r>
              <w:rPr>
                <w:sz w:val="14"/>
              </w:rPr>
              <w:t>Sierra Leone Meteorological Agency</w:t>
            </w:r>
          </w:p>
        </w:tc>
        <w:tc>
          <w:tcPr>
            <w:tcW w:w="2539" w:type="dxa"/>
          </w:tcPr>
          <w:p>
            <w:pPr>
              <w:pStyle w:val="TableParagraph"/>
              <w:spacing w:before="135"/>
              <w:ind w:right="370"/>
              <w:jc w:val="right"/>
              <w:rPr>
                <w:b/>
                <w:sz w:val="14"/>
              </w:rPr>
            </w:pPr>
            <w:r>
              <w:rPr>
                <w:b/>
                <w:sz w:val="14"/>
              </w:rPr>
              <w:t>1,408.8</w:t>
            </w:r>
          </w:p>
        </w:tc>
        <w:tc>
          <w:tcPr>
            <w:tcW w:w="1473" w:type="dxa"/>
          </w:tcPr>
          <w:p>
            <w:pPr>
              <w:pStyle w:val="TableParagraph"/>
              <w:spacing w:before="135"/>
              <w:ind w:right="500"/>
              <w:jc w:val="right"/>
              <w:rPr>
                <w:sz w:val="14"/>
              </w:rPr>
            </w:pPr>
            <w:r>
              <w:rPr>
                <w:sz w:val="14"/>
              </w:rPr>
              <w:t>0 . 1 %</w:t>
            </w:r>
          </w:p>
        </w:tc>
        <w:tc>
          <w:tcPr>
            <w:tcW w:w="1535" w:type="dxa"/>
          </w:tcPr>
          <w:p>
            <w:pPr>
              <w:pStyle w:val="TableParagraph"/>
              <w:spacing w:before="135"/>
              <w:ind w:right="581"/>
              <w:jc w:val="right"/>
              <w:rPr>
                <w:sz w:val="14"/>
              </w:rPr>
            </w:pPr>
            <w:r>
              <w:rPr>
                <w:sz w:val="14"/>
              </w:rPr>
              <w:t>1,735 .3</w:t>
            </w:r>
          </w:p>
        </w:tc>
        <w:tc>
          <w:tcPr>
            <w:tcW w:w="1325" w:type="dxa"/>
          </w:tcPr>
          <w:p>
            <w:pPr>
              <w:pStyle w:val="TableParagraph"/>
              <w:spacing w:before="135"/>
              <w:ind w:left="361"/>
              <w:rPr>
                <w:sz w:val="14"/>
              </w:rPr>
            </w:pPr>
            <w:r>
              <w:rPr>
                <w:sz w:val="14"/>
              </w:rPr>
              <w:t>0 . 1 %</w:t>
            </w:r>
          </w:p>
        </w:tc>
        <w:tc>
          <w:tcPr>
            <w:tcW w:w="1284" w:type="dxa"/>
          </w:tcPr>
          <w:p>
            <w:pPr>
              <w:pStyle w:val="TableParagraph"/>
              <w:spacing w:before="135"/>
              <w:ind w:left="231"/>
              <w:rPr>
                <w:sz w:val="14"/>
              </w:rPr>
            </w:pPr>
            <w:r>
              <w:rPr>
                <w:sz w:val="14"/>
              </w:rPr>
              <w:t>1,839 .3</w:t>
            </w:r>
          </w:p>
        </w:tc>
        <w:tc>
          <w:tcPr>
            <w:tcW w:w="1258" w:type="dxa"/>
          </w:tcPr>
          <w:p>
            <w:pPr>
              <w:pStyle w:val="TableParagraph"/>
              <w:spacing w:before="135"/>
              <w:ind w:left="363"/>
              <w:rPr>
                <w:sz w:val="14"/>
              </w:rPr>
            </w:pPr>
            <w:r>
              <w:rPr>
                <w:sz w:val="14"/>
              </w:rPr>
              <w:t>0 . 1 %</w:t>
            </w:r>
          </w:p>
        </w:tc>
      </w:tr>
    </w:tbl>
    <w:p>
      <w:pPr>
        <w:pStyle w:val="BodyText"/>
        <w:spacing w:before="2"/>
        <w:rPr>
          <w:rFonts w:ascii="Arial"/>
          <w:sz w:val="13"/>
        </w:rPr>
      </w:pPr>
    </w:p>
    <w:p>
      <w:pPr>
        <w:tabs>
          <w:tab w:pos="7071" w:val="left" w:leader="none"/>
          <w:tab w:pos="8510" w:val="left" w:leader="none"/>
          <w:tab w:pos="9730" w:val="left" w:leader="none"/>
          <w:tab w:pos="11285" w:val="left" w:leader="none"/>
          <w:tab w:pos="12394" w:val="left" w:leader="none"/>
          <w:tab w:pos="13896" w:val="left" w:leader="none"/>
        </w:tabs>
        <w:spacing w:before="95"/>
        <w:ind w:left="0" w:right="490" w:firstLine="0"/>
        <w:jc w:val="center"/>
        <w:rPr>
          <w:rFonts w:ascii="Arial"/>
          <w:sz w:val="14"/>
        </w:rPr>
      </w:pPr>
      <w:r>
        <w:rPr>
          <w:rFonts w:ascii="Arial"/>
          <w:b/>
          <w:spacing w:val="2"/>
          <w:sz w:val="14"/>
        </w:rPr>
        <w:t>CLUSTER</w:t>
      </w:r>
      <w:r>
        <w:rPr>
          <w:rFonts w:ascii="Arial"/>
          <w:b/>
          <w:spacing w:val="15"/>
          <w:sz w:val="14"/>
        </w:rPr>
        <w:t> </w:t>
      </w:r>
      <w:r>
        <w:rPr>
          <w:rFonts w:ascii="Arial"/>
          <w:b/>
          <w:sz w:val="14"/>
        </w:rPr>
        <w:t>8 </w:t>
      </w:r>
      <w:r>
        <w:rPr>
          <w:rFonts w:ascii="Arial"/>
          <w:b/>
          <w:spacing w:val="14"/>
          <w:sz w:val="14"/>
        </w:rPr>
        <w:t> </w:t>
      </w:r>
      <w:r>
        <w:rPr>
          <w:rFonts w:ascii="Arial"/>
          <w:b/>
          <w:spacing w:val="4"/>
          <w:sz w:val="14"/>
        </w:rPr>
        <w:t>OTHERS</w:t>
        <w:tab/>
      </w:r>
      <w:r>
        <w:rPr>
          <w:rFonts w:ascii="Arial"/>
          <w:b/>
          <w:sz w:val="14"/>
        </w:rPr>
        <w:t>3,759.7</w:t>
        <w:tab/>
      </w:r>
      <w:r>
        <w:rPr>
          <w:rFonts w:ascii="Arial"/>
          <w:sz w:val="14"/>
        </w:rPr>
        <w:t>0</w:t>
      </w:r>
      <w:r>
        <w:rPr>
          <w:rFonts w:ascii="Arial"/>
          <w:spacing w:val="-21"/>
          <w:sz w:val="14"/>
        </w:rPr>
        <w:t> </w:t>
      </w:r>
      <w:r>
        <w:rPr>
          <w:rFonts w:ascii="Arial"/>
          <w:sz w:val="14"/>
        </w:rPr>
        <w:t>.</w:t>
      </w:r>
      <w:r>
        <w:rPr>
          <w:rFonts w:ascii="Arial"/>
          <w:spacing w:val="-18"/>
          <w:sz w:val="14"/>
        </w:rPr>
        <w:t> </w:t>
      </w:r>
      <w:r>
        <w:rPr>
          <w:rFonts w:ascii="Arial"/>
          <w:sz w:val="14"/>
        </w:rPr>
        <w:t>2</w:t>
      </w:r>
      <w:r>
        <w:rPr>
          <w:rFonts w:ascii="Arial"/>
          <w:spacing w:val="-22"/>
          <w:sz w:val="14"/>
        </w:rPr>
        <w:t> </w:t>
      </w:r>
      <w:r>
        <w:rPr>
          <w:rFonts w:ascii="Arial"/>
          <w:sz w:val="14"/>
        </w:rPr>
        <w:t>%</w:t>
        <w:tab/>
      </w:r>
      <w:r>
        <w:rPr>
          <w:rFonts w:ascii="Arial"/>
          <w:spacing w:val="7"/>
          <w:sz w:val="14"/>
        </w:rPr>
        <w:t>90,012.0</w:t>
        <w:tab/>
      </w:r>
      <w:r>
        <w:rPr>
          <w:rFonts w:ascii="Arial"/>
          <w:sz w:val="14"/>
        </w:rPr>
        <w:t>3</w:t>
      </w:r>
      <w:r>
        <w:rPr>
          <w:rFonts w:ascii="Arial"/>
          <w:spacing w:val="-21"/>
          <w:sz w:val="14"/>
        </w:rPr>
        <w:t> </w:t>
      </w:r>
      <w:r>
        <w:rPr>
          <w:rFonts w:ascii="Arial"/>
          <w:sz w:val="14"/>
        </w:rPr>
        <w:t>.</w:t>
      </w:r>
      <w:r>
        <w:rPr>
          <w:rFonts w:ascii="Arial"/>
          <w:spacing w:val="-18"/>
          <w:sz w:val="14"/>
        </w:rPr>
        <w:t> </w:t>
      </w:r>
      <w:r>
        <w:rPr>
          <w:rFonts w:ascii="Arial"/>
          <w:sz w:val="14"/>
        </w:rPr>
        <w:t>9</w:t>
      </w:r>
      <w:r>
        <w:rPr>
          <w:rFonts w:ascii="Arial"/>
          <w:spacing w:val="-21"/>
          <w:sz w:val="14"/>
        </w:rPr>
        <w:t> </w:t>
      </w:r>
      <w:r>
        <w:rPr>
          <w:rFonts w:ascii="Arial"/>
          <w:sz w:val="14"/>
        </w:rPr>
        <w:t>%</w:t>
        <w:tab/>
      </w:r>
      <w:r>
        <w:rPr>
          <w:rFonts w:ascii="Arial"/>
          <w:spacing w:val="7"/>
          <w:sz w:val="14"/>
        </w:rPr>
        <w:t>90,000.0</w:t>
        <w:tab/>
      </w:r>
      <w:r>
        <w:rPr>
          <w:rFonts w:ascii="Arial"/>
          <w:sz w:val="14"/>
        </w:rPr>
        <w:t>3</w:t>
      </w:r>
      <w:r>
        <w:rPr>
          <w:rFonts w:ascii="Arial"/>
          <w:spacing w:val="-22"/>
          <w:sz w:val="14"/>
        </w:rPr>
        <w:t> </w:t>
      </w:r>
      <w:r>
        <w:rPr>
          <w:rFonts w:ascii="Arial"/>
          <w:sz w:val="14"/>
        </w:rPr>
        <w:t>.</w:t>
      </w:r>
      <w:r>
        <w:rPr>
          <w:rFonts w:ascii="Arial"/>
          <w:spacing w:val="-19"/>
          <w:sz w:val="14"/>
        </w:rPr>
        <w:t> </w:t>
      </w:r>
      <w:r>
        <w:rPr>
          <w:rFonts w:ascii="Arial"/>
          <w:sz w:val="14"/>
        </w:rPr>
        <w:t>9</w:t>
      </w:r>
      <w:r>
        <w:rPr>
          <w:rFonts w:ascii="Arial"/>
          <w:spacing w:val="-21"/>
          <w:sz w:val="14"/>
        </w:rPr>
        <w:t> </w:t>
      </w:r>
      <w:r>
        <w:rPr>
          <w:rFonts w:ascii="Arial"/>
          <w:sz w:val="14"/>
        </w:rPr>
        <w:t>%</w:t>
      </w:r>
    </w:p>
    <w:p>
      <w:pPr>
        <w:pStyle w:val="BodyText"/>
        <w:rPr>
          <w:rFonts w:ascii="Arial"/>
          <w:sz w:val="16"/>
        </w:rPr>
      </w:pPr>
    </w:p>
    <w:p>
      <w:pPr>
        <w:tabs>
          <w:tab w:pos="6945" w:val="left" w:leader="none"/>
          <w:tab w:pos="8385" w:val="left" w:leader="none"/>
          <w:tab w:pos="9604" w:val="left" w:leader="none"/>
          <w:tab w:pos="11159" w:val="left" w:leader="none"/>
          <w:tab w:pos="12268" w:val="left" w:leader="none"/>
          <w:tab w:pos="13771" w:val="left" w:leader="none"/>
        </w:tabs>
        <w:spacing w:before="96"/>
        <w:ind w:left="0" w:right="365" w:firstLine="0"/>
        <w:jc w:val="center"/>
        <w:rPr>
          <w:rFonts w:ascii="Arial"/>
          <w:sz w:val="14"/>
        </w:rPr>
      </w:pPr>
      <w:r>
        <w:rPr>
          <w:rFonts w:ascii="Arial"/>
          <w:spacing w:val="6"/>
          <w:sz w:val="14"/>
        </w:rPr>
        <w:t>610   </w:t>
      </w:r>
      <w:r>
        <w:rPr>
          <w:rFonts w:ascii="Arial"/>
          <w:spacing w:val="10"/>
          <w:sz w:val="14"/>
        </w:rPr>
        <w:t> </w:t>
      </w:r>
      <w:r>
        <w:rPr>
          <w:rFonts w:ascii="Arial"/>
          <w:spacing w:val="4"/>
          <w:sz w:val="14"/>
        </w:rPr>
        <w:t>Contingency</w:t>
      </w:r>
      <w:r>
        <w:rPr>
          <w:rFonts w:ascii="Arial"/>
          <w:spacing w:val="8"/>
          <w:sz w:val="14"/>
        </w:rPr>
        <w:t> </w:t>
      </w:r>
      <w:r>
        <w:rPr>
          <w:rFonts w:ascii="Arial"/>
          <w:spacing w:val="6"/>
          <w:sz w:val="14"/>
        </w:rPr>
        <w:t>Fund</w:t>
        <w:tab/>
      </w:r>
      <w:r>
        <w:rPr>
          <w:rFonts w:ascii="Arial"/>
          <w:b/>
          <w:sz w:val="14"/>
        </w:rPr>
        <w:t>3,759.7</w:t>
        <w:tab/>
      </w:r>
      <w:r>
        <w:rPr>
          <w:rFonts w:ascii="Arial"/>
          <w:sz w:val="14"/>
        </w:rPr>
        <w:t>0</w:t>
      </w:r>
      <w:r>
        <w:rPr>
          <w:rFonts w:ascii="Arial"/>
          <w:spacing w:val="-21"/>
          <w:sz w:val="14"/>
        </w:rPr>
        <w:t> </w:t>
      </w:r>
      <w:r>
        <w:rPr>
          <w:rFonts w:ascii="Arial"/>
          <w:sz w:val="14"/>
        </w:rPr>
        <w:t>.</w:t>
      </w:r>
      <w:r>
        <w:rPr>
          <w:rFonts w:ascii="Arial"/>
          <w:spacing w:val="-19"/>
          <w:sz w:val="14"/>
        </w:rPr>
        <w:t> </w:t>
      </w:r>
      <w:r>
        <w:rPr>
          <w:rFonts w:ascii="Arial"/>
          <w:sz w:val="14"/>
        </w:rPr>
        <w:t>2</w:t>
      </w:r>
      <w:r>
        <w:rPr>
          <w:rFonts w:ascii="Arial"/>
          <w:spacing w:val="-21"/>
          <w:sz w:val="14"/>
        </w:rPr>
        <w:t> </w:t>
      </w:r>
      <w:r>
        <w:rPr>
          <w:rFonts w:ascii="Arial"/>
          <w:sz w:val="14"/>
        </w:rPr>
        <w:t>%</w:t>
        <w:tab/>
      </w:r>
      <w:r>
        <w:rPr>
          <w:rFonts w:ascii="Arial"/>
          <w:spacing w:val="7"/>
          <w:sz w:val="14"/>
        </w:rPr>
        <w:t>90,012.0</w:t>
        <w:tab/>
      </w:r>
      <w:r>
        <w:rPr>
          <w:rFonts w:ascii="Arial"/>
          <w:sz w:val="14"/>
        </w:rPr>
        <w:t>3</w:t>
      </w:r>
      <w:r>
        <w:rPr>
          <w:rFonts w:ascii="Arial"/>
          <w:spacing w:val="-21"/>
          <w:sz w:val="14"/>
        </w:rPr>
        <w:t> </w:t>
      </w:r>
      <w:r>
        <w:rPr>
          <w:rFonts w:ascii="Arial"/>
          <w:sz w:val="14"/>
        </w:rPr>
        <w:t>.</w:t>
      </w:r>
      <w:r>
        <w:rPr>
          <w:rFonts w:ascii="Arial"/>
          <w:spacing w:val="-18"/>
          <w:sz w:val="14"/>
        </w:rPr>
        <w:t> </w:t>
      </w:r>
      <w:r>
        <w:rPr>
          <w:rFonts w:ascii="Arial"/>
          <w:sz w:val="14"/>
        </w:rPr>
        <w:t>9</w:t>
      </w:r>
      <w:r>
        <w:rPr>
          <w:rFonts w:ascii="Arial"/>
          <w:spacing w:val="-21"/>
          <w:sz w:val="14"/>
        </w:rPr>
        <w:t> </w:t>
      </w:r>
      <w:r>
        <w:rPr>
          <w:rFonts w:ascii="Arial"/>
          <w:sz w:val="14"/>
        </w:rPr>
        <w:t>%</w:t>
        <w:tab/>
      </w:r>
      <w:r>
        <w:rPr>
          <w:rFonts w:ascii="Arial"/>
          <w:spacing w:val="7"/>
          <w:sz w:val="14"/>
        </w:rPr>
        <w:t>90,000.0</w:t>
        <w:tab/>
      </w:r>
      <w:r>
        <w:rPr>
          <w:rFonts w:ascii="Arial"/>
          <w:sz w:val="14"/>
        </w:rPr>
        <w:t>3</w:t>
      </w:r>
      <w:r>
        <w:rPr>
          <w:rFonts w:ascii="Arial"/>
          <w:spacing w:val="-22"/>
          <w:sz w:val="14"/>
        </w:rPr>
        <w:t> </w:t>
      </w:r>
      <w:r>
        <w:rPr>
          <w:rFonts w:ascii="Arial"/>
          <w:sz w:val="14"/>
        </w:rPr>
        <w:t>.</w:t>
      </w:r>
      <w:r>
        <w:rPr>
          <w:rFonts w:ascii="Arial"/>
          <w:spacing w:val="-19"/>
          <w:sz w:val="14"/>
        </w:rPr>
        <w:t> </w:t>
      </w:r>
      <w:r>
        <w:rPr>
          <w:rFonts w:ascii="Arial"/>
          <w:sz w:val="14"/>
        </w:rPr>
        <w:t>9</w:t>
      </w:r>
      <w:r>
        <w:rPr>
          <w:rFonts w:ascii="Arial"/>
          <w:spacing w:val="-21"/>
          <w:sz w:val="14"/>
        </w:rPr>
        <w:t> </w:t>
      </w:r>
      <w:r>
        <w:rPr>
          <w:rFonts w:ascii="Arial"/>
          <w:sz w:val="14"/>
        </w:rPr>
        <w:t>%</w:t>
      </w:r>
    </w:p>
    <w:p>
      <w:pPr>
        <w:pStyle w:val="BodyText"/>
        <w:rPr>
          <w:rFonts w:ascii="Arial"/>
          <w:sz w:val="16"/>
        </w:rPr>
      </w:pPr>
    </w:p>
    <w:p>
      <w:pPr>
        <w:pStyle w:val="BodyText"/>
        <w:rPr>
          <w:rFonts w:ascii="Arial"/>
          <w:sz w:val="16"/>
        </w:rPr>
      </w:pPr>
    </w:p>
    <w:p>
      <w:pPr>
        <w:tabs>
          <w:tab w:pos="6768" w:val="left" w:leader="none"/>
          <w:tab w:pos="8477" w:val="left" w:leader="none"/>
          <w:tab w:pos="9548" w:val="left" w:leader="none"/>
          <w:tab w:pos="11151" w:val="left" w:leader="none"/>
          <w:tab w:pos="12212" w:val="left" w:leader="none"/>
          <w:tab w:pos="13762" w:val="left" w:leader="none"/>
        </w:tabs>
        <w:spacing w:before="129"/>
        <w:ind w:left="0" w:right="516" w:firstLine="0"/>
        <w:jc w:val="center"/>
        <w:rPr>
          <w:rFonts w:ascii="Arial"/>
          <w:b/>
          <w:sz w:val="14"/>
        </w:rPr>
      </w:pPr>
      <w:r>
        <w:rPr>
          <w:rFonts w:ascii="Arial"/>
          <w:b/>
          <w:sz w:val="14"/>
        </w:rPr>
        <w:t>GRAND</w:t>
      </w:r>
      <w:r>
        <w:rPr>
          <w:rFonts w:ascii="Arial"/>
          <w:b/>
          <w:spacing w:val="8"/>
          <w:sz w:val="14"/>
        </w:rPr>
        <w:t> </w:t>
      </w:r>
      <w:r>
        <w:rPr>
          <w:rFonts w:ascii="Arial"/>
          <w:b/>
          <w:sz w:val="14"/>
        </w:rPr>
        <w:t>TOTAL</w:t>
        <w:tab/>
        <w:t>2,079,729.8</w:t>
        <w:tab/>
        <w:t>89.9%</w:t>
        <w:tab/>
        <w:t>2,488,180.0</w:t>
        <w:tab/>
        <w:t>107.5%</w:t>
        <w:tab/>
        <w:t>2,917,307.7</w:t>
        <w:tab/>
        <w:t>126.1%</w:t>
      </w:r>
    </w:p>
    <w:p>
      <w:pPr>
        <w:spacing w:after="0"/>
        <w:jc w:val="center"/>
        <w:rPr>
          <w:rFonts w:ascii="Arial"/>
          <w:sz w:val="14"/>
        </w:rPr>
        <w:sectPr>
          <w:pgSz w:w="16840" w:h="11900" w:orient="landscape"/>
          <w:pgMar w:header="1059" w:footer="0" w:top="2520" w:bottom="280" w:left="880" w:right="920"/>
        </w:sectPr>
      </w:pPr>
    </w:p>
    <w:p>
      <w:pPr>
        <w:pStyle w:val="BodyText"/>
        <w:spacing w:before="10"/>
        <w:rPr>
          <w:rFonts w:ascii="Arial"/>
          <w:b/>
          <w:sz w:val="27"/>
        </w:rPr>
      </w:pPr>
    </w:p>
    <w:p>
      <w:pPr>
        <w:spacing w:before="0"/>
        <w:ind w:left="138" w:right="0" w:firstLine="0"/>
        <w:jc w:val="left"/>
        <w:rPr>
          <w:rFonts w:ascii="Arial"/>
          <w:b/>
          <w:sz w:val="17"/>
        </w:rPr>
      </w:pPr>
      <w:r>
        <w:rPr>
          <w:rFonts w:ascii="Arial"/>
          <w:b/>
          <w:w w:val="105"/>
          <w:sz w:val="17"/>
        </w:rPr>
        <w:t>In Millions of Leones</w:t>
      </w:r>
    </w:p>
    <w:p>
      <w:pPr>
        <w:spacing w:before="104"/>
        <w:ind w:left="138" w:right="0" w:firstLine="0"/>
        <w:jc w:val="left"/>
        <w:rPr>
          <w:rFonts w:ascii="Arial" w:hAnsi="Arial"/>
          <w:b/>
          <w:sz w:val="17"/>
        </w:rPr>
      </w:pPr>
      <w:r>
        <w:rPr/>
        <w:br w:type="column"/>
      </w:r>
      <w:r>
        <w:rPr>
          <w:rFonts w:ascii="Arial" w:hAnsi="Arial"/>
          <w:b/>
          <w:w w:val="105"/>
          <w:sz w:val="17"/>
        </w:rPr>
        <w:t>ANNEX 3– EXTERNAL BUDGETARY SUPPORT BY DONOR FOR FY 2019-2022</w:t>
      </w:r>
    </w:p>
    <w:p>
      <w:pPr>
        <w:pStyle w:val="BodyText"/>
        <w:spacing w:before="9"/>
        <w:rPr>
          <w:rFonts w:ascii="Arial"/>
          <w:b/>
          <w:sz w:val="26"/>
        </w:rPr>
      </w:pPr>
    </w:p>
    <w:p>
      <w:pPr>
        <w:tabs>
          <w:tab w:pos="6695" w:val="left" w:leader="none"/>
          <w:tab w:pos="8168" w:val="left" w:leader="none"/>
          <w:tab w:pos="9752" w:val="left" w:leader="none"/>
        </w:tabs>
        <w:spacing w:line="160" w:lineRule="exact" w:before="0"/>
        <w:ind w:left="5274" w:right="0" w:firstLine="0"/>
        <w:jc w:val="center"/>
        <w:rPr>
          <w:rFonts w:ascii="Arial"/>
          <w:b/>
          <w:sz w:val="14"/>
        </w:rPr>
      </w:pPr>
      <w:r>
        <w:rPr/>
        <w:pict>
          <v:line style="position:absolute;mso-position-horizontal-relative:page;mso-position-vertical-relative:paragraph;z-index:1696" from="50.880001pt,-.514073pt" to="790.560001pt,-.514073pt" stroked="true" strokeweight="2.16pt" strokecolor="#000000">
            <v:stroke dashstyle="solid"/>
            <w10:wrap type="none"/>
          </v:line>
        </w:pict>
      </w:r>
      <w:r>
        <w:rPr>
          <w:rFonts w:ascii="Arial"/>
          <w:b/>
          <w:spacing w:val="4"/>
          <w:sz w:val="14"/>
        </w:rPr>
        <w:t>FY2020</w:t>
        <w:tab/>
        <w:t>FY2020</w:t>
        <w:tab/>
        <w:t>FY2021</w:t>
        <w:tab/>
        <w:t>FY2022</w:t>
      </w:r>
    </w:p>
    <w:p>
      <w:pPr>
        <w:tabs>
          <w:tab w:pos="6712" w:val="left" w:leader="none"/>
          <w:tab w:pos="8186" w:val="left" w:leader="none"/>
          <w:tab w:pos="9775" w:val="left" w:leader="none"/>
        </w:tabs>
        <w:spacing w:line="160" w:lineRule="exact" w:before="0"/>
        <w:ind w:left="5296" w:right="0" w:firstLine="0"/>
        <w:jc w:val="center"/>
        <w:rPr>
          <w:rFonts w:ascii="Arial"/>
          <w:b/>
          <w:sz w:val="14"/>
        </w:rPr>
      </w:pPr>
      <w:r>
        <w:rPr>
          <w:rFonts w:ascii="Arial"/>
          <w:b/>
          <w:sz w:val="14"/>
        </w:rPr>
        <w:t>Q1-4</w:t>
        <w:tab/>
        <w:t>Q1-4</w:t>
        <w:tab/>
        <w:t>Q1-4</w:t>
        <w:tab/>
        <w:t>Q1-4</w:t>
      </w:r>
    </w:p>
    <w:p>
      <w:pPr>
        <w:spacing w:after="0" w:line="160" w:lineRule="exact"/>
        <w:jc w:val="center"/>
        <w:rPr>
          <w:rFonts w:ascii="Arial"/>
          <w:sz w:val="14"/>
        </w:rPr>
        <w:sectPr>
          <w:headerReference w:type="default" r:id="rId9"/>
          <w:pgSz w:w="16840" w:h="11900" w:orient="landscape"/>
          <w:pgMar w:header="0" w:footer="0" w:top="1100" w:bottom="280" w:left="880" w:right="920"/>
          <w:cols w:num="2" w:equalWidth="0">
            <w:col w:w="2219" w:space="1563"/>
            <w:col w:w="11258"/>
          </w:cols>
        </w:sectPr>
      </w:pPr>
    </w:p>
    <w:p>
      <w:pPr>
        <w:tabs>
          <w:tab w:pos="9517" w:val="left" w:leader="none"/>
          <w:tab w:pos="10971" w:val="left" w:leader="none"/>
          <w:tab w:pos="12354" w:val="left" w:leader="none"/>
          <w:tab w:pos="12445" w:val="left" w:leader="none"/>
          <w:tab w:pos="13943" w:val="left" w:leader="none"/>
          <w:tab w:pos="14029" w:val="left" w:leader="none"/>
        </w:tabs>
        <w:spacing w:line="264" w:lineRule="auto" w:before="28"/>
        <w:ind w:left="9551" w:right="407" w:hanging="9414"/>
        <w:jc w:val="left"/>
        <w:rPr>
          <w:rFonts w:ascii="Arial"/>
          <w:b/>
          <w:sz w:val="14"/>
        </w:rPr>
      </w:pPr>
      <w:r>
        <w:rPr/>
        <w:pict>
          <v:shape style="position:absolute;margin-left:27.140491pt;margin-top:284.910004pt;width:14.35pt;height:21.95pt;mso-position-horizontal-relative:page;mso-position-vertical-relative:page;z-index:1720" type="#_x0000_t202" filled="false" stroked="false">
            <v:textbox inset="0,0,0,0" style="layout-flow:vertical">
              <w:txbxContent>
                <w:p>
                  <w:pPr>
                    <w:spacing w:before="13"/>
                    <w:ind w:left="20" w:right="0" w:firstLine="0"/>
                    <w:jc w:val="left"/>
                    <w:rPr>
                      <w:rFonts w:ascii="Arial"/>
                      <w:sz w:val="22"/>
                    </w:rPr>
                  </w:pPr>
                  <w:r>
                    <w:rPr>
                      <w:rFonts w:ascii="Arial"/>
                      <w:sz w:val="22"/>
                    </w:rPr>
                    <w:t>xxvi</w:t>
                  </w:r>
                </w:p>
              </w:txbxContent>
            </v:textbox>
            <w10:wrap type="none"/>
          </v:shape>
        </w:pict>
      </w:r>
      <w:r>
        <w:rPr>
          <w:rFonts w:ascii="Arial"/>
          <w:b/>
          <w:spacing w:val="3"/>
          <w:sz w:val="20"/>
        </w:rPr>
        <w:t>Development</w:t>
      </w:r>
      <w:r>
        <w:rPr>
          <w:rFonts w:ascii="Arial"/>
          <w:b/>
          <w:spacing w:val="11"/>
          <w:sz w:val="20"/>
        </w:rPr>
        <w:t> </w:t>
      </w:r>
      <w:r>
        <w:rPr>
          <w:rFonts w:ascii="Arial"/>
          <w:b/>
          <w:spacing w:val="4"/>
          <w:sz w:val="20"/>
        </w:rPr>
        <w:t>Partners</w:t>
        <w:tab/>
      </w:r>
      <w:r>
        <w:rPr>
          <w:rFonts w:ascii="Arial"/>
          <w:b/>
          <w:sz w:val="14"/>
        </w:rPr>
        <w:t>Estimate</w:t>
        <w:tab/>
        <w:t>Budget</w:t>
        <w:tab/>
      </w:r>
      <w:r>
        <w:rPr>
          <w:rFonts w:ascii="Arial"/>
          <w:b/>
          <w:spacing w:val="4"/>
          <w:sz w:val="14"/>
        </w:rPr>
        <w:t>Indicative</w:t>
        <w:tab/>
      </w:r>
      <w:r>
        <w:rPr>
          <w:rFonts w:ascii="Arial"/>
          <w:b/>
          <w:spacing w:val="2"/>
          <w:sz w:val="14"/>
        </w:rPr>
        <w:t>Indicative </w:t>
      </w:r>
      <w:r>
        <w:rPr>
          <w:rFonts w:ascii="Arial"/>
          <w:b/>
          <w:sz w:val="14"/>
        </w:rPr>
        <w:t>Jan-Dec</w:t>
        <w:tab/>
        <w:t>Jan-Dec</w:t>
        <w:tab/>
        <w:tab/>
        <w:t>Jan-Dec</w:t>
        <w:tab/>
        <w:tab/>
        <w:t>Jan-Dec</w:t>
      </w:r>
    </w:p>
    <w:p>
      <w:pPr>
        <w:pStyle w:val="BodyText"/>
        <w:spacing w:before="2"/>
        <w:rPr>
          <w:rFonts w:ascii="Arial"/>
          <w:b/>
          <w:sz w:val="17"/>
        </w:rPr>
      </w:pPr>
      <w:r>
        <w:rPr/>
        <w:pict>
          <v:line style="position:absolute;mso-position-horizontal-relative:page;mso-position-vertical-relative:paragraph;z-index:-376;mso-wrap-distance-left:0;mso-wrap-distance-right:0" from="50.880001pt,12.954596pt" to="790.560001pt,12.954596pt" stroked="true" strokeweight="2.16pt" strokecolor="#000000">
            <v:stroke dashstyle="solid"/>
            <w10:wrap type="topAndBottom"/>
          </v:line>
        </w:pict>
      </w:r>
    </w:p>
    <w:p>
      <w:pPr>
        <w:pStyle w:val="BodyText"/>
        <w:spacing w:before="7"/>
        <w:rPr>
          <w:rFonts w:ascii="Arial"/>
          <w:b/>
          <w:sz w:val="9"/>
        </w:rPr>
      </w:pPr>
    </w:p>
    <w:p>
      <w:pPr>
        <w:tabs>
          <w:tab w:pos="9407" w:val="left" w:leader="none"/>
          <w:tab w:pos="10732" w:val="left" w:leader="none"/>
          <w:tab w:pos="12325" w:val="left" w:leader="none"/>
          <w:tab w:pos="13886" w:val="left" w:leader="none"/>
        </w:tabs>
        <w:spacing w:before="94"/>
        <w:ind w:left="138" w:right="0" w:firstLine="0"/>
        <w:jc w:val="left"/>
        <w:rPr>
          <w:rFonts w:ascii="Arial"/>
          <w:b/>
          <w:sz w:val="16"/>
        </w:rPr>
      </w:pPr>
      <w:r>
        <w:rPr>
          <w:rFonts w:ascii="Arial"/>
          <w:b/>
          <w:spacing w:val="6"/>
          <w:sz w:val="16"/>
        </w:rPr>
        <w:t>Total  </w:t>
      </w:r>
      <w:r>
        <w:rPr>
          <w:rFonts w:ascii="Arial"/>
          <w:b/>
          <w:spacing w:val="7"/>
          <w:sz w:val="16"/>
        </w:rPr>
        <w:t>External  Budgetary  </w:t>
      </w:r>
      <w:r>
        <w:rPr>
          <w:rFonts w:ascii="Arial"/>
          <w:b/>
          <w:spacing w:val="4"/>
          <w:sz w:val="16"/>
        </w:rPr>
        <w:t>Support  </w:t>
      </w:r>
      <w:r>
        <w:rPr>
          <w:rFonts w:ascii="Arial"/>
          <w:b/>
          <w:sz w:val="16"/>
        </w:rPr>
        <w:t>-  </w:t>
      </w:r>
      <w:r>
        <w:rPr>
          <w:rFonts w:ascii="Arial"/>
          <w:b/>
          <w:spacing w:val="6"/>
          <w:sz w:val="16"/>
        </w:rPr>
        <w:t>Direct</w:t>
      </w:r>
      <w:r>
        <w:rPr>
          <w:rFonts w:ascii="Arial"/>
          <w:b/>
          <w:spacing w:val="19"/>
          <w:sz w:val="16"/>
        </w:rPr>
        <w:t> </w:t>
      </w:r>
      <w:r>
        <w:rPr>
          <w:rFonts w:ascii="Arial"/>
          <w:b/>
          <w:spacing w:val="5"/>
          <w:sz w:val="16"/>
        </w:rPr>
        <w:t>Budget</w:t>
      </w:r>
      <w:r>
        <w:rPr>
          <w:rFonts w:ascii="Arial"/>
          <w:b/>
          <w:spacing w:val="50"/>
          <w:sz w:val="16"/>
        </w:rPr>
        <w:t> </w:t>
      </w:r>
      <w:r>
        <w:rPr>
          <w:rFonts w:ascii="Arial"/>
          <w:b/>
          <w:spacing w:val="4"/>
          <w:sz w:val="16"/>
        </w:rPr>
        <w:t>Support</w:t>
        <w:tab/>
      </w:r>
      <w:r>
        <w:rPr>
          <w:rFonts w:ascii="Arial"/>
          <w:b/>
          <w:spacing w:val="9"/>
          <w:sz w:val="16"/>
        </w:rPr>
        <w:t>767,583</w:t>
        <w:tab/>
      </w:r>
      <w:r>
        <w:rPr>
          <w:rFonts w:ascii="Arial"/>
          <w:b/>
          <w:sz w:val="16"/>
        </w:rPr>
        <w:t>1</w:t>
      </w:r>
      <w:r>
        <w:rPr>
          <w:rFonts w:ascii="Arial"/>
          <w:b/>
          <w:spacing w:val="-28"/>
          <w:sz w:val="16"/>
        </w:rPr>
        <w:t> </w:t>
      </w:r>
      <w:r>
        <w:rPr>
          <w:rFonts w:ascii="Arial"/>
          <w:b/>
          <w:spacing w:val="11"/>
          <w:sz w:val="16"/>
        </w:rPr>
        <w:t>,030</w:t>
      </w:r>
      <w:r>
        <w:rPr>
          <w:rFonts w:ascii="Arial"/>
          <w:b/>
          <w:spacing w:val="-28"/>
          <w:sz w:val="16"/>
        </w:rPr>
        <w:t> </w:t>
      </w:r>
      <w:r>
        <w:rPr>
          <w:rFonts w:ascii="Arial"/>
          <w:b/>
          <w:spacing w:val="11"/>
          <w:sz w:val="16"/>
        </w:rPr>
        <w:t>,000</w:t>
        <w:tab/>
      </w:r>
      <w:r>
        <w:rPr>
          <w:rFonts w:ascii="Arial"/>
          <w:b/>
          <w:spacing w:val="12"/>
          <w:sz w:val="16"/>
        </w:rPr>
        <w:t>640</w:t>
      </w:r>
      <w:r>
        <w:rPr>
          <w:rFonts w:ascii="Arial"/>
          <w:b/>
          <w:spacing w:val="-27"/>
          <w:sz w:val="16"/>
        </w:rPr>
        <w:t> </w:t>
      </w:r>
      <w:r>
        <w:rPr>
          <w:rFonts w:ascii="Arial"/>
          <w:b/>
          <w:sz w:val="16"/>
        </w:rPr>
        <w:t>,</w:t>
      </w:r>
      <w:r>
        <w:rPr>
          <w:rFonts w:ascii="Arial"/>
          <w:b/>
          <w:spacing w:val="-27"/>
          <w:sz w:val="16"/>
        </w:rPr>
        <w:t> </w:t>
      </w:r>
      <w:r>
        <w:rPr>
          <w:rFonts w:ascii="Arial"/>
          <w:b/>
          <w:spacing w:val="12"/>
          <w:sz w:val="16"/>
        </w:rPr>
        <w:t>008</w:t>
        <w:tab/>
      </w:r>
      <w:r>
        <w:rPr>
          <w:rFonts w:ascii="Arial"/>
          <w:b/>
          <w:spacing w:val="9"/>
          <w:sz w:val="16"/>
        </w:rPr>
        <w:t>738,100</w:t>
      </w:r>
    </w:p>
    <w:p>
      <w:pPr>
        <w:pStyle w:val="BodyText"/>
        <w:spacing w:before="6"/>
        <w:rPr>
          <w:rFonts w:ascii="Arial"/>
          <w:b/>
          <w:sz w:val="19"/>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75"/>
        <w:gridCol w:w="3475"/>
        <w:gridCol w:w="1442"/>
        <w:gridCol w:w="1504"/>
        <w:gridCol w:w="1137"/>
      </w:tblGrid>
      <w:tr>
        <w:trPr>
          <w:trHeight w:val="233" w:hRule="atLeast"/>
        </w:trPr>
        <w:tc>
          <w:tcPr>
            <w:tcW w:w="6875" w:type="dxa"/>
          </w:tcPr>
          <w:p>
            <w:pPr>
              <w:pStyle w:val="TableParagraph"/>
              <w:spacing w:before="28"/>
              <w:ind w:left="125"/>
              <w:rPr>
                <w:sz w:val="16"/>
              </w:rPr>
            </w:pPr>
            <w:r>
              <w:rPr>
                <w:spacing w:val="8"/>
                <w:sz w:val="16"/>
              </w:rPr>
              <w:t>European</w:t>
            </w:r>
            <w:r>
              <w:rPr>
                <w:spacing w:val="59"/>
                <w:sz w:val="16"/>
              </w:rPr>
              <w:t> </w:t>
            </w:r>
            <w:r>
              <w:rPr>
                <w:spacing w:val="8"/>
                <w:sz w:val="16"/>
              </w:rPr>
              <w:t>Commission</w:t>
            </w:r>
          </w:p>
        </w:tc>
        <w:tc>
          <w:tcPr>
            <w:tcW w:w="3475" w:type="dxa"/>
          </w:tcPr>
          <w:p>
            <w:pPr>
              <w:pStyle w:val="TableParagraph"/>
              <w:spacing w:before="28"/>
              <w:ind w:right="452"/>
              <w:jc w:val="right"/>
              <w:rPr>
                <w:sz w:val="16"/>
              </w:rPr>
            </w:pPr>
            <w:r>
              <w:rPr>
                <w:sz w:val="16"/>
              </w:rPr>
              <w:t>208, 633</w:t>
            </w:r>
          </w:p>
        </w:tc>
        <w:tc>
          <w:tcPr>
            <w:tcW w:w="1442" w:type="dxa"/>
          </w:tcPr>
          <w:p>
            <w:pPr>
              <w:pStyle w:val="TableParagraph"/>
              <w:spacing w:before="28"/>
              <w:ind w:right="363"/>
              <w:jc w:val="right"/>
              <w:rPr>
                <w:sz w:val="16"/>
              </w:rPr>
            </w:pPr>
            <w:r>
              <w:rPr>
                <w:sz w:val="16"/>
              </w:rPr>
              <w:t>252, 245</w:t>
            </w:r>
          </w:p>
        </w:tc>
        <w:tc>
          <w:tcPr>
            <w:tcW w:w="1504" w:type="dxa"/>
          </w:tcPr>
          <w:p>
            <w:pPr>
              <w:pStyle w:val="TableParagraph"/>
              <w:spacing w:before="28"/>
              <w:ind w:right="446"/>
              <w:jc w:val="right"/>
              <w:rPr>
                <w:sz w:val="16"/>
              </w:rPr>
            </w:pPr>
            <w:r>
              <w:rPr>
                <w:sz w:val="16"/>
              </w:rPr>
              <w:t>257 , 290</w:t>
            </w:r>
          </w:p>
        </w:tc>
        <w:tc>
          <w:tcPr>
            <w:tcW w:w="1137" w:type="dxa"/>
          </w:tcPr>
          <w:p>
            <w:pPr>
              <w:pStyle w:val="TableParagraph"/>
              <w:spacing w:before="28"/>
              <w:ind w:right="57"/>
              <w:jc w:val="right"/>
              <w:rPr>
                <w:sz w:val="16"/>
              </w:rPr>
            </w:pPr>
            <w:r>
              <w:rPr>
                <w:sz w:val="16"/>
              </w:rPr>
              <w:t>262, 436</w:t>
            </w:r>
          </w:p>
        </w:tc>
      </w:tr>
      <w:tr>
        <w:trPr>
          <w:trHeight w:val="220" w:hRule="atLeast"/>
        </w:trPr>
        <w:tc>
          <w:tcPr>
            <w:tcW w:w="6875" w:type="dxa"/>
          </w:tcPr>
          <w:p>
            <w:pPr>
              <w:pStyle w:val="TableParagraph"/>
              <w:spacing w:before="15"/>
              <w:ind w:left="293"/>
              <w:rPr>
                <w:sz w:val="16"/>
              </w:rPr>
            </w:pPr>
            <w:r>
              <w:rPr>
                <w:sz w:val="16"/>
              </w:rPr>
              <w:t>Direct Budget Support -(Euro 21m )- US$'m</w:t>
            </w:r>
          </w:p>
        </w:tc>
        <w:tc>
          <w:tcPr>
            <w:tcW w:w="3475" w:type="dxa"/>
          </w:tcPr>
          <w:p>
            <w:pPr>
              <w:pStyle w:val="TableParagraph"/>
              <w:spacing w:before="15"/>
              <w:ind w:right="442"/>
              <w:jc w:val="right"/>
              <w:rPr>
                <w:sz w:val="16"/>
              </w:rPr>
            </w:pPr>
            <w:r>
              <w:rPr>
                <w:sz w:val="16"/>
              </w:rPr>
              <w:t>23. 52</w:t>
            </w:r>
          </w:p>
        </w:tc>
        <w:tc>
          <w:tcPr>
            <w:tcW w:w="1442" w:type="dxa"/>
          </w:tcPr>
          <w:p>
            <w:pPr>
              <w:pStyle w:val="TableParagraph"/>
              <w:spacing w:before="15"/>
              <w:ind w:right="348"/>
              <w:jc w:val="right"/>
              <w:rPr>
                <w:sz w:val="16"/>
              </w:rPr>
            </w:pPr>
            <w:r>
              <w:rPr>
                <w:w w:val="95"/>
                <w:sz w:val="16"/>
              </w:rPr>
              <w:t>24.00</w:t>
            </w:r>
          </w:p>
        </w:tc>
        <w:tc>
          <w:tcPr>
            <w:tcW w:w="1504" w:type="dxa"/>
          </w:tcPr>
          <w:p>
            <w:pPr>
              <w:pStyle w:val="TableParagraph"/>
              <w:spacing w:before="15"/>
              <w:ind w:right="441"/>
              <w:jc w:val="right"/>
              <w:rPr>
                <w:sz w:val="16"/>
              </w:rPr>
            </w:pPr>
            <w:r>
              <w:rPr>
                <w:sz w:val="16"/>
              </w:rPr>
              <w:t>24. 00</w:t>
            </w:r>
          </w:p>
        </w:tc>
        <w:tc>
          <w:tcPr>
            <w:tcW w:w="1137" w:type="dxa"/>
          </w:tcPr>
          <w:p>
            <w:pPr>
              <w:pStyle w:val="TableParagraph"/>
              <w:spacing w:before="15"/>
              <w:ind w:right="42"/>
              <w:jc w:val="right"/>
              <w:rPr>
                <w:sz w:val="16"/>
              </w:rPr>
            </w:pPr>
            <w:r>
              <w:rPr>
                <w:w w:val="95"/>
                <w:sz w:val="16"/>
              </w:rPr>
              <w:t>24.00</w:t>
            </w:r>
          </w:p>
        </w:tc>
      </w:tr>
      <w:tr>
        <w:trPr>
          <w:trHeight w:val="220" w:hRule="atLeast"/>
        </w:trPr>
        <w:tc>
          <w:tcPr>
            <w:tcW w:w="6875" w:type="dxa"/>
          </w:tcPr>
          <w:p>
            <w:pPr>
              <w:pStyle w:val="TableParagraph"/>
              <w:spacing w:before="15"/>
              <w:ind w:left="125"/>
              <w:rPr>
                <w:sz w:val="16"/>
              </w:rPr>
            </w:pPr>
            <w:r>
              <w:rPr>
                <w:sz w:val="16"/>
              </w:rPr>
              <w:t>World Bank</w:t>
            </w:r>
          </w:p>
        </w:tc>
        <w:tc>
          <w:tcPr>
            <w:tcW w:w="3475" w:type="dxa"/>
          </w:tcPr>
          <w:p>
            <w:pPr>
              <w:pStyle w:val="TableParagraph"/>
              <w:spacing w:before="15"/>
              <w:ind w:right="452"/>
              <w:jc w:val="right"/>
              <w:rPr>
                <w:sz w:val="16"/>
              </w:rPr>
            </w:pPr>
            <w:r>
              <w:rPr>
                <w:sz w:val="16"/>
              </w:rPr>
              <w:t>351 , 890</w:t>
            </w:r>
          </w:p>
        </w:tc>
        <w:tc>
          <w:tcPr>
            <w:tcW w:w="1442" w:type="dxa"/>
          </w:tcPr>
          <w:p>
            <w:pPr>
              <w:pStyle w:val="TableParagraph"/>
              <w:spacing w:before="15"/>
              <w:ind w:right="363"/>
              <w:jc w:val="right"/>
              <w:rPr>
                <w:sz w:val="16"/>
              </w:rPr>
            </w:pPr>
            <w:r>
              <w:rPr>
                <w:sz w:val="16"/>
              </w:rPr>
              <w:t>630, 612</w:t>
            </w:r>
          </w:p>
        </w:tc>
        <w:tc>
          <w:tcPr>
            <w:tcW w:w="1504" w:type="dxa"/>
          </w:tcPr>
          <w:p>
            <w:pPr>
              <w:pStyle w:val="TableParagraph"/>
              <w:spacing w:before="15"/>
              <w:ind w:right="478"/>
              <w:jc w:val="right"/>
              <w:rPr>
                <w:b/>
                <w:sz w:val="16"/>
              </w:rPr>
            </w:pPr>
            <w:r>
              <w:rPr>
                <w:b/>
                <w:sz w:val="16"/>
              </w:rPr>
              <w:t>321 , 612</w:t>
            </w:r>
          </w:p>
        </w:tc>
        <w:tc>
          <w:tcPr>
            <w:tcW w:w="1137" w:type="dxa"/>
          </w:tcPr>
          <w:p>
            <w:pPr>
              <w:pStyle w:val="TableParagraph"/>
              <w:spacing w:before="15"/>
              <w:ind w:right="57"/>
              <w:jc w:val="right"/>
              <w:rPr>
                <w:sz w:val="16"/>
              </w:rPr>
            </w:pPr>
            <w:r>
              <w:rPr>
                <w:sz w:val="16"/>
              </w:rPr>
              <w:t>328, 044</w:t>
            </w:r>
          </w:p>
        </w:tc>
      </w:tr>
      <w:tr>
        <w:trPr>
          <w:trHeight w:val="220" w:hRule="atLeast"/>
        </w:trPr>
        <w:tc>
          <w:tcPr>
            <w:tcW w:w="6875" w:type="dxa"/>
          </w:tcPr>
          <w:p>
            <w:pPr>
              <w:pStyle w:val="TableParagraph"/>
              <w:spacing w:before="15"/>
              <w:ind w:left="293"/>
              <w:rPr>
                <w:sz w:val="16"/>
              </w:rPr>
            </w:pPr>
            <w:r>
              <w:rPr>
                <w:sz w:val="16"/>
              </w:rPr>
              <w:t>IDA Grant - US$'m</w:t>
            </w:r>
          </w:p>
        </w:tc>
        <w:tc>
          <w:tcPr>
            <w:tcW w:w="3475" w:type="dxa"/>
          </w:tcPr>
          <w:p>
            <w:pPr>
              <w:pStyle w:val="TableParagraph"/>
              <w:spacing w:before="15"/>
              <w:ind w:right="437"/>
              <w:jc w:val="right"/>
              <w:rPr>
                <w:sz w:val="16"/>
              </w:rPr>
            </w:pPr>
            <w:r>
              <w:rPr>
                <w:w w:val="95"/>
                <w:sz w:val="16"/>
              </w:rPr>
              <w:t>39.67</w:t>
            </w:r>
          </w:p>
        </w:tc>
        <w:tc>
          <w:tcPr>
            <w:tcW w:w="1442" w:type="dxa"/>
          </w:tcPr>
          <w:p>
            <w:pPr>
              <w:pStyle w:val="TableParagraph"/>
              <w:spacing w:before="15"/>
              <w:ind w:right="348"/>
              <w:jc w:val="right"/>
              <w:rPr>
                <w:sz w:val="16"/>
              </w:rPr>
            </w:pPr>
            <w:r>
              <w:rPr>
                <w:w w:val="95"/>
                <w:sz w:val="16"/>
              </w:rPr>
              <w:t>60.00</w:t>
            </w:r>
          </w:p>
        </w:tc>
        <w:tc>
          <w:tcPr>
            <w:tcW w:w="1504" w:type="dxa"/>
          </w:tcPr>
          <w:p>
            <w:pPr>
              <w:pStyle w:val="TableParagraph"/>
              <w:spacing w:before="15"/>
              <w:ind w:right="441"/>
              <w:jc w:val="right"/>
              <w:rPr>
                <w:sz w:val="16"/>
              </w:rPr>
            </w:pPr>
            <w:r>
              <w:rPr>
                <w:sz w:val="16"/>
              </w:rPr>
              <w:t>30. 00</w:t>
            </w:r>
          </w:p>
        </w:tc>
        <w:tc>
          <w:tcPr>
            <w:tcW w:w="1137" w:type="dxa"/>
          </w:tcPr>
          <w:p>
            <w:pPr>
              <w:pStyle w:val="TableParagraph"/>
              <w:spacing w:before="15"/>
              <w:ind w:right="42"/>
              <w:jc w:val="right"/>
              <w:rPr>
                <w:sz w:val="16"/>
              </w:rPr>
            </w:pPr>
            <w:r>
              <w:rPr>
                <w:w w:val="95"/>
                <w:sz w:val="16"/>
              </w:rPr>
              <w:t>30.00</w:t>
            </w:r>
          </w:p>
        </w:tc>
      </w:tr>
      <w:tr>
        <w:trPr>
          <w:trHeight w:val="220" w:hRule="atLeast"/>
        </w:trPr>
        <w:tc>
          <w:tcPr>
            <w:tcW w:w="6875" w:type="dxa"/>
          </w:tcPr>
          <w:p>
            <w:pPr>
              <w:pStyle w:val="TableParagraph"/>
              <w:spacing w:before="15"/>
              <w:ind w:left="125"/>
              <w:rPr>
                <w:sz w:val="16"/>
              </w:rPr>
            </w:pPr>
            <w:r>
              <w:rPr>
                <w:sz w:val="16"/>
              </w:rPr>
              <w:t>Afr ican Development Bank</w:t>
            </w:r>
          </w:p>
        </w:tc>
        <w:tc>
          <w:tcPr>
            <w:tcW w:w="3475" w:type="dxa"/>
          </w:tcPr>
          <w:p>
            <w:pPr>
              <w:pStyle w:val="TableParagraph"/>
              <w:spacing w:before="15"/>
              <w:ind w:right="452"/>
              <w:jc w:val="right"/>
              <w:rPr>
                <w:sz w:val="16"/>
              </w:rPr>
            </w:pPr>
            <w:r>
              <w:rPr>
                <w:sz w:val="16"/>
              </w:rPr>
              <w:t>183 , 618</w:t>
            </w:r>
          </w:p>
        </w:tc>
        <w:tc>
          <w:tcPr>
            <w:tcW w:w="1442" w:type="dxa"/>
          </w:tcPr>
          <w:p>
            <w:pPr>
              <w:pStyle w:val="TableParagraph"/>
              <w:spacing w:before="15"/>
              <w:ind w:right="363"/>
              <w:jc w:val="right"/>
              <w:rPr>
                <w:sz w:val="16"/>
              </w:rPr>
            </w:pPr>
            <w:r>
              <w:rPr>
                <w:sz w:val="16"/>
              </w:rPr>
              <w:t>147, 143</w:t>
            </w:r>
          </w:p>
        </w:tc>
        <w:tc>
          <w:tcPr>
            <w:tcW w:w="1504" w:type="dxa"/>
          </w:tcPr>
          <w:p>
            <w:pPr>
              <w:pStyle w:val="TableParagraph"/>
              <w:spacing w:before="15"/>
              <w:ind w:right="446"/>
              <w:jc w:val="right"/>
              <w:rPr>
                <w:sz w:val="16"/>
              </w:rPr>
            </w:pPr>
            <w:r>
              <w:rPr>
                <w:sz w:val="16"/>
              </w:rPr>
              <w:t>61 , 106</w:t>
            </w:r>
          </w:p>
        </w:tc>
        <w:tc>
          <w:tcPr>
            <w:tcW w:w="1137" w:type="dxa"/>
          </w:tcPr>
          <w:p>
            <w:pPr>
              <w:pStyle w:val="TableParagraph"/>
              <w:spacing w:before="15"/>
              <w:ind w:right="57"/>
              <w:jc w:val="right"/>
              <w:rPr>
                <w:sz w:val="16"/>
              </w:rPr>
            </w:pPr>
            <w:r>
              <w:rPr>
                <w:sz w:val="16"/>
              </w:rPr>
              <w:t>147, 620</w:t>
            </w:r>
          </w:p>
        </w:tc>
      </w:tr>
      <w:tr>
        <w:trPr>
          <w:trHeight w:val="218" w:hRule="atLeast"/>
        </w:trPr>
        <w:tc>
          <w:tcPr>
            <w:tcW w:w="6875" w:type="dxa"/>
          </w:tcPr>
          <w:p>
            <w:pPr>
              <w:pStyle w:val="TableParagraph"/>
              <w:spacing w:line="183" w:lineRule="exact" w:before="15"/>
              <w:ind w:left="293"/>
              <w:rPr>
                <w:sz w:val="16"/>
              </w:rPr>
            </w:pPr>
            <w:r>
              <w:rPr>
                <w:sz w:val="16"/>
              </w:rPr>
              <w:t>ADF Grant - US$'m</w:t>
            </w:r>
          </w:p>
        </w:tc>
        <w:tc>
          <w:tcPr>
            <w:tcW w:w="3475" w:type="dxa"/>
          </w:tcPr>
          <w:p>
            <w:pPr>
              <w:pStyle w:val="TableParagraph"/>
              <w:spacing w:line="183" w:lineRule="exact" w:before="15"/>
              <w:ind w:right="442"/>
              <w:jc w:val="right"/>
              <w:rPr>
                <w:sz w:val="16"/>
              </w:rPr>
            </w:pPr>
            <w:r>
              <w:rPr>
                <w:sz w:val="16"/>
              </w:rPr>
              <w:t>20. 70</w:t>
            </w:r>
          </w:p>
        </w:tc>
        <w:tc>
          <w:tcPr>
            <w:tcW w:w="1442" w:type="dxa"/>
          </w:tcPr>
          <w:p>
            <w:pPr>
              <w:pStyle w:val="TableParagraph"/>
              <w:spacing w:line="183" w:lineRule="exact" w:before="15"/>
              <w:ind w:right="348"/>
              <w:jc w:val="right"/>
              <w:rPr>
                <w:sz w:val="16"/>
              </w:rPr>
            </w:pPr>
            <w:r>
              <w:rPr>
                <w:w w:val="95"/>
                <w:sz w:val="16"/>
              </w:rPr>
              <w:t>14.00</w:t>
            </w:r>
          </w:p>
        </w:tc>
        <w:tc>
          <w:tcPr>
            <w:tcW w:w="1504" w:type="dxa"/>
          </w:tcPr>
          <w:p>
            <w:pPr>
              <w:pStyle w:val="TableParagraph"/>
              <w:spacing w:line="183" w:lineRule="exact" w:before="15"/>
              <w:ind w:right="436"/>
              <w:jc w:val="right"/>
              <w:rPr>
                <w:sz w:val="16"/>
              </w:rPr>
            </w:pPr>
            <w:r>
              <w:rPr>
                <w:sz w:val="16"/>
              </w:rPr>
              <w:t>5. 70</w:t>
            </w:r>
          </w:p>
        </w:tc>
        <w:tc>
          <w:tcPr>
            <w:tcW w:w="1137" w:type="dxa"/>
          </w:tcPr>
          <w:p>
            <w:pPr>
              <w:pStyle w:val="TableParagraph"/>
              <w:spacing w:line="183" w:lineRule="exact" w:before="15"/>
              <w:ind w:right="42"/>
              <w:jc w:val="right"/>
              <w:rPr>
                <w:sz w:val="16"/>
              </w:rPr>
            </w:pPr>
            <w:r>
              <w:rPr>
                <w:w w:val="95"/>
                <w:sz w:val="16"/>
              </w:rPr>
              <w:t>13.50</w:t>
            </w:r>
          </w:p>
        </w:tc>
      </w:tr>
      <w:tr>
        <w:trPr>
          <w:trHeight w:val="218" w:hRule="atLeast"/>
        </w:trPr>
        <w:tc>
          <w:tcPr>
            <w:tcW w:w="6875" w:type="dxa"/>
          </w:tcPr>
          <w:p>
            <w:pPr>
              <w:pStyle w:val="TableParagraph"/>
              <w:spacing w:before="13"/>
              <w:ind w:left="125"/>
              <w:rPr>
                <w:sz w:val="16"/>
              </w:rPr>
            </w:pPr>
            <w:r>
              <w:rPr>
                <w:sz w:val="16"/>
              </w:rPr>
              <w:t>Global Fund</w:t>
            </w:r>
          </w:p>
        </w:tc>
        <w:tc>
          <w:tcPr>
            <w:tcW w:w="3475" w:type="dxa"/>
          </w:tcPr>
          <w:p>
            <w:pPr>
              <w:pStyle w:val="TableParagraph"/>
              <w:spacing w:before="13"/>
              <w:ind w:right="470"/>
              <w:jc w:val="right"/>
              <w:rPr>
                <w:b/>
                <w:sz w:val="16"/>
              </w:rPr>
            </w:pPr>
            <w:r>
              <w:rPr>
                <w:b/>
                <w:sz w:val="16"/>
              </w:rPr>
              <w:t>23 , 442</w:t>
            </w:r>
          </w:p>
        </w:tc>
        <w:tc>
          <w:tcPr>
            <w:tcW w:w="4083" w:type="dxa"/>
            <w:gridSpan w:val="3"/>
          </w:tcPr>
          <w:p>
            <w:pPr>
              <w:pStyle w:val="TableParagraph"/>
              <w:tabs>
                <w:tab w:pos="2467" w:val="left" w:leader="none"/>
                <w:tab w:pos="3998" w:val="left" w:leader="none"/>
              </w:tabs>
              <w:spacing w:before="13"/>
              <w:ind w:left="1051"/>
              <w:rPr>
                <w:sz w:val="16"/>
              </w:rPr>
            </w:pPr>
            <w:r>
              <w:rPr>
                <w:sz w:val="16"/>
              </w:rPr>
              <w:t>-</w:t>
              <w:tab/>
              <w:t>-</w:t>
              <w:tab/>
              <w:t>-</w:t>
            </w:r>
          </w:p>
        </w:tc>
      </w:tr>
      <w:tr>
        <w:trPr>
          <w:trHeight w:val="331" w:hRule="atLeast"/>
        </w:trPr>
        <w:tc>
          <w:tcPr>
            <w:tcW w:w="6875" w:type="dxa"/>
          </w:tcPr>
          <w:p>
            <w:pPr>
              <w:pStyle w:val="TableParagraph"/>
              <w:spacing w:before="15"/>
              <w:ind w:left="293"/>
              <w:rPr>
                <w:sz w:val="16"/>
              </w:rPr>
            </w:pPr>
            <w:r>
              <w:rPr>
                <w:sz w:val="16"/>
              </w:rPr>
              <w:t>Global Fund Support to Health Workers Salary</w:t>
            </w:r>
          </w:p>
        </w:tc>
        <w:tc>
          <w:tcPr>
            <w:tcW w:w="3475" w:type="dxa"/>
          </w:tcPr>
          <w:p>
            <w:pPr>
              <w:pStyle w:val="TableParagraph"/>
              <w:spacing w:before="15"/>
              <w:ind w:right="447"/>
              <w:jc w:val="right"/>
              <w:rPr>
                <w:sz w:val="16"/>
              </w:rPr>
            </w:pPr>
            <w:r>
              <w:rPr>
                <w:sz w:val="16"/>
              </w:rPr>
              <w:t>23 , 442</w:t>
            </w:r>
          </w:p>
        </w:tc>
        <w:tc>
          <w:tcPr>
            <w:tcW w:w="4083" w:type="dxa"/>
            <w:gridSpan w:val="3"/>
          </w:tcPr>
          <w:p>
            <w:pPr>
              <w:pStyle w:val="TableParagraph"/>
              <w:tabs>
                <w:tab w:pos="2471" w:val="left" w:leader="none"/>
                <w:tab w:pos="3998" w:val="left" w:leader="none"/>
              </w:tabs>
              <w:spacing w:before="15"/>
              <w:ind w:left="1051"/>
              <w:rPr>
                <w:sz w:val="16"/>
              </w:rPr>
            </w:pPr>
            <w:r>
              <w:rPr>
                <w:sz w:val="16"/>
              </w:rPr>
              <w:t>-</w:t>
              <w:tab/>
              <w:t>-</w:t>
              <w:tab/>
              <w:t>-</w:t>
            </w:r>
          </w:p>
        </w:tc>
      </w:tr>
      <w:tr>
        <w:trPr>
          <w:trHeight w:val="331" w:hRule="atLeast"/>
        </w:trPr>
        <w:tc>
          <w:tcPr>
            <w:tcW w:w="6875" w:type="dxa"/>
          </w:tcPr>
          <w:p>
            <w:pPr>
              <w:pStyle w:val="TableParagraph"/>
              <w:spacing w:before="125"/>
              <w:ind w:left="34"/>
              <w:rPr>
                <w:b/>
                <w:sz w:val="16"/>
              </w:rPr>
            </w:pPr>
            <w:r>
              <w:rPr>
                <w:b/>
                <w:sz w:val="16"/>
              </w:rPr>
              <w:t>Total External Budgetary Support - Under Financing</w:t>
            </w:r>
          </w:p>
        </w:tc>
        <w:tc>
          <w:tcPr>
            <w:tcW w:w="3475" w:type="dxa"/>
          </w:tcPr>
          <w:p>
            <w:pPr>
              <w:pStyle w:val="TableParagraph"/>
              <w:spacing w:before="125"/>
              <w:ind w:right="479"/>
              <w:jc w:val="right"/>
              <w:rPr>
                <w:b/>
                <w:sz w:val="16"/>
              </w:rPr>
            </w:pPr>
            <w:r>
              <w:rPr>
                <w:b/>
                <w:sz w:val="16"/>
              </w:rPr>
              <w:t>123 , 259</w:t>
            </w:r>
          </w:p>
        </w:tc>
        <w:tc>
          <w:tcPr>
            <w:tcW w:w="4083" w:type="dxa"/>
            <w:gridSpan w:val="3"/>
          </w:tcPr>
          <w:p>
            <w:pPr>
              <w:pStyle w:val="TableParagraph"/>
              <w:tabs>
                <w:tab w:pos="2471" w:val="left" w:leader="none"/>
                <w:tab w:pos="3998" w:val="left" w:leader="none"/>
              </w:tabs>
              <w:spacing w:before="125"/>
              <w:ind w:left="1051"/>
              <w:rPr>
                <w:sz w:val="16"/>
              </w:rPr>
            </w:pPr>
            <w:r>
              <w:rPr>
                <w:sz w:val="16"/>
              </w:rPr>
              <w:t>-</w:t>
              <w:tab/>
              <w:t>-</w:t>
              <w:tab/>
              <w:t>-</w:t>
            </w:r>
          </w:p>
        </w:tc>
      </w:tr>
      <w:tr>
        <w:trPr>
          <w:trHeight w:val="220" w:hRule="atLeast"/>
        </w:trPr>
        <w:tc>
          <w:tcPr>
            <w:tcW w:w="6875" w:type="dxa"/>
          </w:tcPr>
          <w:p>
            <w:pPr>
              <w:pStyle w:val="TableParagraph"/>
              <w:spacing w:before="15"/>
              <w:ind w:left="125"/>
              <w:rPr>
                <w:sz w:val="16"/>
              </w:rPr>
            </w:pPr>
            <w:r>
              <w:rPr>
                <w:sz w:val="16"/>
              </w:rPr>
              <w:t>International Monetary Fund (IMF)</w:t>
            </w:r>
          </w:p>
        </w:tc>
        <w:tc>
          <w:tcPr>
            <w:tcW w:w="3475" w:type="dxa"/>
          </w:tcPr>
          <w:p>
            <w:pPr>
              <w:pStyle w:val="TableParagraph"/>
              <w:spacing w:before="15"/>
              <w:ind w:right="474"/>
              <w:jc w:val="right"/>
              <w:rPr>
                <w:b/>
                <w:sz w:val="16"/>
              </w:rPr>
            </w:pPr>
            <w:r>
              <w:rPr>
                <w:b/>
                <w:w w:val="95"/>
                <w:sz w:val="16"/>
              </w:rPr>
              <w:t>123,259</w:t>
            </w:r>
          </w:p>
        </w:tc>
        <w:tc>
          <w:tcPr>
            <w:tcW w:w="4083" w:type="dxa"/>
            <w:gridSpan w:val="3"/>
          </w:tcPr>
          <w:p>
            <w:pPr>
              <w:pStyle w:val="TableParagraph"/>
              <w:tabs>
                <w:tab w:pos="2467" w:val="left" w:leader="none"/>
                <w:tab w:pos="3998" w:val="left" w:leader="none"/>
              </w:tabs>
              <w:spacing w:before="15"/>
              <w:ind w:left="1051"/>
              <w:rPr>
                <w:sz w:val="16"/>
              </w:rPr>
            </w:pPr>
            <w:r>
              <w:rPr>
                <w:sz w:val="16"/>
              </w:rPr>
              <w:t>-</w:t>
              <w:tab/>
              <w:t>-</w:t>
              <w:tab/>
              <w:t>-</w:t>
            </w:r>
          </w:p>
        </w:tc>
      </w:tr>
      <w:tr>
        <w:trPr>
          <w:trHeight w:val="233" w:hRule="atLeast"/>
        </w:trPr>
        <w:tc>
          <w:tcPr>
            <w:tcW w:w="6875" w:type="dxa"/>
          </w:tcPr>
          <w:p>
            <w:pPr>
              <w:pStyle w:val="TableParagraph"/>
              <w:spacing w:line="184" w:lineRule="exact" w:before="15"/>
              <w:ind w:left="293"/>
              <w:rPr>
                <w:sz w:val="16"/>
              </w:rPr>
            </w:pPr>
            <w:r>
              <w:rPr>
                <w:sz w:val="16"/>
              </w:rPr>
              <w:t>Grant - US$'m</w:t>
            </w:r>
          </w:p>
        </w:tc>
        <w:tc>
          <w:tcPr>
            <w:tcW w:w="3475" w:type="dxa"/>
          </w:tcPr>
          <w:p>
            <w:pPr>
              <w:pStyle w:val="TableParagraph"/>
              <w:spacing w:line="184" w:lineRule="exact" w:before="15"/>
              <w:ind w:right="458"/>
              <w:jc w:val="right"/>
              <w:rPr>
                <w:b/>
                <w:sz w:val="16"/>
              </w:rPr>
            </w:pPr>
            <w:r>
              <w:rPr>
                <w:b/>
                <w:sz w:val="16"/>
              </w:rPr>
              <w:t>13.90</w:t>
            </w:r>
          </w:p>
        </w:tc>
        <w:tc>
          <w:tcPr>
            <w:tcW w:w="4083" w:type="dxa"/>
            <w:gridSpan w:val="3"/>
          </w:tcPr>
          <w:p>
            <w:pPr>
              <w:pStyle w:val="TableParagraph"/>
              <w:tabs>
                <w:tab w:pos="2471" w:val="left" w:leader="none"/>
                <w:tab w:pos="3998" w:val="left" w:leader="none"/>
              </w:tabs>
              <w:spacing w:line="184" w:lineRule="exact" w:before="15"/>
              <w:ind w:left="1051"/>
              <w:rPr>
                <w:sz w:val="16"/>
              </w:rPr>
            </w:pPr>
            <w:r>
              <w:rPr>
                <w:sz w:val="16"/>
              </w:rPr>
              <w:t>-</w:t>
              <w:tab/>
              <w:t>-</w:t>
              <w:tab/>
              <w:t>-</w:t>
            </w:r>
          </w:p>
        </w:tc>
      </w:tr>
    </w:tbl>
    <w:p>
      <w:pPr>
        <w:spacing w:after="0" w:line="184" w:lineRule="exact"/>
        <w:rPr>
          <w:sz w:val="16"/>
        </w:rPr>
        <w:sectPr>
          <w:type w:val="continuous"/>
          <w:pgSz w:w="16840" w:h="11900" w:orient="landscape"/>
          <w:pgMar w:top="1600" w:bottom="280" w:left="880" w:right="920"/>
        </w:sectPr>
      </w:pPr>
    </w:p>
    <w:p>
      <w:pPr>
        <w:pStyle w:val="BodyText"/>
        <w:spacing w:before="2" w:after="1"/>
        <w:rPr>
          <w:rFonts w:ascii="Times New Roman"/>
          <w:sz w:val="13"/>
        </w:rPr>
      </w:pPr>
      <w:r>
        <w:rPr/>
        <w:pict>
          <v:shape style="position:absolute;margin-left:27.140491pt;margin-top:283.230011pt;width:14.35pt;height:24.85pt;mso-position-horizontal-relative:page;mso-position-vertical-relative:page;z-index:1744" type="#_x0000_t202" filled="false" stroked="false">
            <v:textbox inset="0,0,0,0" style="layout-flow:vertical">
              <w:txbxContent>
                <w:p>
                  <w:pPr>
                    <w:spacing w:before="13"/>
                    <w:ind w:left="20" w:right="0" w:firstLine="0"/>
                    <w:jc w:val="left"/>
                    <w:rPr>
                      <w:rFonts w:ascii="Arial"/>
                      <w:sz w:val="22"/>
                    </w:rPr>
                  </w:pPr>
                  <w:r>
                    <w:rPr>
                      <w:rFonts w:ascii="Arial"/>
                      <w:sz w:val="22"/>
                    </w:rPr>
                    <w:t>xxvii</w:t>
                  </w:r>
                </w:p>
              </w:txbxContent>
            </v:textbox>
            <w10:wrap type="none"/>
          </v:shape>
        </w:pic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801"/>
        <w:gridCol w:w="817"/>
        <w:gridCol w:w="1075"/>
        <w:gridCol w:w="1191"/>
        <w:gridCol w:w="1211"/>
        <w:gridCol w:w="901"/>
        <w:gridCol w:w="898"/>
        <w:gridCol w:w="847"/>
        <w:gridCol w:w="875"/>
        <w:gridCol w:w="711"/>
        <w:gridCol w:w="1004"/>
      </w:tblGrid>
      <w:tr>
        <w:trPr>
          <w:trHeight w:val="183" w:hRule="atLeast"/>
        </w:trPr>
        <w:tc>
          <w:tcPr>
            <w:tcW w:w="14801" w:type="dxa"/>
            <w:gridSpan w:val="12"/>
            <w:tcBorders>
              <w:bottom w:val="single" w:sz="4" w:space="0" w:color="000000"/>
            </w:tcBorders>
          </w:tcPr>
          <w:p>
            <w:pPr>
              <w:pStyle w:val="TableParagraph"/>
              <w:tabs>
                <w:tab w:pos="11471" w:val="left" w:leader="none"/>
                <w:tab w:pos="13117" w:val="left" w:leader="none"/>
              </w:tabs>
              <w:spacing w:line="156" w:lineRule="exact"/>
              <w:ind w:left="9829"/>
              <w:rPr>
                <w:b/>
                <w:sz w:val="14"/>
              </w:rPr>
            </w:pPr>
            <w:r>
              <w:rPr>
                <w:b/>
                <w:spacing w:val="2"/>
                <w:sz w:val="14"/>
              </w:rPr>
              <w:t>FY</w:t>
            </w:r>
            <w:r>
              <w:rPr>
                <w:b/>
                <w:spacing w:val="1"/>
                <w:sz w:val="14"/>
              </w:rPr>
              <w:t> </w:t>
            </w:r>
            <w:r>
              <w:rPr>
                <w:b/>
                <w:spacing w:val="4"/>
                <w:sz w:val="14"/>
              </w:rPr>
              <w:t>2020</w:t>
            </w:r>
            <w:r>
              <w:rPr>
                <w:b/>
                <w:spacing w:val="6"/>
                <w:sz w:val="14"/>
              </w:rPr>
              <w:t> </w:t>
            </w:r>
            <w:r>
              <w:rPr>
                <w:b/>
                <w:sz w:val="14"/>
              </w:rPr>
              <w:t>Budget</w:t>
              <w:tab/>
            </w:r>
            <w:r>
              <w:rPr>
                <w:b/>
                <w:spacing w:val="2"/>
                <w:sz w:val="14"/>
              </w:rPr>
              <w:t>FY</w:t>
            </w:r>
            <w:r>
              <w:rPr>
                <w:b/>
                <w:spacing w:val="12"/>
                <w:sz w:val="14"/>
              </w:rPr>
              <w:t> </w:t>
            </w:r>
            <w:r>
              <w:rPr>
                <w:b/>
                <w:spacing w:val="4"/>
                <w:sz w:val="14"/>
              </w:rPr>
              <w:t>2021</w:t>
            </w:r>
            <w:r>
              <w:rPr>
                <w:b/>
                <w:spacing w:val="17"/>
                <w:sz w:val="14"/>
              </w:rPr>
              <w:t> </w:t>
            </w:r>
            <w:r>
              <w:rPr>
                <w:b/>
                <w:spacing w:val="3"/>
                <w:sz w:val="14"/>
              </w:rPr>
              <w:t>Indicative</w:t>
              <w:tab/>
            </w:r>
            <w:r>
              <w:rPr>
                <w:b/>
                <w:spacing w:val="2"/>
                <w:sz w:val="14"/>
              </w:rPr>
              <w:t>FY </w:t>
            </w:r>
            <w:r>
              <w:rPr>
                <w:b/>
                <w:spacing w:val="4"/>
                <w:sz w:val="14"/>
              </w:rPr>
              <w:t>2022</w:t>
            </w:r>
            <w:r>
              <w:rPr>
                <w:b/>
                <w:spacing w:val="25"/>
                <w:sz w:val="14"/>
              </w:rPr>
              <w:t> </w:t>
            </w:r>
            <w:r>
              <w:rPr>
                <w:b/>
                <w:spacing w:val="3"/>
                <w:sz w:val="14"/>
              </w:rPr>
              <w:t>Indicative</w:t>
            </w:r>
          </w:p>
        </w:tc>
      </w:tr>
      <w:tr>
        <w:trPr>
          <w:trHeight w:val="215" w:hRule="atLeast"/>
        </w:trPr>
        <w:tc>
          <w:tcPr>
            <w:tcW w:w="470" w:type="dxa"/>
            <w:tcBorders>
              <w:top w:val="single" w:sz="4" w:space="0" w:color="000000"/>
            </w:tcBorders>
          </w:tcPr>
          <w:p>
            <w:pPr>
              <w:pStyle w:val="TableParagraph"/>
              <w:spacing w:before="22"/>
              <w:ind w:right="147"/>
              <w:jc w:val="right"/>
              <w:rPr>
                <w:sz w:val="14"/>
              </w:rPr>
            </w:pPr>
            <w:r>
              <w:rPr>
                <w:w w:val="95"/>
                <w:sz w:val="14"/>
              </w:rPr>
              <w:t>MDA</w:t>
            </w:r>
          </w:p>
        </w:tc>
        <w:tc>
          <w:tcPr>
            <w:tcW w:w="4801" w:type="dxa"/>
            <w:tcBorders>
              <w:top w:val="single" w:sz="4" w:space="0" w:color="000000"/>
            </w:tcBorders>
          </w:tcPr>
          <w:p>
            <w:pPr>
              <w:pStyle w:val="TableParagraph"/>
              <w:spacing w:before="22"/>
              <w:ind w:left="114"/>
              <w:rPr>
                <w:sz w:val="14"/>
              </w:rPr>
            </w:pPr>
            <w:r>
              <w:rPr>
                <w:sz w:val="14"/>
              </w:rPr>
              <w:t>National Development Plan Cluster/ Ministry, Department</w:t>
            </w:r>
          </w:p>
        </w:tc>
        <w:tc>
          <w:tcPr>
            <w:tcW w:w="817" w:type="dxa"/>
            <w:tcBorders>
              <w:top w:val="single" w:sz="4" w:space="0" w:color="000000"/>
            </w:tcBorders>
          </w:tcPr>
          <w:p>
            <w:pPr>
              <w:pStyle w:val="TableParagraph"/>
              <w:spacing w:before="22"/>
              <w:ind w:left="199"/>
              <w:rPr>
                <w:sz w:val="14"/>
              </w:rPr>
            </w:pPr>
            <w:r>
              <w:rPr>
                <w:sz w:val="14"/>
              </w:rPr>
              <w:t>Status</w:t>
            </w:r>
          </w:p>
        </w:tc>
        <w:tc>
          <w:tcPr>
            <w:tcW w:w="1075" w:type="dxa"/>
            <w:tcBorders>
              <w:top w:val="single" w:sz="4" w:space="0" w:color="000000"/>
            </w:tcBorders>
          </w:tcPr>
          <w:p>
            <w:pPr>
              <w:pStyle w:val="TableParagraph"/>
              <w:spacing w:before="22"/>
              <w:ind w:left="108"/>
              <w:rPr>
                <w:sz w:val="14"/>
              </w:rPr>
            </w:pPr>
            <w:r>
              <w:rPr>
                <w:sz w:val="14"/>
              </w:rPr>
              <w:t>Location</w:t>
            </w:r>
          </w:p>
        </w:tc>
        <w:tc>
          <w:tcPr>
            <w:tcW w:w="1191" w:type="dxa"/>
            <w:tcBorders>
              <w:top w:val="single" w:sz="4" w:space="0" w:color="000000"/>
            </w:tcBorders>
          </w:tcPr>
          <w:p>
            <w:pPr>
              <w:pStyle w:val="TableParagraph"/>
              <w:spacing w:before="22"/>
              <w:ind w:left="103"/>
              <w:rPr>
                <w:sz w:val="14"/>
              </w:rPr>
            </w:pPr>
            <w:r>
              <w:rPr>
                <w:sz w:val="14"/>
              </w:rPr>
              <w:t>Funding</w:t>
            </w:r>
          </w:p>
        </w:tc>
        <w:tc>
          <w:tcPr>
            <w:tcW w:w="1211" w:type="dxa"/>
            <w:tcBorders>
              <w:top w:val="single" w:sz="4" w:space="0" w:color="000000"/>
            </w:tcBorders>
          </w:tcPr>
          <w:p>
            <w:pPr>
              <w:pStyle w:val="TableParagraph"/>
              <w:spacing w:before="22"/>
              <w:ind w:left="160"/>
              <w:rPr>
                <w:sz w:val="14"/>
              </w:rPr>
            </w:pPr>
            <w:r>
              <w:rPr>
                <w:sz w:val="14"/>
              </w:rPr>
              <w:t>Funding</w:t>
            </w:r>
          </w:p>
        </w:tc>
        <w:tc>
          <w:tcPr>
            <w:tcW w:w="901" w:type="dxa"/>
            <w:tcBorders>
              <w:top w:val="single" w:sz="4" w:space="0" w:color="000000"/>
            </w:tcBorders>
          </w:tcPr>
          <w:p>
            <w:pPr>
              <w:pStyle w:val="TableParagraph"/>
              <w:spacing w:before="22"/>
              <w:ind w:left="135"/>
              <w:rPr>
                <w:sz w:val="14"/>
              </w:rPr>
            </w:pPr>
            <w:r>
              <w:rPr>
                <w:sz w:val="14"/>
              </w:rPr>
              <w:t>Foreign</w:t>
            </w:r>
          </w:p>
        </w:tc>
        <w:tc>
          <w:tcPr>
            <w:tcW w:w="898" w:type="dxa"/>
            <w:tcBorders>
              <w:top w:val="single" w:sz="4" w:space="0" w:color="000000"/>
            </w:tcBorders>
          </w:tcPr>
          <w:p>
            <w:pPr>
              <w:pStyle w:val="TableParagraph"/>
              <w:spacing w:before="22"/>
              <w:ind w:left="179"/>
              <w:rPr>
                <w:sz w:val="14"/>
              </w:rPr>
            </w:pPr>
            <w:r>
              <w:rPr>
                <w:sz w:val="14"/>
              </w:rPr>
              <w:t>Domestic</w:t>
            </w:r>
          </w:p>
        </w:tc>
        <w:tc>
          <w:tcPr>
            <w:tcW w:w="847" w:type="dxa"/>
            <w:tcBorders>
              <w:top w:val="single" w:sz="4" w:space="0" w:color="000000"/>
            </w:tcBorders>
          </w:tcPr>
          <w:p>
            <w:pPr>
              <w:pStyle w:val="TableParagraph"/>
              <w:spacing w:before="22"/>
              <w:ind w:right="166"/>
              <w:jc w:val="right"/>
              <w:rPr>
                <w:sz w:val="14"/>
              </w:rPr>
            </w:pPr>
            <w:r>
              <w:rPr>
                <w:w w:val="95"/>
                <w:sz w:val="14"/>
              </w:rPr>
              <w:t>Foreign</w:t>
            </w:r>
          </w:p>
        </w:tc>
        <w:tc>
          <w:tcPr>
            <w:tcW w:w="875" w:type="dxa"/>
            <w:tcBorders>
              <w:top w:val="single" w:sz="4" w:space="0" w:color="000000"/>
            </w:tcBorders>
          </w:tcPr>
          <w:p>
            <w:pPr>
              <w:pStyle w:val="TableParagraph"/>
              <w:spacing w:before="22"/>
              <w:ind w:left="249"/>
              <w:rPr>
                <w:sz w:val="14"/>
              </w:rPr>
            </w:pPr>
            <w:r>
              <w:rPr>
                <w:sz w:val="14"/>
              </w:rPr>
              <w:t>Domestic</w:t>
            </w:r>
          </w:p>
        </w:tc>
        <w:tc>
          <w:tcPr>
            <w:tcW w:w="711" w:type="dxa"/>
            <w:tcBorders>
              <w:top w:val="single" w:sz="4" w:space="0" w:color="000000"/>
            </w:tcBorders>
          </w:tcPr>
          <w:p>
            <w:pPr>
              <w:pStyle w:val="TableParagraph"/>
              <w:spacing w:before="22"/>
              <w:ind w:right="-15"/>
              <w:jc w:val="right"/>
              <w:rPr>
                <w:sz w:val="14"/>
              </w:rPr>
            </w:pPr>
            <w:r>
              <w:rPr>
                <w:w w:val="95"/>
                <w:sz w:val="14"/>
              </w:rPr>
              <w:t>Foreign</w:t>
            </w:r>
          </w:p>
        </w:tc>
        <w:tc>
          <w:tcPr>
            <w:tcW w:w="1004" w:type="dxa"/>
            <w:tcBorders>
              <w:top w:val="single" w:sz="4" w:space="0" w:color="000000"/>
            </w:tcBorders>
          </w:tcPr>
          <w:p>
            <w:pPr>
              <w:pStyle w:val="TableParagraph"/>
              <w:spacing w:before="22"/>
              <w:ind w:left="-16" w:right="92"/>
              <w:jc w:val="right"/>
              <w:rPr>
                <w:sz w:val="14"/>
              </w:rPr>
            </w:pPr>
            <w:r>
              <w:rPr>
                <w:w w:val="95"/>
                <w:sz w:val="14"/>
              </w:rPr>
              <w:t>Domestic</w:t>
            </w:r>
          </w:p>
        </w:tc>
      </w:tr>
      <w:tr>
        <w:trPr>
          <w:trHeight w:val="287" w:hRule="atLeast"/>
        </w:trPr>
        <w:tc>
          <w:tcPr>
            <w:tcW w:w="470" w:type="dxa"/>
            <w:tcBorders>
              <w:bottom w:val="single" w:sz="18" w:space="0" w:color="000000"/>
            </w:tcBorders>
          </w:tcPr>
          <w:p>
            <w:pPr>
              <w:pStyle w:val="TableParagraph"/>
              <w:spacing w:before="27"/>
              <w:ind w:right="109"/>
              <w:jc w:val="right"/>
              <w:rPr>
                <w:sz w:val="14"/>
              </w:rPr>
            </w:pPr>
            <w:r>
              <w:rPr>
                <w:w w:val="95"/>
                <w:sz w:val="14"/>
              </w:rPr>
              <w:t>Code</w:t>
            </w:r>
          </w:p>
        </w:tc>
        <w:tc>
          <w:tcPr>
            <w:tcW w:w="4801" w:type="dxa"/>
            <w:tcBorders>
              <w:bottom w:val="single" w:sz="18" w:space="0" w:color="000000"/>
            </w:tcBorders>
          </w:tcPr>
          <w:p>
            <w:pPr>
              <w:pStyle w:val="TableParagraph"/>
              <w:spacing w:before="27"/>
              <w:ind w:left="114"/>
              <w:rPr>
                <w:sz w:val="14"/>
              </w:rPr>
            </w:pPr>
            <w:r>
              <w:rPr>
                <w:sz w:val="14"/>
              </w:rPr>
              <w:t>and Agency (MDAs)</w:t>
            </w:r>
          </w:p>
        </w:tc>
        <w:tc>
          <w:tcPr>
            <w:tcW w:w="817" w:type="dxa"/>
            <w:tcBorders>
              <w:bottom w:val="single" w:sz="18" w:space="0" w:color="000000"/>
            </w:tcBorders>
          </w:tcPr>
          <w:p>
            <w:pPr>
              <w:pStyle w:val="TableParagraph"/>
              <w:rPr>
                <w:rFonts w:ascii="Times New Roman"/>
                <w:sz w:val="14"/>
              </w:rPr>
            </w:pPr>
          </w:p>
        </w:tc>
        <w:tc>
          <w:tcPr>
            <w:tcW w:w="1075" w:type="dxa"/>
            <w:tcBorders>
              <w:bottom w:val="single" w:sz="18" w:space="0" w:color="000000"/>
            </w:tcBorders>
          </w:tcPr>
          <w:p>
            <w:pPr>
              <w:pStyle w:val="TableParagraph"/>
              <w:rPr>
                <w:rFonts w:ascii="Times New Roman"/>
                <w:sz w:val="14"/>
              </w:rPr>
            </w:pPr>
          </w:p>
        </w:tc>
        <w:tc>
          <w:tcPr>
            <w:tcW w:w="1191" w:type="dxa"/>
            <w:tcBorders>
              <w:bottom w:val="single" w:sz="18" w:space="0" w:color="000000"/>
            </w:tcBorders>
          </w:tcPr>
          <w:p>
            <w:pPr>
              <w:pStyle w:val="TableParagraph"/>
              <w:spacing w:before="27"/>
              <w:ind w:left="155"/>
              <w:rPr>
                <w:sz w:val="14"/>
              </w:rPr>
            </w:pPr>
            <w:r>
              <w:rPr>
                <w:sz w:val="14"/>
              </w:rPr>
              <w:t>Source</w:t>
            </w:r>
          </w:p>
        </w:tc>
        <w:tc>
          <w:tcPr>
            <w:tcW w:w="1211" w:type="dxa"/>
            <w:tcBorders>
              <w:bottom w:val="single" w:sz="18" w:space="0" w:color="000000"/>
            </w:tcBorders>
          </w:tcPr>
          <w:p>
            <w:pPr>
              <w:pStyle w:val="TableParagraph"/>
              <w:spacing w:before="27"/>
              <w:ind w:left="304"/>
              <w:rPr>
                <w:sz w:val="14"/>
              </w:rPr>
            </w:pPr>
            <w:r>
              <w:rPr>
                <w:sz w:val="14"/>
              </w:rPr>
              <w:t>Type</w:t>
            </w:r>
          </w:p>
        </w:tc>
        <w:tc>
          <w:tcPr>
            <w:tcW w:w="901" w:type="dxa"/>
            <w:tcBorders>
              <w:bottom w:val="single" w:sz="18" w:space="0" w:color="000000"/>
            </w:tcBorders>
          </w:tcPr>
          <w:p>
            <w:pPr>
              <w:pStyle w:val="TableParagraph"/>
              <w:rPr>
                <w:rFonts w:ascii="Times New Roman"/>
                <w:sz w:val="14"/>
              </w:rPr>
            </w:pPr>
          </w:p>
        </w:tc>
        <w:tc>
          <w:tcPr>
            <w:tcW w:w="898" w:type="dxa"/>
            <w:tcBorders>
              <w:bottom w:val="single" w:sz="18" w:space="0" w:color="000000"/>
            </w:tcBorders>
          </w:tcPr>
          <w:p>
            <w:pPr>
              <w:pStyle w:val="TableParagraph"/>
              <w:rPr>
                <w:rFonts w:ascii="Times New Roman"/>
                <w:sz w:val="14"/>
              </w:rPr>
            </w:pPr>
          </w:p>
        </w:tc>
        <w:tc>
          <w:tcPr>
            <w:tcW w:w="847" w:type="dxa"/>
            <w:tcBorders>
              <w:bottom w:val="single" w:sz="18" w:space="0" w:color="000000"/>
            </w:tcBorders>
          </w:tcPr>
          <w:p>
            <w:pPr>
              <w:pStyle w:val="TableParagraph"/>
              <w:rPr>
                <w:rFonts w:ascii="Times New Roman"/>
                <w:sz w:val="14"/>
              </w:rPr>
            </w:pPr>
          </w:p>
        </w:tc>
        <w:tc>
          <w:tcPr>
            <w:tcW w:w="875" w:type="dxa"/>
            <w:tcBorders>
              <w:bottom w:val="single" w:sz="18" w:space="0" w:color="000000"/>
            </w:tcBorders>
          </w:tcPr>
          <w:p>
            <w:pPr>
              <w:pStyle w:val="TableParagraph"/>
              <w:rPr>
                <w:rFonts w:ascii="Times New Roman"/>
                <w:sz w:val="14"/>
              </w:rPr>
            </w:pPr>
          </w:p>
        </w:tc>
        <w:tc>
          <w:tcPr>
            <w:tcW w:w="711" w:type="dxa"/>
            <w:tcBorders>
              <w:bottom w:val="single" w:sz="18" w:space="0" w:color="000000"/>
            </w:tcBorders>
          </w:tcPr>
          <w:p>
            <w:pPr>
              <w:pStyle w:val="TableParagraph"/>
              <w:rPr>
                <w:rFonts w:ascii="Times New Roman"/>
                <w:sz w:val="14"/>
              </w:rPr>
            </w:pPr>
          </w:p>
        </w:tc>
        <w:tc>
          <w:tcPr>
            <w:tcW w:w="1004" w:type="dxa"/>
            <w:tcBorders>
              <w:bottom w:val="single" w:sz="18" w:space="0" w:color="000000"/>
            </w:tcBorders>
          </w:tcPr>
          <w:p>
            <w:pPr>
              <w:pStyle w:val="TableParagraph"/>
              <w:rPr>
                <w:rFonts w:ascii="Times New Roman"/>
                <w:sz w:val="14"/>
              </w:rPr>
            </w:pPr>
          </w:p>
        </w:tc>
      </w:tr>
      <w:tr>
        <w:trPr>
          <w:trHeight w:val="296" w:hRule="atLeast"/>
        </w:trPr>
        <w:tc>
          <w:tcPr>
            <w:tcW w:w="14801" w:type="dxa"/>
            <w:gridSpan w:val="12"/>
            <w:tcBorders>
              <w:top w:val="single" w:sz="18" w:space="0" w:color="000000"/>
            </w:tcBorders>
          </w:tcPr>
          <w:p>
            <w:pPr>
              <w:pStyle w:val="TableParagraph"/>
              <w:tabs>
                <w:tab w:pos="9609" w:val="left" w:leader="none"/>
                <w:tab w:pos="10494" w:val="left" w:leader="none"/>
                <w:tab w:pos="13100" w:val="left" w:leader="none"/>
                <w:tab w:pos="14008" w:val="left" w:leader="none"/>
              </w:tabs>
              <w:spacing w:before="98"/>
              <w:ind w:left="733"/>
              <w:rPr>
                <w:b/>
                <w:sz w:val="14"/>
              </w:rPr>
            </w:pPr>
            <w:r>
              <w:rPr>
                <w:b/>
                <w:sz w:val="14"/>
              </w:rPr>
              <w:t>GRAND</w:t>
            </w:r>
            <w:r>
              <w:rPr>
                <w:b/>
                <w:spacing w:val="8"/>
                <w:sz w:val="14"/>
              </w:rPr>
              <w:t> </w:t>
            </w:r>
            <w:r>
              <w:rPr>
                <w:b/>
                <w:sz w:val="14"/>
              </w:rPr>
              <w:t>TOTAL</w:t>
              <w:tab/>
              <w:t>1,813,625</w:t>
              <w:tab/>
            </w:r>
            <w:r>
              <w:rPr>
                <w:b/>
                <w:spacing w:val="4"/>
                <w:sz w:val="14"/>
              </w:rPr>
              <w:t>1,060,031   </w:t>
            </w:r>
            <w:r>
              <w:rPr>
                <w:b/>
                <w:spacing w:val="26"/>
                <w:sz w:val="14"/>
              </w:rPr>
              <w:t> </w:t>
            </w:r>
            <w:r>
              <w:rPr>
                <w:b/>
                <w:spacing w:val="4"/>
                <w:sz w:val="14"/>
              </w:rPr>
              <w:t>1,851,307   </w:t>
            </w:r>
            <w:r>
              <w:rPr>
                <w:b/>
                <w:spacing w:val="13"/>
                <w:sz w:val="14"/>
              </w:rPr>
              <w:t> </w:t>
            </w:r>
            <w:r>
              <w:rPr>
                <w:b/>
                <w:spacing w:val="4"/>
                <w:sz w:val="14"/>
              </w:rPr>
              <w:t>1,326,060</w:t>
              <w:tab/>
              <w:t>2,059,000</w:t>
              <w:tab/>
              <w:t>1,660,000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95"/>
              <w:rPr>
                <w:b/>
                <w:sz w:val="14"/>
              </w:rPr>
            </w:pPr>
            <w:r>
              <w:rPr>
                <w:b/>
                <w:sz w:val="14"/>
              </w:rPr>
              <w:t>Cluster One: Human Capital Development</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spacing w:before="32"/>
              <w:ind w:left="160"/>
              <w:rPr>
                <w:b/>
                <w:sz w:val="14"/>
              </w:rPr>
            </w:pPr>
            <w:r>
              <w:rPr>
                <w:b/>
                <w:sz w:val="14"/>
              </w:rPr>
              <w:t>650,730</w:t>
            </w:r>
          </w:p>
        </w:tc>
        <w:tc>
          <w:tcPr>
            <w:tcW w:w="898" w:type="dxa"/>
          </w:tcPr>
          <w:p>
            <w:pPr>
              <w:pStyle w:val="TableParagraph"/>
              <w:spacing w:before="32"/>
              <w:ind w:left="150"/>
              <w:rPr>
                <w:b/>
                <w:sz w:val="14"/>
              </w:rPr>
            </w:pPr>
            <w:r>
              <w:rPr>
                <w:b/>
                <w:sz w:val="14"/>
              </w:rPr>
              <w:t>373,511</w:t>
            </w:r>
          </w:p>
        </w:tc>
        <w:tc>
          <w:tcPr>
            <w:tcW w:w="847" w:type="dxa"/>
          </w:tcPr>
          <w:p>
            <w:pPr>
              <w:pStyle w:val="TableParagraph"/>
              <w:spacing w:before="32"/>
              <w:ind w:right="183"/>
              <w:jc w:val="right"/>
              <w:rPr>
                <w:b/>
                <w:sz w:val="14"/>
              </w:rPr>
            </w:pPr>
            <w:r>
              <w:rPr>
                <w:b/>
                <w:sz w:val="14"/>
              </w:rPr>
              <w:t>957,520</w:t>
            </w:r>
          </w:p>
        </w:tc>
        <w:tc>
          <w:tcPr>
            <w:tcW w:w="875" w:type="dxa"/>
          </w:tcPr>
          <w:p>
            <w:pPr>
              <w:pStyle w:val="TableParagraph"/>
              <w:spacing w:before="32"/>
              <w:ind w:left="114"/>
              <w:rPr>
                <w:b/>
                <w:sz w:val="14"/>
              </w:rPr>
            </w:pPr>
            <w:r>
              <w:rPr>
                <w:b/>
                <w:sz w:val="14"/>
              </w:rPr>
              <w:t>414,218</w:t>
            </w:r>
          </w:p>
        </w:tc>
        <w:tc>
          <w:tcPr>
            <w:tcW w:w="711" w:type="dxa"/>
          </w:tcPr>
          <w:p>
            <w:pPr>
              <w:pStyle w:val="TableParagraph"/>
              <w:spacing w:before="32"/>
              <w:ind w:right="29"/>
              <w:jc w:val="right"/>
              <w:rPr>
                <w:b/>
                <w:sz w:val="14"/>
              </w:rPr>
            </w:pPr>
            <w:r>
              <w:rPr>
                <w:b/>
                <w:sz w:val="14"/>
              </w:rPr>
              <w:t>1,251,019</w:t>
            </w:r>
          </w:p>
        </w:tc>
        <w:tc>
          <w:tcPr>
            <w:tcW w:w="1004" w:type="dxa"/>
          </w:tcPr>
          <w:p>
            <w:pPr>
              <w:pStyle w:val="TableParagraph"/>
              <w:spacing w:before="32"/>
              <w:ind w:left="337"/>
              <w:rPr>
                <w:b/>
                <w:sz w:val="14"/>
              </w:rPr>
            </w:pPr>
            <w:r>
              <w:rPr>
                <w:b/>
                <w:sz w:val="14"/>
              </w:rPr>
              <w:t>440,222</w:t>
            </w:r>
          </w:p>
        </w:tc>
      </w:tr>
      <w:tr>
        <w:trPr>
          <w:trHeight w:val="230" w:hRule="atLeast"/>
        </w:trPr>
        <w:tc>
          <w:tcPr>
            <w:tcW w:w="470" w:type="dxa"/>
          </w:tcPr>
          <w:p>
            <w:pPr>
              <w:pStyle w:val="TableParagraph"/>
              <w:spacing w:before="32"/>
              <w:ind w:right="92"/>
              <w:jc w:val="right"/>
              <w:rPr>
                <w:sz w:val="14"/>
              </w:rPr>
            </w:pPr>
            <w:r>
              <w:rPr>
                <w:w w:val="95"/>
                <w:sz w:val="14"/>
              </w:rPr>
              <w:t>301</w:t>
            </w:r>
          </w:p>
        </w:tc>
        <w:tc>
          <w:tcPr>
            <w:tcW w:w="4801" w:type="dxa"/>
          </w:tcPr>
          <w:p>
            <w:pPr>
              <w:pStyle w:val="TableParagraph"/>
              <w:spacing w:before="32"/>
              <w:ind w:left="96"/>
              <w:rPr>
                <w:b/>
                <w:sz w:val="14"/>
              </w:rPr>
            </w:pPr>
            <w:r>
              <w:rPr>
                <w:b/>
                <w:sz w:val="14"/>
              </w:rPr>
              <w:t>Ministry of Basic and Secondary Education (MoBSE)</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spacing w:before="32"/>
              <w:ind w:right="195"/>
              <w:jc w:val="right"/>
              <w:rPr>
                <w:b/>
                <w:sz w:val="14"/>
              </w:rPr>
            </w:pPr>
            <w:r>
              <w:rPr>
                <w:b/>
                <w:w w:val="95"/>
                <w:sz w:val="14"/>
              </w:rPr>
              <w:t>91,250</w:t>
            </w:r>
          </w:p>
        </w:tc>
        <w:tc>
          <w:tcPr>
            <w:tcW w:w="898" w:type="dxa"/>
          </w:tcPr>
          <w:p>
            <w:pPr>
              <w:pStyle w:val="TableParagraph"/>
              <w:spacing w:before="32"/>
              <w:ind w:left="150"/>
              <w:rPr>
                <w:b/>
                <w:sz w:val="14"/>
              </w:rPr>
            </w:pPr>
            <w:r>
              <w:rPr>
                <w:b/>
                <w:sz w:val="14"/>
              </w:rPr>
              <w:t>292,700</w:t>
            </w:r>
          </w:p>
        </w:tc>
        <w:tc>
          <w:tcPr>
            <w:tcW w:w="847" w:type="dxa"/>
          </w:tcPr>
          <w:p>
            <w:pPr>
              <w:pStyle w:val="TableParagraph"/>
              <w:spacing w:before="32"/>
              <w:ind w:right="183"/>
              <w:jc w:val="right"/>
              <w:rPr>
                <w:b/>
                <w:sz w:val="14"/>
              </w:rPr>
            </w:pPr>
            <w:r>
              <w:rPr>
                <w:b/>
                <w:sz w:val="14"/>
              </w:rPr>
              <w:t>299,381</w:t>
            </w:r>
          </w:p>
        </w:tc>
        <w:tc>
          <w:tcPr>
            <w:tcW w:w="875" w:type="dxa"/>
          </w:tcPr>
          <w:p>
            <w:pPr>
              <w:pStyle w:val="TableParagraph"/>
              <w:spacing w:before="32"/>
              <w:ind w:left="114"/>
              <w:rPr>
                <w:b/>
                <w:sz w:val="14"/>
              </w:rPr>
            </w:pPr>
            <w:r>
              <w:rPr>
                <w:b/>
                <w:sz w:val="14"/>
              </w:rPr>
              <w:t>301,085</w:t>
            </w:r>
          </w:p>
        </w:tc>
        <w:tc>
          <w:tcPr>
            <w:tcW w:w="711" w:type="dxa"/>
          </w:tcPr>
          <w:p>
            <w:pPr>
              <w:pStyle w:val="TableParagraph"/>
              <w:spacing w:before="32"/>
              <w:ind w:right="16"/>
              <w:jc w:val="right"/>
              <w:rPr>
                <w:b/>
                <w:sz w:val="14"/>
              </w:rPr>
            </w:pPr>
            <w:r>
              <w:rPr>
                <w:b/>
                <w:w w:val="95"/>
                <w:sz w:val="14"/>
              </w:rPr>
              <w:t>394,550</w:t>
            </w:r>
          </w:p>
        </w:tc>
        <w:tc>
          <w:tcPr>
            <w:tcW w:w="1004" w:type="dxa"/>
          </w:tcPr>
          <w:p>
            <w:pPr>
              <w:pStyle w:val="TableParagraph"/>
              <w:spacing w:before="32"/>
              <w:ind w:left="-16" w:right="56"/>
              <w:jc w:val="right"/>
              <w:rPr>
                <w:b/>
                <w:sz w:val="14"/>
              </w:rPr>
            </w:pPr>
            <w:r>
              <w:rPr>
                <w:b/>
                <w:w w:val="95"/>
                <w:sz w:val="14"/>
              </w:rPr>
              <w:t>312,730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Free Quality School Education Programme</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Grant/ Budget</w:t>
            </w:r>
          </w:p>
        </w:tc>
        <w:tc>
          <w:tcPr>
            <w:tcW w:w="901" w:type="dxa"/>
          </w:tcPr>
          <w:p>
            <w:pPr>
              <w:pStyle w:val="TableParagraph"/>
              <w:spacing w:before="32"/>
              <w:ind w:right="153"/>
              <w:jc w:val="right"/>
              <w:rPr>
                <w:sz w:val="14"/>
              </w:rPr>
            </w:pPr>
            <w:r>
              <w:rPr>
                <w:w w:val="99"/>
                <w:sz w:val="14"/>
              </w:rPr>
              <w:t>-</w:t>
            </w:r>
          </w:p>
        </w:tc>
        <w:tc>
          <w:tcPr>
            <w:tcW w:w="898" w:type="dxa"/>
          </w:tcPr>
          <w:p>
            <w:pPr>
              <w:pStyle w:val="TableParagraph"/>
              <w:spacing w:before="32"/>
              <w:ind w:left="182"/>
              <w:rPr>
                <w:sz w:val="14"/>
              </w:rPr>
            </w:pPr>
            <w:r>
              <w:rPr>
                <w:sz w:val="14"/>
              </w:rPr>
              <w:t>267,700</w:t>
            </w:r>
          </w:p>
        </w:tc>
        <w:tc>
          <w:tcPr>
            <w:tcW w:w="847" w:type="dxa"/>
          </w:tcPr>
          <w:p>
            <w:pPr>
              <w:pStyle w:val="TableParagraph"/>
              <w:spacing w:before="32"/>
              <w:ind w:right="141"/>
              <w:jc w:val="right"/>
              <w:rPr>
                <w:sz w:val="14"/>
              </w:rPr>
            </w:pPr>
            <w:r>
              <w:rPr>
                <w:w w:val="99"/>
                <w:sz w:val="14"/>
              </w:rPr>
              <w:t>-</w:t>
            </w:r>
          </w:p>
        </w:tc>
        <w:tc>
          <w:tcPr>
            <w:tcW w:w="875" w:type="dxa"/>
          </w:tcPr>
          <w:p>
            <w:pPr>
              <w:pStyle w:val="TableParagraph"/>
              <w:spacing w:before="32"/>
              <w:ind w:left="160"/>
              <w:rPr>
                <w:sz w:val="14"/>
              </w:rPr>
            </w:pPr>
            <w:r>
              <w:rPr>
                <w:sz w:val="14"/>
              </w:rPr>
              <w:t>269,200</w:t>
            </w:r>
          </w:p>
        </w:tc>
        <w:tc>
          <w:tcPr>
            <w:tcW w:w="711" w:type="dxa"/>
          </w:tcPr>
          <w:p>
            <w:pPr>
              <w:pStyle w:val="TableParagraph"/>
              <w:rPr>
                <w:rFonts w:ascii="Times New Roman"/>
                <w:sz w:val="14"/>
              </w:rPr>
            </w:pPr>
          </w:p>
        </w:tc>
        <w:tc>
          <w:tcPr>
            <w:tcW w:w="1004" w:type="dxa"/>
          </w:tcPr>
          <w:p>
            <w:pPr>
              <w:pStyle w:val="TableParagraph"/>
              <w:tabs>
                <w:tab w:pos="422" w:val="left" w:leader="none"/>
              </w:tabs>
              <w:spacing w:before="32"/>
              <w:ind w:left="-16" w:right="33"/>
              <w:jc w:val="right"/>
              <w:rPr>
                <w:sz w:val="14"/>
              </w:rPr>
            </w:pPr>
            <w:r>
              <w:rPr>
                <w:sz w:val="14"/>
              </w:rPr>
              <w:t>-</w:t>
              <w:tab/>
            </w:r>
            <w:r>
              <w:rPr>
                <w:spacing w:val="2"/>
                <w:sz w:val="14"/>
              </w:rPr>
              <w:t>278,135</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431"/>
              <w:rPr>
                <w:sz w:val="14"/>
              </w:rPr>
            </w:pPr>
            <w:r>
              <w:rPr>
                <w:sz w:val="14"/>
              </w:rPr>
              <w:t>o/ w Teaching and Learning Materials</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Grant/ Budget</w:t>
            </w:r>
          </w:p>
        </w:tc>
        <w:tc>
          <w:tcPr>
            <w:tcW w:w="901" w:type="dxa"/>
          </w:tcPr>
          <w:p>
            <w:pPr>
              <w:pStyle w:val="TableParagraph"/>
              <w:rPr>
                <w:rFonts w:ascii="Times New Roman"/>
                <w:sz w:val="14"/>
              </w:rPr>
            </w:pPr>
          </w:p>
        </w:tc>
        <w:tc>
          <w:tcPr>
            <w:tcW w:w="898" w:type="dxa"/>
          </w:tcPr>
          <w:p>
            <w:pPr>
              <w:pStyle w:val="TableParagraph"/>
              <w:spacing w:before="32"/>
              <w:ind w:left="273"/>
              <w:rPr>
                <w:sz w:val="14"/>
              </w:rPr>
            </w:pPr>
            <w:r>
              <w:rPr>
                <w:sz w:val="14"/>
              </w:rPr>
              <w:t>15,000</w:t>
            </w:r>
          </w:p>
        </w:tc>
        <w:tc>
          <w:tcPr>
            <w:tcW w:w="847" w:type="dxa"/>
          </w:tcPr>
          <w:p>
            <w:pPr>
              <w:pStyle w:val="TableParagraph"/>
              <w:rPr>
                <w:rFonts w:ascii="Times New Roman"/>
                <w:sz w:val="14"/>
              </w:rPr>
            </w:pPr>
          </w:p>
        </w:tc>
        <w:tc>
          <w:tcPr>
            <w:tcW w:w="875" w:type="dxa"/>
          </w:tcPr>
          <w:p>
            <w:pPr>
              <w:pStyle w:val="TableParagraph"/>
              <w:spacing w:before="32"/>
              <w:ind w:left="266"/>
              <w:rPr>
                <w:sz w:val="14"/>
              </w:rPr>
            </w:pPr>
            <w:r>
              <w:rPr>
                <w:sz w:val="14"/>
              </w:rPr>
              <w:t>16,500</w:t>
            </w:r>
          </w:p>
        </w:tc>
        <w:tc>
          <w:tcPr>
            <w:tcW w:w="711" w:type="dxa"/>
          </w:tcPr>
          <w:p>
            <w:pPr>
              <w:pStyle w:val="TableParagraph"/>
              <w:rPr>
                <w:rFonts w:ascii="Times New Roman"/>
                <w:sz w:val="14"/>
              </w:rPr>
            </w:pPr>
          </w:p>
        </w:tc>
        <w:tc>
          <w:tcPr>
            <w:tcW w:w="1004" w:type="dxa"/>
          </w:tcPr>
          <w:p>
            <w:pPr>
              <w:pStyle w:val="TableParagraph"/>
              <w:spacing w:before="32"/>
              <w:ind w:left="-16" w:right="28"/>
              <w:jc w:val="right"/>
              <w:rPr>
                <w:sz w:val="14"/>
              </w:rPr>
            </w:pPr>
            <w:r>
              <w:rPr>
                <w:w w:val="95"/>
                <w:sz w:val="14"/>
              </w:rPr>
              <w:t>10,000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School Fee Subsidies</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Grant/ Budget</w:t>
            </w:r>
          </w:p>
        </w:tc>
        <w:tc>
          <w:tcPr>
            <w:tcW w:w="901" w:type="dxa"/>
          </w:tcPr>
          <w:p>
            <w:pPr>
              <w:pStyle w:val="TableParagraph"/>
              <w:spacing w:before="32"/>
              <w:ind w:right="153"/>
              <w:jc w:val="right"/>
              <w:rPr>
                <w:sz w:val="14"/>
              </w:rPr>
            </w:pPr>
            <w:r>
              <w:rPr>
                <w:w w:val="99"/>
                <w:sz w:val="14"/>
              </w:rPr>
              <w:t>-</w:t>
            </w:r>
          </w:p>
        </w:tc>
        <w:tc>
          <w:tcPr>
            <w:tcW w:w="898" w:type="dxa"/>
          </w:tcPr>
          <w:p>
            <w:pPr>
              <w:pStyle w:val="TableParagraph"/>
              <w:spacing w:before="32"/>
              <w:ind w:left="182"/>
              <w:rPr>
                <w:sz w:val="14"/>
              </w:rPr>
            </w:pPr>
            <w:r>
              <w:rPr>
                <w:sz w:val="14"/>
              </w:rPr>
              <w:t>154,350</w:t>
            </w:r>
          </w:p>
        </w:tc>
        <w:tc>
          <w:tcPr>
            <w:tcW w:w="847" w:type="dxa"/>
          </w:tcPr>
          <w:p>
            <w:pPr>
              <w:pStyle w:val="TableParagraph"/>
              <w:rPr>
                <w:rFonts w:ascii="Times New Roman"/>
                <w:sz w:val="14"/>
              </w:rPr>
            </w:pPr>
          </w:p>
        </w:tc>
        <w:tc>
          <w:tcPr>
            <w:tcW w:w="875" w:type="dxa"/>
          </w:tcPr>
          <w:p>
            <w:pPr>
              <w:pStyle w:val="TableParagraph"/>
              <w:spacing w:before="32"/>
              <w:ind w:left="160"/>
              <w:rPr>
                <w:sz w:val="14"/>
              </w:rPr>
            </w:pPr>
            <w:r>
              <w:rPr>
                <w:sz w:val="14"/>
              </w:rPr>
              <w:t>154,350</w:t>
            </w:r>
          </w:p>
        </w:tc>
        <w:tc>
          <w:tcPr>
            <w:tcW w:w="711" w:type="dxa"/>
          </w:tcPr>
          <w:p>
            <w:pPr>
              <w:pStyle w:val="TableParagraph"/>
              <w:rPr>
                <w:rFonts w:ascii="Times New Roman"/>
                <w:sz w:val="14"/>
              </w:rPr>
            </w:pPr>
          </w:p>
        </w:tc>
        <w:tc>
          <w:tcPr>
            <w:tcW w:w="1004" w:type="dxa"/>
          </w:tcPr>
          <w:p>
            <w:pPr>
              <w:pStyle w:val="TableParagraph"/>
              <w:spacing w:before="32"/>
              <w:ind w:left="-16" w:right="33"/>
              <w:jc w:val="right"/>
              <w:rPr>
                <w:sz w:val="14"/>
              </w:rPr>
            </w:pPr>
            <w:r>
              <w:rPr>
                <w:sz w:val="14"/>
              </w:rPr>
              <w:t>169,785</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School Feeding Programme</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Grant/ Budget</w:t>
            </w:r>
          </w:p>
        </w:tc>
        <w:tc>
          <w:tcPr>
            <w:tcW w:w="901" w:type="dxa"/>
          </w:tcPr>
          <w:p>
            <w:pPr>
              <w:pStyle w:val="TableParagraph"/>
              <w:rPr>
                <w:rFonts w:ascii="Times New Roman"/>
                <w:sz w:val="14"/>
              </w:rPr>
            </w:pPr>
          </w:p>
        </w:tc>
        <w:tc>
          <w:tcPr>
            <w:tcW w:w="898" w:type="dxa"/>
          </w:tcPr>
          <w:p>
            <w:pPr>
              <w:pStyle w:val="TableParagraph"/>
              <w:spacing w:before="32"/>
              <w:ind w:left="273"/>
              <w:rPr>
                <w:sz w:val="14"/>
              </w:rPr>
            </w:pPr>
            <w:r>
              <w:rPr>
                <w:sz w:val="14"/>
              </w:rPr>
              <w:t>70,000</w:t>
            </w:r>
          </w:p>
        </w:tc>
        <w:tc>
          <w:tcPr>
            <w:tcW w:w="847" w:type="dxa"/>
          </w:tcPr>
          <w:p>
            <w:pPr>
              <w:pStyle w:val="TableParagraph"/>
              <w:rPr>
                <w:rFonts w:ascii="Times New Roman"/>
                <w:sz w:val="14"/>
              </w:rPr>
            </w:pPr>
          </w:p>
        </w:tc>
        <w:tc>
          <w:tcPr>
            <w:tcW w:w="875" w:type="dxa"/>
          </w:tcPr>
          <w:p>
            <w:pPr>
              <w:pStyle w:val="TableParagraph"/>
              <w:spacing w:before="32"/>
              <w:ind w:left="266"/>
              <w:rPr>
                <w:sz w:val="14"/>
              </w:rPr>
            </w:pPr>
            <w:r>
              <w:rPr>
                <w:sz w:val="14"/>
              </w:rPr>
              <w:t>70,000</w:t>
            </w:r>
          </w:p>
        </w:tc>
        <w:tc>
          <w:tcPr>
            <w:tcW w:w="711" w:type="dxa"/>
          </w:tcPr>
          <w:p>
            <w:pPr>
              <w:pStyle w:val="TableParagraph"/>
              <w:rPr>
                <w:rFonts w:ascii="Times New Roman"/>
                <w:sz w:val="14"/>
              </w:rPr>
            </w:pPr>
          </w:p>
        </w:tc>
        <w:tc>
          <w:tcPr>
            <w:tcW w:w="1004" w:type="dxa"/>
          </w:tcPr>
          <w:p>
            <w:pPr>
              <w:pStyle w:val="TableParagraph"/>
              <w:spacing w:before="32"/>
              <w:ind w:left="-16" w:right="28"/>
              <w:jc w:val="right"/>
              <w:rPr>
                <w:sz w:val="14"/>
              </w:rPr>
            </w:pPr>
            <w:r>
              <w:rPr>
                <w:w w:val="95"/>
                <w:sz w:val="14"/>
              </w:rPr>
              <w:t>70,000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Examination Fees for WASSCE</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spacing w:before="32"/>
              <w:ind w:right="153"/>
              <w:jc w:val="right"/>
              <w:rPr>
                <w:sz w:val="14"/>
              </w:rPr>
            </w:pPr>
            <w:r>
              <w:rPr>
                <w:w w:val="99"/>
                <w:sz w:val="14"/>
              </w:rPr>
              <w:t>-</w:t>
            </w:r>
          </w:p>
        </w:tc>
        <w:tc>
          <w:tcPr>
            <w:tcW w:w="898" w:type="dxa"/>
          </w:tcPr>
          <w:p>
            <w:pPr>
              <w:pStyle w:val="TableParagraph"/>
              <w:spacing w:before="32"/>
              <w:ind w:left="273"/>
              <w:rPr>
                <w:sz w:val="14"/>
              </w:rPr>
            </w:pPr>
            <w:r>
              <w:rPr>
                <w:sz w:val="14"/>
              </w:rPr>
              <w:t>28,350</w:t>
            </w:r>
          </w:p>
        </w:tc>
        <w:tc>
          <w:tcPr>
            <w:tcW w:w="847" w:type="dxa"/>
          </w:tcPr>
          <w:p>
            <w:pPr>
              <w:pStyle w:val="TableParagraph"/>
              <w:rPr>
                <w:rFonts w:ascii="Times New Roman"/>
                <w:sz w:val="14"/>
              </w:rPr>
            </w:pPr>
          </w:p>
        </w:tc>
        <w:tc>
          <w:tcPr>
            <w:tcW w:w="875" w:type="dxa"/>
          </w:tcPr>
          <w:p>
            <w:pPr>
              <w:pStyle w:val="TableParagraph"/>
              <w:spacing w:before="32"/>
              <w:ind w:left="266"/>
              <w:rPr>
                <w:sz w:val="14"/>
              </w:rPr>
            </w:pPr>
            <w:r>
              <w:rPr>
                <w:sz w:val="14"/>
              </w:rPr>
              <w:t>28,350</w:t>
            </w:r>
          </w:p>
        </w:tc>
        <w:tc>
          <w:tcPr>
            <w:tcW w:w="711" w:type="dxa"/>
          </w:tcPr>
          <w:p>
            <w:pPr>
              <w:pStyle w:val="TableParagraph"/>
              <w:rPr>
                <w:rFonts w:ascii="Times New Roman"/>
                <w:sz w:val="14"/>
              </w:rPr>
            </w:pPr>
          </w:p>
        </w:tc>
        <w:tc>
          <w:tcPr>
            <w:tcW w:w="1004" w:type="dxa"/>
          </w:tcPr>
          <w:p>
            <w:pPr>
              <w:pStyle w:val="TableParagraph"/>
              <w:spacing w:before="32"/>
              <w:ind w:left="-16" w:right="28"/>
              <w:jc w:val="right"/>
              <w:rPr>
                <w:sz w:val="14"/>
              </w:rPr>
            </w:pPr>
            <w:r>
              <w:rPr>
                <w:w w:val="95"/>
                <w:sz w:val="14"/>
              </w:rPr>
              <w:t>28,350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Rehabilitation/ Refurbishment of Schools</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spacing w:before="32"/>
              <w:ind w:right="153"/>
              <w:jc w:val="right"/>
              <w:rPr>
                <w:sz w:val="14"/>
              </w:rPr>
            </w:pPr>
            <w:r>
              <w:rPr>
                <w:w w:val="99"/>
                <w:sz w:val="14"/>
              </w:rPr>
              <w:t>-</w:t>
            </w:r>
          </w:p>
        </w:tc>
        <w:tc>
          <w:tcPr>
            <w:tcW w:w="898" w:type="dxa"/>
          </w:tcPr>
          <w:p>
            <w:pPr>
              <w:pStyle w:val="TableParagraph"/>
              <w:spacing w:before="32"/>
              <w:ind w:left="365"/>
              <w:rPr>
                <w:sz w:val="14"/>
              </w:rPr>
            </w:pPr>
            <w:r>
              <w:rPr>
                <w:sz w:val="14"/>
              </w:rPr>
              <w:t>3,000</w:t>
            </w:r>
          </w:p>
        </w:tc>
        <w:tc>
          <w:tcPr>
            <w:tcW w:w="847" w:type="dxa"/>
          </w:tcPr>
          <w:p>
            <w:pPr>
              <w:pStyle w:val="TableParagraph"/>
              <w:rPr>
                <w:rFonts w:ascii="Times New Roman"/>
                <w:sz w:val="14"/>
              </w:rPr>
            </w:pPr>
          </w:p>
        </w:tc>
        <w:tc>
          <w:tcPr>
            <w:tcW w:w="875" w:type="dxa"/>
          </w:tcPr>
          <w:p>
            <w:pPr>
              <w:pStyle w:val="TableParagraph"/>
              <w:spacing w:before="32"/>
              <w:ind w:left="358"/>
              <w:rPr>
                <w:sz w:val="14"/>
              </w:rPr>
            </w:pPr>
            <w:r>
              <w:rPr>
                <w:sz w:val="14"/>
              </w:rPr>
              <w:t>4,500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4,950</w:t>
            </w:r>
          </w:p>
        </w:tc>
      </w:tr>
      <w:tr>
        <w:trPr>
          <w:trHeight w:val="228"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Enhancement of Capacity of MOBSE for Monitoring and</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r>
        <w:trPr>
          <w:trHeight w:val="227" w:hRule="atLeast"/>
        </w:trPr>
        <w:tc>
          <w:tcPr>
            <w:tcW w:w="470" w:type="dxa"/>
          </w:tcPr>
          <w:p>
            <w:pPr>
              <w:pStyle w:val="TableParagraph"/>
              <w:rPr>
                <w:rFonts w:ascii="Times New Roman"/>
                <w:sz w:val="14"/>
              </w:rPr>
            </w:pPr>
          </w:p>
        </w:tc>
        <w:tc>
          <w:tcPr>
            <w:tcW w:w="4801" w:type="dxa"/>
          </w:tcPr>
          <w:p>
            <w:pPr>
              <w:pStyle w:val="TableParagraph"/>
              <w:spacing w:before="29"/>
              <w:ind w:left="263"/>
              <w:rPr>
                <w:sz w:val="14"/>
              </w:rPr>
            </w:pPr>
            <w:r>
              <w:rPr>
                <w:sz w:val="14"/>
              </w:rPr>
              <w:t>Supervision of Schools</w:t>
            </w:r>
          </w:p>
        </w:tc>
        <w:tc>
          <w:tcPr>
            <w:tcW w:w="817" w:type="dxa"/>
          </w:tcPr>
          <w:p>
            <w:pPr>
              <w:pStyle w:val="TableParagraph"/>
              <w:spacing w:before="29"/>
              <w:ind w:left="166"/>
              <w:rPr>
                <w:sz w:val="14"/>
              </w:rPr>
            </w:pPr>
            <w:r>
              <w:rPr>
                <w:sz w:val="14"/>
              </w:rPr>
              <w:t>Ongoing</w:t>
            </w:r>
          </w:p>
        </w:tc>
        <w:tc>
          <w:tcPr>
            <w:tcW w:w="1075" w:type="dxa"/>
          </w:tcPr>
          <w:p>
            <w:pPr>
              <w:pStyle w:val="TableParagraph"/>
              <w:spacing w:before="29"/>
              <w:ind w:left="88"/>
              <w:rPr>
                <w:sz w:val="14"/>
              </w:rPr>
            </w:pPr>
            <w:r>
              <w:rPr>
                <w:sz w:val="14"/>
              </w:rPr>
              <w:t>Nationwide</w:t>
            </w:r>
          </w:p>
        </w:tc>
        <w:tc>
          <w:tcPr>
            <w:tcW w:w="1191" w:type="dxa"/>
          </w:tcPr>
          <w:p>
            <w:pPr>
              <w:pStyle w:val="TableParagraph"/>
              <w:spacing w:before="29"/>
              <w:ind w:left="146"/>
              <w:rPr>
                <w:sz w:val="14"/>
              </w:rPr>
            </w:pPr>
            <w:r>
              <w:rPr>
                <w:sz w:val="14"/>
              </w:rPr>
              <w:t>GoSL</w:t>
            </w:r>
          </w:p>
        </w:tc>
        <w:tc>
          <w:tcPr>
            <w:tcW w:w="1211" w:type="dxa"/>
          </w:tcPr>
          <w:p>
            <w:pPr>
              <w:pStyle w:val="TableParagraph"/>
              <w:spacing w:before="29"/>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29"/>
              <w:ind w:left="365"/>
              <w:rPr>
                <w:sz w:val="14"/>
              </w:rPr>
            </w:pPr>
            <w:r>
              <w:rPr>
                <w:sz w:val="14"/>
              </w:rPr>
              <w:t>7,000</w:t>
            </w:r>
          </w:p>
        </w:tc>
        <w:tc>
          <w:tcPr>
            <w:tcW w:w="847" w:type="dxa"/>
          </w:tcPr>
          <w:p>
            <w:pPr>
              <w:pStyle w:val="TableParagraph"/>
              <w:rPr>
                <w:rFonts w:ascii="Times New Roman"/>
                <w:sz w:val="14"/>
              </w:rPr>
            </w:pPr>
          </w:p>
        </w:tc>
        <w:tc>
          <w:tcPr>
            <w:tcW w:w="875" w:type="dxa"/>
          </w:tcPr>
          <w:p>
            <w:pPr>
              <w:pStyle w:val="TableParagraph"/>
              <w:spacing w:before="29"/>
              <w:ind w:left="358"/>
              <w:rPr>
                <w:sz w:val="14"/>
              </w:rPr>
            </w:pPr>
            <w:r>
              <w:rPr>
                <w:sz w:val="14"/>
              </w:rPr>
              <w:t>7,000</w:t>
            </w:r>
          </w:p>
        </w:tc>
        <w:tc>
          <w:tcPr>
            <w:tcW w:w="711" w:type="dxa"/>
          </w:tcPr>
          <w:p>
            <w:pPr>
              <w:pStyle w:val="TableParagraph"/>
              <w:rPr>
                <w:rFonts w:ascii="Times New Roman"/>
                <w:sz w:val="14"/>
              </w:rPr>
            </w:pPr>
          </w:p>
        </w:tc>
        <w:tc>
          <w:tcPr>
            <w:tcW w:w="1004" w:type="dxa"/>
          </w:tcPr>
          <w:p>
            <w:pPr>
              <w:pStyle w:val="TableParagraph"/>
              <w:spacing w:before="29"/>
              <w:ind w:left="-16" w:right="22"/>
              <w:jc w:val="right"/>
              <w:rPr>
                <w:sz w:val="14"/>
              </w:rPr>
            </w:pPr>
            <w:r>
              <w:rPr>
                <w:sz w:val="14"/>
              </w:rPr>
              <w:t>7,700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Establishment/ Strengthening of Laboratories in Secondary Schools</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365"/>
              <w:rPr>
                <w:sz w:val="14"/>
              </w:rPr>
            </w:pPr>
            <w:r>
              <w:rPr>
                <w:sz w:val="14"/>
              </w:rPr>
              <w:t>2,000</w:t>
            </w:r>
          </w:p>
        </w:tc>
        <w:tc>
          <w:tcPr>
            <w:tcW w:w="847" w:type="dxa"/>
          </w:tcPr>
          <w:p>
            <w:pPr>
              <w:pStyle w:val="TableParagraph"/>
              <w:rPr>
                <w:rFonts w:ascii="Times New Roman"/>
                <w:sz w:val="14"/>
              </w:rPr>
            </w:pPr>
          </w:p>
        </w:tc>
        <w:tc>
          <w:tcPr>
            <w:tcW w:w="875" w:type="dxa"/>
          </w:tcPr>
          <w:p>
            <w:pPr>
              <w:pStyle w:val="TableParagraph"/>
              <w:spacing w:before="32"/>
              <w:ind w:left="358"/>
              <w:rPr>
                <w:sz w:val="14"/>
              </w:rPr>
            </w:pPr>
            <w:r>
              <w:rPr>
                <w:sz w:val="14"/>
              </w:rPr>
              <w:t>3,000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3,300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Providing Disability Friendly Environment in Schools</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365"/>
              <w:rPr>
                <w:sz w:val="14"/>
              </w:rPr>
            </w:pPr>
            <w:r>
              <w:rPr>
                <w:sz w:val="14"/>
              </w:rPr>
              <w:t>1,000</w:t>
            </w:r>
          </w:p>
        </w:tc>
        <w:tc>
          <w:tcPr>
            <w:tcW w:w="847" w:type="dxa"/>
          </w:tcPr>
          <w:p>
            <w:pPr>
              <w:pStyle w:val="TableParagraph"/>
              <w:rPr>
                <w:rFonts w:ascii="Times New Roman"/>
                <w:sz w:val="14"/>
              </w:rPr>
            </w:pPr>
          </w:p>
        </w:tc>
        <w:tc>
          <w:tcPr>
            <w:tcW w:w="875" w:type="dxa"/>
          </w:tcPr>
          <w:p>
            <w:pPr>
              <w:pStyle w:val="TableParagraph"/>
              <w:spacing w:before="32"/>
              <w:ind w:left="358"/>
              <w:rPr>
                <w:sz w:val="14"/>
              </w:rPr>
            </w:pPr>
            <w:r>
              <w:rPr>
                <w:sz w:val="14"/>
              </w:rPr>
              <w:t>1,500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1,650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Sierra Leone Secondary Education Improvement Project</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(Leh Wi Lan)</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DFID</w:t>
            </w:r>
          </w:p>
        </w:tc>
        <w:tc>
          <w:tcPr>
            <w:tcW w:w="1211" w:type="dxa"/>
          </w:tcPr>
          <w:p>
            <w:pPr>
              <w:pStyle w:val="TableParagraph"/>
              <w:spacing w:before="32"/>
              <w:ind w:left="203"/>
              <w:rPr>
                <w:sz w:val="14"/>
              </w:rPr>
            </w:pPr>
            <w:r>
              <w:rPr>
                <w:sz w:val="14"/>
              </w:rPr>
              <w:t>Grant/ Budget</w:t>
            </w:r>
          </w:p>
        </w:tc>
        <w:tc>
          <w:tcPr>
            <w:tcW w:w="901" w:type="dxa"/>
          </w:tcPr>
          <w:p>
            <w:pPr>
              <w:pStyle w:val="TableParagraph"/>
              <w:spacing w:before="32"/>
              <w:ind w:right="157"/>
              <w:jc w:val="right"/>
              <w:rPr>
                <w:sz w:val="14"/>
              </w:rPr>
            </w:pPr>
            <w:r>
              <w:rPr>
                <w:w w:val="95"/>
                <w:sz w:val="14"/>
              </w:rPr>
              <w:t>17,500</w:t>
            </w:r>
          </w:p>
        </w:tc>
        <w:tc>
          <w:tcPr>
            <w:tcW w:w="898" w:type="dxa"/>
          </w:tcPr>
          <w:p>
            <w:pPr>
              <w:pStyle w:val="TableParagraph"/>
              <w:rPr>
                <w:rFonts w:ascii="Times New Roman"/>
                <w:sz w:val="14"/>
              </w:rPr>
            </w:pPr>
          </w:p>
        </w:tc>
        <w:tc>
          <w:tcPr>
            <w:tcW w:w="847" w:type="dxa"/>
          </w:tcPr>
          <w:p>
            <w:pPr>
              <w:pStyle w:val="TableParagraph"/>
              <w:spacing w:before="32"/>
              <w:ind w:right="155"/>
              <w:jc w:val="right"/>
              <w:rPr>
                <w:sz w:val="14"/>
              </w:rPr>
            </w:pPr>
            <w:r>
              <w:rPr>
                <w:sz w:val="14"/>
              </w:rPr>
              <w:t>5,831</w:t>
            </w:r>
          </w:p>
        </w:tc>
        <w:tc>
          <w:tcPr>
            <w:tcW w:w="875" w:type="dxa"/>
          </w:tcPr>
          <w:p>
            <w:pPr>
              <w:pStyle w:val="TableParagraph"/>
              <w:spacing w:before="32"/>
              <w:ind w:right="167"/>
              <w:jc w:val="right"/>
              <w:rPr>
                <w:sz w:val="14"/>
              </w:rPr>
            </w:pPr>
            <w:r>
              <w:rPr>
                <w:w w:val="99"/>
                <w:sz w:val="14"/>
              </w:rPr>
              <w:t>-</w:t>
            </w:r>
          </w:p>
        </w:tc>
        <w:tc>
          <w:tcPr>
            <w:tcW w:w="711" w:type="dxa"/>
          </w:tcPr>
          <w:p>
            <w:pPr>
              <w:pStyle w:val="TableParagraph"/>
              <w:spacing w:before="32"/>
              <w:ind w:right="-15"/>
              <w:jc w:val="right"/>
              <w:rPr>
                <w:sz w:val="14"/>
              </w:rPr>
            </w:pPr>
            <w:r>
              <w:rPr>
                <w:w w:val="95"/>
                <w:sz w:val="14"/>
              </w:rPr>
              <w:t>51,000</w:t>
            </w:r>
          </w:p>
        </w:tc>
        <w:tc>
          <w:tcPr>
            <w:tcW w:w="1004" w:type="dxa"/>
          </w:tcPr>
          <w:p>
            <w:pPr>
              <w:pStyle w:val="TableParagraph"/>
              <w:spacing w:before="32"/>
              <w:ind w:right="5"/>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Focused Resources on Equity and Excellence (FREE)</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IDA/ GoSL</w:t>
            </w:r>
          </w:p>
        </w:tc>
        <w:tc>
          <w:tcPr>
            <w:tcW w:w="1211" w:type="dxa"/>
          </w:tcPr>
          <w:p>
            <w:pPr>
              <w:pStyle w:val="TableParagraph"/>
              <w:spacing w:before="32"/>
              <w:ind w:left="203"/>
              <w:rPr>
                <w:sz w:val="14"/>
              </w:rPr>
            </w:pPr>
            <w:r>
              <w:rPr>
                <w:sz w:val="14"/>
              </w:rPr>
              <w:t>Grant/ Budget</w:t>
            </w:r>
          </w:p>
        </w:tc>
        <w:tc>
          <w:tcPr>
            <w:tcW w:w="901" w:type="dxa"/>
          </w:tcPr>
          <w:p>
            <w:pPr>
              <w:pStyle w:val="TableParagraph"/>
              <w:spacing w:before="32"/>
              <w:ind w:right="157"/>
              <w:jc w:val="right"/>
              <w:rPr>
                <w:sz w:val="14"/>
              </w:rPr>
            </w:pPr>
            <w:r>
              <w:rPr>
                <w:w w:val="95"/>
                <w:sz w:val="14"/>
              </w:rPr>
              <w:t>50,000</w:t>
            </w:r>
          </w:p>
        </w:tc>
        <w:tc>
          <w:tcPr>
            <w:tcW w:w="898" w:type="dxa"/>
          </w:tcPr>
          <w:p>
            <w:pPr>
              <w:pStyle w:val="TableParagraph"/>
              <w:spacing w:before="32"/>
              <w:ind w:left="365"/>
              <w:rPr>
                <w:sz w:val="14"/>
              </w:rPr>
            </w:pPr>
            <w:r>
              <w:rPr>
                <w:sz w:val="14"/>
              </w:rPr>
              <w:t>3,000</w:t>
            </w:r>
          </w:p>
        </w:tc>
        <w:tc>
          <w:tcPr>
            <w:tcW w:w="847" w:type="dxa"/>
          </w:tcPr>
          <w:p>
            <w:pPr>
              <w:pStyle w:val="TableParagraph"/>
              <w:spacing w:before="32"/>
              <w:ind w:right="160"/>
              <w:jc w:val="right"/>
              <w:rPr>
                <w:sz w:val="14"/>
              </w:rPr>
            </w:pPr>
            <w:r>
              <w:rPr>
                <w:w w:val="95"/>
                <w:sz w:val="14"/>
              </w:rPr>
              <w:t>150,000</w:t>
            </w:r>
          </w:p>
        </w:tc>
        <w:tc>
          <w:tcPr>
            <w:tcW w:w="875" w:type="dxa"/>
          </w:tcPr>
          <w:p>
            <w:pPr>
              <w:pStyle w:val="TableParagraph"/>
              <w:spacing w:before="32"/>
              <w:ind w:left="358"/>
              <w:rPr>
                <w:sz w:val="14"/>
              </w:rPr>
            </w:pPr>
            <w:r>
              <w:rPr>
                <w:sz w:val="14"/>
              </w:rPr>
              <w:t>4,500</w:t>
            </w:r>
          </w:p>
        </w:tc>
        <w:tc>
          <w:tcPr>
            <w:tcW w:w="711" w:type="dxa"/>
          </w:tcPr>
          <w:p>
            <w:pPr>
              <w:pStyle w:val="TableParagraph"/>
              <w:spacing w:before="32"/>
              <w:ind w:right="-15"/>
              <w:jc w:val="right"/>
              <w:rPr>
                <w:sz w:val="14"/>
              </w:rPr>
            </w:pPr>
            <w:r>
              <w:rPr>
                <w:sz w:val="14"/>
              </w:rPr>
              <w:t>200,000</w:t>
            </w:r>
          </w:p>
        </w:tc>
        <w:tc>
          <w:tcPr>
            <w:tcW w:w="1004" w:type="dxa"/>
          </w:tcPr>
          <w:p>
            <w:pPr>
              <w:pStyle w:val="TableParagraph"/>
              <w:spacing w:before="32"/>
              <w:ind w:left="-16" w:right="22"/>
              <w:jc w:val="right"/>
              <w:rPr>
                <w:sz w:val="14"/>
              </w:rPr>
            </w:pPr>
            <w:r>
              <w:rPr>
                <w:sz w:val="14"/>
              </w:rPr>
              <w:t>4,950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Education Sector Project</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BADEA/ OFID</w:t>
            </w:r>
          </w:p>
        </w:tc>
        <w:tc>
          <w:tcPr>
            <w:tcW w:w="1211" w:type="dxa"/>
          </w:tcPr>
          <w:p>
            <w:pPr>
              <w:pStyle w:val="TableParagraph"/>
              <w:spacing w:before="32"/>
              <w:ind w:left="203"/>
              <w:rPr>
                <w:sz w:val="14"/>
              </w:rPr>
            </w:pPr>
            <w:r>
              <w:rPr>
                <w:sz w:val="14"/>
              </w:rPr>
              <w:t>Loan/ Budget</w:t>
            </w:r>
          </w:p>
        </w:tc>
        <w:tc>
          <w:tcPr>
            <w:tcW w:w="901" w:type="dxa"/>
          </w:tcPr>
          <w:p>
            <w:pPr>
              <w:pStyle w:val="TableParagraph"/>
              <w:spacing w:before="32"/>
              <w:ind w:right="172"/>
              <w:jc w:val="right"/>
              <w:rPr>
                <w:sz w:val="14"/>
              </w:rPr>
            </w:pPr>
            <w:r>
              <w:rPr>
                <w:w w:val="95"/>
                <w:sz w:val="14"/>
              </w:rPr>
              <w:t>23,750</w:t>
            </w:r>
          </w:p>
        </w:tc>
        <w:tc>
          <w:tcPr>
            <w:tcW w:w="898" w:type="dxa"/>
          </w:tcPr>
          <w:p>
            <w:pPr>
              <w:pStyle w:val="TableParagraph"/>
              <w:spacing w:before="32"/>
              <w:ind w:left="365"/>
              <w:rPr>
                <w:sz w:val="14"/>
              </w:rPr>
            </w:pPr>
            <w:r>
              <w:rPr>
                <w:sz w:val="14"/>
              </w:rPr>
              <w:t>3,000</w:t>
            </w:r>
          </w:p>
        </w:tc>
        <w:tc>
          <w:tcPr>
            <w:tcW w:w="847" w:type="dxa"/>
          </w:tcPr>
          <w:p>
            <w:pPr>
              <w:pStyle w:val="TableParagraph"/>
              <w:spacing w:before="32"/>
              <w:ind w:right="160"/>
              <w:jc w:val="right"/>
              <w:rPr>
                <w:sz w:val="14"/>
              </w:rPr>
            </w:pPr>
            <w:r>
              <w:rPr>
                <w:w w:val="95"/>
                <w:sz w:val="14"/>
              </w:rPr>
              <w:t>143,550</w:t>
            </w:r>
          </w:p>
        </w:tc>
        <w:tc>
          <w:tcPr>
            <w:tcW w:w="875" w:type="dxa"/>
          </w:tcPr>
          <w:p>
            <w:pPr>
              <w:pStyle w:val="TableParagraph"/>
              <w:spacing w:before="32"/>
              <w:ind w:left="358"/>
              <w:rPr>
                <w:sz w:val="14"/>
              </w:rPr>
            </w:pPr>
            <w:r>
              <w:rPr>
                <w:sz w:val="14"/>
              </w:rPr>
              <w:t>4,785</w:t>
            </w:r>
          </w:p>
        </w:tc>
        <w:tc>
          <w:tcPr>
            <w:tcW w:w="711" w:type="dxa"/>
          </w:tcPr>
          <w:p>
            <w:pPr>
              <w:pStyle w:val="TableParagraph"/>
              <w:spacing w:before="32"/>
              <w:ind w:right="-15"/>
              <w:jc w:val="right"/>
              <w:rPr>
                <w:sz w:val="14"/>
              </w:rPr>
            </w:pPr>
            <w:r>
              <w:rPr>
                <w:sz w:val="14"/>
              </w:rPr>
              <w:t>143,550</w:t>
            </w:r>
          </w:p>
        </w:tc>
        <w:tc>
          <w:tcPr>
            <w:tcW w:w="1004" w:type="dxa"/>
          </w:tcPr>
          <w:p>
            <w:pPr>
              <w:pStyle w:val="TableParagraph"/>
              <w:spacing w:before="32"/>
              <w:ind w:left="-16" w:right="22"/>
              <w:jc w:val="right"/>
              <w:rPr>
                <w:sz w:val="14"/>
              </w:rPr>
            </w:pPr>
            <w:r>
              <w:rPr>
                <w:sz w:val="14"/>
              </w:rPr>
              <w:t>4,785</w:t>
            </w:r>
          </w:p>
        </w:tc>
      </w:tr>
      <w:tr>
        <w:trPr>
          <w:trHeight w:val="230" w:hRule="atLeast"/>
        </w:trPr>
        <w:tc>
          <w:tcPr>
            <w:tcW w:w="470" w:type="dxa"/>
          </w:tcPr>
          <w:p>
            <w:pPr>
              <w:pStyle w:val="TableParagraph"/>
              <w:rPr>
                <w:rFonts w:ascii="Times New Roman"/>
                <w:sz w:val="14"/>
              </w:rPr>
            </w:pPr>
          </w:p>
        </w:tc>
        <w:tc>
          <w:tcPr>
            <w:tcW w:w="4801" w:type="dxa"/>
          </w:tcPr>
          <w:p>
            <w:pPr>
              <w:pStyle w:val="TableParagraph"/>
              <w:rPr>
                <w:rFonts w:ascii="Times New Roman"/>
                <w:sz w:val="14"/>
              </w:rPr>
            </w:pP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spacing w:before="32"/>
              <w:ind w:left="149"/>
              <w:rPr>
                <w:sz w:val="14"/>
              </w:rPr>
            </w:pPr>
            <w:r>
              <w:rPr>
                <w:sz w:val="14"/>
              </w:rPr>
              <w:t>/ SGGOSL</w:t>
            </w: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Curriculum Review and Development for Schools</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365"/>
              <w:rPr>
                <w:sz w:val="14"/>
              </w:rPr>
            </w:pPr>
            <w:r>
              <w:rPr>
                <w:sz w:val="14"/>
              </w:rPr>
              <w:t>1,000</w:t>
            </w:r>
          </w:p>
        </w:tc>
        <w:tc>
          <w:tcPr>
            <w:tcW w:w="847" w:type="dxa"/>
          </w:tcPr>
          <w:p>
            <w:pPr>
              <w:pStyle w:val="TableParagraph"/>
              <w:rPr>
                <w:rFonts w:ascii="Times New Roman"/>
                <w:sz w:val="14"/>
              </w:rPr>
            </w:pPr>
          </w:p>
        </w:tc>
        <w:tc>
          <w:tcPr>
            <w:tcW w:w="875" w:type="dxa"/>
          </w:tcPr>
          <w:p>
            <w:pPr>
              <w:pStyle w:val="TableParagraph"/>
              <w:spacing w:before="32"/>
              <w:ind w:left="358"/>
              <w:rPr>
                <w:sz w:val="14"/>
              </w:rPr>
            </w:pPr>
            <w:r>
              <w:rPr>
                <w:sz w:val="14"/>
              </w:rPr>
              <w:t>1,100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Institutional Support to WAEC for addressing Examination</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4"/>
              <w:rPr>
                <w:sz w:val="14"/>
              </w:rPr>
            </w:pPr>
            <w:r>
              <w:rPr>
                <w:sz w:val="14"/>
              </w:rPr>
              <w:t>Malpratces</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365"/>
              <w:rPr>
                <w:sz w:val="14"/>
              </w:rPr>
            </w:pPr>
            <w:r>
              <w:rPr>
                <w:sz w:val="14"/>
              </w:rPr>
              <w:t>2,000</w:t>
            </w:r>
          </w:p>
        </w:tc>
        <w:tc>
          <w:tcPr>
            <w:tcW w:w="847" w:type="dxa"/>
          </w:tcPr>
          <w:p>
            <w:pPr>
              <w:pStyle w:val="TableParagraph"/>
              <w:rPr>
                <w:rFonts w:ascii="Times New Roman"/>
                <w:sz w:val="14"/>
              </w:rPr>
            </w:pPr>
          </w:p>
        </w:tc>
        <w:tc>
          <w:tcPr>
            <w:tcW w:w="875" w:type="dxa"/>
          </w:tcPr>
          <w:p>
            <w:pPr>
              <w:pStyle w:val="TableParagraph"/>
              <w:spacing w:before="32"/>
              <w:ind w:left="358"/>
              <w:rPr>
                <w:sz w:val="14"/>
              </w:rPr>
            </w:pPr>
            <w:r>
              <w:rPr>
                <w:sz w:val="14"/>
              </w:rPr>
              <w:t>2,200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Institutional Support to Teaching Service Commission (TSC)</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496"/>
              <w:rPr>
                <w:sz w:val="14"/>
              </w:rPr>
            </w:pPr>
            <w:r>
              <w:rPr>
                <w:sz w:val="14"/>
              </w:rPr>
              <w:t>500</w:t>
            </w:r>
          </w:p>
        </w:tc>
        <w:tc>
          <w:tcPr>
            <w:tcW w:w="847" w:type="dxa"/>
          </w:tcPr>
          <w:p>
            <w:pPr>
              <w:pStyle w:val="TableParagraph"/>
              <w:rPr>
                <w:rFonts w:ascii="Times New Roman"/>
                <w:sz w:val="14"/>
              </w:rPr>
            </w:pPr>
          </w:p>
        </w:tc>
        <w:tc>
          <w:tcPr>
            <w:tcW w:w="875" w:type="dxa"/>
          </w:tcPr>
          <w:p>
            <w:pPr>
              <w:pStyle w:val="TableParagraph"/>
              <w:spacing w:before="32"/>
              <w:ind w:left="489"/>
              <w:rPr>
                <w:sz w:val="14"/>
              </w:rPr>
            </w:pPr>
            <w:r>
              <w:rPr>
                <w:sz w:val="14"/>
              </w:rPr>
              <w:t>550</w:t>
            </w:r>
          </w:p>
        </w:tc>
        <w:tc>
          <w:tcPr>
            <w:tcW w:w="711" w:type="dxa"/>
          </w:tcPr>
          <w:p>
            <w:pPr>
              <w:pStyle w:val="TableParagraph"/>
              <w:rPr>
                <w:rFonts w:ascii="Times New Roman"/>
                <w:sz w:val="14"/>
              </w:rPr>
            </w:pPr>
          </w:p>
        </w:tc>
        <w:tc>
          <w:tcPr>
            <w:tcW w:w="1004" w:type="dxa"/>
          </w:tcPr>
          <w:p>
            <w:pPr>
              <w:pStyle w:val="TableParagraph"/>
              <w:spacing w:before="32"/>
              <w:ind w:left="-16" w:right="14"/>
              <w:jc w:val="right"/>
              <w:rPr>
                <w:sz w:val="14"/>
              </w:rPr>
            </w:pPr>
            <w:r>
              <w:rPr>
                <w:sz w:val="14"/>
              </w:rPr>
              <w:t>605</w:t>
            </w:r>
          </w:p>
        </w:tc>
      </w:tr>
      <w:tr>
        <w:trPr>
          <w:trHeight w:val="228"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Support to Continuous Professional Development in Schools</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496"/>
              <w:rPr>
                <w:sz w:val="14"/>
              </w:rPr>
            </w:pPr>
            <w:r>
              <w:rPr>
                <w:sz w:val="14"/>
              </w:rPr>
              <w:t>500</w:t>
            </w:r>
          </w:p>
        </w:tc>
        <w:tc>
          <w:tcPr>
            <w:tcW w:w="847" w:type="dxa"/>
          </w:tcPr>
          <w:p>
            <w:pPr>
              <w:pStyle w:val="TableParagraph"/>
              <w:rPr>
                <w:rFonts w:ascii="Times New Roman"/>
                <w:sz w:val="14"/>
              </w:rPr>
            </w:pPr>
          </w:p>
        </w:tc>
        <w:tc>
          <w:tcPr>
            <w:tcW w:w="875" w:type="dxa"/>
          </w:tcPr>
          <w:p>
            <w:pPr>
              <w:pStyle w:val="TableParagraph"/>
              <w:spacing w:before="32"/>
              <w:ind w:left="489"/>
              <w:rPr>
                <w:sz w:val="14"/>
              </w:rPr>
            </w:pPr>
            <w:r>
              <w:rPr>
                <w:sz w:val="14"/>
              </w:rPr>
              <w:t>550</w:t>
            </w:r>
          </w:p>
        </w:tc>
        <w:tc>
          <w:tcPr>
            <w:tcW w:w="711" w:type="dxa"/>
          </w:tcPr>
          <w:p>
            <w:pPr>
              <w:pStyle w:val="TableParagraph"/>
              <w:rPr>
                <w:rFonts w:ascii="Times New Roman"/>
                <w:sz w:val="14"/>
              </w:rPr>
            </w:pPr>
          </w:p>
        </w:tc>
        <w:tc>
          <w:tcPr>
            <w:tcW w:w="1004" w:type="dxa"/>
          </w:tcPr>
          <w:p>
            <w:pPr>
              <w:pStyle w:val="TableParagraph"/>
              <w:spacing w:before="32"/>
              <w:ind w:left="-16" w:right="14"/>
              <w:jc w:val="right"/>
              <w:rPr>
                <w:sz w:val="14"/>
              </w:rPr>
            </w:pPr>
            <w:r>
              <w:rPr>
                <w:sz w:val="14"/>
              </w:rPr>
              <w:t>605</w:t>
            </w:r>
          </w:p>
        </w:tc>
      </w:tr>
      <w:tr>
        <w:trPr>
          <w:trHeight w:val="228" w:hRule="atLeast"/>
        </w:trPr>
        <w:tc>
          <w:tcPr>
            <w:tcW w:w="470" w:type="dxa"/>
          </w:tcPr>
          <w:p>
            <w:pPr>
              <w:pStyle w:val="TableParagraph"/>
              <w:rPr>
                <w:rFonts w:ascii="Times New Roman"/>
                <w:sz w:val="14"/>
              </w:rPr>
            </w:pPr>
          </w:p>
        </w:tc>
        <w:tc>
          <w:tcPr>
            <w:tcW w:w="4801" w:type="dxa"/>
          </w:tcPr>
          <w:p>
            <w:pPr>
              <w:pStyle w:val="TableParagraph"/>
              <w:spacing w:before="29"/>
              <w:ind w:left="263"/>
              <w:rPr>
                <w:sz w:val="14"/>
              </w:rPr>
            </w:pPr>
            <w:r>
              <w:rPr>
                <w:sz w:val="14"/>
              </w:rPr>
              <w:t>Rehabilitation/ Expansion of Boarding Home Facilities</w:t>
            </w:r>
          </w:p>
        </w:tc>
        <w:tc>
          <w:tcPr>
            <w:tcW w:w="817" w:type="dxa"/>
          </w:tcPr>
          <w:p>
            <w:pPr>
              <w:pStyle w:val="TableParagraph"/>
              <w:spacing w:before="29"/>
              <w:ind w:left="166"/>
              <w:rPr>
                <w:sz w:val="14"/>
              </w:rPr>
            </w:pPr>
            <w:r>
              <w:rPr>
                <w:sz w:val="14"/>
              </w:rPr>
              <w:t>New</w:t>
            </w:r>
          </w:p>
        </w:tc>
        <w:tc>
          <w:tcPr>
            <w:tcW w:w="1075" w:type="dxa"/>
          </w:tcPr>
          <w:p>
            <w:pPr>
              <w:pStyle w:val="TableParagraph"/>
              <w:spacing w:before="29"/>
              <w:ind w:left="88"/>
              <w:rPr>
                <w:sz w:val="14"/>
              </w:rPr>
            </w:pPr>
            <w:r>
              <w:rPr>
                <w:sz w:val="14"/>
              </w:rPr>
              <w:t>Nationwide</w:t>
            </w:r>
          </w:p>
        </w:tc>
        <w:tc>
          <w:tcPr>
            <w:tcW w:w="1191" w:type="dxa"/>
          </w:tcPr>
          <w:p>
            <w:pPr>
              <w:pStyle w:val="TableParagraph"/>
              <w:spacing w:before="29"/>
              <w:ind w:left="146"/>
              <w:rPr>
                <w:sz w:val="14"/>
              </w:rPr>
            </w:pPr>
            <w:r>
              <w:rPr>
                <w:sz w:val="14"/>
              </w:rPr>
              <w:t>GoSL</w:t>
            </w:r>
          </w:p>
        </w:tc>
        <w:tc>
          <w:tcPr>
            <w:tcW w:w="1211" w:type="dxa"/>
          </w:tcPr>
          <w:p>
            <w:pPr>
              <w:pStyle w:val="TableParagraph"/>
              <w:spacing w:before="29"/>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29"/>
              <w:ind w:left="365"/>
              <w:rPr>
                <w:sz w:val="14"/>
              </w:rPr>
            </w:pPr>
            <w:r>
              <w:rPr>
                <w:sz w:val="14"/>
              </w:rPr>
              <w:t>2,000</w:t>
            </w:r>
          </w:p>
        </w:tc>
        <w:tc>
          <w:tcPr>
            <w:tcW w:w="847" w:type="dxa"/>
          </w:tcPr>
          <w:p>
            <w:pPr>
              <w:pStyle w:val="TableParagraph"/>
              <w:rPr>
                <w:rFonts w:ascii="Times New Roman"/>
                <w:sz w:val="14"/>
              </w:rPr>
            </w:pPr>
          </w:p>
        </w:tc>
        <w:tc>
          <w:tcPr>
            <w:tcW w:w="875" w:type="dxa"/>
          </w:tcPr>
          <w:p>
            <w:pPr>
              <w:pStyle w:val="TableParagraph"/>
              <w:spacing w:before="29"/>
              <w:ind w:left="358"/>
              <w:rPr>
                <w:sz w:val="14"/>
              </w:rPr>
            </w:pPr>
            <w:r>
              <w:rPr>
                <w:sz w:val="14"/>
              </w:rPr>
              <w:t>2,200</w:t>
            </w:r>
          </w:p>
        </w:tc>
        <w:tc>
          <w:tcPr>
            <w:tcW w:w="711" w:type="dxa"/>
          </w:tcPr>
          <w:p>
            <w:pPr>
              <w:pStyle w:val="TableParagraph"/>
              <w:rPr>
                <w:rFonts w:ascii="Times New Roman"/>
                <w:sz w:val="14"/>
              </w:rPr>
            </w:pPr>
          </w:p>
        </w:tc>
        <w:tc>
          <w:tcPr>
            <w:tcW w:w="1004" w:type="dxa"/>
          </w:tcPr>
          <w:p>
            <w:pPr>
              <w:pStyle w:val="TableParagraph"/>
              <w:spacing w:before="29"/>
              <w:ind w:left="-16" w:right="22"/>
              <w:jc w:val="right"/>
              <w:rPr>
                <w:sz w:val="14"/>
              </w:rPr>
            </w:pPr>
            <w:r>
              <w:rPr>
                <w:sz w:val="14"/>
              </w:rPr>
              <w:t>2,420</w:t>
            </w:r>
          </w:p>
        </w:tc>
      </w:tr>
      <w:tr>
        <w:trPr>
          <w:trHeight w:val="230" w:hRule="atLeast"/>
        </w:trPr>
        <w:tc>
          <w:tcPr>
            <w:tcW w:w="470" w:type="dxa"/>
          </w:tcPr>
          <w:p>
            <w:pPr>
              <w:pStyle w:val="TableParagraph"/>
              <w:spacing w:before="32"/>
              <w:ind w:right="92"/>
              <w:jc w:val="right"/>
              <w:rPr>
                <w:sz w:val="14"/>
              </w:rPr>
            </w:pPr>
            <w:r>
              <w:rPr>
                <w:w w:val="95"/>
                <w:sz w:val="14"/>
              </w:rPr>
              <w:t>300</w:t>
            </w:r>
          </w:p>
        </w:tc>
        <w:tc>
          <w:tcPr>
            <w:tcW w:w="4801" w:type="dxa"/>
          </w:tcPr>
          <w:p>
            <w:pPr>
              <w:pStyle w:val="TableParagraph"/>
              <w:spacing w:before="32"/>
              <w:ind w:left="96"/>
              <w:rPr>
                <w:b/>
                <w:sz w:val="14"/>
              </w:rPr>
            </w:pPr>
            <w:r>
              <w:rPr>
                <w:b/>
                <w:sz w:val="14"/>
              </w:rPr>
              <w:t>Ministry of Tertiary and Higher Education (MoTHE)</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spacing w:before="32"/>
              <w:ind w:left="164"/>
              <w:rPr>
                <w:b/>
                <w:sz w:val="14"/>
              </w:rPr>
            </w:pPr>
            <w:r>
              <w:rPr>
                <w:b/>
                <w:sz w:val="14"/>
              </w:rPr>
              <w:t>220,620</w:t>
            </w:r>
          </w:p>
        </w:tc>
        <w:tc>
          <w:tcPr>
            <w:tcW w:w="898" w:type="dxa"/>
          </w:tcPr>
          <w:p>
            <w:pPr>
              <w:pStyle w:val="TableParagraph"/>
              <w:spacing w:before="32"/>
              <w:ind w:left="247"/>
              <w:rPr>
                <w:b/>
                <w:sz w:val="14"/>
              </w:rPr>
            </w:pPr>
            <w:r>
              <w:rPr>
                <w:b/>
                <w:sz w:val="14"/>
              </w:rPr>
              <w:t>25,900</w:t>
            </w:r>
          </w:p>
        </w:tc>
        <w:tc>
          <w:tcPr>
            <w:tcW w:w="847" w:type="dxa"/>
          </w:tcPr>
          <w:p>
            <w:pPr>
              <w:pStyle w:val="TableParagraph"/>
              <w:spacing w:before="32"/>
              <w:ind w:right="183"/>
              <w:jc w:val="right"/>
              <w:rPr>
                <w:b/>
                <w:sz w:val="14"/>
              </w:rPr>
            </w:pPr>
            <w:r>
              <w:rPr>
                <w:b/>
                <w:sz w:val="14"/>
              </w:rPr>
              <w:t>433,970</w:t>
            </w:r>
          </w:p>
        </w:tc>
        <w:tc>
          <w:tcPr>
            <w:tcW w:w="875" w:type="dxa"/>
          </w:tcPr>
          <w:p>
            <w:pPr>
              <w:pStyle w:val="TableParagraph"/>
              <w:spacing w:before="32"/>
              <w:ind w:left="226"/>
              <w:rPr>
                <w:b/>
                <w:sz w:val="14"/>
              </w:rPr>
            </w:pPr>
            <w:r>
              <w:rPr>
                <w:b/>
                <w:sz w:val="14"/>
              </w:rPr>
              <w:t>34,917</w:t>
            </w:r>
          </w:p>
        </w:tc>
        <w:tc>
          <w:tcPr>
            <w:tcW w:w="711" w:type="dxa"/>
          </w:tcPr>
          <w:p>
            <w:pPr>
              <w:pStyle w:val="TableParagraph"/>
              <w:spacing w:before="32"/>
              <w:ind w:right="16"/>
              <w:jc w:val="right"/>
              <w:rPr>
                <w:b/>
                <w:sz w:val="14"/>
              </w:rPr>
            </w:pPr>
            <w:r>
              <w:rPr>
                <w:b/>
                <w:w w:val="95"/>
                <w:sz w:val="14"/>
              </w:rPr>
              <w:t>474,450</w:t>
            </w:r>
          </w:p>
        </w:tc>
        <w:tc>
          <w:tcPr>
            <w:tcW w:w="1004" w:type="dxa"/>
          </w:tcPr>
          <w:p>
            <w:pPr>
              <w:pStyle w:val="TableParagraph"/>
              <w:spacing w:before="32"/>
              <w:ind w:left="-16" w:right="47"/>
              <w:jc w:val="right"/>
              <w:rPr>
                <w:b/>
                <w:sz w:val="14"/>
              </w:rPr>
            </w:pPr>
            <w:r>
              <w:rPr>
                <w:b/>
                <w:w w:val="95"/>
                <w:sz w:val="14"/>
              </w:rPr>
              <w:t>39,270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Rehabilitation of Fourah Bay College</w:t>
            </w:r>
          </w:p>
        </w:tc>
        <w:tc>
          <w:tcPr>
            <w:tcW w:w="817" w:type="dxa"/>
          </w:tcPr>
          <w:p>
            <w:pPr>
              <w:pStyle w:val="TableParagraph"/>
              <w:spacing w:before="32"/>
              <w:ind w:left="166"/>
              <w:rPr>
                <w:sz w:val="14"/>
              </w:rPr>
            </w:pPr>
            <w:r>
              <w:rPr>
                <w:sz w:val="14"/>
              </w:rPr>
              <w:t>Ongoing</w:t>
            </w:r>
          </w:p>
        </w:tc>
        <w:tc>
          <w:tcPr>
            <w:tcW w:w="1075" w:type="dxa"/>
          </w:tcPr>
          <w:p>
            <w:pPr>
              <w:pStyle w:val="TableParagraph"/>
              <w:spacing w:before="32"/>
              <w:ind w:left="88"/>
              <w:rPr>
                <w:sz w:val="14"/>
              </w:rPr>
            </w:pPr>
            <w:r>
              <w:rPr>
                <w:sz w:val="14"/>
              </w:rPr>
              <w:t>Western Area</w:t>
            </w:r>
          </w:p>
        </w:tc>
        <w:tc>
          <w:tcPr>
            <w:tcW w:w="1191" w:type="dxa"/>
          </w:tcPr>
          <w:p>
            <w:pPr>
              <w:pStyle w:val="TableParagraph"/>
              <w:spacing w:before="32"/>
              <w:ind w:left="146"/>
              <w:rPr>
                <w:sz w:val="14"/>
              </w:rPr>
            </w:pPr>
            <w:r>
              <w:rPr>
                <w:sz w:val="14"/>
              </w:rPr>
              <w:t>BADEA/ Saudi</w:t>
            </w:r>
          </w:p>
        </w:tc>
        <w:tc>
          <w:tcPr>
            <w:tcW w:w="1211" w:type="dxa"/>
          </w:tcPr>
          <w:p>
            <w:pPr>
              <w:pStyle w:val="TableParagraph"/>
              <w:spacing w:before="32"/>
              <w:ind w:left="203"/>
              <w:rPr>
                <w:sz w:val="14"/>
              </w:rPr>
            </w:pPr>
            <w:r>
              <w:rPr>
                <w:sz w:val="14"/>
              </w:rPr>
              <w:t>Loan/ Budget</w:t>
            </w:r>
          </w:p>
        </w:tc>
        <w:tc>
          <w:tcPr>
            <w:tcW w:w="901" w:type="dxa"/>
          </w:tcPr>
          <w:p>
            <w:pPr>
              <w:pStyle w:val="TableParagraph"/>
              <w:spacing w:before="32"/>
              <w:ind w:right="172"/>
              <w:jc w:val="right"/>
              <w:rPr>
                <w:sz w:val="14"/>
              </w:rPr>
            </w:pPr>
            <w:r>
              <w:rPr>
                <w:w w:val="95"/>
                <w:sz w:val="14"/>
              </w:rPr>
              <w:t>20,000</w:t>
            </w:r>
          </w:p>
        </w:tc>
        <w:tc>
          <w:tcPr>
            <w:tcW w:w="898" w:type="dxa"/>
          </w:tcPr>
          <w:p>
            <w:pPr>
              <w:pStyle w:val="TableParagraph"/>
              <w:spacing w:before="32"/>
              <w:ind w:left="365"/>
              <w:rPr>
                <w:sz w:val="14"/>
              </w:rPr>
            </w:pPr>
            <w:r>
              <w:rPr>
                <w:sz w:val="14"/>
              </w:rPr>
              <w:t>5,000</w:t>
            </w:r>
          </w:p>
        </w:tc>
        <w:tc>
          <w:tcPr>
            <w:tcW w:w="847" w:type="dxa"/>
          </w:tcPr>
          <w:p>
            <w:pPr>
              <w:pStyle w:val="TableParagraph"/>
              <w:rPr>
                <w:rFonts w:ascii="Times New Roman"/>
                <w:sz w:val="14"/>
              </w:rPr>
            </w:pPr>
          </w:p>
        </w:tc>
        <w:tc>
          <w:tcPr>
            <w:tcW w:w="875" w:type="dxa"/>
          </w:tcPr>
          <w:p>
            <w:pPr>
              <w:pStyle w:val="TableParagraph"/>
              <w:spacing w:before="32"/>
              <w:ind w:left="358"/>
              <w:rPr>
                <w:sz w:val="14"/>
              </w:rPr>
            </w:pPr>
            <w:r>
              <w:rPr>
                <w:sz w:val="14"/>
              </w:rPr>
              <w:t>8,000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8,800</w:t>
            </w:r>
          </w:p>
        </w:tc>
      </w:tr>
      <w:tr>
        <w:trPr>
          <w:trHeight w:val="230" w:hRule="atLeast"/>
        </w:trPr>
        <w:tc>
          <w:tcPr>
            <w:tcW w:w="470" w:type="dxa"/>
          </w:tcPr>
          <w:p>
            <w:pPr>
              <w:pStyle w:val="TableParagraph"/>
              <w:rPr>
                <w:rFonts w:ascii="Times New Roman"/>
                <w:sz w:val="14"/>
              </w:rPr>
            </w:pPr>
          </w:p>
        </w:tc>
        <w:tc>
          <w:tcPr>
            <w:tcW w:w="4801" w:type="dxa"/>
          </w:tcPr>
          <w:p>
            <w:pPr>
              <w:pStyle w:val="TableParagraph"/>
              <w:rPr>
                <w:rFonts w:ascii="Times New Roman"/>
                <w:sz w:val="14"/>
              </w:rPr>
            </w:pP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spacing w:before="32"/>
              <w:ind w:left="146"/>
              <w:rPr>
                <w:sz w:val="14"/>
              </w:rPr>
            </w:pPr>
            <w:r>
              <w:rPr>
                <w:sz w:val="14"/>
              </w:rPr>
              <w:t>Fund/ GOSL</w:t>
            </w: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Construction of Administrative, Teaching and Residential</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Western Area</w:t>
            </w:r>
          </w:p>
        </w:tc>
        <w:tc>
          <w:tcPr>
            <w:tcW w:w="1191" w:type="dxa"/>
          </w:tcPr>
          <w:p>
            <w:pPr>
              <w:pStyle w:val="TableParagraph"/>
              <w:spacing w:before="32"/>
              <w:ind w:left="146"/>
              <w:rPr>
                <w:sz w:val="14"/>
              </w:rPr>
            </w:pPr>
            <w:r>
              <w:rPr>
                <w:sz w:val="14"/>
              </w:rPr>
              <w:t>FEMAB/ IPAM</w:t>
            </w:r>
          </w:p>
        </w:tc>
        <w:tc>
          <w:tcPr>
            <w:tcW w:w="1211" w:type="dxa"/>
          </w:tcPr>
          <w:p>
            <w:pPr>
              <w:pStyle w:val="TableParagraph"/>
              <w:spacing w:before="32"/>
              <w:ind w:left="203"/>
              <w:rPr>
                <w:sz w:val="14"/>
              </w:rPr>
            </w:pPr>
            <w:r>
              <w:rPr>
                <w:sz w:val="14"/>
              </w:rPr>
              <w:t>30 ,000</w:t>
            </w:r>
          </w:p>
        </w:tc>
        <w:tc>
          <w:tcPr>
            <w:tcW w:w="901" w:type="dxa"/>
          </w:tcPr>
          <w:p>
            <w:pPr>
              <w:pStyle w:val="TableParagraph"/>
              <w:spacing w:before="32"/>
              <w:ind w:right="174"/>
              <w:jc w:val="right"/>
              <w:rPr>
                <w:sz w:val="14"/>
              </w:rPr>
            </w:pPr>
            <w:r>
              <w:rPr>
                <w:sz w:val="14"/>
              </w:rPr>
              <w:t>5,000</w:t>
            </w:r>
          </w:p>
        </w:tc>
        <w:tc>
          <w:tcPr>
            <w:tcW w:w="898" w:type="dxa"/>
          </w:tcPr>
          <w:p>
            <w:pPr>
              <w:pStyle w:val="TableParagraph"/>
              <w:rPr>
                <w:rFonts w:ascii="Times New Roman"/>
                <w:sz w:val="14"/>
              </w:rPr>
            </w:pPr>
          </w:p>
        </w:tc>
        <w:tc>
          <w:tcPr>
            <w:tcW w:w="847" w:type="dxa"/>
          </w:tcPr>
          <w:p>
            <w:pPr>
              <w:pStyle w:val="TableParagraph"/>
              <w:spacing w:before="32"/>
              <w:ind w:right="120"/>
              <w:jc w:val="right"/>
              <w:rPr>
                <w:sz w:val="14"/>
              </w:rPr>
            </w:pPr>
            <w:r>
              <w:rPr>
                <w:sz w:val="14"/>
              </w:rPr>
              <w:t>5,500</w:t>
            </w:r>
          </w:p>
        </w:tc>
        <w:tc>
          <w:tcPr>
            <w:tcW w:w="875" w:type="dxa"/>
          </w:tcPr>
          <w:p>
            <w:pPr>
              <w:pStyle w:val="TableParagraph"/>
              <w:spacing w:before="32"/>
              <w:ind w:left="201"/>
              <w:rPr>
                <w:sz w:val="14"/>
              </w:rPr>
            </w:pPr>
            <w:r>
              <w:rPr>
                <w:sz w:val="14"/>
              </w:rPr>
              <w:t>60 ,200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Buildings for IPAM</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spacing w:before="32"/>
              <w:ind w:left="149"/>
              <w:rPr>
                <w:sz w:val="14"/>
              </w:rPr>
            </w:pPr>
            <w:r>
              <w:rPr>
                <w:sz w:val="14"/>
              </w:rPr>
              <w:t>/ GOSL</w:t>
            </w: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Curriculum Review and Development for Technical</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352"/>
              <w:rPr>
                <w:sz w:val="14"/>
              </w:rPr>
            </w:pPr>
            <w:r>
              <w:rPr>
                <w:sz w:val="14"/>
              </w:rPr>
              <w:t>1,000</w:t>
            </w:r>
          </w:p>
        </w:tc>
        <w:tc>
          <w:tcPr>
            <w:tcW w:w="847" w:type="dxa"/>
          </w:tcPr>
          <w:p>
            <w:pPr>
              <w:pStyle w:val="TableParagraph"/>
              <w:rPr>
                <w:rFonts w:ascii="Times New Roman"/>
                <w:sz w:val="14"/>
              </w:rPr>
            </w:pPr>
          </w:p>
        </w:tc>
        <w:tc>
          <w:tcPr>
            <w:tcW w:w="875" w:type="dxa"/>
          </w:tcPr>
          <w:p>
            <w:pPr>
              <w:pStyle w:val="TableParagraph"/>
              <w:spacing w:before="32"/>
              <w:ind w:left="358"/>
              <w:rPr>
                <w:sz w:val="14"/>
              </w:rPr>
            </w:pPr>
            <w:r>
              <w:rPr>
                <w:sz w:val="14"/>
              </w:rPr>
              <w:t>1,100</w:t>
            </w:r>
          </w:p>
        </w:tc>
        <w:tc>
          <w:tcPr>
            <w:tcW w:w="711" w:type="dxa"/>
          </w:tcPr>
          <w:p>
            <w:pPr>
              <w:pStyle w:val="TableParagraph"/>
              <w:rPr>
                <w:rFonts w:ascii="Times New Roman"/>
                <w:sz w:val="14"/>
              </w:rPr>
            </w:pPr>
          </w:p>
        </w:tc>
        <w:tc>
          <w:tcPr>
            <w:tcW w:w="1004" w:type="dxa"/>
          </w:tcPr>
          <w:p>
            <w:pPr>
              <w:pStyle w:val="TableParagraph"/>
              <w:spacing w:before="32"/>
              <w:ind w:left="-16" w:right="22"/>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and Higher Education</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Provision of Modern Teaching Equipment for University</w:t>
            </w:r>
          </w:p>
        </w:tc>
        <w:tc>
          <w:tcPr>
            <w:tcW w:w="817" w:type="dxa"/>
          </w:tcPr>
          <w:p>
            <w:pPr>
              <w:pStyle w:val="TableParagraph"/>
              <w:spacing w:before="32"/>
              <w:ind w:left="166"/>
              <w:rPr>
                <w:sz w:val="14"/>
              </w:rPr>
            </w:pPr>
            <w:r>
              <w:rPr>
                <w:sz w:val="14"/>
              </w:rPr>
              <w:t>New</w:t>
            </w:r>
          </w:p>
        </w:tc>
        <w:tc>
          <w:tcPr>
            <w:tcW w:w="1075" w:type="dxa"/>
          </w:tcPr>
          <w:p>
            <w:pPr>
              <w:pStyle w:val="TableParagraph"/>
              <w:spacing w:before="32"/>
              <w:ind w:left="88"/>
              <w:rPr>
                <w:sz w:val="14"/>
              </w:rPr>
            </w:pPr>
            <w:r>
              <w:rPr>
                <w:sz w:val="14"/>
              </w:rPr>
              <w:t>Nationwide</w:t>
            </w:r>
          </w:p>
        </w:tc>
        <w:tc>
          <w:tcPr>
            <w:tcW w:w="1191" w:type="dxa"/>
          </w:tcPr>
          <w:p>
            <w:pPr>
              <w:pStyle w:val="TableParagraph"/>
              <w:spacing w:before="32"/>
              <w:ind w:left="146"/>
              <w:rPr>
                <w:sz w:val="14"/>
              </w:rPr>
            </w:pPr>
            <w:r>
              <w:rPr>
                <w:sz w:val="14"/>
              </w:rPr>
              <w:t>GoSL</w:t>
            </w:r>
          </w:p>
        </w:tc>
        <w:tc>
          <w:tcPr>
            <w:tcW w:w="1211" w:type="dxa"/>
          </w:tcPr>
          <w:p>
            <w:pPr>
              <w:pStyle w:val="TableParagraph"/>
              <w:spacing w:before="32"/>
              <w:ind w:left="203"/>
              <w:rPr>
                <w:sz w:val="14"/>
              </w:rPr>
            </w:pPr>
            <w:r>
              <w:rPr>
                <w:sz w:val="14"/>
              </w:rPr>
              <w:t>Budget</w:t>
            </w:r>
          </w:p>
        </w:tc>
        <w:tc>
          <w:tcPr>
            <w:tcW w:w="901" w:type="dxa"/>
          </w:tcPr>
          <w:p>
            <w:pPr>
              <w:pStyle w:val="TableParagraph"/>
              <w:rPr>
                <w:rFonts w:ascii="Times New Roman"/>
                <w:sz w:val="14"/>
              </w:rPr>
            </w:pPr>
          </w:p>
        </w:tc>
        <w:tc>
          <w:tcPr>
            <w:tcW w:w="898" w:type="dxa"/>
          </w:tcPr>
          <w:p>
            <w:pPr>
              <w:pStyle w:val="TableParagraph"/>
              <w:spacing w:before="32"/>
              <w:ind w:left="487"/>
              <w:rPr>
                <w:sz w:val="14"/>
              </w:rPr>
            </w:pPr>
            <w:r>
              <w:rPr>
                <w:sz w:val="14"/>
              </w:rPr>
              <w:t>500</w:t>
            </w:r>
          </w:p>
        </w:tc>
        <w:tc>
          <w:tcPr>
            <w:tcW w:w="847" w:type="dxa"/>
          </w:tcPr>
          <w:p>
            <w:pPr>
              <w:pStyle w:val="TableParagraph"/>
              <w:rPr>
                <w:rFonts w:ascii="Times New Roman"/>
                <w:sz w:val="14"/>
              </w:rPr>
            </w:pPr>
          </w:p>
        </w:tc>
        <w:tc>
          <w:tcPr>
            <w:tcW w:w="875" w:type="dxa"/>
          </w:tcPr>
          <w:p>
            <w:pPr>
              <w:pStyle w:val="TableParagraph"/>
              <w:spacing w:before="32"/>
              <w:ind w:left="489"/>
              <w:rPr>
                <w:sz w:val="14"/>
              </w:rPr>
            </w:pPr>
            <w:r>
              <w:rPr>
                <w:sz w:val="14"/>
              </w:rPr>
              <w:t>550</w:t>
            </w:r>
          </w:p>
        </w:tc>
        <w:tc>
          <w:tcPr>
            <w:tcW w:w="711" w:type="dxa"/>
          </w:tcPr>
          <w:p>
            <w:pPr>
              <w:pStyle w:val="TableParagraph"/>
              <w:rPr>
                <w:rFonts w:ascii="Times New Roman"/>
                <w:sz w:val="14"/>
              </w:rPr>
            </w:pPr>
          </w:p>
        </w:tc>
        <w:tc>
          <w:tcPr>
            <w:tcW w:w="1004" w:type="dxa"/>
          </w:tcPr>
          <w:p>
            <w:pPr>
              <w:pStyle w:val="TableParagraph"/>
              <w:spacing w:before="32"/>
              <w:ind w:left="-16" w:right="14"/>
              <w:jc w:val="right"/>
              <w:rPr>
                <w:sz w:val="14"/>
              </w:rPr>
            </w:pPr>
            <w:r>
              <w:rPr>
                <w:sz w:val="14"/>
              </w:rPr>
              <w:t>605</w:t>
            </w:r>
          </w:p>
        </w:tc>
      </w:tr>
      <w:tr>
        <w:trPr>
          <w:trHeight w:val="227" w:hRule="atLeast"/>
        </w:trPr>
        <w:tc>
          <w:tcPr>
            <w:tcW w:w="470" w:type="dxa"/>
          </w:tcPr>
          <w:p>
            <w:pPr>
              <w:pStyle w:val="TableParagraph"/>
              <w:rPr>
                <w:rFonts w:ascii="Times New Roman"/>
                <w:sz w:val="14"/>
              </w:rPr>
            </w:pPr>
          </w:p>
        </w:tc>
        <w:tc>
          <w:tcPr>
            <w:tcW w:w="4801" w:type="dxa"/>
          </w:tcPr>
          <w:p>
            <w:pPr>
              <w:pStyle w:val="TableParagraph"/>
              <w:spacing w:before="32"/>
              <w:ind w:left="263"/>
              <w:rPr>
                <w:sz w:val="14"/>
              </w:rPr>
            </w:pPr>
            <w:r>
              <w:rPr>
                <w:sz w:val="14"/>
              </w:rPr>
              <w:t>and Colleges</w:t>
            </w:r>
          </w:p>
        </w:tc>
        <w:tc>
          <w:tcPr>
            <w:tcW w:w="817" w:type="dxa"/>
          </w:tcPr>
          <w:p>
            <w:pPr>
              <w:pStyle w:val="TableParagraph"/>
              <w:rPr>
                <w:rFonts w:ascii="Times New Roman"/>
                <w:sz w:val="14"/>
              </w:rPr>
            </w:pPr>
          </w:p>
        </w:tc>
        <w:tc>
          <w:tcPr>
            <w:tcW w:w="1075" w:type="dxa"/>
          </w:tcPr>
          <w:p>
            <w:pPr>
              <w:pStyle w:val="TableParagraph"/>
              <w:rPr>
                <w:rFonts w:ascii="Times New Roman"/>
                <w:sz w:val="14"/>
              </w:rPr>
            </w:pPr>
          </w:p>
        </w:tc>
        <w:tc>
          <w:tcPr>
            <w:tcW w:w="1191" w:type="dxa"/>
          </w:tcPr>
          <w:p>
            <w:pPr>
              <w:pStyle w:val="TableParagraph"/>
              <w:rPr>
                <w:rFonts w:ascii="Times New Roman"/>
                <w:sz w:val="14"/>
              </w:rPr>
            </w:pPr>
          </w:p>
        </w:tc>
        <w:tc>
          <w:tcPr>
            <w:tcW w:w="1211" w:type="dxa"/>
          </w:tcPr>
          <w:p>
            <w:pPr>
              <w:pStyle w:val="TableParagraph"/>
              <w:rPr>
                <w:rFonts w:ascii="Times New Roman"/>
                <w:sz w:val="14"/>
              </w:rPr>
            </w:pPr>
          </w:p>
        </w:tc>
        <w:tc>
          <w:tcPr>
            <w:tcW w:w="901" w:type="dxa"/>
          </w:tcPr>
          <w:p>
            <w:pPr>
              <w:pStyle w:val="TableParagraph"/>
              <w:rPr>
                <w:rFonts w:ascii="Times New Roman"/>
                <w:sz w:val="14"/>
              </w:rPr>
            </w:pPr>
          </w:p>
        </w:tc>
        <w:tc>
          <w:tcPr>
            <w:tcW w:w="898" w:type="dxa"/>
          </w:tcPr>
          <w:p>
            <w:pPr>
              <w:pStyle w:val="TableParagraph"/>
              <w:rPr>
                <w:rFonts w:ascii="Times New Roman"/>
                <w:sz w:val="14"/>
              </w:rPr>
            </w:pPr>
          </w:p>
        </w:tc>
        <w:tc>
          <w:tcPr>
            <w:tcW w:w="847" w:type="dxa"/>
          </w:tcPr>
          <w:p>
            <w:pPr>
              <w:pStyle w:val="TableParagraph"/>
              <w:rPr>
                <w:rFonts w:ascii="Times New Roman"/>
                <w:sz w:val="14"/>
              </w:rPr>
            </w:pPr>
          </w:p>
        </w:tc>
        <w:tc>
          <w:tcPr>
            <w:tcW w:w="875" w:type="dxa"/>
          </w:tcPr>
          <w:p>
            <w:pPr>
              <w:pStyle w:val="TableParagraph"/>
              <w:rPr>
                <w:rFonts w:ascii="Times New Roman"/>
                <w:sz w:val="14"/>
              </w:rPr>
            </w:pPr>
          </w:p>
        </w:tc>
        <w:tc>
          <w:tcPr>
            <w:tcW w:w="711" w:type="dxa"/>
          </w:tcPr>
          <w:p>
            <w:pPr>
              <w:pStyle w:val="TableParagraph"/>
              <w:rPr>
                <w:rFonts w:ascii="Times New Roman"/>
                <w:sz w:val="14"/>
              </w:rPr>
            </w:pPr>
          </w:p>
        </w:tc>
        <w:tc>
          <w:tcPr>
            <w:tcW w:w="1004" w:type="dxa"/>
          </w:tcPr>
          <w:p>
            <w:pPr>
              <w:pStyle w:val="TableParagraph"/>
              <w:rPr>
                <w:rFonts w:ascii="Times New Roman"/>
                <w:sz w:val="14"/>
              </w:rPr>
            </w:pPr>
          </w:p>
        </w:tc>
      </w:tr>
    </w:tbl>
    <w:p>
      <w:pPr>
        <w:spacing w:after="0"/>
        <w:rPr>
          <w:rFonts w:ascii="Times New Roman"/>
          <w:sz w:val="14"/>
        </w:rPr>
        <w:sectPr>
          <w:headerReference w:type="default" r:id="rId10"/>
          <w:pgSz w:w="16840" w:h="11900" w:orient="landscape"/>
          <w:pgMar w:header="1107" w:footer="0" w:top="2040" w:bottom="280" w:left="880" w:right="920"/>
        </w:sectPr>
      </w:pPr>
    </w:p>
    <w:p>
      <w:pPr>
        <w:pStyle w:val="BodyText"/>
        <w:spacing w:before="9"/>
        <w:rPr>
          <w:rFonts w:ascii="Times New Roman"/>
          <w:sz w:val="12"/>
        </w:rPr>
      </w:pPr>
      <w:r>
        <w:rPr/>
        <w:pict>
          <v:shape style="position:absolute;margin-left:27.140491pt;margin-top:281.550018pt;width:14.35pt;height:27.8pt;mso-position-horizontal-relative:page;mso-position-vertical-relative:page;z-index:1768" type="#_x0000_t202" filled="false" stroked="false">
            <v:textbox inset="0,0,0,0" style="layout-flow:vertical">
              <w:txbxContent>
                <w:p>
                  <w:pPr>
                    <w:spacing w:before="13"/>
                    <w:ind w:left="20" w:right="0" w:firstLine="0"/>
                    <w:jc w:val="left"/>
                    <w:rPr>
                      <w:rFonts w:ascii="Arial"/>
                      <w:sz w:val="22"/>
                    </w:rPr>
                  </w:pPr>
                  <w:r>
                    <w:rPr>
                      <w:rFonts w:ascii="Arial"/>
                      <w:sz w:val="22"/>
                    </w:rPr>
                    <w:t>xxviii</w:t>
                  </w:r>
                </w:p>
              </w:txbxContent>
            </v:textbox>
            <w10:wrap type="none"/>
          </v:shape>
        </w:pict>
      </w:r>
    </w:p>
    <w:p>
      <w:pPr>
        <w:tabs>
          <w:tab w:pos="11610" w:val="left" w:leader="none"/>
          <w:tab w:pos="13256" w:val="left" w:leader="none"/>
        </w:tabs>
        <w:spacing w:before="0" w:after="33"/>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865"/>
        <w:gridCol w:w="752"/>
        <w:gridCol w:w="1125"/>
        <w:gridCol w:w="1128"/>
        <w:gridCol w:w="1221"/>
        <w:gridCol w:w="923"/>
        <w:gridCol w:w="875"/>
        <w:gridCol w:w="885"/>
        <w:gridCol w:w="896"/>
        <w:gridCol w:w="826"/>
        <w:gridCol w:w="827"/>
      </w:tblGrid>
      <w:tr>
        <w:trPr>
          <w:trHeight w:val="390"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line="127" w:lineRule="exact" w:before="60"/>
              <w:ind w:left="17"/>
              <w:rPr>
                <w:sz w:val="14"/>
              </w:rPr>
            </w:pPr>
            <w:r>
              <w:rPr>
                <w:spacing w:val="2"/>
                <w:sz w:val="14"/>
              </w:rPr>
              <w:t>Code</w:t>
            </w:r>
          </w:p>
        </w:tc>
        <w:tc>
          <w:tcPr>
            <w:tcW w:w="4865" w:type="dxa"/>
            <w:tcBorders>
              <w:top w:val="single" w:sz="4" w:space="0" w:color="000000"/>
              <w:bottom w:val="single" w:sz="18" w:space="0" w:color="000000"/>
            </w:tcBorders>
          </w:tcPr>
          <w:p>
            <w:pPr>
              <w:pStyle w:val="TableParagraph"/>
              <w:spacing w:before="22"/>
              <w:ind w:left="113"/>
              <w:rPr>
                <w:sz w:val="14"/>
              </w:rPr>
            </w:pPr>
            <w:r>
              <w:rPr>
                <w:sz w:val="14"/>
              </w:rPr>
              <w:t>National Development Plan Cluster/ Ministry, Department</w:t>
            </w:r>
          </w:p>
          <w:p>
            <w:pPr>
              <w:pStyle w:val="TableParagraph"/>
              <w:spacing w:line="127" w:lineRule="exact" w:before="60"/>
              <w:ind w:left="114"/>
              <w:rPr>
                <w:sz w:val="14"/>
              </w:rPr>
            </w:pPr>
            <w:r>
              <w:rPr>
                <w:sz w:val="14"/>
              </w:rPr>
              <w:t>and Agency (MDAs)</w:t>
            </w:r>
          </w:p>
        </w:tc>
        <w:tc>
          <w:tcPr>
            <w:tcW w:w="752" w:type="dxa"/>
            <w:tcBorders>
              <w:top w:val="single" w:sz="4" w:space="0" w:color="000000"/>
              <w:bottom w:val="single" w:sz="18" w:space="0" w:color="000000"/>
            </w:tcBorders>
          </w:tcPr>
          <w:p>
            <w:pPr>
              <w:pStyle w:val="TableParagraph"/>
              <w:spacing w:before="22"/>
              <w:ind w:left="135"/>
              <w:rPr>
                <w:sz w:val="14"/>
              </w:rPr>
            </w:pPr>
            <w:r>
              <w:rPr>
                <w:sz w:val="14"/>
              </w:rPr>
              <w:t>Status</w:t>
            </w:r>
          </w:p>
        </w:tc>
        <w:tc>
          <w:tcPr>
            <w:tcW w:w="1125" w:type="dxa"/>
            <w:tcBorders>
              <w:top w:val="single" w:sz="4" w:space="0" w:color="000000"/>
              <w:bottom w:val="single" w:sz="18" w:space="0" w:color="000000"/>
            </w:tcBorders>
          </w:tcPr>
          <w:p>
            <w:pPr>
              <w:pStyle w:val="TableParagraph"/>
              <w:spacing w:before="22"/>
              <w:ind w:left="108"/>
              <w:rPr>
                <w:sz w:val="14"/>
              </w:rPr>
            </w:pPr>
            <w:r>
              <w:rPr>
                <w:sz w:val="14"/>
              </w:rPr>
              <w:t>Location</w:t>
            </w:r>
          </w:p>
        </w:tc>
        <w:tc>
          <w:tcPr>
            <w:tcW w:w="1128" w:type="dxa"/>
            <w:tcBorders>
              <w:top w:val="single" w:sz="4" w:space="0" w:color="000000"/>
              <w:bottom w:val="single" w:sz="18" w:space="0" w:color="000000"/>
            </w:tcBorders>
          </w:tcPr>
          <w:p>
            <w:pPr>
              <w:pStyle w:val="TableParagraph"/>
              <w:spacing w:before="22"/>
              <w:ind w:left="53"/>
              <w:rPr>
                <w:sz w:val="14"/>
              </w:rPr>
            </w:pPr>
            <w:r>
              <w:rPr>
                <w:spacing w:val="6"/>
                <w:sz w:val="14"/>
              </w:rPr>
              <w:t>Funding</w:t>
            </w:r>
          </w:p>
          <w:p>
            <w:pPr>
              <w:pStyle w:val="TableParagraph"/>
              <w:spacing w:line="127" w:lineRule="exact" w:before="60"/>
              <w:ind w:left="106"/>
              <w:rPr>
                <w:sz w:val="14"/>
              </w:rPr>
            </w:pPr>
            <w:r>
              <w:rPr>
                <w:spacing w:val="4"/>
                <w:sz w:val="14"/>
              </w:rPr>
              <w:t>Source</w:t>
            </w:r>
          </w:p>
        </w:tc>
        <w:tc>
          <w:tcPr>
            <w:tcW w:w="1221" w:type="dxa"/>
            <w:tcBorders>
              <w:top w:val="single" w:sz="4" w:space="0" w:color="000000"/>
              <w:bottom w:val="single" w:sz="18" w:space="0" w:color="000000"/>
            </w:tcBorders>
          </w:tcPr>
          <w:p>
            <w:pPr>
              <w:pStyle w:val="TableParagraph"/>
              <w:spacing w:before="22"/>
              <w:ind w:left="176" w:right="499"/>
              <w:jc w:val="center"/>
              <w:rPr>
                <w:sz w:val="14"/>
              </w:rPr>
            </w:pPr>
            <w:r>
              <w:rPr>
                <w:sz w:val="14"/>
              </w:rPr>
              <w:t>Funding</w:t>
            </w:r>
          </w:p>
          <w:p>
            <w:pPr>
              <w:pStyle w:val="TableParagraph"/>
              <w:spacing w:line="127" w:lineRule="exact" w:before="60"/>
              <w:ind w:left="176" w:right="439"/>
              <w:jc w:val="center"/>
              <w:rPr>
                <w:sz w:val="14"/>
              </w:rPr>
            </w:pPr>
            <w:r>
              <w:rPr>
                <w:sz w:val="14"/>
              </w:rPr>
              <w:t>Type</w:t>
            </w:r>
          </w:p>
        </w:tc>
        <w:tc>
          <w:tcPr>
            <w:tcW w:w="923" w:type="dxa"/>
            <w:tcBorders>
              <w:top w:val="single" w:sz="4" w:space="0" w:color="000000"/>
              <w:bottom w:val="single" w:sz="18" w:space="0" w:color="000000"/>
            </w:tcBorders>
          </w:tcPr>
          <w:p>
            <w:pPr>
              <w:pStyle w:val="TableParagraph"/>
              <w:spacing w:before="22"/>
              <w:ind w:left="138"/>
              <w:rPr>
                <w:sz w:val="14"/>
              </w:rPr>
            </w:pPr>
            <w:r>
              <w:rPr>
                <w:sz w:val="14"/>
              </w:rPr>
              <w:t>Foreign</w:t>
            </w:r>
          </w:p>
        </w:tc>
        <w:tc>
          <w:tcPr>
            <w:tcW w:w="875" w:type="dxa"/>
            <w:tcBorders>
              <w:top w:val="single" w:sz="4" w:space="0" w:color="000000"/>
              <w:bottom w:val="single" w:sz="18" w:space="0" w:color="000000"/>
            </w:tcBorders>
          </w:tcPr>
          <w:p>
            <w:pPr>
              <w:pStyle w:val="TableParagraph"/>
              <w:spacing w:before="22"/>
              <w:ind w:right="111"/>
              <w:jc w:val="right"/>
              <w:rPr>
                <w:sz w:val="14"/>
              </w:rPr>
            </w:pPr>
            <w:r>
              <w:rPr>
                <w:w w:val="95"/>
                <w:sz w:val="14"/>
              </w:rPr>
              <w:t>Domestic</w:t>
            </w:r>
          </w:p>
        </w:tc>
        <w:tc>
          <w:tcPr>
            <w:tcW w:w="885" w:type="dxa"/>
            <w:tcBorders>
              <w:top w:val="single" w:sz="4" w:space="0" w:color="000000"/>
              <w:bottom w:val="single" w:sz="18" w:space="0" w:color="000000"/>
            </w:tcBorders>
          </w:tcPr>
          <w:p>
            <w:pPr>
              <w:pStyle w:val="TableParagraph"/>
              <w:spacing w:before="22"/>
              <w:ind w:right="199"/>
              <w:jc w:val="right"/>
              <w:rPr>
                <w:sz w:val="14"/>
              </w:rPr>
            </w:pPr>
            <w:r>
              <w:rPr>
                <w:w w:val="95"/>
                <w:sz w:val="14"/>
              </w:rPr>
              <w:t>Foreign</w:t>
            </w:r>
          </w:p>
        </w:tc>
        <w:tc>
          <w:tcPr>
            <w:tcW w:w="896" w:type="dxa"/>
            <w:tcBorders>
              <w:top w:val="single" w:sz="4" w:space="0" w:color="000000"/>
              <w:bottom w:val="single" w:sz="18" w:space="0" w:color="000000"/>
            </w:tcBorders>
          </w:tcPr>
          <w:p>
            <w:pPr>
              <w:pStyle w:val="TableParagraph"/>
              <w:spacing w:before="22"/>
              <w:ind w:left="215"/>
              <w:rPr>
                <w:sz w:val="14"/>
              </w:rPr>
            </w:pPr>
            <w:r>
              <w:rPr>
                <w:sz w:val="14"/>
              </w:rPr>
              <w:t>Domestic</w:t>
            </w:r>
          </w:p>
        </w:tc>
        <w:tc>
          <w:tcPr>
            <w:tcW w:w="826" w:type="dxa"/>
            <w:tcBorders>
              <w:top w:val="single" w:sz="4" w:space="0" w:color="000000"/>
              <w:bottom w:val="single" w:sz="18" w:space="0" w:color="000000"/>
            </w:tcBorders>
          </w:tcPr>
          <w:p>
            <w:pPr>
              <w:pStyle w:val="TableParagraph"/>
              <w:spacing w:before="22"/>
              <w:ind w:right="165"/>
              <w:jc w:val="right"/>
              <w:rPr>
                <w:sz w:val="14"/>
              </w:rPr>
            </w:pPr>
            <w:r>
              <w:rPr>
                <w:w w:val="95"/>
                <w:sz w:val="14"/>
              </w:rPr>
              <w:t>Foreign</w:t>
            </w:r>
          </w:p>
        </w:tc>
        <w:tc>
          <w:tcPr>
            <w:tcW w:w="827" w:type="dxa"/>
            <w:tcBorders>
              <w:top w:val="single" w:sz="4" w:space="0" w:color="000000"/>
              <w:bottom w:val="single" w:sz="18" w:space="0" w:color="000000"/>
            </w:tcBorders>
          </w:tcPr>
          <w:p>
            <w:pPr>
              <w:pStyle w:val="TableParagraph"/>
              <w:spacing w:before="22"/>
              <w:ind w:right="84"/>
              <w:jc w:val="right"/>
              <w:rPr>
                <w:sz w:val="14"/>
              </w:rPr>
            </w:pPr>
            <w:r>
              <w:rPr>
                <w:w w:val="95"/>
                <w:sz w:val="14"/>
              </w:rPr>
              <w:t>Domestic</w:t>
            </w:r>
          </w:p>
        </w:tc>
      </w:tr>
      <w:tr>
        <w:trPr>
          <w:trHeight w:val="284" w:hRule="atLeast"/>
        </w:trPr>
        <w:tc>
          <w:tcPr>
            <w:tcW w:w="470" w:type="dxa"/>
            <w:tcBorders>
              <w:top w:val="single" w:sz="18" w:space="0" w:color="000000"/>
            </w:tcBorders>
          </w:tcPr>
          <w:p>
            <w:pPr>
              <w:pStyle w:val="TableParagraph"/>
              <w:rPr>
                <w:rFonts w:ascii="Times New Roman"/>
                <w:sz w:val="14"/>
              </w:rPr>
            </w:pPr>
          </w:p>
        </w:tc>
        <w:tc>
          <w:tcPr>
            <w:tcW w:w="4865" w:type="dxa"/>
            <w:tcBorders>
              <w:top w:val="single" w:sz="18" w:space="0" w:color="000000"/>
            </w:tcBorders>
          </w:tcPr>
          <w:p>
            <w:pPr>
              <w:pStyle w:val="TableParagraph"/>
              <w:spacing w:before="86"/>
              <w:ind w:left="262"/>
              <w:rPr>
                <w:sz w:val="14"/>
              </w:rPr>
            </w:pPr>
            <w:r>
              <w:rPr>
                <w:sz w:val="14"/>
              </w:rPr>
              <w:t>Rehabilitation and Refurbishment of Teacher Training Colleges</w:t>
            </w:r>
          </w:p>
        </w:tc>
        <w:tc>
          <w:tcPr>
            <w:tcW w:w="752" w:type="dxa"/>
            <w:tcBorders>
              <w:top w:val="single" w:sz="18" w:space="0" w:color="000000"/>
            </w:tcBorders>
          </w:tcPr>
          <w:p>
            <w:pPr>
              <w:pStyle w:val="TableParagraph"/>
              <w:spacing w:before="86"/>
              <w:ind w:left="101"/>
              <w:rPr>
                <w:sz w:val="14"/>
              </w:rPr>
            </w:pPr>
            <w:r>
              <w:rPr>
                <w:sz w:val="14"/>
              </w:rPr>
              <w:t>New</w:t>
            </w:r>
          </w:p>
        </w:tc>
        <w:tc>
          <w:tcPr>
            <w:tcW w:w="1125" w:type="dxa"/>
            <w:tcBorders>
              <w:top w:val="single" w:sz="18" w:space="0" w:color="000000"/>
            </w:tcBorders>
          </w:tcPr>
          <w:p>
            <w:pPr>
              <w:pStyle w:val="TableParagraph"/>
              <w:rPr>
                <w:rFonts w:ascii="Times New Roman"/>
                <w:sz w:val="14"/>
              </w:rPr>
            </w:pPr>
          </w:p>
        </w:tc>
        <w:tc>
          <w:tcPr>
            <w:tcW w:w="1128" w:type="dxa"/>
            <w:tcBorders>
              <w:top w:val="single" w:sz="18" w:space="0" w:color="000000"/>
            </w:tcBorders>
          </w:tcPr>
          <w:p>
            <w:pPr>
              <w:pStyle w:val="TableParagraph"/>
              <w:spacing w:before="86"/>
              <w:ind w:left="96"/>
              <w:rPr>
                <w:sz w:val="14"/>
              </w:rPr>
            </w:pPr>
            <w:r>
              <w:rPr>
                <w:sz w:val="14"/>
              </w:rPr>
              <w:t>GoSL</w:t>
            </w:r>
          </w:p>
        </w:tc>
        <w:tc>
          <w:tcPr>
            <w:tcW w:w="1221" w:type="dxa"/>
            <w:tcBorders>
              <w:top w:val="single" w:sz="18" w:space="0" w:color="000000"/>
            </w:tcBorders>
          </w:tcPr>
          <w:p>
            <w:pPr>
              <w:pStyle w:val="TableParagraph"/>
              <w:spacing w:before="86"/>
              <w:ind w:left="217"/>
              <w:rPr>
                <w:sz w:val="14"/>
              </w:rPr>
            </w:pPr>
            <w:r>
              <w:rPr>
                <w:sz w:val="14"/>
              </w:rPr>
              <w:t>Budget</w:t>
            </w:r>
          </w:p>
        </w:tc>
        <w:tc>
          <w:tcPr>
            <w:tcW w:w="923" w:type="dxa"/>
            <w:tcBorders>
              <w:top w:val="single" w:sz="18" w:space="0" w:color="000000"/>
            </w:tcBorders>
          </w:tcPr>
          <w:p>
            <w:pPr>
              <w:pStyle w:val="TableParagraph"/>
              <w:rPr>
                <w:rFonts w:ascii="Times New Roman"/>
                <w:sz w:val="14"/>
              </w:rPr>
            </w:pPr>
          </w:p>
        </w:tc>
        <w:tc>
          <w:tcPr>
            <w:tcW w:w="875" w:type="dxa"/>
            <w:tcBorders>
              <w:top w:val="single" w:sz="18" w:space="0" w:color="000000"/>
            </w:tcBorders>
          </w:tcPr>
          <w:p>
            <w:pPr>
              <w:pStyle w:val="TableParagraph"/>
              <w:spacing w:before="86"/>
              <w:ind w:right="160"/>
              <w:jc w:val="right"/>
              <w:rPr>
                <w:sz w:val="14"/>
              </w:rPr>
            </w:pPr>
            <w:r>
              <w:rPr>
                <w:sz w:val="14"/>
              </w:rPr>
              <w:t>1,000</w:t>
            </w:r>
          </w:p>
        </w:tc>
        <w:tc>
          <w:tcPr>
            <w:tcW w:w="885" w:type="dxa"/>
            <w:tcBorders>
              <w:top w:val="single" w:sz="18" w:space="0" w:color="000000"/>
            </w:tcBorders>
          </w:tcPr>
          <w:p>
            <w:pPr>
              <w:pStyle w:val="TableParagraph"/>
              <w:rPr>
                <w:rFonts w:ascii="Times New Roman"/>
                <w:sz w:val="14"/>
              </w:rPr>
            </w:pPr>
          </w:p>
        </w:tc>
        <w:tc>
          <w:tcPr>
            <w:tcW w:w="896" w:type="dxa"/>
            <w:tcBorders>
              <w:top w:val="single" w:sz="18" w:space="0" w:color="000000"/>
            </w:tcBorders>
          </w:tcPr>
          <w:p>
            <w:pPr>
              <w:pStyle w:val="TableParagraph"/>
              <w:spacing w:before="86"/>
              <w:ind w:left="324"/>
              <w:rPr>
                <w:sz w:val="14"/>
              </w:rPr>
            </w:pPr>
            <w:r>
              <w:rPr>
                <w:sz w:val="14"/>
              </w:rPr>
              <w:t>1,100</w:t>
            </w:r>
          </w:p>
        </w:tc>
        <w:tc>
          <w:tcPr>
            <w:tcW w:w="826" w:type="dxa"/>
            <w:tcBorders>
              <w:top w:val="single" w:sz="18" w:space="0" w:color="000000"/>
            </w:tcBorders>
          </w:tcPr>
          <w:p>
            <w:pPr>
              <w:pStyle w:val="TableParagraph"/>
              <w:rPr>
                <w:rFonts w:ascii="Times New Roman"/>
                <w:sz w:val="14"/>
              </w:rPr>
            </w:pPr>
          </w:p>
        </w:tc>
        <w:tc>
          <w:tcPr>
            <w:tcW w:w="827" w:type="dxa"/>
            <w:tcBorders>
              <w:top w:val="single" w:sz="18" w:space="0" w:color="000000"/>
            </w:tcBorders>
          </w:tcPr>
          <w:p>
            <w:pPr>
              <w:pStyle w:val="TableParagraph"/>
              <w:spacing w:before="86"/>
              <w:ind w:right="15"/>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3"/>
              <w:rPr>
                <w:sz w:val="14"/>
              </w:rPr>
            </w:pPr>
            <w:r>
              <w:rPr>
                <w:sz w:val="14"/>
              </w:rPr>
              <w:t>Education Sector Project (Bunumbu and Milton Margai)</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9"/>
              <w:rPr>
                <w:sz w:val="14"/>
              </w:rPr>
            </w:pPr>
            <w:r>
              <w:rPr>
                <w:sz w:val="14"/>
              </w:rPr>
              <w:t>Bunumba</w:t>
            </w:r>
          </w:p>
        </w:tc>
        <w:tc>
          <w:tcPr>
            <w:tcW w:w="1128" w:type="dxa"/>
          </w:tcPr>
          <w:p>
            <w:pPr>
              <w:pStyle w:val="TableParagraph"/>
              <w:spacing w:before="32"/>
              <w:ind w:left="97"/>
              <w:rPr>
                <w:sz w:val="14"/>
              </w:rPr>
            </w:pPr>
            <w:r>
              <w:rPr>
                <w:sz w:val="14"/>
              </w:rPr>
              <w:t>BADEA/ GoSL</w:t>
            </w:r>
          </w:p>
        </w:tc>
        <w:tc>
          <w:tcPr>
            <w:tcW w:w="1221" w:type="dxa"/>
          </w:tcPr>
          <w:p>
            <w:pPr>
              <w:pStyle w:val="TableParagraph"/>
              <w:spacing w:before="32"/>
              <w:ind w:left="217"/>
              <w:rPr>
                <w:sz w:val="14"/>
              </w:rPr>
            </w:pPr>
            <w:r>
              <w:rPr>
                <w:sz w:val="14"/>
              </w:rPr>
              <w:t>Loan/ Budget</w:t>
            </w:r>
          </w:p>
        </w:tc>
        <w:tc>
          <w:tcPr>
            <w:tcW w:w="923" w:type="dxa"/>
          </w:tcPr>
          <w:p>
            <w:pPr>
              <w:pStyle w:val="TableParagraph"/>
              <w:spacing w:before="32"/>
              <w:ind w:right="190"/>
              <w:jc w:val="right"/>
              <w:rPr>
                <w:sz w:val="14"/>
              </w:rPr>
            </w:pPr>
            <w:r>
              <w:rPr>
                <w:w w:val="95"/>
                <w:sz w:val="14"/>
              </w:rPr>
              <w:t>38,750</w:t>
            </w:r>
          </w:p>
        </w:tc>
        <w:tc>
          <w:tcPr>
            <w:tcW w:w="875" w:type="dxa"/>
          </w:tcPr>
          <w:p>
            <w:pPr>
              <w:pStyle w:val="TableParagraph"/>
              <w:spacing w:before="32"/>
              <w:ind w:right="152"/>
              <w:jc w:val="right"/>
              <w:rPr>
                <w:sz w:val="14"/>
              </w:rPr>
            </w:pPr>
            <w:r>
              <w:rPr>
                <w:sz w:val="14"/>
              </w:rPr>
              <w:t>3,000</w:t>
            </w:r>
          </w:p>
        </w:tc>
        <w:tc>
          <w:tcPr>
            <w:tcW w:w="885" w:type="dxa"/>
          </w:tcPr>
          <w:p>
            <w:pPr>
              <w:pStyle w:val="TableParagraph"/>
              <w:spacing w:before="32"/>
              <w:ind w:right="193"/>
              <w:jc w:val="right"/>
              <w:rPr>
                <w:sz w:val="14"/>
              </w:rPr>
            </w:pPr>
            <w:r>
              <w:rPr>
                <w:w w:val="95"/>
                <w:sz w:val="14"/>
              </w:rPr>
              <w:t>143,550</w:t>
            </w:r>
          </w:p>
        </w:tc>
        <w:tc>
          <w:tcPr>
            <w:tcW w:w="896" w:type="dxa"/>
          </w:tcPr>
          <w:p>
            <w:pPr>
              <w:pStyle w:val="TableParagraph"/>
              <w:spacing w:before="32"/>
              <w:ind w:left="324"/>
              <w:rPr>
                <w:sz w:val="14"/>
              </w:rPr>
            </w:pPr>
            <w:r>
              <w:rPr>
                <w:sz w:val="14"/>
              </w:rPr>
              <w:t>4,785</w:t>
            </w:r>
          </w:p>
        </w:tc>
        <w:tc>
          <w:tcPr>
            <w:tcW w:w="826" w:type="dxa"/>
          </w:tcPr>
          <w:p>
            <w:pPr>
              <w:pStyle w:val="TableParagraph"/>
              <w:spacing w:before="32"/>
              <w:ind w:right="163"/>
              <w:jc w:val="right"/>
              <w:rPr>
                <w:sz w:val="14"/>
              </w:rPr>
            </w:pPr>
            <w:r>
              <w:rPr>
                <w:sz w:val="14"/>
              </w:rPr>
              <w:t>105,700</w:t>
            </w:r>
          </w:p>
        </w:tc>
        <w:tc>
          <w:tcPr>
            <w:tcW w:w="827" w:type="dxa"/>
          </w:tcPr>
          <w:p>
            <w:pPr>
              <w:pStyle w:val="TableParagraph"/>
              <w:spacing w:before="32"/>
              <w:ind w:right="15"/>
              <w:jc w:val="right"/>
              <w:rPr>
                <w:sz w:val="14"/>
              </w:rPr>
            </w:pPr>
            <w:r>
              <w:rPr>
                <w:sz w:val="14"/>
              </w:rPr>
              <w:t>4,785</w:t>
            </w:r>
          </w:p>
        </w:tc>
      </w:tr>
      <w:tr>
        <w:trPr>
          <w:trHeight w:val="230" w:hRule="atLeast"/>
        </w:trPr>
        <w:tc>
          <w:tcPr>
            <w:tcW w:w="470" w:type="dxa"/>
          </w:tcPr>
          <w:p>
            <w:pPr>
              <w:pStyle w:val="TableParagraph"/>
              <w:rPr>
                <w:rFonts w:ascii="Times New Roman"/>
                <w:sz w:val="14"/>
              </w:rPr>
            </w:pPr>
          </w:p>
        </w:tc>
        <w:tc>
          <w:tcPr>
            <w:tcW w:w="4865" w:type="dxa"/>
          </w:tcPr>
          <w:p>
            <w:pPr>
              <w:pStyle w:val="TableParagraph"/>
              <w:rPr>
                <w:rFonts w:ascii="Times New Roman"/>
                <w:sz w:val="14"/>
              </w:rPr>
            </w:pPr>
          </w:p>
        </w:tc>
        <w:tc>
          <w:tcPr>
            <w:tcW w:w="752" w:type="dxa"/>
          </w:tcPr>
          <w:p>
            <w:pPr>
              <w:pStyle w:val="TableParagraph"/>
              <w:rPr>
                <w:rFonts w:ascii="Times New Roman"/>
                <w:sz w:val="14"/>
              </w:rPr>
            </w:pPr>
          </w:p>
        </w:tc>
        <w:tc>
          <w:tcPr>
            <w:tcW w:w="1125" w:type="dxa"/>
          </w:tcPr>
          <w:p>
            <w:pPr>
              <w:pStyle w:val="TableParagraph"/>
              <w:spacing w:before="32"/>
              <w:ind w:left="92"/>
              <w:rPr>
                <w:sz w:val="14"/>
              </w:rPr>
            </w:pPr>
            <w:r>
              <w:rPr>
                <w:sz w:val="14"/>
              </w:rPr>
              <w:t>/ Freetown</w:t>
            </w:r>
          </w:p>
        </w:tc>
        <w:tc>
          <w:tcPr>
            <w:tcW w:w="1128" w:type="dxa"/>
          </w:tcPr>
          <w:p>
            <w:pPr>
              <w:pStyle w:val="TableParagraph"/>
              <w:rPr>
                <w:rFonts w:ascii="Times New Roman"/>
                <w:sz w:val="14"/>
              </w:rPr>
            </w:pP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Rehabilitation and Refurbishment of Government</w:t>
            </w:r>
          </w:p>
        </w:tc>
        <w:tc>
          <w:tcPr>
            <w:tcW w:w="752" w:type="dxa"/>
          </w:tcPr>
          <w:p>
            <w:pPr>
              <w:pStyle w:val="TableParagraph"/>
              <w:spacing w:before="32"/>
              <w:ind w:left="101"/>
              <w:rPr>
                <w:sz w:val="14"/>
              </w:rPr>
            </w:pPr>
            <w:r>
              <w:rPr>
                <w:sz w:val="14"/>
              </w:rPr>
              <w:t>New</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52"/>
              <w:jc w:val="right"/>
              <w:rPr>
                <w:sz w:val="14"/>
              </w:rPr>
            </w:pPr>
            <w:r>
              <w:rPr>
                <w:sz w:val="14"/>
              </w:rPr>
              <w:t>1,000</w:t>
            </w:r>
          </w:p>
        </w:tc>
        <w:tc>
          <w:tcPr>
            <w:tcW w:w="885" w:type="dxa"/>
          </w:tcPr>
          <w:p>
            <w:pPr>
              <w:pStyle w:val="TableParagraph"/>
              <w:rPr>
                <w:rFonts w:ascii="Times New Roman"/>
                <w:sz w:val="14"/>
              </w:rPr>
            </w:pPr>
          </w:p>
        </w:tc>
        <w:tc>
          <w:tcPr>
            <w:tcW w:w="896" w:type="dxa"/>
          </w:tcPr>
          <w:p>
            <w:pPr>
              <w:pStyle w:val="TableParagraph"/>
              <w:spacing w:before="32"/>
              <w:ind w:left="324"/>
              <w:rPr>
                <w:sz w:val="14"/>
              </w:rPr>
            </w:pPr>
            <w:r>
              <w:rPr>
                <w:sz w:val="14"/>
              </w:rPr>
              <w:t>1,100</w:t>
            </w:r>
          </w:p>
        </w:tc>
        <w:tc>
          <w:tcPr>
            <w:tcW w:w="826" w:type="dxa"/>
          </w:tcPr>
          <w:p>
            <w:pPr>
              <w:pStyle w:val="TableParagraph"/>
              <w:rPr>
                <w:rFonts w:ascii="Times New Roman"/>
                <w:sz w:val="14"/>
              </w:rPr>
            </w:pPr>
          </w:p>
        </w:tc>
        <w:tc>
          <w:tcPr>
            <w:tcW w:w="827" w:type="dxa"/>
          </w:tcPr>
          <w:p>
            <w:pPr>
              <w:pStyle w:val="TableParagraph"/>
              <w:spacing w:before="32"/>
              <w:ind w:right="15"/>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Technical Institutues (GTIs)</w:t>
            </w: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rPr>
                <w:rFonts w:ascii="Times New Roman"/>
                <w:sz w:val="14"/>
              </w:rPr>
            </w:pP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Construction of University of Science and Technology (UST) in Kono</w:t>
            </w:r>
          </w:p>
        </w:tc>
        <w:tc>
          <w:tcPr>
            <w:tcW w:w="752" w:type="dxa"/>
          </w:tcPr>
          <w:p>
            <w:pPr>
              <w:pStyle w:val="TableParagraph"/>
              <w:spacing w:before="32"/>
              <w:ind w:left="101"/>
              <w:rPr>
                <w:sz w:val="14"/>
              </w:rPr>
            </w:pPr>
            <w:r>
              <w:rPr>
                <w:sz w:val="14"/>
              </w:rPr>
              <w:t>New</w:t>
            </w:r>
          </w:p>
        </w:tc>
        <w:tc>
          <w:tcPr>
            <w:tcW w:w="1125" w:type="dxa"/>
          </w:tcPr>
          <w:p>
            <w:pPr>
              <w:pStyle w:val="TableParagraph"/>
              <w:spacing w:before="32"/>
              <w:ind w:left="89"/>
              <w:rPr>
                <w:sz w:val="14"/>
              </w:rPr>
            </w:pPr>
            <w:r>
              <w:rPr>
                <w:sz w:val="14"/>
              </w:rPr>
              <w:t>Kono</w:t>
            </w:r>
          </w:p>
        </w:tc>
        <w:tc>
          <w:tcPr>
            <w:tcW w:w="1128" w:type="dxa"/>
          </w:tcPr>
          <w:p>
            <w:pPr>
              <w:pStyle w:val="TableParagraph"/>
              <w:spacing w:before="32"/>
              <w:ind w:left="97"/>
              <w:rPr>
                <w:sz w:val="14"/>
              </w:rPr>
            </w:pPr>
            <w:r>
              <w:rPr>
                <w:sz w:val="14"/>
              </w:rPr>
              <w:t>EBID/ GOSL</w:t>
            </w:r>
          </w:p>
        </w:tc>
        <w:tc>
          <w:tcPr>
            <w:tcW w:w="1221" w:type="dxa"/>
          </w:tcPr>
          <w:p>
            <w:pPr>
              <w:pStyle w:val="TableParagraph"/>
              <w:spacing w:before="32"/>
              <w:ind w:left="217"/>
              <w:rPr>
                <w:sz w:val="14"/>
              </w:rPr>
            </w:pPr>
            <w:r>
              <w:rPr>
                <w:sz w:val="14"/>
              </w:rPr>
              <w:t>Loan/ Budget</w:t>
            </w:r>
          </w:p>
        </w:tc>
        <w:tc>
          <w:tcPr>
            <w:tcW w:w="923" w:type="dxa"/>
          </w:tcPr>
          <w:p>
            <w:pPr>
              <w:pStyle w:val="TableParagraph"/>
              <w:spacing w:before="32"/>
              <w:ind w:right="190"/>
              <w:jc w:val="right"/>
              <w:rPr>
                <w:sz w:val="14"/>
              </w:rPr>
            </w:pPr>
            <w:r>
              <w:rPr>
                <w:w w:val="95"/>
                <w:sz w:val="14"/>
              </w:rPr>
              <w:t>80,700</w:t>
            </w:r>
          </w:p>
        </w:tc>
        <w:tc>
          <w:tcPr>
            <w:tcW w:w="875" w:type="dxa"/>
          </w:tcPr>
          <w:p>
            <w:pPr>
              <w:pStyle w:val="TableParagraph"/>
              <w:spacing w:before="32"/>
              <w:ind w:right="152"/>
              <w:jc w:val="right"/>
              <w:rPr>
                <w:sz w:val="14"/>
              </w:rPr>
            </w:pPr>
            <w:r>
              <w:rPr>
                <w:sz w:val="14"/>
              </w:rPr>
              <w:t>2,000</w:t>
            </w:r>
          </w:p>
        </w:tc>
        <w:tc>
          <w:tcPr>
            <w:tcW w:w="885" w:type="dxa"/>
          </w:tcPr>
          <w:p>
            <w:pPr>
              <w:pStyle w:val="TableParagraph"/>
              <w:spacing w:before="32"/>
              <w:ind w:right="193"/>
              <w:jc w:val="right"/>
              <w:rPr>
                <w:sz w:val="14"/>
              </w:rPr>
            </w:pPr>
            <w:r>
              <w:rPr>
                <w:w w:val="95"/>
                <w:sz w:val="14"/>
              </w:rPr>
              <w:t>143,550</w:t>
            </w:r>
          </w:p>
        </w:tc>
        <w:tc>
          <w:tcPr>
            <w:tcW w:w="896" w:type="dxa"/>
          </w:tcPr>
          <w:p>
            <w:pPr>
              <w:pStyle w:val="TableParagraph"/>
              <w:spacing w:before="32"/>
              <w:ind w:left="324"/>
              <w:rPr>
                <w:sz w:val="14"/>
              </w:rPr>
            </w:pPr>
            <w:r>
              <w:rPr>
                <w:sz w:val="14"/>
              </w:rPr>
              <w:t>2,200</w:t>
            </w:r>
          </w:p>
        </w:tc>
        <w:tc>
          <w:tcPr>
            <w:tcW w:w="826" w:type="dxa"/>
          </w:tcPr>
          <w:p>
            <w:pPr>
              <w:pStyle w:val="TableParagraph"/>
              <w:spacing w:before="32"/>
              <w:ind w:right="163"/>
              <w:jc w:val="right"/>
              <w:rPr>
                <w:sz w:val="14"/>
              </w:rPr>
            </w:pPr>
            <w:r>
              <w:rPr>
                <w:sz w:val="14"/>
              </w:rPr>
              <w:t>100,000</w:t>
            </w:r>
          </w:p>
        </w:tc>
        <w:tc>
          <w:tcPr>
            <w:tcW w:w="827" w:type="dxa"/>
          </w:tcPr>
          <w:p>
            <w:pPr>
              <w:pStyle w:val="TableParagraph"/>
              <w:spacing w:before="32"/>
              <w:ind w:right="15"/>
              <w:jc w:val="right"/>
              <w:rPr>
                <w:sz w:val="14"/>
              </w:rPr>
            </w:pPr>
            <w:r>
              <w:rPr>
                <w:sz w:val="14"/>
              </w:rPr>
              <w:t>2,420</w:t>
            </w:r>
          </w:p>
        </w:tc>
      </w:tr>
      <w:tr>
        <w:trPr>
          <w:trHeight w:val="227"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Curriculum Review and Development for Technical</w:t>
            </w:r>
          </w:p>
        </w:tc>
        <w:tc>
          <w:tcPr>
            <w:tcW w:w="752" w:type="dxa"/>
          </w:tcPr>
          <w:p>
            <w:pPr>
              <w:pStyle w:val="TableParagraph"/>
              <w:spacing w:before="32"/>
              <w:ind w:left="101"/>
              <w:rPr>
                <w:sz w:val="14"/>
              </w:rPr>
            </w:pPr>
            <w:r>
              <w:rPr>
                <w:sz w:val="14"/>
              </w:rPr>
              <w:t>New</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52"/>
              <w:jc w:val="right"/>
              <w:rPr>
                <w:sz w:val="14"/>
              </w:rPr>
            </w:pPr>
            <w:r>
              <w:rPr>
                <w:sz w:val="14"/>
              </w:rPr>
              <w:t>1,000</w:t>
            </w:r>
          </w:p>
        </w:tc>
        <w:tc>
          <w:tcPr>
            <w:tcW w:w="885" w:type="dxa"/>
          </w:tcPr>
          <w:p>
            <w:pPr>
              <w:pStyle w:val="TableParagraph"/>
              <w:rPr>
                <w:rFonts w:ascii="Times New Roman"/>
                <w:sz w:val="14"/>
              </w:rPr>
            </w:pPr>
          </w:p>
        </w:tc>
        <w:tc>
          <w:tcPr>
            <w:tcW w:w="896" w:type="dxa"/>
          </w:tcPr>
          <w:p>
            <w:pPr>
              <w:pStyle w:val="TableParagraph"/>
              <w:spacing w:before="32"/>
              <w:ind w:left="324"/>
              <w:rPr>
                <w:sz w:val="14"/>
              </w:rPr>
            </w:pPr>
            <w:r>
              <w:rPr>
                <w:sz w:val="14"/>
              </w:rPr>
              <w:t>1,100</w:t>
            </w:r>
          </w:p>
        </w:tc>
        <w:tc>
          <w:tcPr>
            <w:tcW w:w="826" w:type="dxa"/>
          </w:tcPr>
          <w:p>
            <w:pPr>
              <w:pStyle w:val="TableParagraph"/>
              <w:rPr>
                <w:rFonts w:ascii="Times New Roman"/>
                <w:sz w:val="14"/>
              </w:rPr>
            </w:pPr>
          </w:p>
        </w:tc>
        <w:tc>
          <w:tcPr>
            <w:tcW w:w="827" w:type="dxa"/>
          </w:tcPr>
          <w:p>
            <w:pPr>
              <w:pStyle w:val="TableParagraph"/>
              <w:spacing w:before="32"/>
              <w:ind w:right="15"/>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865" w:type="dxa"/>
          </w:tcPr>
          <w:p>
            <w:pPr>
              <w:pStyle w:val="TableParagraph"/>
              <w:spacing w:before="29"/>
              <w:ind w:left="262"/>
              <w:rPr>
                <w:sz w:val="14"/>
              </w:rPr>
            </w:pPr>
            <w:r>
              <w:rPr>
                <w:sz w:val="14"/>
              </w:rPr>
              <w:t>and Higher Education</w:t>
            </w: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rPr>
                <w:rFonts w:ascii="Times New Roman"/>
                <w:sz w:val="14"/>
              </w:rPr>
            </w:pP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Construction of School of Excellence in ICT in Bonthe</w:t>
            </w:r>
          </w:p>
        </w:tc>
        <w:tc>
          <w:tcPr>
            <w:tcW w:w="752" w:type="dxa"/>
          </w:tcPr>
          <w:p>
            <w:pPr>
              <w:pStyle w:val="TableParagraph"/>
              <w:spacing w:before="32"/>
              <w:ind w:left="101"/>
              <w:rPr>
                <w:sz w:val="14"/>
              </w:rPr>
            </w:pPr>
            <w:r>
              <w:rPr>
                <w:sz w:val="14"/>
              </w:rPr>
              <w:t>New</w:t>
            </w:r>
          </w:p>
        </w:tc>
        <w:tc>
          <w:tcPr>
            <w:tcW w:w="1125" w:type="dxa"/>
          </w:tcPr>
          <w:p>
            <w:pPr>
              <w:pStyle w:val="TableParagraph"/>
              <w:spacing w:before="32"/>
              <w:ind w:left="89"/>
              <w:rPr>
                <w:sz w:val="14"/>
              </w:rPr>
            </w:pPr>
            <w:r>
              <w:rPr>
                <w:sz w:val="14"/>
              </w:rPr>
              <w:t>Bonthe</w:t>
            </w:r>
          </w:p>
        </w:tc>
        <w:tc>
          <w:tcPr>
            <w:tcW w:w="1128" w:type="dxa"/>
          </w:tcPr>
          <w:p>
            <w:pPr>
              <w:pStyle w:val="TableParagraph"/>
              <w:spacing w:before="32"/>
              <w:ind w:left="96"/>
              <w:rPr>
                <w:sz w:val="14"/>
              </w:rPr>
            </w:pPr>
            <w:r>
              <w:rPr>
                <w:sz w:val="14"/>
              </w:rPr>
              <w:t>Planet</w:t>
            </w:r>
          </w:p>
        </w:tc>
        <w:tc>
          <w:tcPr>
            <w:tcW w:w="1221" w:type="dxa"/>
          </w:tcPr>
          <w:p>
            <w:pPr>
              <w:pStyle w:val="TableParagraph"/>
              <w:spacing w:before="32"/>
              <w:ind w:left="216"/>
              <w:rPr>
                <w:sz w:val="14"/>
              </w:rPr>
            </w:pPr>
            <w:r>
              <w:rPr>
                <w:sz w:val="14"/>
              </w:rPr>
              <w:t>PPP/ Budget</w:t>
            </w:r>
          </w:p>
        </w:tc>
        <w:tc>
          <w:tcPr>
            <w:tcW w:w="923" w:type="dxa"/>
          </w:tcPr>
          <w:p>
            <w:pPr>
              <w:pStyle w:val="TableParagraph"/>
              <w:spacing w:before="32"/>
              <w:ind w:right="190"/>
              <w:jc w:val="right"/>
              <w:rPr>
                <w:sz w:val="14"/>
              </w:rPr>
            </w:pPr>
            <w:r>
              <w:rPr>
                <w:w w:val="95"/>
                <w:sz w:val="14"/>
              </w:rPr>
              <w:t>47,850</w:t>
            </w:r>
          </w:p>
        </w:tc>
        <w:tc>
          <w:tcPr>
            <w:tcW w:w="875" w:type="dxa"/>
          </w:tcPr>
          <w:p>
            <w:pPr>
              <w:pStyle w:val="TableParagraph"/>
              <w:spacing w:before="32"/>
              <w:ind w:right="152"/>
              <w:jc w:val="right"/>
              <w:rPr>
                <w:sz w:val="14"/>
              </w:rPr>
            </w:pPr>
            <w:r>
              <w:rPr>
                <w:sz w:val="14"/>
              </w:rPr>
              <w:t>3,000</w:t>
            </w:r>
          </w:p>
        </w:tc>
        <w:tc>
          <w:tcPr>
            <w:tcW w:w="885" w:type="dxa"/>
          </w:tcPr>
          <w:p>
            <w:pPr>
              <w:pStyle w:val="TableParagraph"/>
              <w:spacing w:before="32"/>
              <w:ind w:right="193"/>
              <w:jc w:val="right"/>
              <w:rPr>
                <w:sz w:val="14"/>
              </w:rPr>
            </w:pPr>
            <w:r>
              <w:rPr>
                <w:w w:val="95"/>
                <w:sz w:val="14"/>
              </w:rPr>
              <w:t>143,550</w:t>
            </w:r>
          </w:p>
        </w:tc>
        <w:tc>
          <w:tcPr>
            <w:tcW w:w="896" w:type="dxa"/>
          </w:tcPr>
          <w:p>
            <w:pPr>
              <w:pStyle w:val="TableParagraph"/>
              <w:spacing w:before="32"/>
              <w:ind w:left="324"/>
              <w:rPr>
                <w:sz w:val="14"/>
              </w:rPr>
            </w:pPr>
            <w:r>
              <w:rPr>
                <w:sz w:val="14"/>
              </w:rPr>
              <w:t>3,300</w:t>
            </w:r>
          </w:p>
        </w:tc>
        <w:tc>
          <w:tcPr>
            <w:tcW w:w="826" w:type="dxa"/>
          </w:tcPr>
          <w:p>
            <w:pPr>
              <w:pStyle w:val="TableParagraph"/>
              <w:spacing w:before="32"/>
              <w:ind w:right="163"/>
              <w:jc w:val="right"/>
              <w:rPr>
                <w:sz w:val="14"/>
              </w:rPr>
            </w:pPr>
            <w:r>
              <w:rPr>
                <w:sz w:val="14"/>
              </w:rPr>
              <w:t>143,550</w:t>
            </w:r>
          </w:p>
        </w:tc>
        <w:tc>
          <w:tcPr>
            <w:tcW w:w="827" w:type="dxa"/>
          </w:tcPr>
          <w:p>
            <w:pPr>
              <w:pStyle w:val="TableParagraph"/>
              <w:spacing w:before="32"/>
              <w:ind w:right="15"/>
              <w:jc w:val="right"/>
              <w:rPr>
                <w:sz w:val="14"/>
              </w:rPr>
            </w:pPr>
            <w:r>
              <w:rPr>
                <w:sz w:val="14"/>
              </w:rPr>
              <w:t>3,630</w:t>
            </w:r>
          </w:p>
        </w:tc>
      </w:tr>
      <w:tr>
        <w:trPr>
          <w:trHeight w:val="230" w:hRule="atLeast"/>
        </w:trPr>
        <w:tc>
          <w:tcPr>
            <w:tcW w:w="470" w:type="dxa"/>
          </w:tcPr>
          <w:p>
            <w:pPr>
              <w:pStyle w:val="TableParagraph"/>
              <w:rPr>
                <w:rFonts w:ascii="Times New Roman"/>
                <w:sz w:val="14"/>
              </w:rPr>
            </w:pPr>
          </w:p>
        </w:tc>
        <w:tc>
          <w:tcPr>
            <w:tcW w:w="4865" w:type="dxa"/>
          </w:tcPr>
          <w:p>
            <w:pPr>
              <w:pStyle w:val="TableParagraph"/>
              <w:rPr>
                <w:rFonts w:ascii="Times New Roman"/>
                <w:sz w:val="14"/>
              </w:rPr>
            </w:pP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spacing w:before="32"/>
              <w:ind w:left="96"/>
              <w:rPr>
                <w:sz w:val="14"/>
              </w:rPr>
            </w:pPr>
            <w:r>
              <w:rPr>
                <w:sz w:val="14"/>
              </w:rPr>
              <w:t>Core/ GoSL</w:t>
            </w: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Skills Development Project</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7"/>
              <w:rPr>
                <w:sz w:val="14"/>
              </w:rPr>
            </w:pPr>
            <w:r>
              <w:rPr>
                <w:sz w:val="14"/>
              </w:rPr>
              <w:t>IDA/ GOSL</w:t>
            </w:r>
          </w:p>
        </w:tc>
        <w:tc>
          <w:tcPr>
            <w:tcW w:w="1221" w:type="dxa"/>
          </w:tcPr>
          <w:p>
            <w:pPr>
              <w:pStyle w:val="TableParagraph"/>
              <w:spacing w:before="32"/>
              <w:ind w:left="216"/>
              <w:rPr>
                <w:sz w:val="14"/>
              </w:rPr>
            </w:pPr>
            <w:r>
              <w:rPr>
                <w:sz w:val="14"/>
              </w:rPr>
              <w:t>Grant/ Budget</w:t>
            </w:r>
          </w:p>
        </w:tc>
        <w:tc>
          <w:tcPr>
            <w:tcW w:w="923" w:type="dxa"/>
          </w:tcPr>
          <w:p>
            <w:pPr>
              <w:pStyle w:val="TableParagraph"/>
              <w:spacing w:before="32"/>
              <w:ind w:right="156"/>
              <w:jc w:val="right"/>
              <w:rPr>
                <w:sz w:val="14"/>
              </w:rPr>
            </w:pPr>
            <w:r>
              <w:rPr>
                <w:sz w:val="14"/>
              </w:rPr>
              <w:t>3,320</w:t>
            </w:r>
          </w:p>
        </w:tc>
        <w:tc>
          <w:tcPr>
            <w:tcW w:w="875" w:type="dxa"/>
          </w:tcPr>
          <w:p>
            <w:pPr>
              <w:pStyle w:val="TableParagraph"/>
              <w:spacing w:before="32"/>
              <w:ind w:right="147"/>
              <w:jc w:val="right"/>
              <w:rPr>
                <w:sz w:val="14"/>
              </w:rPr>
            </w:pPr>
            <w:r>
              <w:rPr>
                <w:sz w:val="14"/>
              </w:rPr>
              <w:t>3,000</w:t>
            </w:r>
          </w:p>
        </w:tc>
        <w:tc>
          <w:tcPr>
            <w:tcW w:w="885" w:type="dxa"/>
          </w:tcPr>
          <w:p>
            <w:pPr>
              <w:pStyle w:val="TableParagraph"/>
              <w:spacing w:before="32"/>
              <w:ind w:right="188"/>
              <w:jc w:val="right"/>
              <w:rPr>
                <w:sz w:val="14"/>
              </w:rPr>
            </w:pPr>
            <w:r>
              <w:rPr>
                <w:sz w:val="14"/>
              </w:rPr>
              <w:t>3,320</w:t>
            </w:r>
          </w:p>
        </w:tc>
        <w:tc>
          <w:tcPr>
            <w:tcW w:w="896" w:type="dxa"/>
          </w:tcPr>
          <w:p>
            <w:pPr>
              <w:pStyle w:val="TableParagraph"/>
              <w:spacing w:before="32"/>
              <w:ind w:left="324"/>
              <w:rPr>
                <w:sz w:val="14"/>
              </w:rPr>
            </w:pPr>
            <w:r>
              <w:rPr>
                <w:sz w:val="14"/>
              </w:rPr>
              <w:t>5,742</w:t>
            </w:r>
          </w:p>
        </w:tc>
        <w:tc>
          <w:tcPr>
            <w:tcW w:w="826" w:type="dxa"/>
          </w:tcPr>
          <w:p>
            <w:pPr>
              <w:pStyle w:val="TableParagraph"/>
              <w:spacing w:before="32"/>
              <w:ind w:right="144"/>
              <w:jc w:val="right"/>
              <w:rPr>
                <w:sz w:val="14"/>
              </w:rPr>
            </w:pPr>
            <w:r>
              <w:rPr>
                <w:w w:val="95"/>
                <w:sz w:val="14"/>
              </w:rPr>
              <w:t>65,000</w:t>
            </w:r>
          </w:p>
        </w:tc>
        <w:tc>
          <w:tcPr>
            <w:tcW w:w="827" w:type="dxa"/>
          </w:tcPr>
          <w:p>
            <w:pPr>
              <w:pStyle w:val="TableParagraph"/>
              <w:spacing w:before="32"/>
              <w:ind w:right="15"/>
              <w:jc w:val="right"/>
              <w:rPr>
                <w:sz w:val="14"/>
              </w:rPr>
            </w:pPr>
            <w:r>
              <w:rPr>
                <w:sz w:val="14"/>
              </w:rPr>
              <w:t>7,656</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Feasibility Study for the Construction of 6 Teacher</w:t>
            </w: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rPr>
                <w:rFonts w:ascii="Times New Roman"/>
                <w:sz w:val="14"/>
              </w:rPr>
            </w:pP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Training Colleges</w:t>
            </w:r>
          </w:p>
        </w:tc>
        <w:tc>
          <w:tcPr>
            <w:tcW w:w="752" w:type="dxa"/>
          </w:tcPr>
          <w:p>
            <w:pPr>
              <w:pStyle w:val="TableParagraph"/>
              <w:spacing w:before="32"/>
              <w:ind w:left="101"/>
              <w:rPr>
                <w:sz w:val="14"/>
              </w:rPr>
            </w:pPr>
            <w:r>
              <w:rPr>
                <w:sz w:val="14"/>
              </w:rPr>
              <w:t>New</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44"/>
              <w:jc w:val="right"/>
              <w:rPr>
                <w:sz w:val="14"/>
              </w:rPr>
            </w:pPr>
            <w:r>
              <w:rPr>
                <w:sz w:val="14"/>
              </w:rPr>
              <w:t>200</w:t>
            </w:r>
          </w:p>
        </w:tc>
        <w:tc>
          <w:tcPr>
            <w:tcW w:w="885" w:type="dxa"/>
          </w:tcPr>
          <w:p>
            <w:pPr>
              <w:pStyle w:val="TableParagraph"/>
              <w:rPr>
                <w:rFonts w:ascii="Times New Roman"/>
                <w:sz w:val="14"/>
              </w:rPr>
            </w:pPr>
          </w:p>
        </w:tc>
        <w:tc>
          <w:tcPr>
            <w:tcW w:w="896" w:type="dxa"/>
          </w:tcPr>
          <w:p>
            <w:pPr>
              <w:pStyle w:val="TableParagraph"/>
              <w:spacing w:before="32"/>
              <w:ind w:left="455"/>
              <w:rPr>
                <w:sz w:val="14"/>
              </w:rPr>
            </w:pPr>
            <w:r>
              <w:rPr>
                <w:sz w:val="14"/>
              </w:rPr>
              <w:t>220</w:t>
            </w:r>
          </w:p>
        </w:tc>
        <w:tc>
          <w:tcPr>
            <w:tcW w:w="826" w:type="dxa"/>
          </w:tcPr>
          <w:p>
            <w:pPr>
              <w:pStyle w:val="TableParagraph"/>
              <w:rPr>
                <w:rFonts w:ascii="Times New Roman"/>
                <w:sz w:val="14"/>
              </w:rPr>
            </w:pPr>
          </w:p>
        </w:tc>
        <w:tc>
          <w:tcPr>
            <w:tcW w:w="827" w:type="dxa"/>
          </w:tcPr>
          <w:p>
            <w:pPr>
              <w:pStyle w:val="TableParagraph"/>
              <w:spacing w:before="32"/>
              <w:ind w:right="7"/>
              <w:jc w:val="right"/>
              <w:rPr>
                <w:sz w:val="14"/>
              </w:rPr>
            </w:pPr>
            <w:r>
              <w:rPr>
                <w:sz w:val="14"/>
              </w:rPr>
              <w:t>242</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Feasibility Study for the Construction of the University of the East</w:t>
            </w:r>
          </w:p>
        </w:tc>
        <w:tc>
          <w:tcPr>
            <w:tcW w:w="752" w:type="dxa"/>
          </w:tcPr>
          <w:p>
            <w:pPr>
              <w:pStyle w:val="TableParagraph"/>
              <w:spacing w:before="32"/>
              <w:ind w:left="101"/>
              <w:rPr>
                <w:sz w:val="14"/>
              </w:rPr>
            </w:pPr>
            <w:r>
              <w:rPr>
                <w:sz w:val="14"/>
              </w:rPr>
              <w:t>New</w:t>
            </w:r>
          </w:p>
        </w:tc>
        <w:tc>
          <w:tcPr>
            <w:tcW w:w="1125" w:type="dxa"/>
          </w:tcPr>
          <w:p>
            <w:pPr>
              <w:pStyle w:val="TableParagraph"/>
              <w:spacing w:before="32"/>
              <w:ind w:left="89"/>
              <w:rPr>
                <w:sz w:val="14"/>
              </w:rPr>
            </w:pPr>
            <w:r>
              <w:rPr>
                <w:sz w:val="14"/>
              </w:rPr>
              <w:t>East</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44"/>
              <w:jc w:val="right"/>
              <w:rPr>
                <w:sz w:val="14"/>
              </w:rPr>
            </w:pPr>
            <w:r>
              <w:rPr>
                <w:sz w:val="14"/>
              </w:rPr>
              <w:t>200</w:t>
            </w:r>
          </w:p>
        </w:tc>
        <w:tc>
          <w:tcPr>
            <w:tcW w:w="885" w:type="dxa"/>
          </w:tcPr>
          <w:p>
            <w:pPr>
              <w:pStyle w:val="TableParagraph"/>
              <w:rPr>
                <w:rFonts w:ascii="Times New Roman"/>
                <w:sz w:val="14"/>
              </w:rPr>
            </w:pPr>
          </w:p>
        </w:tc>
        <w:tc>
          <w:tcPr>
            <w:tcW w:w="896" w:type="dxa"/>
          </w:tcPr>
          <w:p>
            <w:pPr>
              <w:pStyle w:val="TableParagraph"/>
              <w:spacing w:before="32"/>
              <w:ind w:left="455"/>
              <w:rPr>
                <w:sz w:val="14"/>
              </w:rPr>
            </w:pPr>
            <w:r>
              <w:rPr>
                <w:sz w:val="14"/>
              </w:rPr>
              <w:t>220</w:t>
            </w:r>
          </w:p>
        </w:tc>
        <w:tc>
          <w:tcPr>
            <w:tcW w:w="826" w:type="dxa"/>
          </w:tcPr>
          <w:p>
            <w:pPr>
              <w:pStyle w:val="TableParagraph"/>
              <w:rPr>
                <w:rFonts w:ascii="Times New Roman"/>
                <w:sz w:val="14"/>
              </w:rPr>
            </w:pPr>
          </w:p>
        </w:tc>
        <w:tc>
          <w:tcPr>
            <w:tcW w:w="827" w:type="dxa"/>
          </w:tcPr>
          <w:p>
            <w:pPr>
              <w:pStyle w:val="TableParagraph"/>
              <w:spacing w:before="32"/>
              <w:ind w:right="7"/>
              <w:jc w:val="right"/>
              <w:rPr>
                <w:sz w:val="14"/>
              </w:rPr>
            </w:pPr>
            <w:r>
              <w:rPr>
                <w:sz w:val="14"/>
              </w:rPr>
              <w:t>242</w:t>
            </w:r>
          </w:p>
        </w:tc>
      </w:tr>
      <w:tr>
        <w:trPr>
          <w:trHeight w:val="230" w:hRule="atLeast"/>
        </w:trPr>
        <w:tc>
          <w:tcPr>
            <w:tcW w:w="470" w:type="dxa"/>
          </w:tcPr>
          <w:p>
            <w:pPr>
              <w:pStyle w:val="TableParagraph"/>
              <w:spacing w:before="32"/>
              <w:ind w:left="123"/>
              <w:rPr>
                <w:sz w:val="14"/>
              </w:rPr>
            </w:pPr>
            <w:r>
              <w:rPr>
                <w:sz w:val="14"/>
              </w:rPr>
              <w:t>304</w:t>
            </w:r>
          </w:p>
        </w:tc>
        <w:tc>
          <w:tcPr>
            <w:tcW w:w="4865" w:type="dxa"/>
          </w:tcPr>
          <w:p>
            <w:pPr>
              <w:pStyle w:val="TableParagraph"/>
              <w:spacing w:before="32"/>
              <w:ind w:left="95"/>
              <w:rPr>
                <w:b/>
                <w:sz w:val="14"/>
              </w:rPr>
            </w:pPr>
            <w:r>
              <w:rPr>
                <w:b/>
                <w:sz w:val="14"/>
              </w:rPr>
              <w:t>Ministry of Health and Sanitation (MoHS)</w:t>
            </w: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rPr>
                <w:rFonts w:ascii="Times New Roman"/>
                <w:sz w:val="14"/>
              </w:rPr>
            </w:pPr>
          </w:p>
        </w:tc>
        <w:tc>
          <w:tcPr>
            <w:tcW w:w="1221" w:type="dxa"/>
          </w:tcPr>
          <w:p>
            <w:pPr>
              <w:pStyle w:val="TableParagraph"/>
              <w:rPr>
                <w:rFonts w:ascii="Times New Roman"/>
                <w:sz w:val="14"/>
              </w:rPr>
            </w:pPr>
          </w:p>
        </w:tc>
        <w:tc>
          <w:tcPr>
            <w:tcW w:w="923" w:type="dxa"/>
          </w:tcPr>
          <w:p>
            <w:pPr>
              <w:pStyle w:val="TableParagraph"/>
              <w:spacing w:before="32"/>
              <w:ind w:left="167"/>
              <w:rPr>
                <w:b/>
                <w:sz w:val="14"/>
              </w:rPr>
            </w:pPr>
            <w:r>
              <w:rPr>
                <w:b/>
                <w:sz w:val="14"/>
              </w:rPr>
              <w:t>240,181</w:t>
            </w:r>
          </w:p>
        </w:tc>
        <w:tc>
          <w:tcPr>
            <w:tcW w:w="875" w:type="dxa"/>
          </w:tcPr>
          <w:p>
            <w:pPr>
              <w:pStyle w:val="TableParagraph"/>
              <w:spacing w:before="32"/>
              <w:ind w:left="229"/>
              <w:rPr>
                <w:b/>
                <w:sz w:val="14"/>
              </w:rPr>
            </w:pPr>
            <w:r>
              <w:rPr>
                <w:b/>
                <w:sz w:val="14"/>
              </w:rPr>
              <w:t>37,200</w:t>
            </w:r>
          </w:p>
        </w:tc>
        <w:tc>
          <w:tcPr>
            <w:tcW w:w="885" w:type="dxa"/>
          </w:tcPr>
          <w:p>
            <w:pPr>
              <w:pStyle w:val="TableParagraph"/>
              <w:spacing w:before="32"/>
              <w:ind w:right="216"/>
              <w:jc w:val="right"/>
              <w:rPr>
                <w:b/>
                <w:sz w:val="14"/>
              </w:rPr>
            </w:pPr>
            <w:r>
              <w:rPr>
                <w:b/>
                <w:sz w:val="14"/>
              </w:rPr>
              <w:t>132,249</w:t>
            </w:r>
          </w:p>
        </w:tc>
        <w:tc>
          <w:tcPr>
            <w:tcW w:w="896" w:type="dxa"/>
          </w:tcPr>
          <w:p>
            <w:pPr>
              <w:pStyle w:val="TableParagraph"/>
              <w:spacing w:before="32"/>
              <w:ind w:left="192"/>
              <w:rPr>
                <w:b/>
                <w:sz w:val="14"/>
              </w:rPr>
            </w:pPr>
            <w:r>
              <w:rPr>
                <w:b/>
                <w:sz w:val="14"/>
              </w:rPr>
              <w:t>65,644</w:t>
            </w:r>
          </w:p>
        </w:tc>
        <w:tc>
          <w:tcPr>
            <w:tcW w:w="826" w:type="dxa"/>
          </w:tcPr>
          <w:p>
            <w:pPr>
              <w:pStyle w:val="TableParagraph"/>
              <w:spacing w:before="32"/>
              <w:ind w:right="186"/>
              <w:jc w:val="right"/>
              <w:rPr>
                <w:b/>
                <w:sz w:val="14"/>
              </w:rPr>
            </w:pPr>
            <w:r>
              <w:rPr>
                <w:b/>
                <w:w w:val="95"/>
                <w:sz w:val="14"/>
              </w:rPr>
              <w:t>274,199</w:t>
            </w:r>
          </w:p>
        </w:tc>
        <w:tc>
          <w:tcPr>
            <w:tcW w:w="827" w:type="dxa"/>
          </w:tcPr>
          <w:p>
            <w:pPr>
              <w:pStyle w:val="TableParagraph"/>
              <w:spacing w:before="32"/>
              <w:ind w:right="39"/>
              <w:jc w:val="right"/>
              <w:rPr>
                <w:b/>
                <w:sz w:val="14"/>
              </w:rPr>
            </w:pPr>
            <w:r>
              <w:rPr>
                <w:b/>
                <w:w w:val="95"/>
                <w:sz w:val="14"/>
              </w:rPr>
              <w:t>73,213</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TB Control Project</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Global</w:t>
            </w:r>
          </w:p>
        </w:tc>
        <w:tc>
          <w:tcPr>
            <w:tcW w:w="1221" w:type="dxa"/>
          </w:tcPr>
          <w:p>
            <w:pPr>
              <w:pStyle w:val="TableParagraph"/>
              <w:spacing w:before="32"/>
              <w:ind w:left="217"/>
              <w:rPr>
                <w:sz w:val="14"/>
              </w:rPr>
            </w:pPr>
            <w:r>
              <w:rPr>
                <w:sz w:val="14"/>
              </w:rPr>
              <w:t>Loan/ GoSL</w:t>
            </w:r>
          </w:p>
        </w:tc>
        <w:tc>
          <w:tcPr>
            <w:tcW w:w="923" w:type="dxa"/>
          </w:tcPr>
          <w:p>
            <w:pPr>
              <w:pStyle w:val="TableParagraph"/>
              <w:spacing w:before="32"/>
              <w:ind w:right="190"/>
              <w:jc w:val="right"/>
              <w:rPr>
                <w:sz w:val="14"/>
              </w:rPr>
            </w:pPr>
            <w:r>
              <w:rPr>
                <w:w w:val="95"/>
                <w:sz w:val="14"/>
              </w:rPr>
              <w:t>27,790</w:t>
            </w:r>
          </w:p>
        </w:tc>
        <w:tc>
          <w:tcPr>
            <w:tcW w:w="875" w:type="dxa"/>
          </w:tcPr>
          <w:p>
            <w:pPr>
              <w:pStyle w:val="TableParagraph"/>
              <w:spacing w:before="32"/>
              <w:ind w:right="152"/>
              <w:jc w:val="right"/>
              <w:rPr>
                <w:sz w:val="14"/>
              </w:rPr>
            </w:pPr>
            <w:r>
              <w:rPr>
                <w:sz w:val="14"/>
              </w:rPr>
              <w:t>3,000</w:t>
            </w:r>
          </w:p>
        </w:tc>
        <w:tc>
          <w:tcPr>
            <w:tcW w:w="885" w:type="dxa"/>
          </w:tcPr>
          <w:p>
            <w:pPr>
              <w:pStyle w:val="TableParagraph"/>
              <w:spacing w:before="32"/>
              <w:ind w:right="189"/>
              <w:jc w:val="right"/>
              <w:rPr>
                <w:sz w:val="14"/>
              </w:rPr>
            </w:pPr>
            <w:r>
              <w:rPr>
                <w:w w:val="95"/>
                <w:sz w:val="14"/>
              </w:rPr>
              <w:t>15,300</w:t>
            </w:r>
          </w:p>
        </w:tc>
        <w:tc>
          <w:tcPr>
            <w:tcW w:w="896" w:type="dxa"/>
          </w:tcPr>
          <w:p>
            <w:pPr>
              <w:pStyle w:val="TableParagraph"/>
              <w:spacing w:before="32"/>
              <w:ind w:left="324"/>
              <w:rPr>
                <w:sz w:val="14"/>
              </w:rPr>
            </w:pPr>
            <w:r>
              <w:rPr>
                <w:sz w:val="14"/>
              </w:rPr>
              <w:t>3,300</w:t>
            </w:r>
          </w:p>
        </w:tc>
        <w:tc>
          <w:tcPr>
            <w:tcW w:w="826" w:type="dxa"/>
          </w:tcPr>
          <w:p>
            <w:pPr>
              <w:pStyle w:val="TableParagraph"/>
              <w:spacing w:before="32"/>
              <w:ind w:right="144"/>
              <w:jc w:val="right"/>
              <w:rPr>
                <w:sz w:val="14"/>
              </w:rPr>
            </w:pPr>
            <w:r>
              <w:rPr>
                <w:w w:val="95"/>
                <w:sz w:val="14"/>
              </w:rPr>
              <w:t>30,569</w:t>
            </w:r>
          </w:p>
        </w:tc>
        <w:tc>
          <w:tcPr>
            <w:tcW w:w="827" w:type="dxa"/>
          </w:tcPr>
          <w:p>
            <w:pPr>
              <w:pStyle w:val="TableParagraph"/>
              <w:spacing w:before="32"/>
              <w:ind w:right="15"/>
              <w:jc w:val="right"/>
              <w:rPr>
                <w:sz w:val="14"/>
              </w:rPr>
            </w:pPr>
            <w:r>
              <w:rPr>
                <w:sz w:val="14"/>
              </w:rPr>
              <w:t>3,630</w:t>
            </w:r>
          </w:p>
        </w:tc>
      </w:tr>
      <w:tr>
        <w:trPr>
          <w:trHeight w:val="230" w:hRule="atLeast"/>
        </w:trPr>
        <w:tc>
          <w:tcPr>
            <w:tcW w:w="470" w:type="dxa"/>
          </w:tcPr>
          <w:p>
            <w:pPr>
              <w:pStyle w:val="TableParagraph"/>
              <w:rPr>
                <w:rFonts w:ascii="Times New Roman"/>
                <w:sz w:val="14"/>
              </w:rPr>
            </w:pPr>
          </w:p>
        </w:tc>
        <w:tc>
          <w:tcPr>
            <w:tcW w:w="4865" w:type="dxa"/>
          </w:tcPr>
          <w:p>
            <w:pPr>
              <w:pStyle w:val="TableParagraph"/>
              <w:rPr>
                <w:rFonts w:ascii="Times New Roman"/>
                <w:sz w:val="14"/>
              </w:rPr>
            </w:pP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spacing w:before="32"/>
              <w:ind w:left="96"/>
              <w:rPr>
                <w:sz w:val="14"/>
              </w:rPr>
            </w:pPr>
            <w:r>
              <w:rPr>
                <w:sz w:val="14"/>
              </w:rPr>
              <w:t>Fund/ GoSL</w:t>
            </w: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3"/>
              <w:rPr>
                <w:sz w:val="14"/>
              </w:rPr>
            </w:pPr>
            <w:r>
              <w:rPr>
                <w:sz w:val="14"/>
              </w:rPr>
              <w:t>Malaria Control Project</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Global</w:t>
            </w:r>
          </w:p>
        </w:tc>
        <w:tc>
          <w:tcPr>
            <w:tcW w:w="1221" w:type="dxa"/>
          </w:tcPr>
          <w:p>
            <w:pPr>
              <w:pStyle w:val="TableParagraph"/>
              <w:spacing w:before="32"/>
              <w:ind w:left="216"/>
              <w:rPr>
                <w:sz w:val="14"/>
              </w:rPr>
            </w:pPr>
            <w:r>
              <w:rPr>
                <w:sz w:val="14"/>
              </w:rPr>
              <w:t>Grant/ Budget</w:t>
            </w:r>
          </w:p>
        </w:tc>
        <w:tc>
          <w:tcPr>
            <w:tcW w:w="923" w:type="dxa"/>
          </w:tcPr>
          <w:p>
            <w:pPr>
              <w:pStyle w:val="TableParagraph"/>
              <w:spacing w:before="32"/>
              <w:ind w:right="176"/>
              <w:jc w:val="right"/>
              <w:rPr>
                <w:sz w:val="14"/>
              </w:rPr>
            </w:pPr>
            <w:r>
              <w:rPr>
                <w:w w:val="95"/>
                <w:sz w:val="14"/>
              </w:rPr>
              <w:t>64,420</w:t>
            </w:r>
          </w:p>
        </w:tc>
        <w:tc>
          <w:tcPr>
            <w:tcW w:w="875" w:type="dxa"/>
          </w:tcPr>
          <w:p>
            <w:pPr>
              <w:pStyle w:val="TableParagraph"/>
              <w:spacing w:before="32"/>
              <w:ind w:right="152"/>
              <w:jc w:val="right"/>
              <w:rPr>
                <w:sz w:val="14"/>
              </w:rPr>
            </w:pPr>
            <w:r>
              <w:rPr>
                <w:sz w:val="14"/>
              </w:rPr>
              <w:t>5,000</w:t>
            </w:r>
          </w:p>
        </w:tc>
        <w:tc>
          <w:tcPr>
            <w:tcW w:w="885" w:type="dxa"/>
          </w:tcPr>
          <w:p>
            <w:pPr>
              <w:pStyle w:val="TableParagraph"/>
              <w:spacing w:before="32"/>
              <w:ind w:right="189"/>
              <w:jc w:val="right"/>
              <w:rPr>
                <w:sz w:val="14"/>
              </w:rPr>
            </w:pPr>
            <w:r>
              <w:rPr>
                <w:w w:val="95"/>
                <w:sz w:val="14"/>
              </w:rPr>
              <w:t>75,780</w:t>
            </w:r>
          </w:p>
        </w:tc>
        <w:tc>
          <w:tcPr>
            <w:tcW w:w="896" w:type="dxa"/>
          </w:tcPr>
          <w:p>
            <w:pPr>
              <w:pStyle w:val="TableParagraph"/>
              <w:spacing w:before="32"/>
              <w:ind w:left="324"/>
              <w:rPr>
                <w:sz w:val="14"/>
              </w:rPr>
            </w:pPr>
            <w:r>
              <w:rPr>
                <w:sz w:val="14"/>
              </w:rPr>
              <w:t>5,500</w:t>
            </w:r>
          </w:p>
        </w:tc>
        <w:tc>
          <w:tcPr>
            <w:tcW w:w="826" w:type="dxa"/>
          </w:tcPr>
          <w:p>
            <w:pPr>
              <w:pStyle w:val="TableParagraph"/>
              <w:spacing w:before="32"/>
              <w:ind w:right="144"/>
              <w:jc w:val="right"/>
              <w:rPr>
                <w:sz w:val="14"/>
              </w:rPr>
            </w:pPr>
            <w:r>
              <w:rPr>
                <w:w w:val="95"/>
                <w:sz w:val="14"/>
              </w:rPr>
              <w:t>70,862</w:t>
            </w:r>
          </w:p>
        </w:tc>
        <w:tc>
          <w:tcPr>
            <w:tcW w:w="827" w:type="dxa"/>
          </w:tcPr>
          <w:p>
            <w:pPr>
              <w:pStyle w:val="TableParagraph"/>
              <w:spacing w:before="32"/>
              <w:ind w:right="15"/>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865" w:type="dxa"/>
          </w:tcPr>
          <w:p>
            <w:pPr>
              <w:pStyle w:val="TableParagraph"/>
              <w:rPr>
                <w:rFonts w:ascii="Times New Roman"/>
                <w:sz w:val="14"/>
              </w:rPr>
            </w:pP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spacing w:before="32"/>
              <w:ind w:left="96"/>
              <w:rPr>
                <w:sz w:val="14"/>
              </w:rPr>
            </w:pPr>
            <w:r>
              <w:rPr>
                <w:sz w:val="14"/>
              </w:rPr>
              <w:t>Fund/ GoSL</w:t>
            </w: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28"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Resilient and Sustainable Systems for Health</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7"/>
              <w:rPr>
                <w:sz w:val="14"/>
              </w:rPr>
            </w:pPr>
            <w:r>
              <w:rPr>
                <w:sz w:val="14"/>
              </w:rPr>
              <w:t>IDA/ GoSL</w:t>
            </w:r>
          </w:p>
        </w:tc>
        <w:tc>
          <w:tcPr>
            <w:tcW w:w="1221" w:type="dxa"/>
          </w:tcPr>
          <w:p>
            <w:pPr>
              <w:pStyle w:val="TableParagraph"/>
              <w:spacing w:before="32"/>
              <w:ind w:left="216"/>
              <w:rPr>
                <w:sz w:val="14"/>
              </w:rPr>
            </w:pPr>
            <w:r>
              <w:rPr>
                <w:sz w:val="14"/>
              </w:rPr>
              <w:t>Grant/ Budget</w:t>
            </w:r>
          </w:p>
        </w:tc>
        <w:tc>
          <w:tcPr>
            <w:tcW w:w="923" w:type="dxa"/>
          </w:tcPr>
          <w:p>
            <w:pPr>
              <w:pStyle w:val="TableParagraph"/>
              <w:spacing w:before="32"/>
              <w:ind w:right="197"/>
              <w:jc w:val="right"/>
              <w:rPr>
                <w:sz w:val="14"/>
              </w:rPr>
            </w:pPr>
            <w:r>
              <w:rPr>
                <w:sz w:val="14"/>
              </w:rPr>
              <w:t>25 ,000</w:t>
            </w:r>
          </w:p>
        </w:tc>
        <w:tc>
          <w:tcPr>
            <w:tcW w:w="875" w:type="dxa"/>
          </w:tcPr>
          <w:p>
            <w:pPr>
              <w:pStyle w:val="TableParagraph"/>
              <w:spacing w:before="32"/>
              <w:ind w:right="144"/>
              <w:jc w:val="right"/>
              <w:rPr>
                <w:sz w:val="14"/>
              </w:rPr>
            </w:pPr>
            <w:r>
              <w:rPr>
                <w:sz w:val="14"/>
              </w:rPr>
              <w:t>500</w:t>
            </w:r>
          </w:p>
        </w:tc>
        <w:tc>
          <w:tcPr>
            <w:tcW w:w="885" w:type="dxa"/>
          </w:tcPr>
          <w:p>
            <w:pPr>
              <w:pStyle w:val="TableParagraph"/>
              <w:rPr>
                <w:rFonts w:ascii="Times New Roman"/>
                <w:sz w:val="14"/>
              </w:rPr>
            </w:pPr>
          </w:p>
        </w:tc>
        <w:tc>
          <w:tcPr>
            <w:tcW w:w="896" w:type="dxa"/>
          </w:tcPr>
          <w:p>
            <w:pPr>
              <w:pStyle w:val="TableParagraph"/>
              <w:spacing w:before="32"/>
              <w:ind w:left="455"/>
              <w:rPr>
                <w:sz w:val="14"/>
              </w:rPr>
            </w:pPr>
            <w:r>
              <w:rPr>
                <w:sz w:val="14"/>
              </w:rPr>
              <w:t>550</w:t>
            </w:r>
          </w:p>
        </w:tc>
        <w:tc>
          <w:tcPr>
            <w:tcW w:w="826" w:type="dxa"/>
          </w:tcPr>
          <w:p>
            <w:pPr>
              <w:pStyle w:val="TableParagraph"/>
              <w:spacing w:before="32"/>
              <w:ind w:right="144"/>
              <w:jc w:val="right"/>
              <w:rPr>
                <w:sz w:val="14"/>
              </w:rPr>
            </w:pPr>
            <w:r>
              <w:rPr>
                <w:w w:val="95"/>
                <w:sz w:val="14"/>
              </w:rPr>
              <w:t>27,500</w:t>
            </w:r>
          </w:p>
        </w:tc>
        <w:tc>
          <w:tcPr>
            <w:tcW w:w="827" w:type="dxa"/>
          </w:tcPr>
          <w:p>
            <w:pPr>
              <w:pStyle w:val="TableParagraph"/>
              <w:spacing w:before="32"/>
              <w:ind w:right="7"/>
              <w:jc w:val="right"/>
              <w:rPr>
                <w:sz w:val="14"/>
              </w:rPr>
            </w:pPr>
            <w:r>
              <w:rPr>
                <w:sz w:val="14"/>
              </w:rPr>
              <w:t>605</w:t>
            </w:r>
          </w:p>
        </w:tc>
      </w:tr>
      <w:tr>
        <w:trPr>
          <w:trHeight w:val="228" w:hRule="atLeast"/>
        </w:trPr>
        <w:tc>
          <w:tcPr>
            <w:tcW w:w="470" w:type="dxa"/>
          </w:tcPr>
          <w:p>
            <w:pPr>
              <w:pStyle w:val="TableParagraph"/>
              <w:rPr>
                <w:rFonts w:ascii="Times New Roman"/>
                <w:sz w:val="14"/>
              </w:rPr>
            </w:pPr>
          </w:p>
        </w:tc>
        <w:tc>
          <w:tcPr>
            <w:tcW w:w="4865" w:type="dxa"/>
          </w:tcPr>
          <w:p>
            <w:pPr>
              <w:pStyle w:val="TableParagraph"/>
              <w:spacing w:before="29"/>
              <w:ind w:left="262"/>
              <w:rPr>
                <w:sz w:val="14"/>
              </w:rPr>
            </w:pPr>
            <w:r>
              <w:rPr>
                <w:sz w:val="14"/>
              </w:rPr>
              <w:t>Regional Disease Surveillance System Enhancement Project</w:t>
            </w:r>
          </w:p>
        </w:tc>
        <w:tc>
          <w:tcPr>
            <w:tcW w:w="752" w:type="dxa"/>
          </w:tcPr>
          <w:p>
            <w:pPr>
              <w:pStyle w:val="TableParagraph"/>
              <w:spacing w:before="29"/>
              <w:ind w:left="101"/>
              <w:rPr>
                <w:sz w:val="14"/>
              </w:rPr>
            </w:pPr>
            <w:r>
              <w:rPr>
                <w:sz w:val="14"/>
              </w:rPr>
              <w:t>Ongoing</w:t>
            </w:r>
          </w:p>
        </w:tc>
        <w:tc>
          <w:tcPr>
            <w:tcW w:w="1125" w:type="dxa"/>
          </w:tcPr>
          <w:p>
            <w:pPr>
              <w:pStyle w:val="TableParagraph"/>
              <w:spacing w:before="29"/>
              <w:ind w:left="88"/>
              <w:rPr>
                <w:sz w:val="14"/>
              </w:rPr>
            </w:pPr>
            <w:r>
              <w:rPr>
                <w:sz w:val="14"/>
              </w:rPr>
              <w:t>Nationwide</w:t>
            </w:r>
          </w:p>
        </w:tc>
        <w:tc>
          <w:tcPr>
            <w:tcW w:w="1128" w:type="dxa"/>
          </w:tcPr>
          <w:p>
            <w:pPr>
              <w:pStyle w:val="TableParagraph"/>
              <w:spacing w:before="29"/>
              <w:ind w:left="97"/>
              <w:rPr>
                <w:sz w:val="14"/>
              </w:rPr>
            </w:pPr>
            <w:r>
              <w:rPr>
                <w:sz w:val="14"/>
              </w:rPr>
              <w:t>IDA/ GoSL</w:t>
            </w:r>
          </w:p>
        </w:tc>
        <w:tc>
          <w:tcPr>
            <w:tcW w:w="1221" w:type="dxa"/>
          </w:tcPr>
          <w:p>
            <w:pPr>
              <w:pStyle w:val="TableParagraph"/>
              <w:spacing w:before="29"/>
              <w:ind w:left="216"/>
              <w:rPr>
                <w:sz w:val="14"/>
              </w:rPr>
            </w:pPr>
            <w:r>
              <w:rPr>
                <w:sz w:val="14"/>
              </w:rPr>
              <w:t>Grant/ Budget</w:t>
            </w:r>
          </w:p>
        </w:tc>
        <w:tc>
          <w:tcPr>
            <w:tcW w:w="923" w:type="dxa"/>
          </w:tcPr>
          <w:p>
            <w:pPr>
              <w:pStyle w:val="TableParagraph"/>
              <w:spacing w:before="29"/>
              <w:ind w:right="197"/>
              <w:jc w:val="right"/>
              <w:rPr>
                <w:sz w:val="14"/>
              </w:rPr>
            </w:pPr>
            <w:r>
              <w:rPr>
                <w:sz w:val="14"/>
              </w:rPr>
              <w:t>47 ,790</w:t>
            </w:r>
          </w:p>
        </w:tc>
        <w:tc>
          <w:tcPr>
            <w:tcW w:w="875" w:type="dxa"/>
          </w:tcPr>
          <w:p>
            <w:pPr>
              <w:pStyle w:val="TableParagraph"/>
              <w:spacing w:before="29"/>
              <w:ind w:right="153"/>
              <w:jc w:val="right"/>
              <w:rPr>
                <w:sz w:val="14"/>
              </w:rPr>
            </w:pPr>
            <w:r>
              <w:rPr>
                <w:w w:val="95"/>
                <w:sz w:val="14"/>
              </w:rPr>
              <w:t>500</w:t>
            </w:r>
          </w:p>
        </w:tc>
        <w:tc>
          <w:tcPr>
            <w:tcW w:w="885" w:type="dxa"/>
          </w:tcPr>
          <w:p>
            <w:pPr>
              <w:pStyle w:val="TableParagraph"/>
              <w:spacing w:before="29"/>
              <w:ind w:right="189"/>
              <w:jc w:val="right"/>
              <w:rPr>
                <w:sz w:val="14"/>
              </w:rPr>
            </w:pPr>
            <w:r>
              <w:rPr>
                <w:w w:val="95"/>
                <w:sz w:val="14"/>
              </w:rPr>
              <w:t>15,750</w:t>
            </w:r>
          </w:p>
        </w:tc>
        <w:tc>
          <w:tcPr>
            <w:tcW w:w="896" w:type="dxa"/>
          </w:tcPr>
          <w:p>
            <w:pPr>
              <w:pStyle w:val="TableParagraph"/>
              <w:spacing w:before="29"/>
              <w:ind w:left="455"/>
              <w:rPr>
                <w:sz w:val="14"/>
              </w:rPr>
            </w:pPr>
            <w:r>
              <w:rPr>
                <w:sz w:val="14"/>
              </w:rPr>
              <w:t>550</w:t>
            </w:r>
          </w:p>
        </w:tc>
        <w:tc>
          <w:tcPr>
            <w:tcW w:w="826" w:type="dxa"/>
          </w:tcPr>
          <w:p>
            <w:pPr>
              <w:pStyle w:val="TableParagraph"/>
              <w:spacing w:before="29"/>
              <w:ind w:right="144"/>
              <w:jc w:val="right"/>
              <w:rPr>
                <w:sz w:val="14"/>
              </w:rPr>
            </w:pPr>
            <w:r>
              <w:rPr>
                <w:w w:val="95"/>
                <w:sz w:val="14"/>
              </w:rPr>
              <w:t>52,569</w:t>
            </w:r>
          </w:p>
        </w:tc>
        <w:tc>
          <w:tcPr>
            <w:tcW w:w="827" w:type="dxa"/>
          </w:tcPr>
          <w:p>
            <w:pPr>
              <w:pStyle w:val="TableParagraph"/>
              <w:spacing w:before="29"/>
              <w:ind w:right="7"/>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3"/>
              <w:rPr>
                <w:sz w:val="14"/>
              </w:rPr>
            </w:pPr>
            <w:r>
              <w:rPr>
                <w:sz w:val="14"/>
              </w:rPr>
              <w:t>Health System Strengthening Support Project</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7"/>
              <w:rPr>
                <w:sz w:val="14"/>
              </w:rPr>
            </w:pPr>
            <w:r>
              <w:rPr>
                <w:sz w:val="14"/>
              </w:rPr>
              <w:t>IDA/ GoSL</w:t>
            </w:r>
          </w:p>
        </w:tc>
        <w:tc>
          <w:tcPr>
            <w:tcW w:w="1221" w:type="dxa"/>
          </w:tcPr>
          <w:p>
            <w:pPr>
              <w:pStyle w:val="TableParagraph"/>
              <w:spacing w:before="32"/>
              <w:ind w:left="216"/>
              <w:rPr>
                <w:sz w:val="14"/>
              </w:rPr>
            </w:pPr>
            <w:r>
              <w:rPr>
                <w:sz w:val="14"/>
              </w:rPr>
              <w:t>Grant/ Budget</w:t>
            </w:r>
          </w:p>
        </w:tc>
        <w:tc>
          <w:tcPr>
            <w:tcW w:w="923" w:type="dxa"/>
          </w:tcPr>
          <w:p>
            <w:pPr>
              <w:pStyle w:val="TableParagraph"/>
              <w:spacing w:before="32"/>
              <w:ind w:right="193"/>
              <w:jc w:val="right"/>
              <w:rPr>
                <w:sz w:val="14"/>
              </w:rPr>
            </w:pPr>
            <w:r>
              <w:rPr>
                <w:sz w:val="14"/>
              </w:rPr>
              <w:t>4,983</w:t>
            </w:r>
          </w:p>
        </w:tc>
        <w:tc>
          <w:tcPr>
            <w:tcW w:w="875" w:type="dxa"/>
          </w:tcPr>
          <w:p>
            <w:pPr>
              <w:pStyle w:val="TableParagraph"/>
              <w:spacing w:before="32"/>
              <w:ind w:right="160"/>
              <w:jc w:val="right"/>
              <w:rPr>
                <w:sz w:val="14"/>
              </w:rPr>
            </w:pPr>
            <w:r>
              <w:rPr>
                <w:sz w:val="14"/>
              </w:rPr>
              <w:t>5,000</w:t>
            </w:r>
          </w:p>
        </w:tc>
        <w:tc>
          <w:tcPr>
            <w:tcW w:w="885" w:type="dxa"/>
          </w:tcPr>
          <w:p>
            <w:pPr>
              <w:pStyle w:val="TableParagraph"/>
              <w:spacing w:before="32"/>
              <w:ind w:right="196"/>
              <w:jc w:val="right"/>
              <w:rPr>
                <w:sz w:val="14"/>
              </w:rPr>
            </w:pPr>
            <w:r>
              <w:rPr>
                <w:sz w:val="14"/>
              </w:rPr>
              <w:t>2,721</w:t>
            </w:r>
          </w:p>
        </w:tc>
        <w:tc>
          <w:tcPr>
            <w:tcW w:w="896" w:type="dxa"/>
          </w:tcPr>
          <w:p>
            <w:pPr>
              <w:pStyle w:val="TableParagraph"/>
              <w:spacing w:before="32"/>
              <w:ind w:left="283"/>
              <w:rPr>
                <w:sz w:val="14"/>
              </w:rPr>
            </w:pPr>
            <w:r>
              <w:rPr>
                <w:sz w:val="14"/>
              </w:rPr>
              <w:t>7,178</w:t>
            </w:r>
          </w:p>
        </w:tc>
        <w:tc>
          <w:tcPr>
            <w:tcW w:w="826" w:type="dxa"/>
          </w:tcPr>
          <w:p>
            <w:pPr>
              <w:pStyle w:val="TableParagraph"/>
              <w:spacing w:before="32"/>
              <w:ind w:right="161"/>
              <w:jc w:val="right"/>
              <w:rPr>
                <w:sz w:val="14"/>
              </w:rPr>
            </w:pPr>
            <w:r>
              <w:rPr>
                <w:sz w:val="14"/>
              </w:rPr>
              <w:t>5,481</w:t>
            </w:r>
          </w:p>
        </w:tc>
        <w:tc>
          <w:tcPr>
            <w:tcW w:w="827" w:type="dxa"/>
          </w:tcPr>
          <w:p>
            <w:pPr>
              <w:pStyle w:val="TableParagraph"/>
              <w:spacing w:before="32"/>
              <w:ind w:right="15"/>
              <w:jc w:val="right"/>
              <w:rPr>
                <w:sz w:val="14"/>
              </w:rPr>
            </w:pPr>
            <w:r>
              <w:rPr>
                <w:sz w:val="14"/>
              </w:rPr>
              <w:t>7,895</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Protecting Public Health</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CDC</w:t>
            </w:r>
          </w:p>
        </w:tc>
        <w:tc>
          <w:tcPr>
            <w:tcW w:w="1221" w:type="dxa"/>
          </w:tcPr>
          <w:p>
            <w:pPr>
              <w:pStyle w:val="TableParagraph"/>
              <w:spacing w:before="32"/>
              <w:ind w:left="216"/>
              <w:rPr>
                <w:sz w:val="14"/>
              </w:rPr>
            </w:pPr>
            <w:r>
              <w:rPr>
                <w:sz w:val="14"/>
              </w:rPr>
              <w:t>Grant/ Budget</w:t>
            </w:r>
          </w:p>
        </w:tc>
        <w:tc>
          <w:tcPr>
            <w:tcW w:w="923" w:type="dxa"/>
          </w:tcPr>
          <w:p>
            <w:pPr>
              <w:pStyle w:val="TableParagraph"/>
              <w:spacing w:before="32"/>
              <w:ind w:right="176"/>
              <w:jc w:val="right"/>
              <w:rPr>
                <w:sz w:val="14"/>
              </w:rPr>
            </w:pPr>
            <w:r>
              <w:rPr>
                <w:w w:val="95"/>
                <w:sz w:val="14"/>
              </w:rPr>
              <w:t>15,000</w:t>
            </w:r>
          </w:p>
        </w:tc>
        <w:tc>
          <w:tcPr>
            <w:tcW w:w="875" w:type="dxa"/>
          </w:tcPr>
          <w:p>
            <w:pPr>
              <w:pStyle w:val="TableParagraph"/>
              <w:spacing w:before="32"/>
              <w:ind w:right="152"/>
              <w:jc w:val="right"/>
              <w:rPr>
                <w:sz w:val="14"/>
              </w:rPr>
            </w:pPr>
            <w:r>
              <w:rPr>
                <w:sz w:val="14"/>
              </w:rPr>
              <w:t>1,000</w:t>
            </w:r>
          </w:p>
        </w:tc>
        <w:tc>
          <w:tcPr>
            <w:tcW w:w="885" w:type="dxa"/>
          </w:tcPr>
          <w:p>
            <w:pPr>
              <w:pStyle w:val="TableParagraph"/>
              <w:rPr>
                <w:rFonts w:ascii="Times New Roman"/>
                <w:sz w:val="14"/>
              </w:rPr>
            </w:pPr>
          </w:p>
        </w:tc>
        <w:tc>
          <w:tcPr>
            <w:tcW w:w="896" w:type="dxa"/>
          </w:tcPr>
          <w:p>
            <w:pPr>
              <w:pStyle w:val="TableParagraph"/>
              <w:spacing w:before="32"/>
              <w:ind w:left="324"/>
              <w:rPr>
                <w:sz w:val="14"/>
              </w:rPr>
            </w:pPr>
            <w:r>
              <w:rPr>
                <w:sz w:val="14"/>
              </w:rPr>
              <w:t>1,100</w:t>
            </w:r>
          </w:p>
        </w:tc>
        <w:tc>
          <w:tcPr>
            <w:tcW w:w="826" w:type="dxa"/>
          </w:tcPr>
          <w:p>
            <w:pPr>
              <w:pStyle w:val="TableParagraph"/>
              <w:spacing w:before="32"/>
              <w:ind w:right="144"/>
              <w:jc w:val="right"/>
              <w:rPr>
                <w:sz w:val="14"/>
              </w:rPr>
            </w:pPr>
            <w:r>
              <w:rPr>
                <w:w w:val="95"/>
                <w:sz w:val="14"/>
              </w:rPr>
              <w:t>16,500</w:t>
            </w:r>
          </w:p>
        </w:tc>
        <w:tc>
          <w:tcPr>
            <w:tcW w:w="827" w:type="dxa"/>
          </w:tcPr>
          <w:p>
            <w:pPr>
              <w:pStyle w:val="TableParagraph"/>
              <w:spacing w:before="32"/>
              <w:ind w:right="15"/>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Save the Mother to Child Initiative (IDB)</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7"/>
              <w:rPr>
                <w:sz w:val="14"/>
              </w:rPr>
            </w:pPr>
            <w:r>
              <w:rPr>
                <w:sz w:val="14"/>
              </w:rPr>
              <w:t>IDB/ GoSL</w:t>
            </w:r>
          </w:p>
        </w:tc>
        <w:tc>
          <w:tcPr>
            <w:tcW w:w="1221" w:type="dxa"/>
          </w:tcPr>
          <w:p>
            <w:pPr>
              <w:pStyle w:val="TableParagraph"/>
              <w:spacing w:before="32"/>
              <w:ind w:left="216"/>
              <w:rPr>
                <w:sz w:val="14"/>
              </w:rPr>
            </w:pPr>
            <w:r>
              <w:rPr>
                <w:sz w:val="14"/>
              </w:rPr>
              <w:t>Grant/ Budget</w:t>
            </w:r>
          </w:p>
        </w:tc>
        <w:tc>
          <w:tcPr>
            <w:tcW w:w="923" w:type="dxa"/>
          </w:tcPr>
          <w:p>
            <w:pPr>
              <w:pStyle w:val="TableParagraph"/>
              <w:spacing w:before="32"/>
              <w:ind w:right="197"/>
              <w:jc w:val="right"/>
              <w:rPr>
                <w:sz w:val="14"/>
              </w:rPr>
            </w:pPr>
            <w:r>
              <w:rPr>
                <w:sz w:val="14"/>
              </w:rPr>
              <w:t>24 ,428</w:t>
            </w:r>
          </w:p>
        </w:tc>
        <w:tc>
          <w:tcPr>
            <w:tcW w:w="875" w:type="dxa"/>
          </w:tcPr>
          <w:p>
            <w:pPr>
              <w:pStyle w:val="TableParagraph"/>
              <w:spacing w:before="32"/>
              <w:ind w:right="152"/>
              <w:jc w:val="right"/>
              <w:rPr>
                <w:sz w:val="14"/>
              </w:rPr>
            </w:pPr>
            <w:r>
              <w:rPr>
                <w:sz w:val="14"/>
              </w:rPr>
              <w:t>5,000</w:t>
            </w:r>
          </w:p>
        </w:tc>
        <w:tc>
          <w:tcPr>
            <w:tcW w:w="885" w:type="dxa"/>
          </w:tcPr>
          <w:p>
            <w:pPr>
              <w:pStyle w:val="TableParagraph"/>
              <w:spacing w:before="32"/>
              <w:ind w:right="201"/>
              <w:jc w:val="right"/>
              <w:rPr>
                <w:sz w:val="14"/>
              </w:rPr>
            </w:pPr>
            <w:r>
              <w:rPr>
                <w:sz w:val="14"/>
              </w:rPr>
              <w:t>14 ,428</w:t>
            </w:r>
          </w:p>
        </w:tc>
        <w:tc>
          <w:tcPr>
            <w:tcW w:w="896" w:type="dxa"/>
          </w:tcPr>
          <w:p>
            <w:pPr>
              <w:pStyle w:val="TableParagraph"/>
              <w:spacing w:before="32"/>
              <w:ind w:left="324"/>
              <w:rPr>
                <w:sz w:val="14"/>
              </w:rPr>
            </w:pPr>
            <w:r>
              <w:rPr>
                <w:sz w:val="14"/>
              </w:rPr>
              <w:t>5,500</w:t>
            </w:r>
          </w:p>
        </w:tc>
        <w:tc>
          <w:tcPr>
            <w:tcW w:w="826" w:type="dxa"/>
          </w:tcPr>
          <w:p>
            <w:pPr>
              <w:pStyle w:val="TableParagraph"/>
              <w:spacing w:before="32"/>
              <w:ind w:right="144"/>
              <w:jc w:val="right"/>
              <w:rPr>
                <w:sz w:val="14"/>
              </w:rPr>
            </w:pPr>
            <w:r>
              <w:rPr>
                <w:w w:val="95"/>
                <w:sz w:val="14"/>
              </w:rPr>
              <w:t>26,871</w:t>
            </w:r>
          </w:p>
        </w:tc>
        <w:tc>
          <w:tcPr>
            <w:tcW w:w="827" w:type="dxa"/>
          </w:tcPr>
          <w:p>
            <w:pPr>
              <w:pStyle w:val="TableParagraph"/>
              <w:spacing w:before="32"/>
              <w:ind w:right="15"/>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Strengthening Three Tertiary Hospitals in Freetown</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7"/>
              <w:rPr>
                <w:sz w:val="14"/>
              </w:rPr>
            </w:pPr>
            <w:r>
              <w:rPr>
                <w:sz w:val="14"/>
              </w:rPr>
              <w:t>Kuwait</w:t>
            </w:r>
          </w:p>
        </w:tc>
        <w:tc>
          <w:tcPr>
            <w:tcW w:w="1221" w:type="dxa"/>
          </w:tcPr>
          <w:p>
            <w:pPr>
              <w:pStyle w:val="TableParagraph"/>
              <w:spacing w:before="32"/>
              <w:ind w:left="217"/>
              <w:rPr>
                <w:sz w:val="14"/>
              </w:rPr>
            </w:pPr>
            <w:r>
              <w:rPr>
                <w:sz w:val="14"/>
              </w:rPr>
              <w:t>Loan/ GoSL</w:t>
            </w:r>
          </w:p>
        </w:tc>
        <w:tc>
          <w:tcPr>
            <w:tcW w:w="923" w:type="dxa"/>
          </w:tcPr>
          <w:p>
            <w:pPr>
              <w:pStyle w:val="TableParagraph"/>
              <w:spacing w:before="32"/>
              <w:ind w:right="190"/>
              <w:jc w:val="right"/>
              <w:rPr>
                <w:sz w:val="14"/>
              </w:rPr>
            </w:pPr>
            <w:r>
              <w:rPr>
                <w:w w:val="95"/>
                <w:sz w:val="14"/>
              </w:rPr>
              <w:t>12,500</w:t>
            </w:r>
          </w:p>
        </w:tc>
        <w:tc>
          <w:tcPr>
            <w:tcW w:w="875" w:type="dxa"/>
          </w:tcPr>
          <w:p>
            <w:pPr>
              <w:pStyle w:val="TableParagraph"/>
              <w:spacing w:before="32"/>
              <w:ind w:right="160"/>
              <w:jc w:val="right"/>
              <w:rPr>
                <w:sz w:val="14"/>
              </w:rPr>
            </w:pPr>
            <w:r>
              <w:rPr>
                <w:sz w:val="14"/>
              </w:rPr>
              <w:t>2,000</w:t>
            </w:r>
          </w:p>
        </w:tc>
        <w:tc>
          <w:tcPr>
            <w:tcW w:w="885" w:type="dxa"/>
          </w:tcPr>
          <w:p>
            <w:pPr>
              <w:pStyle w:val="TableParagraph"/>
              <w:rPr>
                <w:rFonts w:ascii="Times New Roman"/>
                <w:sz w:val="14"/>
              </w:rPr>
            </w:pPr>
          </w:p>
        </w:tc>
        <w:tc>
          <w:tcPr>
            <w:tcW w:w="896" w:type="dxa"/>
          </w:tcPr>
          <w:p>
            <w:pPr>
              <w:pStyle w:val="TableParagraph"/>
              <w:spacing w:before="32"/>
              <w:ind w:left="273"/>
              <w:rPr>
                <w:sz w:val="14"/>
              </w:rPr>
            </w:pPr>
            <w:r>
              <w:rPr>
                <w:sz w:val="14"/>
              </w:rPr>
              <w:t>4,307</w:t>
            </w:r>
          </w:p>
        </w:tc>
        <w:tc>
          <w:tcPr>
            <w:tcW w:w="826" w:type="dxa"/>
          </w:tcPr>
          <w:p>
            <w:pPr>
              <w:pStyle w:val="TableParagraph"/>
              <w:spacing w:before="32"/>
              <w:ind w:right="158"/>
              <w:jc w:val="right"/>
              <w:rPr>
                <w:sz w:val="14"/>
              </w:rPr>
            </w:pPr>
            <w:r>
              <w:rPr>
                <w:w w:val="95"/>
                <w:sz w:val="14"/>
              </w:rPr>
              <w:t>23,750</w:t>
            </w:r>
          </w:p>
        </w:tc>
        <w:tc>
          <w:tcPr>
            <w:tcW w:w="827" w:type="dxa"/>
          </w:tcPr>
          <w:p>
            <w:pPr>
              <w:pStyle w:val="TableParagraph"/>
              <w:spacing w:before="32"/>
              <w:ind w:right="23"/>
              <w:jc w:val="right"/>
              <w:rPr>
                <w:sz w:val="14"/>
              </w:rPr>
            </w:pPr>
            <w:r>
              <w:rPr>
                <w:sz w:val="14"/>
              </w:rPr>
              <w:t>5,742</w:t>
            </w:r>
          </w:p>
        </w:tc>
      </w:tr>
      <w:tr>
        <w:trPr>
          <w:trHeight w:val="230" w:hRule="atLeast"/>
        </w:trPr>
        <w:tc>
          <w:tcPr>
            <w:tcW w:w="470" w:type="dxa"/>
          </w:tcPr>
          <w:p>
            <w:pPr>
              <w:pStyle w:val="TableParagraph"/>
              <w:rPr>
                <w:rFonts w:ascii="Times New Roman"/>
                <w:sz w:val="14"/>
              </w:rPr>
            </w:pPr>
          </w:p>
        </w:tc>
        <w:tc>
          <w:tcPr>
            <w:tcW w:w="4865" w:type="dxa"/>
          </w:tcPr>
          <w:p>
            <w:pPr>
              <w:pStyle w:val="TableParagraph"/>
              <w:rPr>
                <w:rFonts w:ascii="Times New Roman"/>
                <w:sz w:val="14"/>
              </w:rPr>
            </w:pP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spacing w:before="32"/>
              <w:ind w:left="96"/>
              <w:rPr>
                <w:sz w:val="14"/>
              </w:rPr>
            </w:pPr>
            <w:r>
              <w:rPr>
                <w:sz w:val="14"/>
              </w:rPr>
              <w:t>Fund/ GoSl</w:t>
            </w: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Primary Health Care Support Project</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7"/>
              <w:rPr>
                <w:sz w:val="14"/>
              </w:rPr>
            </w:pPr>
            <w:r>
              <w:rPr>
                <w:sz w:val="14"/>
              </w:rPr>
              <w:t>BADEA/ GoSL</w:t>
            </w:r>
          </w:p>
        </w:tc>
        <w:tc>
          <w:tcPr>
            <w:tcW w:w="1221" w:type="dxa"/>
          </w:tcPr>
          <w:p>
            <w:pPr>
              <w:pStyle w:val="TableParagraph"/>
              <w:spacing w:before="32"/>
              <w:ind w:left="217"/>
              <w:rPr>
                <w:sz w:val="14"/>
              </w:rPr>
            </w:pPr>
            <w:r>
              <w:rPr>
                <w:sz w:val="14"/>
              </w:rPr>
              <w:t>Loan</w:t>
            </w:r>
          </w:p>
        </w:tc>
        <w:tc>
          <w:tcPr>
            <w:tcW w:w="923" w:type="dxa"/>
          </w:tcPr>
          <w:p>
            <w:pPr>
              <w:pStyle w:val="TableParagraph"/>
              <w:spacing w:before="32"/>
              <w:ind w:right="190"/>
              <w:jc w:val="right"/>
              <w:rPr>
                <w:sz w:val="14"/>
              </w:rPr>
            </w:pPr>
            <w:r>
              <w:rPr>
                <w:w w:val="95"/>
                <w:sz w:val="14"/>
              </w:rPr>
              <w:t>15,770</w:t>
            </w:r>
          </w:p>
        </w:tc>
        <w:tc>
          <w:tcPr>
            <w:tcW w:w="875" w:type="dxa"/>
          </w:tcPr>
          <w:p>
            <w:pPr>
              <w:pStyle w:val="TableParagraph"/>
              <w:spacing w:before="32"/>
              <w:ind w:right="160"/>
              <w:jc w:val="right"/>
              <w:rPr>
                <w:sz w:val="14"/>
              </w:rPr>
            </w:pPr>
            <w:r>
              <w:rPr>
                <w:sz w:val="14"/>
              </w:rPr>
              <w:t>2,600</w:t>
            </w:r>
          </w:p>
        </w:tc>
        <w:tc>
          <w:tcPr>
            <w:tcW w:w="885" w:type="dxa"/>
          </w:tcPr>
          <w:p>
            <w:pPr>
              <w:pStyle w:val="TableParagraph"/>
              <w:spacing w:before="32"/>
              <w:ind w:right="188"/>
              <w:jc w:val="right"/>
              <w:rPr>
                <w:sz w:val="14"/>
              </w:rPr>
            </w:pPr>
            <w:r>
              <w:rPr>
                <w:sz w:val="14"/>
              </w:rPr>
              <w:t>5,770</w:t>
            </w:r>
          </w:p>
        </w:tc>
        <w:tc>
          <w:tcPr>
            <w:tcW w:w="896" w:type="dxa"/>
          </w:tcPr>
          <w:p>
            <w:pPr>
              <w:pStyle w:val="TableParagraph"/>
              <w:spacing w:before="32"/>
              <w:ind w:left="273"/>
              <w:rPr>
                <w:sz w:val="14"/>
              </w:rPr>
            </w:pPr>
            <w:r>
              <w:rPr>
                <w:sz w:val="14"/>
              </w:rPr>
              <w:t>2,600</w:t>
            </w:r>
          </w:p>
        </w:tc>
        <w:tc>
          <w:tcPr>
            <w:tcW w:w="826" w:type="dxa"/>
          </w:tcPr>
          <w:p>
            <w:pPr>
              <w:pStyle w:val="TableParagraph"/>
              <w:spacing w:before="32"/>
              <w:ind w:right="158"/>
              <w:jc w:val="right"/>
              <w:rPr>
                <w:sz w:val="14"/>
              </w:rPr>
            </w:pPr>
            <w:r>
              <w:rPr>
                <w:w w:val="95"/>
                <w:sz w:val="14"/>
              </w:rPr>
              <w:t>17,347</w:t>
            </w:r>
          </w:p>
        </w:tc>
        <w:tc>
          <w:tcPr>
            <w:tcW w:w="827" w:type="dxa"/>
          </w:tcPr>
          <w:p>
            <w:pPr>
              <w:pStyle w:val="TableParagraph"/>
              <w:spacing w:before="32"/>
              <w:ind w:right="15"/>
              <w:jc w:val="right"/>
              <w:rPr>
                <w:sz w:val="14"/>
              </w:rPr>
            </w:pPr>
            <w:r>
              <w:rPr>
                <w:sz w:val="14"/>
              </w:rPr>
              <w:t>2,860</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Construction of Cancer and Diagnostic Medical Center</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Western Urban</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52"/>
              <w:jc w:val="right"/>
              <w:rPr>
                <w:sz w:val="14"/>
              </w:rPr>
            </w:pPr>
            <w:r>
              <w:rPr>
                <w:sz w:val="14"/>
              </w:rPr>
              <w:t>7,000</w:t>
            </w:r>
          </w:p>
        </w:tc>
        <w:tc>
          <w:tcPr>
            <w:tcW w:w="885" w:type="dxa"/>
          </w:tcPr>
          <w:p>
            <w:pPr>
              <w:pStyle w:val="TableParagraph"/>
              <w:rPr>
                <w:rFonts w:ascii="Times New Roman"/>
                <w:sz w:val="14"/>
              </w:rPr>
            </w:pPr>
          </w:p>
        </w:tc>
        <w:tc>
          <w:tcPr>
            <w:tcW w:w="896" w:type="dxa"/>
          </w:tcPr>
          <w:p>
            <w:pPr>
              <w:pStyle w:val="TableParagraph"/>
              <w:spacing w:before="32"/>
              <w:ind w:left="232"/>
              <w:rPr>
                <w:sz w:val="14"/>
              </w:rPr>
            </w:pPr>
            <w:r>
              <w:rPr>
                <w:sz w:val="14"/>
              </w:rPr>
              <w:t>15,000</w:t>
            </w:r>
          </w:p>
        </w:tc>
        <w:tc>
          <w:tcPr>
            <w:tcW w:w="826" w:type="dxa"/>
          </w:tcPr>
          <w:p>
            <w:pPr>
              <w:pStyle w:val="TableParagraph"/>
              <w:spacing w:before="32"/>
              <w:ind w:right="136"/>
              <w:jc w:val="right"/>
              <w:rPr>
                <w:sz w:val="14"/>
              </w:rPr>
            </w:pPr>
            <w:r>
              <w:rPr>
                <w:w w:val="99"/>
                <w:sz w:val="14"/>
              </w:rPr>
              <w:t>-</w:t>
            </w:r>
          </w:p>
        </w:tc>
        <w:tc>
          <w:tcPr>
            <w:tcW w:w="827" w:type="dxa"/>
          </w:tcPr>
          <w:p>
            <w:pPr>
              <w:pStyle w:val="TableParagraph"/>
              <w:spacing w:before="32"/>
              <w:ind w:right="21"/>
              <w:jc w:val="right"/>
              <w:rPr>
                <w:sz w:val="14"/>
              </w:rPr>
            </w:pPr>
            <w:r>
              <w:rPr>
                <w:w w:val="95"/>
                <w:sz w:val="14"/>
              </w:rPr>
              <w:t>16,500</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Refurbishment and Equipment of District Hospitals</w:t>
            </w: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spacing w:before="32"/>
              <w:ind w:left="130"/>
              <w:rPr>
                <w:sz w:val="14"/>
              </w:rPr>
            </w:pPr>
            <w:r>
              <w:rPr>
                <w:sz w:val="14"/>
              </w:rPr>
              <w:t>GoSL</w:t>
            </w: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spacing w:before="32"/>
              <w:ind w:right="152"/>
              <w:jc w:val="right"/>
              <w:rPr>
                <w:sz w:val="14"/>
              </w:rPr>
            </w:pPr>
            <w:r>
              <w:rPr>
                <w:sz w:val="14"/>
              </w:rPr>
              <w:t>2,000</w:t>
            </w:r>
          </w:p>
        </w:tc>
        <w:tc>
          <w:tcPr>
            <w:tcW w:w="885" w:type="dxa"/>
          </w:tcPr>
          <w:p>
            <w:pPr>
              <w:pStyle w:val="TableParagraph"/>
              <w:rPr>
                <w:rFonts w:ascii="Times New Roman"/>
                <w:sz w:val="14"/>
              </w:rPr>
            </w:pPr>
          </w:p>
        </w:tc>
        <w:tc>
          <w:tcPr>
            <w:tcW w:w="896" w:type="dxa"/>
          </w:tcPr>
          <w:p>
            <w:pPr>
              <w:pStyle w:val="TableParagraph"/>
              <w:spacing w:before="32"/>
              <w:ind w:left="324"/>
              <w:rPr>
                <w:sz w:val="14"/>
              </w:rPr>
            </w:pPr>
            <w:r>
              <w:rPr>
                <w:sz w:val="14"/>
              </w:rPr>
              <w:t>2,200</w:t>
            </w:r>
          </w:p>
        </w:tc>
        <w:tc>
          <w:tcPr>
            <w:tcW w:w="826" w:type="dxa"/>
          </w:tcPr>
          <w:p>
            <w:pPr>
              <w:pStyle w:val="TableParagraph"/>
              <w:spacing w:before="32"/>
              <w:ind w:right="136"/>
              <w:jc w:val="right"/>
              <w:rPr>
                <w:sz w:val="14"/>
              </w:rPr>
            </w:pPr>
            <w:r>
              <w:rPr>
                <w:w w:val="99"/>
                <w:sz w:val="14"/>
              </w:rPr>
              <w:t>-</w:t>
            </w:r>
          </w:p>
        </w:tc>
        <w:tc>
          <w:tcPr>
            <w:tcW w:w="827" w:type="dxa"/>
          </w:tcPr>
          <w:p>
            <w:pPr>
              <w:pStyle w:val="TableParagraph"/>
              <w:spacing w:before="32"/>
              <w:ind w:right="15"/>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3"/>
              <w:rPr>
                <w:sz w:val="14"/>
              </w:rPr>
            </w:pPr>
            <w:r>
              <w:rPr>
                <w:sz w:val="14"/>
              </w:rPr>
              <w:t>Establishment of National Public Health Agency</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44"/>
              <w:jc w:val="right"/>
              <w:rPr>
                <w:sz w:val="14"/>
              </w:rPr>
            </w:pPr>
            <w:r>
              <w:rPr>
                <w:sz w:val="14"/>
              </w:rPr>
              <w:t>100</w:t>
            </w:r>
          </w:p>
        </w:tc>
        <w:tc>
          <w:tcPr>
            <w:tcW w:w="885" w:type="dxa"/>
          </w:tcPr>
          <w:p>
            <w:pPr>
              <w:pStyle w:val="TableParagraph"/>
              <w:rPr>
                <w:rFonts w:ascii="Times New Roman"/>
                <w:sz w:val="14"/>
              </w:rPr>
            </w:pPr>
          </w:p>
        </w:tc>
        <w:tc>
          <w:tcPr>
            <w:tcW w:w="896" w:type="dxa"/>
          </w:tcPr>
          <w:p>
            <w:pPr>
              <w:pStyle w:val="TableParagraph"/>
              <w:spacing w:before="32"/>
              <w:ind w:left="455"/>
              <w:rPr>
                <w:sz w:val="14"/>
              </w:rPr>
            </w:pPr>
            <w:r>
              <w:rPr>
                <w:sz w:val="14"/>
              </w:rPr>
              <w:t>110</w:t>
            </w:r>
          </w:p>
        </w:tc>
        <w:tc>
          <w:tcPr>
            <w:tcW w:w="826" w:type="dxa"/>
          </w:tcPr>
          <w:p>
            <w:pPr>
              <w:pStyle w:val="TableParagraph"/>
              <w:spacing w:before="32"/>
              <w:ind w:right="136"/>
              <w:jc w:val="right"/>
              <w:rPr>
                <w:sz w:val="14"/>
              </w:rPr>
            </w:pPr>
            <w:r>
              <w:rPr>
                <w:w w:val="99"/>
                <w:sz w:val="14"/>
              </w:rPr>
              <w:t>-</w:t>
            </w:r>
          </w:p>
        </w:tc>
        <w:tc>
          <w:tcPr>
            <w:tcW w:w="827" w:type="dxa"/>
          </w:tcPr>
          <w:p>
            <w:pPr>
              <w:pStyle w:val="TableParagraph"/>
              <w:spacing w:before="32"/>
              <w:ind w:right="7"/>
              <w:jc w:val="right"/>
              <w:rPr>
                <w:sz w:val="14"/>
              </w:rPr>
            </w:pPr>
            <w:r>
              <w:rPr>
                <w:sz w:val="14"/>
              </w:rPr>
              <w:t>121</w:t>
            </w:r>
          </w:p>
        </w:tc>
      </w:tr>
      <w:tr>
        <w:trPr>
          <w:trHeight w:val="230"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Providing Disability Friendly Environment in Health Facilities</w:t>
            </w:r>
          </w:p>
        </w:tc>
        <w:tc>
          <w:tcPr>
            <w:tcW w:w="752" w:type="dxa"/>
          </w:tcPr>
          <w:p>
            <w:pPr>
              <w:pStyle w:val="TableParagraph"/>
              <w:spacing w:before="32"/>
              <w:ind w:left="101"/>
              <w:rPr>
                <w:sz w:val="14"/>
              </w:rPr>
            </w:pPr>
            <w:r>
              <w:rPr>
                <w:sz w:val="14"/>
              </w:rPr>
              <w:t>Ongoing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52"/>
              <w:jc w:val="right"/>
              <w:rPr>
                <w:sz w:val="14"/>
              </w:rPr>
            </w:pPr>
            <w:r>
              <w:rPr>
                <w:sz w:val="14"/>
              </w:rPr>
              <w:t>1,000</w:t>
            </w:r>
          </w:p>
        </w:tc>
        <w:tc>
          <w:tcPr>
            <w:tcW w:w="885" w:type="dxa"/>
          </w:tcPr>
          <w:p>
            <w:pPr>
              <w:pStyle w:val="TableParagraph"/>
              <w:rPr>
                <w:rFonts w:ascii="Times New Roman"/>
                <w:sz w:val="14"/>
              </w:rPr>
            </w:pPr>
          </w:p>
        </w:tc>
        <w:tc>
          <w:tcPr>
            <w:tcW w:w="896" w:type="dxa"/>
          </w:tcPr>
          <w:p>
            <w:pPr>
              <w:pStyle w:val="TableParagraph"/>
              <w:spacing w:before="32"/>
              <w:ind w:left="324"/>
              <w:rPr>
                <w:sz w:val="14"/>
              </w:rPr>
            </w:pPr>
            <w:r>
              <w:rPr>
                <w:sz w:val="14"/>
              </w:rPr>
              <w:t>1,100</w:t>
            </w:r>
          </w:p>
        </w:tc>
        <w:tc>
          <w:tcPr>
            <w:tcW w:w="826" w:type="dxa"/>
          </w:tcPr>
          <w:p>
            <w:pPr>
              <w:pStyle w:val="TableParagraph"/>
              <w:spacing w:before="32"/>
              <w:ind w:right="136"/>
              <w:jc w:val="right"/>
              <w:rPr>
                <w:sz w:val="14"/>
              </w:rPr>
            </w:pPr>
            <w:r>
              <w:rPr>
                <w:w w:val="99"/>
                <w:sz w:val="14"/>
              </w:rPr>
              <w:t>-</w:t>
            </w:r>
          </w:p>
        </w:tc>
        <w:tc>
          <w:tcPr>
            <w:tcW w:w="827" w:type="dxa"/>
          </w:tcPr>
          <w:p>
            <w:pPr>
              <w:pStyle w:val="TableParagraph"/>
              <w:spacing w:before="32"/>
              <w:ind w:right="15"/>
              <w:jc w:val="right"/>
              <w:rPr>
                <w:sz w:val="14"/>
              </w:rPr>
            </w:pPr>
            <w:r>
              <w:rPr>
                <w:sz w:val="14"/>
              </w:rPr>
              <w:t>1,210</w:t>
            </w:r>
          </w:p>
        </w:tc>
      </w:tr>
      <w:tr>
        <w:trPr>
          <w:trHeight w:val="227" w:hRule="atLeast"/>
        </w:trPr>
        <w:tc>
          <w:tcPr>
            <w:tcW w:w="470" w:type="dxa"/>
          </w:tcPr>
          <w:p>
            <w:pPr>
              <w:pStyle w:val="TableParagraph"/>
              <w:rPr>
                <w:rFonts w:ascii="Times New Roman"/>
                <w:sz w:val="14"/>
              </w:rPr>
            </w:pPr>
          </w:p>
        </w:tc>
        <w:tc>
          <w:tcPr>
            <w:tcW w:w="4865" w:type="dxa"/>
          </w:tcPr>
          <w:p>
            <w:pPr>
              <w:pStyle w:val="TableParagraph"/>
              <w:spacing w:before="32"/>
              <w:ind w:left="262"/>
              <w:rPr>
                <w:sz w:val="14"/>
              </w:rPr>
            </w:pPr>
            <w:r>
              <w:rPr>
                <w:sz w:val="14"/>
              </w:rPr>
              <w:t>Adolescent Sexual Reproductive Health Programme</w:t>
            </w:r>
          </w:p>
        </w:tc>
        <w:tc>
          <w:tcPr>
            <w:tcW w:w="752" w:type="dxa"/>
          </w:tcPr>
          <w:p>
            <w:pPr>
              <w:pStyle w:val="TableParagraph"/>
              <w:spacing w:before="32"/>
              <w:ind w:left="101"/>
              <w:rPr>
                <w:sz w:val="14"/>
              </w:rPr>
            </w:pPr>
            <w:r>
              <w:rPr>
                <w:sz w:val="14"/>
              </w:rPr>
              <w:t>Onging</w:t>
            </w:r>
          </w:p>
        </w:tc>
        <w:tc>
          <w:tcPr>
            <w:tcW w:w="1125" w:type="dxa"/>
          </w:tcPr>
          <w:p>
            <w:pPr>
              <w:pStyle w:val="TableParagraph"/>
              <w:spacing w:before="32"/>
              <w:ind w:left="88"/>
              <w:rPr>
                <w:sz w:val="14"/>
              </w:rPr>
            </w:pPr>
            <w:r>
              <w:rPr>
                <w:sz w:val="14"/>
              </w:rPr>
              <w:t>Nationwide</w:t>
            </w:r>
          </w:p>
        </w:tc>
        <w:tc>
          <w:tcPr>
            <w:tcW w:w="1128" w:type="dxa"/>
          </w:tcPr>
          <w:p>
            <w:pPr>
              <w:pStyle w:val="TableParagraph"/>
              <w:spacing w:before="32"/>
              <w:ind w:left="96"/>
              <w:rPr>
                <w:sz w:val="14"/>
              </w:rPr>
            </w:pPr>
            <w:r>
              <w:rPr>
                <w:sz w:val="14"/>
              </w:rPr>
              <w:t>GoSL</w:t>
            </w:r>
          </w:p>
        </w:tc>
        <w:tc>
          <w:tcPr>
            <w:tcW w:w="1221" w:type="dxa"/>
          </w:tcPr>
          <w:p>
            <w:pPr>
              <w:pStyle w:val="TableParagraph"/>
              <w:spacing w:before="32"/>
              <w:ind w:left="217"/>
              <w:rPr>
                <w:sz w:val="14"/>
              </w:rPr>
            </w:pPr>
            <w:r>
              <w:rPr>
                <w:sz w:val="14"/>
              </w:rPr>
              <w:t>Budget</w:t>
            </w:r>
          </w:p>
        </w:tc>
        <w:tc>
          <w:tcPr>
            <w:tcW w:w="923" w:type="dxa"/>
          </w:tcPr>
          <w:p>
            <w:pPr>
              <w:pStyle w:val="TableParagraph"/>
              <w:rPr>
                <w:rFonts w:ascii="Times New Roman"/>
                <w:sz w:val="14"/>
              </w:rPr>
            </w:pPr>
          </w:p>
        </w:tc>
        <w:tc>
          <w:tcPr>
            <w:tcW w:w="875" w:type="dxa"/>
          </w:tcPr>
          <w:p>
            <w:pPr>
              <w:pStyle w:val="TableParagraph"/>
              <w:spacing w:before="32"/>
              <w:ind w:right="152"/>
              <w:jc w:val="right"/>
              <w:rPr>
                <w:sz w:val="14"/>
              </w:rPr>
            </w:pPr>
            <w:r>
              <w:rPr>
                <w:sz w:val="14"/>
              </w:rPr>
              <w:t>1,000</w:t>
            </w:r>
          </w:p>
        </w:tc>
        <w:tc>
          <w:tcPr>
            <w:tcW w:w="885" w:type="dxa"/>
          </w:tcPr>
          <w:p>
            <w:pPr>
              <w:pStyle w:val="TableParagraph"/>
              <w:rPr>
                <w:rFonts w:ascii="Times New Roman"/>
                <w:sz w:val="14"/>
              </w:rPr>
            </w:pPr>
          </w:p>
        </w:tc>
        <w:tc>
          <w:tcPr>
            <w:tcW w:w="896" w:type="dxa"/>
          </w:tcPr>
          <w:p>
            <w:pPr>
              <w:pStyle w:val="TableParagraph"/>
              <w:spacing w:before="32"/>
              <w:ind w:left="324"/>
              <w:rPr>
                <w:sz w:val="14"/>
              </w:rPr>
            </w:pPr>
            <w:r>
              <w:rPr>
                <w:sz w:val="14"/>
              </w:rPr>
              <w:t>1,100</w:t>
            </w:r>
          </w:p>
        </w:tc>
        <w:tc>
          <w:tcPr>
            <w:tcW w:w="826" w:type="dxa"/>
          </w:tcPr>
          <w:p>
            <w:pPr>
              <w:pStyle w:val="TableParagraph"/>
              <w:spacing w:before="32"/>
              <w:ind w:right="136"/>
              <w:jc w:val="right"/>
              <w:rPr>
                <w:sz w:val="14"/>
              </w:rPr>
            </w:pPr>
            <w:r>
              <w:rPr>
                <w:w w:val="99"/>
                <w:sz w:val="14"/>
              </w:rPr>
              <w:t>-</w:t>
            </w:r>
          </w:p>
        </w:tc>
        <w:tc>
          <w:tcPr>
            <w:tcW w:w="827" w:type="dxa"/>
          </w:tcPr>
          <w:p>
            <w:pPr>
              <w:pStyle w:val="TableParagraph"/>
              <w:spacing w:before="32"/>
              <w:ind w:right="15"/>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865" w:type="dxa"/>
          </w:tcPr>
          <w:p>
            <w:pPr>
              <w:pStyle w:val="TableParagraph"/>
              <w:spacing w:before="29"/>
              <w:ind w:left="262"/>
              <w:rPr>
                <w:sz w:val="14"/>
              </w:rPr>
            </w:pPr>
            <w:r>
              <w:rPr>
                <w:sz w:val="14"/>
              </w:rPr>
              <w:t>Construction of National Warehouse at Kerry Town</w:t>
            </w:r>
          </w:p>
        </w:tc>
        <w:tc>
          <w:tcPr>
            <w:tcW w:w="752" w:type="dxa"/>
          </w:tcPr>
          <w:p>
            <w:pPr>
              <w:pStyle w:val="TableParagraph"/>
              <w:spacing w:before="29"/>
              <w:ind w:left="101"/>
              <w:rPr>
                <w:sz w:val="14"/>
              </w:rPr>
            </w:pPr>
            <w:r>
              <w:rPr>
                <w:sz w:val="14"/>
              </w:rPr>
              <w:t>New</w:t>
            </w:r>
          </w:p>
        </w:tc>
        <w:tc>
          <w:tcPr>
            <w:tcW w:w="1125" w:type="dxa"/>
          </w:tcPr>
          <w:p>
            <w:pPr>
              <w:pStyle w:val="TableParagraph"/>
              <w:spacing w:before="29"/>
              <w:ind w:left="88"/>
              <w:rPr>
                <w:sz w:val="14"/>
              </w:rPr>
            </w:pPr>
            <w:r>
              <w:rPr>
                <w:sz w:val="14"/>
              </w:rPr>
              <w:t>Western Area</w:t>
            </w:r>
          </w:p>
        </w:tc>
        <w:tc>
          <w:tcPr>
            <w:tcW w:w="1128" w:type="dxa"/>
          </w:tcPr>
          <w:p>
            <w:pPr>
              <w:pStyle w:val="TableParagraph"/>
              <w:spacing w:before="29"/>
              <w:ind w:left="96"/>
              <w:rPr>
                <w:sz w:val="14"/>
              </w:rPr>
            </w:pPr>
            <w:r>
              <w:rPr>
                <w:sz w:val="14"/>
              </w:rPr>
              <w:t>Global Fund</w:t>
            </w:r>
          </w:p>
        </w:tc>
        <w:tc>
          <w:tcPr>
            <w:tcW w:w="1221" w:type="dxa"/>
          </w:tcPr>
          <w:p>
            <w:pPr>
              <w:pStyle w:val="TableParagraph"/>
              <w:spacing w:before="29"/>
              <w:ind w:left="217"/>
              <w:rPr>
                <w:sz w:val="14"/>
              </w:rPr>
            </w:pPr>
            <w:r>
              <w:rPr>
                <w:sz w:val="14"/>
              </w:rPr>
              <w:t>Budget</w:t>
            </w:r>
          </w:p>
        </w:tc>
        <w:tc>
          <w:tcPr>
            <w:tcW w:w="923" w:type="dxa"/>
          </w:tcPr>
          <w:p>
            <w:pPr>
              <w:pStyle w:val="TableParagraph"/>
              <w:spacing w:before="29"/>
              <w:ind w:right="185"/>
              <w:jc w:val="right"/>
              <w:rPr>
                <w:sz w:val="14"/>
              </w:rPr>
            </w:pPr>
            <w:r>
              <w:rPr>
                <w:sz w:val="14"/>
              </w:rPr>
              <w:t>2,500</w:t>
            </w:r>
          </w:p>
        </w:tc>
        <w:tc>
          <w:tcPr>
            <w:tcW w:w="875" w:type="dxa"/>
          </w:tcPr>
          <w:p>
            <w:pPr>
              <w:pStyle w:val="TableParagraph"/>
              <w:spacing w:before="29"/>
              <w:ind w:right="152"/>
              <w:jc w:val="right"/>
              <w:rPr>
                <w:sz w:val="14"/>
              </w:rPr>
            </w:pPr>
            <w:r>
              <w:rPr>
                <w:sz w:val="14"/>
              </w:rPr>
              <w:t>1,000</w:t>
            </w:r>
          </w:p>
        </w:tc>
        <w:tc>
          <w:tcPr>
            <w:tcW w:w="885" w:type="dxa"/>
          </w:tcPr>
          <w:p>
            <w:pPr>
              <w:pStyle w:val="TableParagraph"/>
              <w:spacing w:before="29"/>
              <w:ind w:right="188"/>
              <w:jc w:val="right"/>
              <w:rPr>
                <w:sz w:val="14"/>
              </w:rPr>
            </w:pPr>
            <w:r>
              <w:rPr>
                <w:sz w:val="14"/>
              </w:rPr>
              <w:t>2,500</w:t>
            </w:r>
          </w:p>
        </w:tc>
        <w:tc>
          <w:tcPr>
            <w:tcW w:w="896" w:type="dxa"/>
          </w:tcPr>
          <w:p>
            <w:pPr>
              <w:pStyle w:val="TableParagraph"/>
              <w:spacing w:before="29"/>
              <w:ind w:left="232"/>
              <w:rPr>
                <w:sz w:val="14"/>
              </w:rPr>
            </w:pPr>
            <w:r>
              <w:rPr>
                <w:sz w:val="14"/>
              </w:rPr>
              <w:t>15,000</w:t>
            </w:r>
          </w:p>
        </w:tc>
        <w:tc>
          <w:tcPr>
            <w:tcW w:w="826" w:type="dxa"/>
          </w:tcPr>
          <w:p>
            <w:pPr>
              <w:pStyle w:val="TableParagraph"/>
              <w:spacing w:before="29"/>
              <w:ind w:right="138"/>
              <w:jc w:val="right"/>
              <w:rPr>
                <w:sz w:val="14"/>
              </w:rPr>
            </w:pPr>
            <w:r>
              <w:rPr>
                <w:sz w:val="14"/>
              </w:rPr>
              <w:t>2,750</w:t>
            </w:r>
          </w:p>
        </w:tc>
        <w:tc>
          <w:tcPr>
            <w:tcW w:w="827" w:type="dxa"/>
          </w:tcPr>
          <w:p>
            <w:pPr>
              <w:pStyle w:val="TableParagraph"/>
              <w:spacing w:before="29"/>
              <w:ind w:right="21"/>
              <w:jc w:val="right"/>
              <w:rPr>
                <w:sz w:val="14"/>
              </w:rPr>
            </w:pPr>
            <w:r>
              <w:rPr>
                <w:w w:val="95"/>
                <w:sz w:val="14"/>
              </w:rPr>
              <w:t>16,500</w:t>
            </w:r>
          </w:p>
        </w:tc>
      </w:tr>
      <w:tr>
        <w:trPr>
          <w:trHeight w:val="227" w:hRule="atLeast"/>
        </w:trPr>
        <w:tc>
          <w:tcPr>
            <w:tcW w:w="470" w:type="dxa"/>
          </w:tcPr>
          <w:p>
            <w:pPr>
              <w:pStyle w:val="TableParagraph"/>
              <w:rPr>
                <w:rFonts w:ascii="Times New Roman"/>
                <w:sz w:val="14"/>
              </w:rPr>
            </w:pPr>
          </w:p>
        </w:tc>
        <w:tc>
          <w:tcPr>
            <w:tcW w:w="4865" w:type="dxa"/>
          </w:tcPr>
          <w:p>
            <w:pPr>
              <w:pStyle w:val="TableParagraph"/>
              <w:rPr>
                <w:rFonts w:ascii="Times New Roman"/>
                <w:sz w:val="14"/>
              </w:rPr>
            </w:pPr>
          </w:p>
        </w:tc>
        <w:tc>
          <w:tcPr>
            <w:tcW w:w="752" w:type="dxa"/>
          </w:tcPr>
          <w:p>
            <w:pPr>
              <w:pStyle w:val="TableParagraph"/>
              <w:rPr>
                <w:rFonts w:ascii="Times New Roman"/>
                <w:sz w:val="14"/>
              </w:rPr>
            </w:pPr>
          </w:p>
        </w:tc>
        <w:tc>
          <w:tcPr>
            <w:tcW w:w="1125" w:type="dxa"/>
          </w:tcPr>
          <w:p>
            <w:pPr>
              <w:pStyle w:val="TableParagraph"/>
              <w:rPr>
                <w:rFonts w:ascii="Times New Roman"/>
                <w:sz w:val="14"/>
              </w:rPr>
            </w:pPr>
          </w:p>
        </w:tc>
        <w:tc>
          <w:tcPr>
            <w:tcW w:w="1128" w:type="dxa"/>
          </w:tcPr>
          <w:p>
            <w:pPr>
              <w:pStyle w:val="TableParagraph"/>
              <w:spacing w:before="32"/>
              <w:ind w:left="99"/>
              <w:rPr>
                <w:sz w:val="14"/>
              </w:rPr>
            </w:pPr>
            <w:r>
              <w:rPr>
                <w:sz w:val="14"/>
              </w:rPr>
              <w:t>/ GOSL</w:t>
            </w:r>
          </w:p>
        </w:tc>
        <w:tc>
          <w:tcPr>
            <w:tcW w:w="1221" w:type="dxa"/>
          </w:tcPr>
          <w:p>
            <w:pPr>
              <w:pStyle w:val="TableParagraph"/>
              <w:rPr>
                <w:rFonts w:ascii="Times New Roman"/>
                <w:sz w:val="14"/>
              </w:rPr>
            </w:pPr>
          </w:p>
        </w:tc>
        <w:tc>
          <w:tcPr>
            <w:tcW w:w="923" w:type="dxa"/>
          </w:tcPr>
          <w:p>
            <w:pPr>
              <w:pStyle w:val="TableParagraph"/>
              <w:rPr>
                <w:rFonts w:ascii="Times New Roman"/>
                <w:sz w:val="14"/>
              </w:rPr>
            </w:pPr>
          </w:p>
        </w:tc>
        <w:tc>
          <w:tcPr>
            <w:tcW w:w="875" w:type="dxa"/>
          </w:tcPr>
          <w:p>
            <w:pPr>
              <w:pStyle w:val="TableParagraph"/>
              <w:rPr>
                <w:rFonts w:ascii="Times New Roman"/>
                <w:sz w:val="14"/>
              </w:rPr>
            </w:pPr>
          </w:p>
        </w:tc>
        <w:tc>
          <w:tcPr>
            <w:tcW w:w="885" w:type="dxa"/>
          </w:tcPr>
          <w:p>
            <w:pPr>
              <w:pStyle w:val="TableParagraph"/>
              <w:rPr>
                <w:rFonts w:ascii="Times New Roman"/>
                <w:sz w:val="14"/>
              </w:rPr>
            </w:pPr>
          </w:p>
        </w:tc>
        <w:tc>
          <w:tcPr>
            <w:tcW w:w="896" w:type="dxa"/>
          </w:tcPr>
          <w:p>
            <w:pPr>
              <w:pStyle w:val="TableParagraph"/>
              <w:rPr>
                <w:rFonts w:ascii="Times New Roman"/>
                <w:sz w:val="14"/>
              </w:rPr>
            </w:pPr>
          </w:p>
        </w:tc>
        <w:tc>
          <w:tcPr>
            <w:tcW w:w="826" w:type="dxa"/>
          </w:tcPr>
          <w:p>
            <w:pPr>
              <w:pStyle w:val="TableParagraph"/>
              <w:rPr>
                <w:rFonts w:ascii="Times New Roman"/>
                <w:sz w:val="14"/>
              </w:rPr>
            </w:pPr>
          </w:p>
        </w:tc>
        <w:tc>
          <w:tcPr>
            <w:tcW w:w="827" w:type="dxa"/>
          </w:tcPr>
          <w:p>
            <w:pPr>
              <w:pStyle w:val="TableParagraph"/>
              <w:rPr>
                <w:rFonts w:ascii="Times New Roman"/>
                <w:sz w:val="14"/>
              </w:rPr>
            </w:pPr>
          </w:p>
        </w:tc>
      </w:tr>
    </w:tbl>
    <w:p>
      <w:pPr>
        <w:spacing w:after="0"/>
        <w:rPr>
          <w:rFonts w:ascii="Times New Roman"/>
          <w:sz w:val="14"/>
        </w:rPr>
        <w:sectPr>
          <w:pgSz w:w="16840" w:h="11900" w:orient="landscape"/>
          <w:pgMar w:header="1107" w:footer="0" w:top="2040" w:bottom="280" w:left="880" w:right="920"/>
        </w:sectPr>
      </w:pPr>
    </w:p>
    <w:p>
      <w:pPr>
        <w:pStyle w:val="BodyText"/>
        <w:rPr>
          <w:rFonts w:ascii="Arial"/>
          <w:b/>
          <w:sz w:val="20"/>
        </w:rPr>
      </w:pPr>
    </w:p>
    <w:p>
      <w:pPr>
        <w:pStyle w:val="BodyText"/>
        <w:spacing w:before="3"/>
        <w:rPr>
          <w:rFonts w:ascii="Arial"/>
          <w:b/>
          <w:sz w:val="16"/>
        </w:rPr>
      </w:pPr>
    </w:p>
    <w:p>
      <w:pPr>
        <w:spacing w:before="0"/>
        <w:ind w:left="158" w:right="0" w:firstLine="0"/>
        <w:jc w:val="left"/>
        <w:rPr>
          <w:rFonts w:ascii="Arial" w:hAnsi="Arial"/>
          <w:b/>
          <w:sz w:val="17"/>
        </w:rPr>
      </w:pPr>
      <w:r>
        <w:rPr>
          <w:rFonts w:ascii="Arial" w:hAnsi="Arial"/>
          <w:b/>
          <w:w w:val="105"/>
          <w:sz w:val="17"/>
        </w:rPr>
        <w:t>In millions of Leones (Le’m)</w:t>
      </w:r>
    </w:p>
    <w:p>
      <w:pPr>
        <w:spacing w:before="63"/>
        <w:ind w:left="158" w:right="0" w:firstLine="0"/>
        <w:jc w:val="left"/>
        <w:rPr>
          <w:rFonts w:ascii="Arial" w:hAnsi="Arial"/>
          <w:b/>
          <w:sz w:val="17"/>
        </w:rPr>
      </w:pPr>
      <w:r>
        <w:rPr/>
        <w:br w:type="column"/>
      </w:r>
      <w:r>
        <w:rPr>
          <w:rFonts w:ascii="Arial" w:hAnsi="Arial"/>
          <w:w w:val="105"/>
          <w:sz w:val="21"/>
        </w:rPr>
        <w:t>ANNEX 4–</w:t>
      </w:r>
      <w:r>
        <w:rPr>
          <w:rFonts w:ascii="Arial" w:hAnsi="Arial"/>
          <w:b/>
          <w:w w:val="105"/>
          <w:sz w:val="17"/>
        </w:rPr>
        <w:t>SIERRA LEONE PUBLIC INVESTMENT PROGRAMME FY 2020-2022</w:t>
      </w:r>
    </w:p>
    <w:p>
      <w:pPr>
        <w:spacing w:after="0"/>
        <w:jc w:val="left"/>
        <w:rPr>
          <w:rFonts w:ascii="Arial" w:hAnsi="Arial"/>
          <w:sz w:val="17"/>
        </w:rPr>
        <w:sectPr>
          <w:headerReference w:type="default" r:id="rId11"/>
          <w:pgSz w:w="16840" w:h="11900" w:orient="landscape"/>
          <w:pgMar w:header="1106" w:footer="0" w:top="1300" w:bottom="280" w:left="880" w:right="920"/>
          <w:cols w:num="2" w:equalWidth="0">
            <w:col w:w="2863" w:space="885"/>
            <w:col w:w="11292"/>
          </w:cols>
        </w:sectPr>
      </w:pPr>
    </w:p>
    <w:p>
      <w:pPr>
        <w:pStyle w:val="BodyText"/>
        <w:spacing w:before="3"/>
        <w:rPr>
          <w:rFonts w:ascii="Arial"/>
          <w:b/>
          <w:sz w:val="7"/>
        </w:rPr>
      </w:pPr>
      <w:r>
        <w:rPr/>
        <w:pict>
          <v:shape style="position:absolute;margin-left:27.140491pt;margin-top:284.670013pt;width:14.35pt;height:22.3pt;mso-position-horizontal-relative:page;mso-position-vertical-relative:page;z-index:1816" type="#_x0000_t202" filled="false" stroked="false">
            <v:textbox inset="0,0,0,0" style="layout-flow:vertical">
              <w:txbxContent>
                <w:p>
                  <w:pPr>
                    <w:spacing w:before="13"/>
                    <w:ind w:left="20" w:right="0" w:firstLine="0"/>
                    <w:jc w:val="left"/>
                    <w:rPr>
                      <w:rFonts w:ascii="Arial"/>
                      <w:sz w:val="22"/>
                    </w:rPr>
                  </w:pPr>
                  <w:r>
                    <w:rPr>
                      <w:rFonts w:ascii="Arial"/>
                      <w:sz w:val="22"/>
                    </w:rPr>
                    <w:t>xxix</w:t>
                  </w:r>
                </w:p>
              </w:txbxContent>
            </v:textbox>
            <w10:wrap type="none"/>
          </v:shape>
        </w:pict>
      </w:r>
    </w:p>
    <w:p>
      <w:pPr>
        <w:pStyle w:val="BodyText"/>
        <w:spacing w:line="40" w:lineRule="exact"/>
        <w:ind w:left="136"/>
        <w:rPr>
          <w:rFonts w:ascii="Arial"/>
          <w:sz w:val="4"/>
        </w:rPr>
      </w:pPr>
      <w:r>
        <w:rPr>
          <w:rFonts w:ascii="Arial"/>
          <w:position w:val="0"/>
          <w:sz w:val="4"/>
        </w:rPr>
        <w:pict>
          <v:group style="width:739.95pt;height:1.95pt;mso-position-horizontal-relative:char;mso-position-vertical-relative:line" coordorigin="0,0" coordsize="14799,39">
            <v:line style="position:absolute" from="0,19" to="14798,19" stroked="true" strokeweight="1.92pt" strokecolor="#000000">
              <v:stroke dashstyle="solid"/>
            </v:line>
          </v:group>
        </w:pict>
      </w:r>
      <w:r>
        <w:rPr>
          <w:rFonts w:ascii="Arial"/>
          <w:position w:val="0"/>
          <w:sz w:val="4"/>
        </w:rPr>
      </w:r>
    </w:p>
    <w:p>
      <w:pPr>
        <w:pStyle w:val="BodyText"/>
        <w:spacing w:before="8"/>
        <w:rPr>
          <w:rFonts w:ascii="Arial"/>
          <w:b/>
          <w:sz w:val="12"/>
        </w:rPr>
      </w:pPr>
    </w:p>
    <w:p>
      <w:pPr>
        <w:tabs>
          <w:tab w:pos="11610" w:val="left" w:leader="none"/>
          <w:tab w:pos="13256" w:val="left" w:leader="none"/>
        </w:tabs>
        <w:spacing w:before="0" w:after="33"/>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792"/>
        <w:gridCol w:w="827"/>
        <w:gridCol w:w="998"/>
        <w:gridCol w:w="1335"/>
        <w:gridCol w:w="1143"/>
        <w:gridCol w:w="902"/>
        <w:gridCol w:w="896"/>
        <w:gridCol w:w="845"/>
        <w:gridCol w:w="936"/>
        <w:gridCol w:w="832"/>
        <w:gridCol w:w="821"/>
      </w:tblGrid>
      <w:tr>
        <w:trPr>
          <w:trHeight w:val="390"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line="127" w:lineRule="exact" w:before="60"/>
              <w:ind w:left="17"/>
              <w:rPr>
                <w:sz w:val="14"/>
              </w:rPr>
            </w:pPr>
            <w:r>
              <w:rPr>
                <w:spacing w:val="2"/>
                <w:sz w:val="14"/>
              </w:rPr>
              <w:t>Code</w:t>
            </w:r>
          </w:p>
        </w:tc>
        <w:tc>
          <w:tcPr>
            <w:tcW w:w="4792" w:type="dxa"/>
            <w:tcBorders>
              <w:top w:val="single" w:sz="4" w:space="0" w:color="000000"/>
              <w:bottom w:val="single" w:sz="18" w:space="0" w:color="000000"/>
            </w:tcBorders>
          </w:tcPr>
          <w:p>
            <w:pPr>
              <w:pStyle w:val="TableParagraph"/>
              <w:spacing w:before="22"/>
              <w:ind w:left="113"/>
              <w:rPr>
                <w:sz w:val="14"/>
              </w:rPr>
            </w:pPr>
            <w:r>
              <w:rPr>
                <w:sz w:val="14"/>
              </w:rPr>
              <w:t>National Development Plan Cluster/ Ministry, Department</w:t>
            </w:r>
          </w:p>
          <w:p>
            <w:pPr>
              <w:pStyle w:val="TableParagraph"/>
              <w:spacing w:line="127" w:lineRule="exact" w:before="60"/>
              <w:ind w:left="114"/>
              <w:rPr>
                <w:sz w:val="14"/>
              </w:rPr>
            </w:pPr>
            <w:r>
              <w:rPr>
                <w:sz w:val="14"/>
              </w:rPr>
              <w:t>and Agency (MDAs)</w:t>
            </w:r>
          </w:p>
        </w:tc>
        <w:tc>
          <w:tcPr>
            <w:tcW w:w="827" w:type="dxa"/>
            <w:tcBorders>
              <w:top w:val="single" w:sz="4" w:space="0" w:color="000000"/>
              <w:bottom w:val="single" w:sz="18" w:space="0" w:color="000000"/>
            </w:tcBorders>
          </w:tcPr>
          <w:p>
            <w:pPr>
              <w:pStyle w:val="TableParagraph"/>
              <w:spacing w:before="22"/>
              <w:ind w:left="208"/>
              <w:rPr>
                <w:sz w:val="14"/>
              </w:rPr>
            </w:pPr>
            <w:r>
              <w:rPr>
                <w:sz w:val="14"/>
              </w:rPr>
              <w:t>Status</w:t>
            </w:r>
          </w:p>
        </w:tc>
        <w:tc>
          <w:tcPr>
            <w:tcW w:w="998" w:type="dxa"/>
            <w:tcBorders>
              <w:top w:val="single" w:sz="4" w:space="0" w:color="000000"/>
              <w:bottom w:val="single" w:sz="18" w:space="0" w:color="000000"/>
            </w:tcBorders>
          </w:tcPr>
          <w:p>
            <w:pPr>
              <w:pStyle w:val="TableParagraph"/>
              <w:spacing w:before="22"/>
              <w:ind w:left="106"/>
              <w:rPr>
                <w:sz w:val="14"/>
              </w:rPr>
            </w:pPr>
            <w:r>
              <w:rPr>
                <w:sz w:val="14"/>
              </w:rPr>
              <w:t>Location</w:t>
            </w:r>
          </w:p>
        </w:tc>
        <w:tc>
          <w:tcPr>
            <w:tcW w:w="1335" w:type="dxa"/>
            <w:tcBorders>
              <w:top w:val="single" w:sz="4" w:space="0" w:color="000000"/>
              <w:bottom w:val="single" w:sz="18" w:space="0" w:color="000000"/>
            </w:tcBorders>
          </w:tcPr>
          <w:p>
            <w:pPr>
              <w:pStyle w:val="TableParagraph"/>
              <w:spacing w:before="22"/>
              <w:ind w:left="178"/>
              <w:rPr>
                <w:sz w:val="14"/>
              </w:rPr>
            </w:pPr>
            <w:r>
              <w:rPr>
                <w:spacing w:val="6"/>
                <w:sz w:val="14"/>
              </w:rPr>
              <w:t>Funding</w:t>
            </w:r>
          </w:p>
          <w:p>
            <w:pPr>
              <w:pStyle w:val="TableParagraph"/>
              <w:spacing w:line="127" w:lineRule="exact" w:before="60"/>
              <w:ind w:left="231"/>
              <w:rPr>
                <w:sz w:val="14"/>
              </w:rPr>
            </w:pPr>
            <w:r>
              <w:rPr>
                <w:spacing w:val="4"/>
                <w:sz w:val="14"/>
              </w:rPr>
              <w:t>Source</w:t>
            </w:r>
          </w:p>
        </w:tc>
        <w:tc>
          <w:tcPr>
            <w:tcW w:w="1143" w:type="dxa"/>
            <w:tcBorders>
              <w:top w:val="single" w:sz="4" w:space="0" w:color="000000"/>
              <w:bottom w:val="single" w:sz="18" w:space="0" w:color="000000"/>
            </w:tcBorders>
          </w:tcPr>
          <w:p>
            <w:pPr>
              <w:pStyle w:val="TableParagraph"/>
              <w:spacing w:before="22"/>
              <w:ind w:left="94" w:right="503"/>
              <w:jc w:val="center"/>
              <w:rPr>
                <w:sz w:val="14"/>
              </w:rPr>
            </w:pPr>
            <w:r>
              <w:rPr>
                <w:sz w:val="14"/>
              </w:rPr>
              <w:t>Funding</w:t>
            </w:r>
          </w:p>
          <w:p>
            <w:pPr>
              <w:pStyle w:val="TableParagraph"/>
              <w:spacing w:line="127" w:lineRule="exact" w:before="60"/>
              <w:ind w:left="94" w:right="443"/>
              <w:jc w:val="center"/>
              <w:rPr>
                <w:sz w:val="14"/>
              </w:rPr>
            </w:pPr>
            <w:r>
              <w:rPr>
                <w:sz w:val="14"/>
              </w:rPr>
              <w:t>Type</w:t>
            </w:r>
          </w:p>
        </w:tc>
        <w:tc>
          <w:tcPr>
            <w:tcW w:w="902" w:type="dxa"/>
            <w:tcBorders>
              <w:top w:val="single" w:sz="4" w:space="0" w:color="000000"/>
              <w:bottom w:val="single" w:sz="18" w:space="0" w:color="000000"/>
            </w:tcBorders>
          </w:tcPr>
          <w:p>
            <w:pPr>
              <w:pStyle w:val="TableParagraph"/>
              <w:spacing w:before="22"/>
              <w:ind w:left="134"/>
              <w:rPr>
                <w:sz w:val="14"/>
              </w:rPr>
            </w:pPr>
            <w:r>
              <w:rPr>
                <w:sz w:val="14"/>
              </w:rPr>
              <w:t>Foreign</w:t>
            </w:r>
          </w:p>
        </w:tc>
        <w:tc>
          <w:tcPr>
            <w:tcW w:w="896" w:type="dxa"/>
            <w:tcBorders>
              <w:top w:val="single" w:sz="4" w:space="0" w:color="000000"/>
              <w:bottom w:val="single" w:sz="18" w:space="0" w:color="000000"/>
            </w:tcBorders>
          </w:tcPr>
          <w:p>
            <w:pPr>
              <w:pStyle w:val="TableParagraph"/>
              <w:spacing w:before="22"/>
              <w:ind w:left="178"/>
              <w:rPr>
                <w:sz w:val="14"/>
              </w:rPr>
            </w:pPr>
            <w:r>
              <w:rPr>
                <w:sz w:val="14"/>
              </w:rPr>
              <w:t>Domestic</w:t>
            </w:r>
          </w:p>
        </w:tc>
        <w:tc>
          <w:tcPr>
            <w:tcW w:w="845" w:type="dxa"/>
            <w:tcBorders>
              <w:top w:val="single" w:sz="4" w:space="0" w:color="000000"/>
              <w:bottom w:val="single" w:sz="18" w:space="0" w:color="000000"/>
            </w:tcBorders>
          </w:tcPr>
          <w:p>
            <w:pPr>
              <w:pStyle w:val="TableParagraph"/>
              <w:spacing w:before="22"/>
              <w:ind w:right="163"/>
              <w:jc w:val="right"/>
              <w:rPr>
                <w:sz w:val="14"/>
              </w:rPr>
            </w:pPr>
            <w:r>
              <w:rPr>
                <w:w w:val="95"/>
                <w:sz w:val="14"/>
              </w:rPr>
              <w:t>Foreign</w:t>
            </w:r>
          </w:p>
        </w:tc>
        <w:tc>
          <w:tcPr>
            <w:tcW w:w="936" w:type="dxa"/>
            <w:tcBorders>
              <w:top w:val="single" w:sz="4" w:space="0" w:color="000000"/>
              <w:bottom w:val="single" w:sz="18" w:space="0" w:color="000000"/>
            </w:tcBorders>
          </w:tcPr>
          <w:p>
            <w:pPr>
              <w:pStyle w:val="TableParagraph"/>
              <w:spacing w:before="22"/>
              <w:ind w:left="251"/>
              <w:rPr>
                <w:sz w:val="14"/>
              </w:rPr>
            </w:pPr>
            <w:r>
              <w:rPr>
                <w:sz w:val="14"/>
              </w:rPr>
              <w:t>Domestic</w:t>
            </w:r>
          </w:p>
        </w:tc>
        <w:tc>
          <w:tcPr>
            <w:tcW w:w="832" w:type="dxa"/>
            <w:tcBorders>
              <w:top w:val="single" w:sz="4" w:space="0" w:color="000000"/>
              <w:bottom w:val="single" w:sz="18" w:space="0" w:color="000000"/>
            </w:tcBorders>
          </w:tcPr>
          <w:p>
            <w:pPr>
              <w:pStyle w:val="TableParagraph"/>
              <w:spacing w:before="22"/>
              <w:ind w:right="175"/>
              <w:jc w:val="right"/>
              <w:rPr>
                <w:sz w:val="14"/>
              </w:rPr>
            </w:pPr>
            <w:r>
              <w:rPr>
                <w:w w:val="95"/>
                <w:sz w:val="14"/>
              </w:rPr>
              <w:t>Foreign</w:t>
            </w:r>
          </w:p>
        </w:tc>
        <w:tc>
          <w:tcPr>
            <w:tcW w:w="821" w:type="dxa"/>
            <w:tcBorders>
              <w:top w:val="single" w:sz="4" w:space="0" w:color="000000"/>
              <w:bottom w:val="single" w:sz="18" w:space="0" w:color="000000"/>
            </w:tcBorders>
          </w:tcPr>
          <w:p>
            <w:pPr>
              <w:pStyle w:val="TableParagraph"/>
              <w:spacing w:before="22"/>
              <w:ind w:right="88"/>
              <w:jc w:val="right"/>
              <w:rPr>
                <w:sz w:val="14"/>
              </w:rPr>
            </w:pPr>
            <w:r>
              <w:rPr>
                <w:w w:val="95"/>
                <w:sz w:val="14"/>
              </w:rPr>
              <w:t>Domestic</w:t>
            </w:r>
          </w:p>
        </w:tc>
      </w:tr>
      <w:tr>
        <w:trPr>
          <w:trHeight w:val="284" w:hRule="atLeast"/>
        </w:trPr>
        <w:tc>
          <w:tcPr>
            <w:tcW w:w="470" w:type="dxa"/>
            <w:tcBorders>
              <w:top w:val="single" w:sz="18" w:space="0" w:color="000000"/>
            </w:tcBorders>
          </w:tcPr>
          <w:p>
            <w:pPr>
              <w:pStyle w:val="TableParagraph"/>
              <w:rPr>
                <w:rFonts w:ascii="Times New Roman"/>
                <w:sz w:val="14"/>
              </w:rPr>
            </w:pPr>
          </w:p>
        </w:tc>
        <w:tc>
          <w:tcPr>
            <w:tcW w:w="4792" w:type="dxa"/>
            <w:tcBorders>
              <w:top w:val="single" w:sz="18" w:space="0" w:color="000000"/>
            </w:tcBorders>
          </w:tcPr>
          <w:p>
            <w:pPr>
              <w:pStyle w:val="TableParagraph"/>
              <w:spacing w:before="86"/>
              <w:ind w:left="262"/>
              <w:rPr>
                <w:sz w:val="14"/>
              </w:rPr>
            </w:pPr>
            <w:r>
              <w:rPr>
                <w:sz w:val="14"/>
              </w:rPr>
              <w:t>Support to National Emergency Medical Services</w:t>
            </w:r>
          </w:p>
        </w:tc>
        <w:tc>
          <w:tcPr>
            <w:tcW w:w="827" w:type="dxa"/>
            <w:tcBorders>
              <w:top w:val="single" w:sz="18" w:space="0" w:color="000000"/>
            </w:tcBorders>
          </w:tcPr>
          <w:p>
            <w:pPr>
              <w:pStyle w:val="TableParagraph"/>
              <w:spacing w:before="86"/>
              <w:ind w:left="174"/>
              <w:rPr>
                <w:sz w:val="14"/>
              </w:rPr>
            </w:pPr>
            <w:r>
              <w:rPr>
                <w:sz w:val="14"/>
              </w:rPr>
              <w:t>New</w:t>
            </w:r>
          </w:p>
        </w:tc>
        <w:tc>
          <w:tcPr>
            <w:tcW w:w="998" w:type="dxa"/>
            <w:tcBorders>
              <w:top w:val="single" w:sz="18" w:space="0" w:color="000000"/>
            </w:tcBorders>
          </w:tcPr>
          <w:p>
            <w:pPr>
              <w:pStyle w:val="TableParagraph"/>
              <w:spacing w:before="86"/>
              <w:ind w:left="86"/>
              <w:rPr>
                <w:sz w:val="14"/>
              </w:rPr>
            </w:pPr>
            <w:r>
              <w:rPr>
                <w:sz w:val="14"/>
              </w:rPr>
              <w:t>Nationwide</w:t>
            </w:r>
          </w:p>
        </w:tc>
        <w:tc>
          <w:tcPr>
            <w:tcW w:w="1335" w:type="dxa"/>
            <w:tcBorders>
              <w:top w:val="single" w:sz="18" w:space="0" w:color="000000"/>
            </w:tcBorders>
          </w:tcPr>
          <w:p>
            <w:pPr>
              <w:pStyle w:val="TableParagraph"/>
              <w:spacing w:before="86"/>
              <w:ind w:left="221"/>
              <w:rPr>
                <w:sz w:val="14"/>
              </w:rPr>
            </w:pPr>
            <w:r>
              <w:rPr>
                <w:sz w:val="14"/>
              </w:rPr>
              <w:t>GoSL</w:t>
            </w:r>
          </w:p>
        </w:tc>
        <w:tc>
          <w:tcPr>
            <w:tcW w:w="1143" w:type="dxa"/>
            <w:tcBorders>
              <w:top w:val="single" w:sz="18" w:space="0" w:color="000000"/>
            </w:tcBorders>
          </w:tcPr>
          <w:p>
            <w:pPr>
              <w:pStyle w:val="TableParagraph"/>
              <w:spacing w:before="86"/>
              <w:ind w:left="135"/>
              <w:rPr>
                <w:sz w:val="14"/>
              </w:rPr>
            </w:pPr>
            <w:r>
              <w:rPr>
                <w:sz w:val="14"/>
              </w:rPr>
              <w:t>Budget</w:t>
            </w:r>
          </w:p>
        </w:tc>
        <w:tc>
          <w:tcPr>
            <w:tcW w:w="902" w:type="dxa"/>
            <w:tcBorders>
              <w:top w:val="single" w:sz="18" w:space="0" w:color="000000"/>
            </w:tcBorders>
          </w:tcPr>
          <w:p>
            <w:pPr>
              <w:pStyle w:val="TableParagraph"/>
              <w:rPr>
                <w:rFonts w:ascii="Times New Roman"/>
                <w:sz w:val="14"/>
              </w:rPr>
            </w:pPr>
          </w:p>
        </w:tc>
        <w:tc>
          <w:tcPr>
            <w:tcW w:w="896" w:type="dxa"/>
            <w:tcBorders>
              <w:top w:val="single" w:sz="18" w:space="0" w:color="000000"/>
            </w:tcBorders>
          </w:tcPr>
          <w:p>
            <w:pPr>
              <w:pStyle w:val="TableParagraph"/>
              <w:spacing w:before="86"/>
              <w:ind w:right="148"/>
              <w:jc w:val="right"/>
              <w:rPr>
                <w:sz w:val="14"/>
              </w:rPr>
            </w:pPr>
            <w:r>
              <w:rPr>
                <w:sz w:val="14"/>
              </w:rPr>
              <w:t>500</w:t>
            </w:r>
          </w:p>
        </w:tc>
        <w:tc>
          <w:tcPr>
            <w:tcW w:w="845" w:type="dxa"/>
            <w:tcBorders>
              <w:top w:val="single" w:sz="18" w:space="0" w:color="000000"/>
            </w:tcBorders>
          </w:tcPr>
          <w:p>
            <w:pPr>
              <w:pStyle w:val="TableParagraph"/>
              <w:rPr>
                <w:rFonts w:ascii="Times New Roman"/>
                <w:sz w:val="14"/>
              </w:rPr>
            </w:pPr>
          </w:p>
        </w:tc>
        <w:tc>
          <w:tcPr>
            <w:tcW w:w="936" w:type="dxa"/>
            <w:tcBorders>
              <w:top w:val="single" w:sz="18" w:space="0" w:color="000000"/>
            </w:tcBorders>
          </w:tcPr>
          <w:p>
            <w:pPr>
              <w:pStyle w:val="TableParagraph"/>
              <w:spacing w:before="86"/>
              <w:ind w:left="491"/>
              <w:rPr>
                <w:sz w:val="14"/>
              </w:rPr>
            </w:pPr>
            <w:r>
              <w:rPr>
                <w:sz w:val="14"/>
              </w:rPr>
              <w:t>550</w:t>
            </w:r>
          </w:p>
        </w:tc>
        <w:tc>
          <w:tcPr>
            <w:tcW w:w="832" w:type="dxa"/>
            <w:tcBorders>
              <w:top w:val="single" w:sz="18" w:space="0" w:color="000000"/>
            </w:tcBorders>
          </w:tcPr>
          <w:p>
            <w:pPr>
              <w:pStyle w:val="TableParagraph"/>
              <w:spacing w:before="86"/>
              <w:ind w:right="146"/>
              <w:jc w:val="right"/>
              <w:rPr>
                <w:sz w:val="14"/>
              </w:rPr>
            </w:pPr>
            <w:r>
              <w:rPr>
                <w:w w:val="99"/>
                <w:sz w:val="14"/>
              </w:rPr>
              <w:t>-</w:t>
            </w:r>
          </w:p>
        </w:tc>
        <w:tc>
          <w:tcPr>
            <w:tcW w:w="821" w:type="dxa"/>
            <w:tcBorders>
              <w:top w:val="single" w:sz="18" w:space="0" w:color="000000"/>
            </w:tcBorders>
          </w:tcPr>
          <w:p>
            <w:pPr>
              <w:pStyle w:val="TableParagraph"/>
              <w:spacing w:before="86"/>
              <w:ind w:right="11"/>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(Ambulance Services)</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rPr>
                <w:rFonts w:ascii="Times New Roman"/>
                <w:sz w:val="14"/>
              </w:rPr>
            </w:pPr>
          </w:p>
        </w:tc>
        <w:tc>
          <w:tcPr>
            <w:tcW w:w="845" w:type="dxa"/>
          </w:tcPr>
          <w:p>
            <w:pPr>
              <w:pStyle w:val="TableParagraph"/>
              <w:rPr>
                <w:rFonts w:ascii="Times New Roman"/>
                <w:sz w:val="14"/>
              </w:rPr>
            </w:pPr>
          </w:p>
        </w:tc>
        <w:tc>
          <w:tcPr>
            <w:tcW w:w="936" w:type="dxa"/>
          </w:tcPr>
          <w:p>
            <w:pPr>
              <w:pStyle w:val="TableParagraph"/>
              <w:rPr>
                <w:rFonts w:ascii="Times New Roman"/>
                <w:sz w:val="14"/>
              </w:rPr>
            </w:pPr>
          </w:p>
        </w:tc>
        <w:tc>
          <w:tcPr>
            <w:tcW w:w="832" w:type="dxa"/>
          </w:tcPr>
          <w:p>
            <w:pPr>
              <w:pStyle w:val="TableParagraph"/>
              <w:rPr>
                <w:rFonts w:ascii="Times New Roman"/>
                <w:sz w:val="14"/>
              </w:rPr>
            </w:pPr>
          </w:p>
        </w:tc>
        <w:tc>
          <w:tcPr>
            <w:tcW w:w="821" w:type="dxa"/>
          </w:tcPr>
          <w:p>
            <w:pPr>
              <w:pStyle w:val="TableParagraph"/>
              <w:rPr>
                <w:rFonts w:ascii="Times New Roman"/>
                <w:sz w:val="14"/>
              </w:rPr>
            </w:pPr>
          </w:p>
        </w:tc>
      </w:tr>
      <w:tr>
        <w:trPr>
          <w:trHeight w:val="230" w:hRule="atLeast"/>
        </w:trPr>
        <w:tc>
          <w:tcPr>
            <w:tcW w:w="470" w:type="dxa"/>
          </w:tcPr>
          <w:p>
            <w:pPr>
              <w:pStyle w:val="TableParagraph"/>
              <w:spacing w:before="32"/>
              <w:ind w:left="123"/>
              <w:rPr>
                <w:sz w:val="14"/>
              </w:rPr>
            </w:pPr>
            <w:r>
              <w:rPr>
                <w:sz w:val="14"/>
              </w:rPr>
              <w:t>314</w:t>
            </w:r>
          </w:p>
        </w:tc>
        <w:tc>
          <w:tcPr>
            <w:tcW w:w="4792" w:type="dxa"/>
          </w:tcPr>
          <w:p>
            <w:pPr>
              <w:pStyle w:val="TableParagraph"/>
              <w:spacing w:before="32"/>
              <w:ind w:left="94"/>
              <w:rPr>
                <w:b/>
                <w:sz w:val="14"/>
              </w:rPr>
            </w:pPr>
            <w:r>
              <w:rPr>
                <w:b/>
                <w:sz w:val="14"/>
              </w:rPr>
              <w:t>National HIV/ AIDS Secretariat</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spacing w:before="32"/>
              <w:ind w:right="190"/>
              <w:jc w:val="right"/>
              <w:rPr>
                <w:b/>
                <w:sz w:val="14"/>
              </w:rPr>
            </w:pPr>
            <w:r>
              <w:rPr>
                <w:b/>
                <w:sz w:val="14"/>
              </w:rPr>
              <w:t>8,829</w:t>
            </w:r>
          </w:p>
        </w:tc>
        <w:tc>
          <w:tcPr>
            <w:tcW w:w="896" w:type="dxa"/>
          </w:tcPr>
          <w:p>
            <w:pPr>
              <w:pStyle w:val="TableParagraph"/>
              <w:spacing w:before="32"/>
              <w:ind w:right="159"/>
              <w:jc w:val="right"/>
              <w:rPr>
                <w:b/>
                <w:sz w:val="14"/>
              </w:rPr>
            </w:pPr>
            <w:r>
              <w:rPr>
                <w:b/>
                <w:sz w:val="14"/>
              </w:rPr>
              <w:t>500</w:t>
            </w:r>
          </w:p>
        </w:tc>
        <w:tc>
          <w:tcPr>
            <w:tcW w:w="845" w:type="dxa"/>
          </w:tcPr>
          <w:p>
            <w:pPr>
              <w:pStyle w:val="TableParagraph"/>
              <w:spacing w:before="32"/>
              <w:ind w:right="164"/>
              <w:jc w:val="right"/>
              <w:rPr>
                <w:b/>
                <w:sz w:val="14"/>
              </w:rPr>
            </w:pPr>
            <w:r>
              <w:rPr>
                <w:b/>
                <w:sz w:val="14"/>
              </w:rPr>
              <w:t>1,320</w:t>
            </w:r>
          </w:p>
        </w:tc>
        <w:tc>
          <w:tcPr>
            <w:tcW w:w="936" w:type="dxa"/>
          </w:tcPr>
          <w:p>
            <w:pPr>
              <w:pStyle w:val="TableParagraph"/>
              <w:spacing w:before="32"/>
              <w:ind w:left="481"/>
              <w:rPr>
                <w:b/>
                <w:sz w:val="14"/>
              </w:rPr>
            </w:pPr>
            <w:r>
              <w:rPr>
                <w:b/>
                <w:sz w:val="14"/>
              </w:rPr>
              <w:t>550</w:t>
            </w:r>
          </w:p>
        </w:tc>
        <w:tc>
          <w:tcPr>
            <w:tcW w:w="832" w:type="dxa"/>
          </w:tcPr>
          <w:p>
            <w:pPr>
              <w:pStyle w:val="TableParagraph"/>
              <w:spacing w:before="32"/>
              <w:ind w:right="132"/>
              <w:jc w:val="right"/>
              <w:rPr>
                <w:b/>
                <w:sz w:val="14"/>
              </w:rPr>
            </w:pPr>
            <w:r>
              <w:rPr>
                <w:b/>
                <w:w w:val="99"/>
                <w:sz w:val="14"/>
              </w:rPr>
              <w:t>-</w:t>
            </w:r>
          </w:p>
        </w:tc>
        <w:tc>
          <w:tcPr>
            <w:tcW w:w="821" w:type="dxa"/>
          </w:tcPr>
          <w:p>
            <w:pPr>
              <w:pStyle w:val="TableParagraph"/>
              <w:spacing w:before="32"/>
              <w:ind w:right="23"/>
              <w:jc w:val="right"/>
              <w:rPr>
                <w:b/>
                <w:sz w:val="14"/>
              </w:rPr>
            </w:pPr>
            <w:r>
              <w:rPr>
                <w:b/>
                <w:sz w:val="14"/>
              </w:rPr>
              <w:t>605</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Support to HIV/ AIDS Prevention and Treatment</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Global Fund</w:t>
            </w:r>
          </w:p>
        </w:tc>
        <w:tc>
          <w:tcPr>
            <w:tcW w:w="1143" w:type="dxa"/>
          </w:tcPr>
          <w:p>
            <w:pPr>
              <w:pStyle w:val="TableParagraph"/>
              <w:spacing w:before="32"/>
              <w:ind w:left="134"/>
              <w:rPr>
                <w:sz w:val="14"/>
              </w:rPr>
            </w:pPr>
            <w:r>
              <w:rPr>
                <w:sz w:val="14"/>
              </w:rPr>
              <w:t>Grant/ GoSL</w:t>
            </w:r>
          </w:p>
        </w:tc>
        <w:tc>
          <w:tcPr>
            <w:tcW w:w="902" w:type="dxa"/>
          </w:tcPr>
          <w:p>
            <w:pPr>
              <w:pStyle w:val="TableParagraph"/>
              <w:spacing w:before="32"/>
              <w:ind w:right="168"/>
              <w:jc w:val="right"/>
              <w:rPr>
                <w:sz w:val="14"/>
              </w:rPr>
            </w:pPr>
            <w:r>
              <w:rPr>
                <w:sz w:val="14"/>
              </w:rPr>
              <w:t>8,829</w:t>
            </w:r>
          </w:p>
        </w:tc>
        <w:tc>
          <w:tcPr>
            <w:tcW w:w="896" w:type="dxa"/>
          </w:tcPr>
          <w:p>
            <w:pPr>
              <w:pStyle w:val="TableParagraph"/>
              <w:spacing w:before="32"/>
              <w:ind w:right="148"/>
              <w:jc w:val="right"/>
              <w:rPr>
                <w:sz w:val="14"/>
              </w:rPr>
            </w:pPr>
            <w:r>
              <w:rPr>
                <w:sz w:val="14"/>
              </w:rPr>
              <w:t>500</w:t>
            </w:r>
          </w:p>
        </w:tc>
        <w:tc>
          <w:tcPr>
            <w:tcW w:w="845" w:type="dxa"/>
          </w:tcPr>
          <w:p>
            <w:pPr>
              <w:pStyle w:val="TableParagraph"/>
              <w:spacing w:before="32"/>
              <w:ind w:right="152"/>
              <w:jc w:val="right"/>
              <w:rPr>
                <w:sz w:val="14"/>
              </w:rPr>
            </w:pPr>
            <w:r>
              <w:rPr>
                <w:sz w:val="14"/>
              </w:rPr>
              <w:t>1,320</w:t>
            </w:r>
          </w:p>
        </w:tc>
        <w:tc>
          <w:tcPr>
            <w:tcW w:w="936" w:type="dxa"/>
          </w:tcPr>
          <w:p>
            <w:pPr>
              <w:pStyle w:val="TableParagraph"/>
              <w:spacing w:before="32"/>
              <w:ind w:left="491"/>
              <w:rPr>
                <w:sz w:val="14"/>
              </w:rPr>
            </w:pPr>
            <w:r>
              <w:rPr>
                <w:sz w:val="14"/>
              </w:rPr>
              <w:t>550</w:t>
            </w:r>
          </w:p>
        </w:tc>
        <w:tc>
          <w:tcPr>
            <w:tcW w:w="832" w:type="dxa"/>
          </w:tcPr>
          <w:p>
            <w:pPr>
              <w:pStyle w:val="TableParagraph"/>
              <w:rPr>
                <w:rFonts w:ascii="Times New Roman"/>
                <w:sz w:val="14"/>
              </w:rPr>
            </w:pPr>
          </w:p>
        </w:tc>
        <w:tc>
          <w:tcPr>
            <w:tcW w:w="821" w:type="dxa"/>
          </w:tcPr>
          <w:p>
            <w:pPr>
              <w:pStyle w:val="TableParagraph"/>
              <w:spacing w:before="32"/>
              <w:ind w:right="11"/>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92" w:type="dxa"/>
          </w:tcPr>
          <w:p>
            <w:pPr>
              <w:pStyle w:val="TableParagraph"/>
              <w:rPr>
                <w:rFonts w:ascii="Times New Roman"/>
                <w:sz w:val="14"/>
              </w:rPr>
            </w:pP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spacing w:before="32"/>
              <w:ind w:left="224"/>
              <w:rPr>
                <w:sz w:val="14"/>
              </w:rPr>
            </w:pPr>
            <w:r>
              <w:rPr>
                <w:sz w:val="14"/>
              </w:rPr>
              <w:t>/ GOSL</w:t>
            </w: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rPr>
                <w:rFonts w:ascii="Times New Roman"/>
                <w:sz w:val="14"/>
              </w:rPr>
            </w:pPr>
          </w:p>
        </w:tc>
        <w:tc>
          <w:tcPr>
            <w:tcW w:w="845" w:type="dxa"/>
          </w:tcPr>
          <w:p>
            <w:pPr>
              <w:pStyle w:val="TableParagraph"/>
              <w:rPr>
                <w:rFonts w:ascii="Times New Roman"/>
                <w:sz w:val="14"/>
              </w:rPr>
            </w:pPr>
          </w:p>
        </w:tc>
        <w:tc>
          <w:tcPr>
            <w:tcW w:w="936" w:type="dxa"/>
          </w:tcPr>
          <w:p>
            <w:pPr>
              <w:pStyle w:val="TableParagraph"/>
              <w:rPr>
                <w:rFonts w:ascii="Times New Roman"/>
                <w:sz w:val="14"/>
              </w:rPr>
            </w:pPr>
          </w:p>
        </w:tc>
        <w:tc>
          <w:tcPr>
            <w:tcW w:w="832" w:type="dxa"/>
          </w:tcPr>
          <w:p>
            <w:pPr>
              <w:pStyle w:val="TableParagraph"/>
              <w:rPr>
                <w:rFonts w:ascii="Times New Roman"/>
                <w:sz w:val="14"/>
              </w:rPr>
            </w:pPr>
          </w:p>
        </w:tc>
        <w:tc>
          <w:tcPr>
            <w:tcW w:w="821" w:type="dxa"/>
          </w:tcPr>
          <w:p>
            <w:pPr>
              <w:pStyle w:val="TableParagraph"/>
              <w:rPr>
                <w:rFonts w:ascii="Times New Roman"/>
                <w:sz w:val="14"/>
              </w:rPr>
            </w:pPr>
          </w:p>
        </w:tc>
      </w:tr>
      <w:tr>
        <w:trPr>
          <w:trHeight w:val="230" w:hRule="atLeast"/>
        </w:trPr>
        <w:tc>
          <w:tcPr>
            <w:tcW w:w="470" w:type="dxa"/>
          </w:tcPr>
          <w:p>
            <w:pPr>
              <w:pStyle w:val="TableParagraph"/>
              <w:spacing w:before="32"/>
              <w:ind w:left="123"/>
              <w:rPr>
                <w:sz w:val="14"/>
              </w:rPr>
            </w:pPr>
            <w:r>
              <w:rPr>
                <w:sz w:val="14"/>
              </w:rPr>
              <w:t>407</w:t>
            </w:r>
          </w:p>
        </w:tc>
        <w:tc>
          <w:tcPr>
            <w:tcW w:w="4792" w:type="dxa"/>
          </w:tcPr>
          <w:p>
            <w:pPr>
              <w:pStyle w:val="TableParagraph"/>
              <w:spacing w:before="32"/>
              <w:ind w:left="95"/>
              <w:rPr>
                <w:b/>
                <w:sz w:val="14"/>
              </w:rPr>
            </w:pPr>
            <w:r>
              <w:rPr>
                <w:b/>
                <w:sz w:val="14"/>
              </w:rPr>
              <w:t>Ministry of Labour and Social Security (MoLSS)</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spacing w:before="32"/>
              <w:ind w:right="132"/>
              <w:jc w:val="right"/>
              <w:rPr>
                <w:b/>
                <w:sz w:val="14"/>
              </w:rPr>
            </w:pPr>
            <w:r>
              <w:rPr>
                <w:b/>
                <w:w w:val="99"/>
                <w:sz w:val="14"/>
              </w:rPr>
              <w:t>-</w:t>
            </w:r>
          </w:p>
        </w:tc>
        <w:tc>
          <w:tcPr>
            <w:tcW w:w="845" w:type="dxa"/>
          </w:tcPr>
          <w:p>
            <w:pPr>
              <w:pStyle w:val="TableParagraph"/>
              <w:spacing w:before="32"/>
              <w:ind w:right="122"/>
              <w:jc w:val="right"/>
              <w:rPr>
                <w:b/>
                <w:sz w:val="14"/>
              </w:rPr>
            </w:pPr>
            <w:r>
              <w:rPr>
                <w:b/>
                <w:sz w:val="14"/>
              </w:rPr>
              <w:t>500</w:t>
            </w:r>
          </w:p>
        </w:tc>
        <w:tc>
          <w:tcPr>
            <w:tcW w:w="936" w:type="dxa"/>
          </w:tcPr>
          <w:p>
            <w:pPr>
              <w:pStyle w:val="TableParagraph"/>
              <w:spacing w:before="32"/>
              <w:ind w:right="214"/>
              <w:jc w:val="right"/>
              <w:rPr>
                <w:b/>
                <w:sz w:val="14"/>
              </w:rPr>
            </w:pPr>
            <w:r>
              <w:rPr>
                <w:b/>
                <w:w w:val="99"/>
                <w:sz w:val="14"/>
              </w:rPr>
              <w:t>-</w:t>
            </w:r>
          </w:p>
        </w:tc>
        <w:tc>
          <w:tcPr>
            <w:tcW w:w="832" w:type="dxa"/>
          </w:tcPr>
          <w:p>
            <w:pPr>
              <w:pStyle w:val="TableParagraph"/>
              <w:spacing w:before="32"/>
              <w:ind w:right="165"/>
              <w:jc w:val="right"/>
              <w:rPr>
                <w:b/>
                <w:sz w:val="14"/>
              </w:rPr>
            </w:pPr>
            <w:r>
              <w:rPr>
                <w:b/>
                <w:sz w:val="14"/>
              </w:rPr>
              <w:t>550</w:t>
            </w:r>
          </w:p>
        </w:tc>
        <w:tc>
          <w:tcPr>
            <w:tcW w:w="821" w:type="dxa"/>
          </w:tcPr>
          <w:p>
            <w:pPr>
              <w:pStyle w:val="TableParagraph"/>
              <w:spacing w:before="32"/>
              <w:ind w:right="46"/>
              <w:jc w:val="right"/>
              <w:rPr>
                <w:b/>
                <w:sz w:val="14"/>
              </w:rPr>
            </w:pPr>
            <w:r>
              <w:rPr>
                <w:b/>
                <w:w w:val="99"/>
                <w:sz w:val="14"/>
              </w:rPr>
              <w:t>-</w:t>
            </w:r>
          </w:p>
        </w:tc>
      </w:tr>
      <w:tr>
        <w:trPr>
          <w:trHeight w:val="227" w:hRule="atLeast"/>
        </w:trPr>
        <w:tc>
          <w:tcPr>
            <w:tcW w:w="470" w:type="dxa"/>
          </w:tcPr>
          <w:p>
            <w:pPr>
              <w:pStyle w:val="TableParagraph"/>
              <w:rPr>
                <w:rFonts w:ascii="Times New Roman"/>
                <w:sz w:val="14"/>
              </w:rPr>
            </w:pPr>
          </w:p>
        </w:tc>
        <w:tc>
          <w:tcPr>
            <w:tcW w:w="4792" w:type="dxa"/>
          </w:tcPr>
          <w:p>
            <w:pPr>
              <w:pStyle w:val="TableParagraph"/>
              <w:rPr>
                <w:rFonts w:ascii="Times New Roman"/>
                <w:sz w:val="14"/>
              </w:rPr>
            </w:pP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rPr>
                <w:rFonts w:ascii="Times New Roman"/>
                <w:sz w:val="14"/>
              </w:rPr>
            </w:pPr>
          </w:p>
        </w:tc>
        <w:tc>
          <w:tcPr>
            <w:tcW w:w="845" w:type="dxa"/>
          </w:tcPr>
          <w:p>
            <w:pPr>
              <w:pStyle w:val="TableParagraph"/>
              <w:rPr>
                <w:rFonts w:ascii="Times New Roman"/>
                <w:sz w:val="14"/>
              </w:rPr>
            </w:pPr>
          </w:p>
        </w:tc>
        <w:tc>
          <w:tcPr>
            <w:tcW w:w="936" w:type="dxa"/>
          </w:tcPr>
          <w:p>
            <w:pPr>
              <w:pStyle w:val="TableParagraph"/>
              <w:rPr>
                <w:rFonts w:ascii="Times New Roman"/>
                <w:sz w:val="14"/>
              </w:rPr>
            </w:pPr>
          </w:p>
        </w:tc>
        <w:tc>
          <w:tcPr>
            <w:tcW w:w="832" w:type="dxa"/>
          </w:tcPr>
          <w:p>
            <w:pPr>
              <w:pStyle w:val="TableParagraph"/>
              <w:rPr>
                <w:rFonts w:ascii="Times New Roman"/>
                <w:sz w:val="14"/>
              </w:rPr>
            </w:pPr>
          </w:p>
        </w:tc>
        <w:tc>
          <w:tcPr>
            <w:tcW w:w="821" w:type="dxa"/>
          </w:tcPr>
          <w:p>
            <w:pPr>
              <w:pStyle w:val="TableParagraph"/>
              <w:spacing w:before="32"/>
              <w:ind w:right="23"/>
              <w:jc w:val="right"/>
              <w:rPr>
                <w:b/>
                <w:sz w:val="14"/>
              </w:rPr>
            </w:pPr>
            <w:r>
              <w:rPr>
                <w:b/>
                <w:sz w:val="14"/>
              </w:rPr>
              <w:t>605</w:t>
            </w:r>
          </w:p>
        </w:tc>
      </w:tr>
      <w:tr>
        <w:trPr>
          <w:trHeight w:val="228" w:hRule="atLeast"/>
        </w:trPr>
        <w:tc>
          <w:tcPr>
            <w:tcW w:w="470" w:type="dxa"/>
          </w:tcPr>
          <w:p>
            <w:pPr>
              <w:pStyle w:val="TableParagraph"/>
              <w:rPr>
                <w:rFonts w:ascii="Times New Roman"/>
                <w:sz w:val="14"/>
              </w:rPr>
            </w:pPr>
          </w:p>
        </w:tc>
        <w:tc>
          <w:tcPr>
            <w:tcW w:w="4792" w:type="dxa"/>
          </w:tcPr>
          <w:p>
            <w:pPr>
              <w:pStyle w:val="TableParagraph"/>
              <w:spacing w:before="29"/>
              <w:ind w:left="263"/>
              <w:rPr>
                <w:sz w:val="14"/>
              </w:rPr>
            </w:pPr>
            <w:r>
              <w:rPr>
                <w:sz w:val="14"/>
              </w:rPr>
              <w:t>Institutional Capacity Building Project</w:t>
            </w:r>
          </w:p>
        </w:tc>
        <w:tc>
          <w:tcPr>
            <w:tcW w:w="827" w:type="dxa"/>
          </w:tcPr>
          <w:p>
            <w:pPr>
              <w:pStyle w:val="TableParagraph"/>
              <w:spacing w:before="29"/>
              <w:ind w:left="174"/>
              <w:rPr>
                <w:sz w:val="14"/>
              </w:rPr>
            </w:pPr>
            <w:r>
              <w:rPr>
                <w:sz w:val="14"/>
              </w:rPr>
              <w:t>Ongoing</w:t>
            </w:r>
          </w:p>
        </w:tc>
        <w:tc>
          <w:tcPr>
            <w:tcW w:w="998" w:type="dxa"/>
          </w:tcPr>
          <w:p>
            <w:pPr>
              <w:pStyle w:val="TableParagraph"/>
              <w:spacing w:before="29"/>
              <w:ind w:left="86"/>
              <w:rPr>
                <w:sz w:val="14"/>
              </w:rPr>
            </w:pPr>
            <w:r>
              <w:rPr>
                <w:sz w:val="14"/>
              </w:rPr>
              <w:t>Nationwide</w:t>
            </w:r>
          </w:p>
        </w:tc>
        <w:tc>
          <w:tcPr>
            <w:tcW w:w="1335" w:type="dxa"/>
          </w:tcPr>
          <w:p>
            <w:pPr>
              <w:pStyle w:val="TableParagraph"/>
              <w:spacing w:before="29"/>
              <w:ind w:left="221"/>
              <w:rPr>
                <w:sz w:val="14"/>
              </w:rPr>
            </w:pPr>
            <w:r>
              <w:rPr>
                <w:sz w:val="14"/>
              </w:rPr>
              <w:t>GoSL</w:t>
            </w:r>
          </w:p>
        </w:tc>
        <w:tc>
          <w:tcPr>
            <w:tcW w:w="1143" w:type="dxa"/>
          </w:tcPr>
          <w:p>
            <w:pPr>
              <w:pStyle w:val="TableParagraph"/>
              <w:spacing w:before="29"/>
              <w:ind w:left="135"/>
              <w:rPr>
                <w:sz w:val="14"/>
              </w:rPr>
            </w:pPr>
            <w:r>
              <w:rPr>
                <w:sz w:val="14"/>
              </w:rPr>
              <w:t>Budget</w:t>
            </w:r>
          </w:p>
        </w:tc>
        <w:tc>
          <w:tcPr>
            <w:tcW w:w="902" w:type="dxa"/>
          </w:tcPr>
          <w:p>
            <w:pPr>
              <w:pStyle w:val="TableParagraph"/>
              <w:rPr>
                <w:rFonts w:ascii="Times New Roman"/>
                <w:sz w:val="14"/>
              </w:rPr>
            </w:pPr>
          </w:p>
        </w:tc>
        <w:tc>
          <w:tcPr>
            <w:tcW w:w="896" w:type="dxa"/>
          </w:tcPr>
          <w:p>
            <w:pPr>
              <w:pStyle w:val="TableParagraph"/>
              <w:spacing w:before="29"/>
              <w:ind w:right="159"/>
              <w:jc w:val="right"/>
              <w:rPr>
                <w:b/>
                <w:sz w:val="14"/>
              </w:rPr>
            </w:pPr>
            <w:r>
              <w:rPr>
                <w:b/>
                <w:sz w:val="14"/>
              </w:rPr>
              <w:t>500</w:t>
            </w:r>
          </w:p>
        </w:tc>
        <w:tc>
          <w:tcPr>
            <w:tcW w:w="845" w:type="dxa"/>
          </w:tcPr>
          <w:p>
            <w:pPr>
              <w:pStyle w:val="TableParagraph"/>
              <w:rPr>
                <w:rFonts w:ascii="Times New Roman"/>
                <w:sz w:val="14"/>
              </w:rPr>
            </w:pPr>
          </w:p>
        </w:tc>
        <w:tc>
          <w:tcPr>
            <w:tcW w:w="936" w:type="dxa"/>
          </w:tcPr>
          <w:p>
            <w:pPr>
              <w:pStyle w:val="TableParagraph"/>
              <w:spacing w:before="29"/>
              <w:ind w:left="491"/>
              <w:rPr>
                <w:sz w:val="14"/>
              </w:rPr>
            </w:pPr>
            <w:r>
              <w:rPr>
                <w:sz w:val="14"/>
              </w:rPr>
              <w:t>550</w:t>
            </w:r>
          </w:p>
        </w:tc>
        <w:tc>
          <w:tcPr>
            <w:tcW w:w="832" w:type="dxa"/>
          </w:tcPr>
          <w:p>
            <w:pPr>
              <w:pStyle w:val="TableParagraph"/>
              <w:rPr>
                <w:rFonts w:ascii="Times New Roman"/>
                <w:sz w:val="14"/>
              </w:rPr>
            </w:pPr>
          </w:p>
        </w:tc>
        <w:tc>
          <w:tcPr>
            <w:tcW w:w="821" w:type="dxa"/>
          </w:tcPr>
          <w:p>
            <w:pPr>
              <w:pStyle w:val="TableParagraph"/>
              <w:spacing w:before="29"/>
              <w:ind w:right="11"/>
              <w:jc w:val="right"/>
              <w:rPr>
                <w:sz w:val="14"/>
              </w:rPr>
            </w:pPr>
            <w:r>
              <w:rPr>
                <w:sz w:val="14"/>
              </w:rPr>
              <w:t>605</w:t>
            </w:r>
          </w:p>
        </w:tc>
      </w:tr>
      <w:tr>
        <w:trPr>
          <w:trHeight w:val="230" w:hRule="atLeast"/>
        </w:trPr>
        <w:tc>
          <w:tcPr>
            <w:tcW w:w="470" w:type="dxa"/>
          </w:tcPr>
          <w:p>
            <w:pPr>
              <w:pStyle w:val="TableParagraph"/>
              <w:spacing w:before="32"/>
              <w:ind w:left="123"/>
              <w:rPr>
                <w:sz w:val="14"/>
              </w:rPr>
            </w:pPr>
            <w:r>
              <w:rPr>
                <w:sz w:val="14"/>
              </w:rPr>
              <w:t>308</w:t>
            </w:r>
          </w:p>
        </w:tc>
        <w:tc>
          <w:tcPr>
            <w:tcW w:w="4792" w:type="dxa"/>
          </w:tcPr>
          <w:p>
            <w:pPr>
              <w:pStyle w:val="TableParagraph"/>
              <w:spacing w:before="32"/>
              <w:ind w:left="94"/>
              <w:rPr>
                <w:b/>
                <w:sz w:val="14"/>
              </w:rPr>
            </w:pPr>
            <w:r>
              <w:rPr>
                <w:b/>
                <w:sz w:val="14"/>
              </w:rPr>
              <w:t>National Commission for Social Action (NaCSA)</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spacing w:before="32"/>
              <w:ind w:right="191"/>
              <w:jc w:val="right"/>
              <w:rPr>
                <w:b/>
                <w:sz w:val="14"/>
              </w:rPr>
            </w:pPr>
            <w:r>
              <w:rPr>
                <w:b/>
                <w:sz w:val="14"/>
              </w:rPr>
              <w:t>89,850</w:t>
            </w:r>
          </w:p>
        </w:tc>
        <w:tc>
          <w:tcPr>
            <w:tcW w:w="896" w:type="dxa"/>
          </w:tcPr>
          <w:p>
            <w:pPr>
              <w:pStyle w:val="TableParagraph"/>
              <w:spacing w:before="32"/>
              <w:ind w:left="246"/>
              <w:rPr>
                <w:b/>
                <w:sz w:val="14"/>
              </w:rPr>
            </w:pPr>
            <w:r>
              <w:rPr>
                <w:b/>
                <w:sz w:val="14"/>
              </w:rPr>
              <w:t>14,711</w:t>
            </w:r>
          </w:p>
        </w:tc>
        <w:tc>
          <w:tcPr>
            <w:tcW w:w="845" w:type="dxa"/>
          </w:tcPr>
          <w:p>
            <w:pPr>
              <w:pStyle w:val="TableParagraph"/>
              <w:spacing w:before="32"/>
              <w:ind w:right="172"/>
              <w:jc w:val="right"/>
              <w:rPr>
                <w:b/>
                <w:sz w:val="14"/>
              </w:rPr>
            </w:pPr>
            <w:r>
              <w:rPr>
                <w:b/>
                <w:w w:val="95"/>
                <w:sz w:val="14"/>
              </w:rPr>
              <w:t>90,600</w:t>
            </w:r>
          </w:p>
        </w:tc>
        <w:tc>
          <w:tcPr>
            <w:tcW w:w="936" w:type="dxa"/>
          </w:tcPr>
          <w:p>
            <w:pPr>
              <w:pStyle w:val="TableParagraph"/>
              <w:spacing w:before="32"/>
              <w:ind w:left="325"/>
              <w:rPr>
                <w:b/>
                <w:sz w:val="14"/>
              </w:rPr>
            </w:pPr>
            <w:r>
              <w:rPr>
                <w:b/>
                <w:sz w:val="14"/>
              </w:rPr>
              <w:t>9,272</w:t>
            </w:r>
          </w:p>
        </w:tc>
        <w:tc>
          <w:tcPr>
            <w:tcW w:w="832" w:type="dxa"/>
          </w:tcPr>
          <w:p>
            <w:pPr>
              <w:pStyle w:val="TableParagraph"/>
              <w:spacing w:before="32"/>
              <w:ind w:right="196"/>
              <w:jc w:val="right"/>
              <w:rPr>
                <w:b/>
                <w:sz w:val="14"/>
              </w:rPr>
            </w:pPr>
            <w:r>
              <w:rPr>
                <w:b/>
                <w:w w:val="95"/>
                <w:sz w:val="14"/>
              </w:rPr>
              <w:t>107,820</w:t>
            </w:r>
          </w:p>
        </w:tc>
        <w:tc>
          <w:tcPr>
            <w:tcW w:w="821" w:type="dxa"/>
          </w:tcPr>
          <w:p>
            <w:pPr>
              <w:pStyle w:val="TableParagraph"/>
              <w:spacing w:before="32"/>
              <w:ind w:right="43"/>
              <w:jc w:val="right"/>
              <w:rPr>
                <w:b/>
                <w:sz w:val="14"/>
              </w:rPr>
            </w:pPr>
            <w:r>
              <w:rPr>
                <w:b/>
                <w:w w:val="95"/>
                <w:sz w:val="14"/>
              </w:rPr>
              <w:t>11,378</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Sierra Leone Commmunity Driven Development Project (SLCDD) 2</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2"/>
              <w:rPr>
                <w:sz w:val="14"/>
              </w:rPr>
            </w:pPr>
            <w:r>
              <w:rPr>
                <w:sz w:val="14"/>
              </w:rPr>
              <w:t>IDB/ GoSL</w:t>
            </w:r>
          </w:p>
        </w:tc>
        <w:tc>
          <w:tcPr>
            <w:tcW w:w="1143" w:type="dxa"/>
          </w:tcPr>
          <w:p>
            <w:pPr>
              <w:pStyle w:val="TableParagraph"/>
              <w:spacing w:before="32"/>
              <w:ind w:left="135"/>
              <w:rPr>
                <w:sz w:val="14"/>
              </w:rPr>
            </w:pPr>
            <w:r>
              <w:rPr>
                <w:sz w:val="14"/>
              </w:rPr>
              <w:t>Loan/ Budget</w:t>
            </w:r>
          </w:p>
        </w:tc>
        <w:tc>
          <w:tcPr>
            <w:tcW w:w="902" w:type="dxa"/>
          </w:tcPr>
          <w:p>
            <w:pPr>
              <w:pStyle w:val="TableParagraph"/>
              <w:spacing w:before="32"/>
              <w:ind w:right="173"/>
              <w:jc w:val="right"/>
              <w:rPr>
                <w:sz w:val="14"/>
              </w:rPr>
            </w:pPr>
            <w:r>
              <w:rPr>
                <w:w w:val="95"/>
                <w:sz w:val="14"/>
              </w:rPr>
              <w:t>25,000</w:t>
            </w:r>
          </w:p>
        </w:tc>
        <w:tc>
          <w:tcPr>
            <w:tcW w:w="896" w:type="dxa"/>
          </w:tcPr>
          <w:p>
            <w:pPr>
              <w:pStyle w:val="TableParagraph"/>
              <w:spacing w:before="32"/>
              <w:ind w:right="164"/>
              <w:jc w:val="right"/>
              <w:rPr>
                <w:sz w:val="14"/>
              </w:rPr>
            </w:pPr>
            <w:r>
              <w:rPr>
                <w:sz w:val="14"/>
              </w:rPr>
              <w:t>1,500</w:t>
            </w:r>
          </w:p>
        </w:tc>
        <w:tc>
          <w:tcPr>
            <w:tcW w:w="845" w:type="dxa"/>
          </w:tcPr>
          <w:p>
            <w:pPr>
              <w:pStyle w:val="TableParagraph"/>
              <w:spacing w:before="32"/>
              <w:ind w:right="153"/>
              <w:jc w:val="right"/>
              <w:rPr>
                <w:sz w:val="14"/>
              </w:rPr>
            </w:pPr>
            <w:r>
              <w:rPr>
                <w:w w:val="95"/>
                <w:sz w:val="14"/>
              </w:rPr>
              <w:t>25,000</w:t>
            </w:r>
          </w:p>
        </w:tc>
        <w:tc>
          <w:tcPr>
            <w:tcW w:w="936" w:type="dxa"/>
          </w:tcPr>
          <w:p>
            <w:pPr>
              <w:pStyle w:val="TableParagraph"/>
              <w:spacing w:before="32"/>
              <w:ind w:left="309"/>
              <w:rPr>
                <w:sz w:val="14"/>
              </w:rPr>
            </w:pPr>
            <w:r>
              <w:rPr>
                <w:sz w:val="14"/>
              </w:rPr>
              <w:t>1,500</w:t>
            </w:r>
          </w:p>
        </w:tc>
        <w:tc>
          <w:tcPr>
            <w:tcW w:w="832" w:type="dxa"/>
          </w:tcPr>
          <w:p>
            <w:pPr>
              <w:pStyle w:val="TableParagraph"/>
              <w:spacing w:before="32"/>
              <w:ind w:right="168"/>
              <w:jc w:val="right"/>
              <w:rPr>
                <w:sz w:val="14"/>
              </w:rPr>
            </w:pPr>
            <w:r>
              <w:rPr>
                <w:w w:val="95"/>
                <w:sz w:val="14"/>
              </w:rPr>
              <w:t>30,000</w:t>
            </w:r>
          </w:p>
        </w:tc>
        <w:tc>
          <w:tcPr>
            <w:tcW w:w="821" w:type="dxa"/>
          </w:tcPr>
          <w:p>
            <w:pPr>
              <w:pStyle w:val="TableParagraph"/>
              <w:spacing w:before="32"/>
              <w:ind w:right="19"/>
              <w:jc w:val="right"/>
              <w:rPr>
                <w:sz w:val="14"/>
              </w:rPr>
            </w:pPr>
            <w:r>
              <w:rPr>
                <w:sz w:val="14"/>
              </w:rPr>
              <w:t>1,650</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Sierra Leone Social Safety Net Project</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2"/>
              <w:rPr>
                <w:sz w:val="14"/>
              </w:rPr>
            </w:pPr>
            <w:r>
              <w:rPr>
                <w:sz w:val="14"/>
              </w:rPr>
              <w:t>IDA/ GoSL</w:t>
            </w:r>
          </w:p>
        </w:tc>
        <w:tc>
          <w:tcPr>
            <w:tcW w:w="1143" w:type="dxa"/>
          </w:tcPr>
          <w:p>
            <w:pPr>
              <w:pStyle w:val="TableParagraph"/>
              <w:rPr>
                <w:rFonts w:ascii="Times New Roman"/>
                <w:sz w:val="14"/>
              </w:rPr>
            </w:pPr>
          </w:p>
        </w:tc>
        <w:tc>
          <w:tcPr>
            <w:tcW w:w="902" w:type="dxa"/>
          </w:tcPr>
          <w:p>
            <w:pPr>
              <w:pStyle w:val="TableParagraph"/>
              <w:spacing w:before="32"/>
              <w:ind w:right="173"/>
              <w:jc w:val="right"/>
              <w:rPr>
                <w:sz w:val="14"/>
              </w:rPr>
            </w:pPr>
            <w:r>
              <w:rPr>
                <w:w w:val="95"/>
                <w:sz w:val="14"/>
              </w:rPr>
              <w:t>20,750</w:t>
            </w:r>
          </w:p>
        </w:tc>
        <w:tc>
          <w:tcPr>
            <w:tcW w:w="896" w:type="dxa"/>
          </w:tcPr>
          <w:p>
            <w:pPr>
              <w:pStyle w:val="TableParagraph"/>
              <w:spacing w:before="32"/>
              <w:ind w:right="164"/>
              <w:jc w:val="right"/>
              <w:rPr>
                <w:sz w:val="14"/>
              </w:rPr>
            </w:pPr>
            <w:r>
              <w:rPr>
                <w:sz w:val="14"/>
              </w:rPr>
              <w:t>3,000</w:t>
            </w:r>
          </w:p>
        </w:tc>
        <w:tc>
          <w:tcPr>
            <w:tcW w:w="845" w:type="dxa"/>
          </w:tcPr>
          <w:p>
            <w:pPr>
              <w:pStyle w:val="TableParagraph"/>
              <w:spacing w:before="32"/>
              <w:ind w:right="153"/>
              <w:jc w:val="right"/>
              <w:rPr>
                <w:sz w:val="14"/>
              </w:rPr>
            </w:pPr>
            <w:r>
              <w:rPr>
                <w:w w:val="95"/>
                <w:sz w:val="14"/>
              </w:rPr>
              <w:t>29,050</w:t>
            </w:r>
          </w:p>
        </w:tc>
        <w:tc>
          <w:tcPr>
            <w:tcW w:w="936" w:type="dxa"/>
          </w:tcPr>
          <w:p>
            <w:pPr>
              <w:pStyle w:val="TableParagraph"/>
              <w:spacing w:before="32"/>
              <w:ind w:left="309"/>
              <w:rPr>
                <w:sz w:val="14"/>
              </w:rPr>
            </w:pPr>
            <w:r>
              <w:rPr>
                <w:sz w:val="14"/>
              </w:rPr>
              <w:t>4,500</w:t>
            </w:r>
          </w:p>
        </w:tc>
        <w:tc>
          <w:tcPr>
            <w:tcW w:w="832" w:type="dxa"/>
          </w:tcPr>
          <w:p>
            <w:pPr>
              <w:pStyle w:val="TableParagraph"/>
              <w:spacing w:before="32"/>
              <w:ind w:right="168"/>
              <w:jc w:val="right"/>
              <w:rPr>
                <w:sz w:val="14"/>
              </w:rPr>
            </w:pPr>
            <w:r>
              <w:rPr>
                <w:w w:val="95"/>
                <w:sz w:val="14"/>
              </w:rPr>
              <w:t>24,900</w:t>
            </w:r>
          </w:p>
        </w:tc>
        <w:tc>
          <w:tcPr>
            <w:tcW w:w="821" w:type="dxa"/>
          </w:tcPr>
          <w:p>
            <w:pPr>
              <w:pStyle w:val="TableParagraph"/>
              <w:spacing w:before="32"/>
              <w:ind w:right="27"/>
              <w:jc w:val="right"/>
              <w:rPr>
                <w:sz w:val="14"/>
              </w:rPr>
            </w:pPr>
            <w:r>
              <w:rPr>
                <w:sz w:val="14"/>
              </w:rPr>
              <w:t>6,000</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Pro Poor Growth for Peace Consolidation (GPC)</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2"/>
              <w:rPr>
                <w:sz w:val="14"/>
              </w:rPr>
            </w:pPr>
            <w:r>
              <w:rPr>
                <w:sz w:val="14"/>
              </w:rPr>
              <w:t>KfW/ GoSL</w:t>
            </w:r>
          </w:p>
        </w:tc>
        <w:tc>
          <w:tcPr>
            <w:tcW w:w="1143" w:type="dxa"/>
          </w:tcPr>
          <w:p>
            <w:pPr>
              <w:pStyle w:val="TableParagraph"/>
              <w:spacing w:before="32"/>
              <w:ind w:left="135"/>
              <w:rPr>
                <w:sz w:val="14"/>
              </w:rPr>
            </w:pPr>
            <w:r>
              <w:rPr>
                <w:sz w:val="14"/>
              </w:rPr>
              <w:t>Loan/ Budget</w:t>
            </w:r>
          </w:p>
        </w:tc>
        <w:tc>
          <w:tcPr>
            <w:tcW w:w="902" w:type="dxa"/>
          </w:tcPr>
          <w:p>
            <w:pPr>
              <w:pStyle w:val="TableParagraph"/>
              <w:spacing w:before="32"/>
              <w:ind w:right="173"/>
              <w:jc w:val="right"/>
              <w:rPr>
                <w:sz w:val="14"/>
              </w:rPr>
            </w:pPr>
            <w:r>
              <w:rPr>
                <w:w w:val="95"/>
                <w:sz w:val="14"/>
              </w:rPr>
              <w:t>16,600</w:t>
            </w:r>
          </w:p>
        </w:tc>
        <w:tc>
          <w:tcPr>
            <w:tcW w:w="896" w:type="dxa"/>
          </w:tcPr>
          <w:p>
            <w:pPr>
              <w:pStyle w:val="TableParagraph"/>
              <w:spacing w:before="32"/>
              <w:ind w:right="157"/>
              <w:jc w:val="right"/>
              <w:rPr>
                <w:sz w:val="14"/>
              </w:rPr>
            </w:pPr>
            <w:r>
              <w:rPr>
                <w:w w:val="95"/>
                <w:sz w:val="14"/>
              </w:rPr>
              <w:t>211</w:t>
            </w:r>
          </w:p>
        </w:tc>
        <w:tc>
          <w:tcPr>
            <w:tcW w:w="845" w:type="dxa"/>
          </w:tcPr>
          <w:p>
            <w:pPr>
              <w:pStyle w:val="TableParagraph"/>
              <w:spacing w:before="32"/>
              <w:ind w:right="153"/>
              <w:jc w:val="right"/>
              <w:rPr>
                <w:sz w:val="14"/>
              </w:rPr>
            </w:pPr>
            <w:r>
              <w:rPr>
                <w:w w:val="95"/>
                <w:sz w:val="14"/>
              </w:rPr>
              <w:t>29,050</w:t>
            </w:r>
          </w:p>
        </w:tc>
        <w:tc>
          <w:tcPr>
            <w:tcW w:w="936" w:type="dxa"/>
          </w:tcPr>
          <w:p>
            <w:pPr>
              <w:pStyle w:val="TableParagraph"/>
              <w:spacing w:before="32"/>
              <w:ind w:left="491"/>
              <w:rPr>
                <w:sz w:val="14"/>
              </w:rPr>
            </w:pPr>
            <w:r>
              <w:rPr>
                <w:sz w:val="14"/>
              </w:rPr>
              <w:t>232</w:t>
            </w:r>
          </w:p>
        </w:tc>
        <w:tc>
          <w:tcPr>
            <w:tcW w:w="832" w:type="dxa"/>
          </w:tcPr>
          <w:p>
            <w:pPr>
              <w:pStyle w:val="TableParagraph"/>
              <w:spacing w:before="32"/>
              <w:ind w:right="154"/>
              <w:jc w:val="right"/>
              <w:rPr>
                <w:sz w:val="14"/>
              </w:rPr>
            </w:pPr>
            <w:r>
              <w:rPr>
                <w:w w:val="95"/>
                <w:sz w:val="14"/>
              </w:rPr>
              <w:t>19,920</w:t>
            </w:r>
          </w:p>
        </w:tc>
        <w:tc>
          <w:tcPr>
            <w:tcW w:w="821" w:type="dxa"/>
          </w:tcPr>
          <w:p>
            <w:pPr>
              <w:pStyle w:val="TableParagraph"/>
              <w:spacing w:before="32"/>
              <w:ind w:right="11"/>
              <w:jc w:val="right"/>
              <w:rPr>
                <w:sz w:val="14"/>
              </w:rPr>
            </w:pPr>
            <w:r>
              <w:rPr>
                <w:sz w:val="14"/>
              </w:rPr>
              <w:t>255</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3"/>
              <w:rPr>
                <w:sz w:val="14"/>
              </w:rPr>
            </w:pPr>
            <w:r>
              <w:rPr>
                <w:sz w:val="14"/>
              </w:rPr>
              <w:t>Employment Promotion Programme III</w:t>
            </w:r>
          </w:p>
        </w:tc>
        <w:tc>
          <w:tcPr>
            <w:tcW w:w="827" w:type="dxa"/>
          </w:tcPr>
          <w:p>
            <w:pPr>
              <w:pStyle w:val="TableParagraph"/>
              <w:rPr>
                <w:rFonts w:ascii="Times New Roman"/>
                <w:sz w:val="14"/>
              </w:rPr>
            </w:pP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GIZ</w:t>
            </w:r>
          </w:p>
        </w:tc>
        <w:tc>
          <w:tcPr>
            <w:tcW w:w="1143" w:type="dxa"/>
          </w:tcPr>
          <w:p>
            <w:pPr>
              <w:pStyle w:val="TableParagraph"/>
              <w:rPr>
                <w:rFonts w:ascii="Times New Roman"/>
                <w:sz w:val="14"/>
              </w:rPr>
            </w:pPr>
          </w:p>
        </w:tc>
        <w:tc>
          <w:tcPr>
            <w:tcW w:w="902" w:type="dxa"/>
          </w:tcPr>
          <w:p>
            <w:pPr>
              <w:pStyle w:val="TableParagraph"/>
              <w:spacing w:before="32"/>
              <w:ind w:right="168"/>
              <w:jc w:val="right"/>
              <w:rPr>
                <w:sz w:val="14"/>
              </w:rPr>
            </w:pPr>
            <w:r>
              <w:rPr>
                <w:sz w:val="14"/>
              </w:rPr>
              <w:t>2,500</w:t>
            </w:r>
          </w:p>
        </w:tc>
        <w:tc>
          <w:tcPr>
            <w:tcW w:w="896" w:type="dxa"/>
          </w:tcPr>
          <w:p>
            <w:pPr>
              <w:pStyle w:val="TableParagraph"/>
              <w:spacing w:before="32"/>
              <w:ind w:right="144"/>
              <w:jc w:val="right"/>
              <w:rPr>
                <w:sz w:val="14"/>
              </w:rPr>
            </w:pPr>
            <w:r>
              <w:rPr>
                <w:w w:val="99"/>
                <w:sz w:val="14"/>
              </w:rPr>
              <w:t>-</w:t>
            </w:r>
          </w:p>
        </w:tc>
        <w:tc>
          <w:tcPr>
            <w:tcW w:w="845" w:type="dxa"/>
          </w:tcPr>
          <w:p>
            <w:pPr>
              <w:pStyle w:val="TableParagraph"/>
              <w:spacing w:before="32"/>
              <w:ind w:right="152"/>
              <w:jc w:val="right"/>
              <w:rPr>
                <w:sz w:val="14"/>
              </w:rPr>
            </w:pPr>
            <w:r>
              <w:rPr>
                <w:sz w:val="14"/>
              </w:rPr>
              <w:t>2,500</w:t>
            </w:r>
          </w:p>
        </w:tc>
        <w:tc>
          <w:tcPr>
            <w:tcW w:w="936" w:type="dxa"/>
          </w:tcPr>
          <w:p>
            <w:pPr>
              <w:pStyle w:val="TableParagraph"/>
              <w:spacing w:before="32"/>
              <w:ind w:right="225"/>
              <w:jc w:val="right"/>
              <w:rPr>
                <w:sz w:val="14"/>
              </w:rPr>
            </w:pPr>
            <w:r>
              <w:rPr>
                <w:w w:val="99"/>
                <w:sz w:val="14"/>
              </w:rPr>
              <w:t>-</w:t>
            </w:r>
          </w:p>
        </w:tc>
        <w:tc>
          <w:tcPr>
            <w:tcW w:w="832" w:type="dxa"/>
          </w:tcPr>
          <w:p>
            <w:pPr>
              <w:pStyle w:val="TableParagraph"/>
              <w:spacing w:before="32"/>
              <w:ind w:right="163"/>
              <w:jc w:val="right"/>
              <w:rPr>
                <w:sz w:val="14"/>
              </w:rPr>
            </w:pPr>
            <w:r>
              <w:rPr>
                <w:sz w:val="14"/>
              </w:rPr>
              <w:t>3,000</w:t>
            </w:r>
          </w:p>
        </w:tc>
        <w:tc>
          <w:tcPr>
            <w:tcW w:w="821" w:type="dxa"/>
          </w:tcPr>
          <w:p>
            <w:pPr>
              <w:pStyle w:val="TableParagraph"/>
              <w:spacing w:before="32"/>
              <w:ind w:right="2"/>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Relief and Resettlement Project</w:t>
            </w:r>
          </w:p>
        </w:tc>
        <w:tc>
          <w:tcPr>
            <w:tcW w:w="827" w:type="dxa"/>
          </w:tcPr>
          <w:p>
            <w:pPr>
              <w:pStyle w:val="TableParagraph"/>
              <w:rPr>
                <w:rFonts w:ascii="Times New Roman"/>
                <w:sz w:val="14"/>
              </w:rPr>
            </w:pP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2"/>
              <w:rPr>
                <w:sz w:val="14"/>
              </w:rPr>
            </w:pPr>
            <w:r>
              <w:rPr>
                <w:sz w:val="14"/>
              </w:rPr>
              <w:t>UNHCR</w:t>
            </w:r>
          </w:p>
        </w:tc>
        <w:tc>
          <w:tcPr>
            <w:tcW w:w="1143" w:type="dxa"/>
          </w:tcPr>
          <w:p>
            <w:pPr>
              <w:pStyle w:val="TableParagraph"/>
              <w:rPr>
                <w:rFonts w:ascii="Times New Roman"/>
                <w:sz w:val="14"/>
              </w:rPr>
            </w:pPr>
          </w:p>
        </w:tc>
        <w:tc>
          <w:tcPr>
            <w:tcW w:w="902" w:type="dxa"/>
          </w:tcPr>
          <w:p>
            <w:pPr>
              <w:pStyle w:val="TableParagraph"/>
              <w:spacing w:before="32"/>
              <w:ind w:right="173"/>
              <w:jc w:val="right"/>
              <w:rPr>
                <w:sz w:val="14"/>
              </w:rPr>
            </w:pPr>
            <w:r>
              <w:rPr>
                <w:w w:val="95"/>
                <w:sz w:val="14"/>
              </w:rPr>
              <w:t>25,000</w:t>
            </w:r>
          </w:p>
        </w:tc>
        <w:tc>
          <w:tcPr>
            <w:tcW w:w="896" w:type="dxa"/>
          </w:tcPr>
          <w:p>
            <w:pPr>
              <w:pStyle w:val="TableParagraph"/>
              <w:spacing w:before="32"/>
              <w:ind w:right="131"/>
              <w:jc w:val="right"/>
              <w:rPr>
                <w:b/>
                <w:sz w:val="14"/>
              </w:rPr>
            </w:pPr>
            <w:r>
              <w:rPr>
                <w:b/>
                <w:w w:val="99"/>
                <w:sz w:val="14"/>
              </w:rPr>
              <w:t>-</w:t>
            </w:r>
          </w:p>
        </w:tc>
        <w:tc>
          <w:tcPr>
            <w:tcW w:w="845" w:type="dxa"/>
          </w:tcPr>
          <w:p>
            <w:pPr>
              <w:pStyle w:val="TableParagraph"/>
              <w:spacing w:before="32"/>
              <w:ind w:right="152"/>
              <w:jc w:val="right"/>
              <w:rPr>
                <w:sz w:val="14"/>
              </w:rPr>
            </w:pPr>
            <w:r>
              <w:rPr>
                <w:sz w:val="14"/>
              </w:rPr>
              <w:t>5,000</w:t>
            </w:r>
          </w:p>
        </w:tc>
        <w:tc>
          <w:tcPr>
            <w:tcW w:w="936" w:type="dxa"/>
          </w:tcPr>
          <w:p>
            <w:pPr>
              <w:pStyle w:val="TableParagraph"/>
              <w:spacing w:before="32"/>
              <w:ind w:right="225"/>
              <w:jc w:val="right"/>
              <w:rPr>
                <w:sz w:val="14"/>
              </w:rPr>
            </w:pPr>
            <w:r>
              <w:rPr>
                <w:w w:val="99"/>
                <w:sz w:val="14"/>
              </w:rPr>
              <w:t>-</w:t>
            </w:r>
          </w:p>
        </w:tc>
        <w:tc>
          <w:tcPr>
            <w:tcW w:w="832" w:type="dxa"/>
          </w:tcPr>
          <w:p>
            <w:pPr>
              <w:pStyle w:val="TableParagraph"/>
              <w:spacing w:before="32"/>
              <w:ind w:right="168"/>
              <w:jc w:val="right"/>
              <w:rPr>
                <w:sz w:val="14"/>
              </w:rPr>
            </w:pPr>
            <w:r>
              <w:rPr>
                <w:w w:val="95"/>
                <w:sz w:val="14"/>
              </w:rPr>
              <w:t>30,000</w:t>
            </w:r>
          </w:p>
        </w:tc>
        <w:tc>
          <w:tcPr>
            <w:tcW w:w="821" w:type="dxa"/>
          </w:tcPr>
          <w:p>
            <w:pPr>
              <w:pStyle w:val="TableParagraph"/>
              <w:spacing w:before="32"/>
              <w:ind w:right="2"/>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Rehabilitation/ Construction of Community Facilities</w:t>
            </w:r>
          </w:p>
        </w:tc>
        <w:tc>
          <w:tcPr>
            <w:tcW w:w="827" w:type="dxa"/>
          </w:tcPr>
          <w:p>
            <w:pPr>
              <w:pStyle w:val="TableParagraph"/>
              <w:rPr>
                <w:rFonts w:ascii="Times New Roman"/>
                <w:sz w:val="14"/>
              </w:rPr>
            </w:pP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spacing w:before="32"/>
              <w:ind w:right="164"/>
              <w:jc w:val="right"/>
              <w:rPr>
                <w:sz w:val="14"/>
              </w:rPr>
            </w:pPr>
            <w:r>
              <w:rPr>
                <w:sz w:val="14"/>
              </w:rPr>
              <w:t>5,000</w:t>
            </w:r>
          </w:p>
        </w:tc>
        <w:tc>
          <w:tcPr>
            <w:tcW w:w="845" w:type="dxa"/>
          </w:tcPr>
          <w:p>
            <w:pPr>
              <w:pStyle w:val="TableParagraph"/>
              <w:rPr>
                <w:rFonts w:ascii="Times New Roman"/>
                <w:sz w:val="14"/>
              </w:rPr>
            </w:pPr>
          </w:p>
        </w:tc>
        <w:tc>
          <w:tcPr>
            <w:tcW w:w="936" w:type="dxa"/>
          </w:tcPr>
          <w:p>
            <w:pPr>
              <w:pStyle w:val="TableParagraph"/>
              <w:spacing w:before="32"/>
              <w:ind w:left="309"/>
              <w:rPr>
                <w:sz w:val="14"/>
              </w:rPr>
            </w:pPr>
            <w:r>
              <w:rPr>
                <w:sz w:val="14"/>
              </w:rPr>
              <w:t>1,740</w:t>
            </w:r>
          </w:p>
        </w:tc>
        <w:tc>
          <w:tcPr>
            <w:tcW w:w="832" w:type="dxa"/>
          </w:tcPr>
          <w:p>
            <w:pPr>
              <w:pStyle w:val="TableParagraph"/>
              <w:rPr>
                <w:rFonts w:ascii="Times New Roman"/>
                <w:sz w:val="14"/>
              </w:rPr>
            </w:pPr>
          </w:p>
        </w:tc>
        <w:tc>
          <w:tcPr>
            <w:tcW w:w="821" w:type="dxa"/>
          </w:tcPr>
          <w:p>
            <w:pPr>
              <w:pStyle w:val="TableParagraph"/>
              <w:spacing w:before="32"/>
              <w:ind w:right="27"/>
              <w:jc w:val="right"/>
              <w:rPr>
                <w:sz w:val="14"/>
              </w:rPr>
            </w:pPr>
            <w:r>
              <w:rPr>
                <w:sz w:val="14"/>
              </w:rPr>
              <w:t>1,740</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3"/>
              <w:rPr>
                <w:sz w:val="14"/>
              </w:rPr>
            </w:pPr>
            <w:r>
              <w:rPr>
                <w:sz w:val="14"/>
              </w:rPr>
              <w:t>Economic Empowerment of Persons Living with Disability</w:t>
            </w:r>
          </w:p>
        </w:tc>
        <w:tc>
          <w:tcPr>
            <w:tcW w:w="827" w:type="dxa"/>
          </w:tcPr>
          <w:p>
            <w:pPr>
              <w:pStyle w:val="TableParagraph"/>
              <w:spacing w:before="32"/>
              <w:ind w:left="174"/>
              <w:rPr>
                <w:sz w:val="14"/>
              </w:rPr>
            </w:pPr>
            <w:r>
              <w:rPr>
                <w:sz w:val="14"/>
              </w:rPr>
              <w:t>New</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spacing w:before="32"/>
              <w:ind w:right="156"/>
              <w:jc w:val="right"/>
              <w:rPr>
                <w:sz w:val="14"/>
              </w:rPr>
            </w:pPr>
            <w:r>
              <w:rPr>
                <w:sz w:val="14"/>
              </w:rPr>
              <w:t>5,000</w:t>
            </w:r>
          </w:p>
        </w:tc>
        <w:tc>
          <w:tcPr>
            <w:tcW w:w="845" w:type="dxa"/>
          </w:tcPr>
          <w:p>
            <w:pPr>
              <w:pStyle w:val="TableParagraph"/>
              <w:rPr>
                <w:rFonts w:ascii="Times New Roman"/>
                <w:sz w:val="14"/>
              </w:rPr>
            </w:pPr>
          </w:p>
        </w:tc>
        <w:tc>
          <w:tcPr>
            <w:tcW w:w="936" w:type="dxa"/>
          </w:tcPr>
          <w:p>
            <w:pPr>
              <w:pStyle w:val="TableParagraph"/>
              <w:spacing w:before="32"/>
              <w:ind w:left="360"/>
              <w:rPr>
                <w:sz w:val="14"/>
              </w:rPr>
            </w:pPr>
            <w:r>
              <w:rPr>
                <w:sz w:val="14"/>
              </w:rPr>
              <w:t>1,300</w:t>
            </w:r>
          </w:p>
        </w:tc>
        <w:tc>
          <w:tcPr>
            <w:tcW w:w="832" w:type="dxa"/>
          </w:tcPr>
          <w:p>
            <w:pPr>
              <w:pStyle w:val="TableParagraph"/>
              <w:rPr>
                <w:rFonts w:ascii="Times New Roman"/>
                <w:sz w:val="14"/>
              </w:rPr>
            </w:pPr>
          </w:p>
        </w:tc>
        <w:tc>
          <w:tcPr>
            <w:tcW w:w="821" w:type="dxa"/>
          </w:tcPr>
          <w:p>
            <w:pPr>
              <w:pStyle w:val="TableParagraph"/>
              <w:spacing w:before="32"/>
              <w:ind w:right="19"/>
              <w:jc w:val="right"/>
              <w:rPr>
                <w:sz w:val="14"/>
              </w:rPr>
            </w:pPr>
            <w:r>
              <w:rPr>
                <w:sz w:val="14"/>
              </w:rPr>
              <w:t>1,733</w:t>
            </w:r>
          </w:p>
        </w:tc>
      </w:tr>
      <w:tr>
        <w:trPr>
          <w:trHeight w:val="230" w:hRule="atLeast"/>
        </w:trPr>
        <w:tc>
          <w:tcPr>
            <w:tcW w:w="470" w:type="dxa"/>
          </w:tcPr>
          <w:p>
            <w:pPr>
              <w:pStyle w:val="TableParagraph"/>
              <w:spacing w:before="32"/>
              <w:ind w:left="123"/>
              <w:rPr>
                <w:sz w:val="14"/>
              </w:rPr>
            </w:pPr>
            <w:r>
              <w:rPr>
                <w:sz w:val="14"/>
              </w:rPr>
              <w:t>306</w:t>
            </w:r>
          </w:p>
        </w:tc>
        <w:tc>
          <w:tcPr>
            <w:tcW w:w="4792" w:type="dxa"/>
          </w:tcPr>
          <w:p>
            <w:pPr>
              <w:pStyle w:val="TableParagraph"/>
              <w:spacing w:before="32"/>
              <w:ind w:left="95"/>
              <w:rPr>
                <w:b/>
                <w:sz w:val="14"/>
              </w:rPr>
            </w:pPr>
            <w:r>
              <w:rPr>
                <w:b/>
                <w:sz w:val="14"/>
              </w:rPr>
              <w:t>Ministry of Lands, Country Planning and the Environment</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rPr>
                <w:rFonts w:ascii="Times New Roman"/>
                <w:sz w:val="14"/>
              </w:rPr>
            </w:pPr>
          </w:p>
        </w:tc>
        <w:tc>
          <w:tcPr>
            <w:tcW w:w="845" w:type="dxa"/>
          </w:tcPr>
          <w:p>
            <w:pPr>
              <w:pStyle w:val="TableParagraph"/>
              <w:rPr>
                <w:rFonts w:ascii="Times New Roman"/>
                <w:sz w:val="14"/>
              </w:rPr>
            </w:pPr>
          </w:p>
        </w:tc>
        <w:tc>
          <w:tcPr>
            <w:tcW w:w="936" w:type="dxa"/>
          </w:tcPr>
          <w:p>
            <w:pPr>
              <w:pStyle w:val="TableParagraph"/>
              <w:rPr>
                <w:rFonts w:ascii="Times New Roman"/>
                <w:sz w:val="14"/>
              </w:rPr>
            </w:pPr>
          </w:p>
        </w:tc>
        <w:tc>
          <w:tcPr>
            <w:tcW w:w="832" w:type="dxa"/>
          </w:tcPr>
          <w:p>
            <w:pPr>
              <w:pStyle w:val="TableParagraph"/>
              <w:rPr>
                <w:rFonts w:ascii="Times New Roman"/>
                <w:sz w:val="14"/>
              </w:rPr>
            </w:pPr>
          </w:p>
        </w:tc>
        <w:tc>
          <w:tcPr>
            <w:tcW w:w="821"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95"/>
              <w:rPr>
                <w:b/>
                <w:sz w:val="14"/>
              </w:rPr>
            </w:pPr>
            <w:r>
              <w:rPr>
                <w:b/>
                <w:sz w:val="14"/>
              </w:rPr>
              <w:t>MoLCP&amp;E)</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spacing w:before="32"/>
              <w:ind w:right="152"/>
              <w:jc w:val="right"/>
              <w:rPr>
                <w:b/>
                <w:sz w:val="14"/>
              </w:rPr>
            </w:pPr>
            <w:r>
              <w:rPr>
                <w:b/>
                <w:w w:val="99"/>
                <w:sz w:val="14"/>
              </w:rPr>
              <w:t>-</w:t>
            </w:r>
          </w:p>
        </w:tc>
        <w:tc>
          <w:tcPr>
            <w:tcW w:w="896" w:type="dxa"/>
          </w:tcPr>
          <w:p>
            <w:pPr>
              <w:pStyle w:val="TableParagraph"/>
              <w:spacing w:before="32"/>
              <w:ind w:right="172"/>
              <w:jc w:val="right"/>
              <w:rPr>
                <w:b/>
                <w:sz w:val="14"/>
              </w:rPr>
            </w:pPr>
            <w:r>
              <w:rPr>
                <w:b/>
                <w:sz w:val="14"/>
              </w:rPr>
              <w:t>2,000</w:t>
            </w:r>
          </w:p>
        </w:tc>
        <w:tc>
          <w:tcPr>
            <w:tcW w:w="845" w:type="dxa"/>
          </w:tcPr>
          <w:p>
            <w:pPr>
              <w:pStyle w:val="TableParagraph"/>
              <w:spacing w:before="32"/>
              <w:ind w:right="128"/>
              <w:jc w:val="right"/>
              <w:rPr>
                <w:b/>
                <w:sz w:val="14"/>
              </w:rPr>
            </w:pPr>
            <w:r>
              <w:rPr>
                <w:b/>
                <w:w w:val="99"/>
                <w:sz w:val="14"/>
              </w:rPr>
              <w:t>-</w:t>
            </w:r>
          </w:p>
        </w:tc>
        <w:tc>
          <w:tcPr>
            <w:tcW w:w="936" w:type="dxa"/>
          </w:tcPr>
          <w:p>
            <w:pPr>
              <w:pStyle w:val="TableParagraph"/>
              <w:spacing w:before="32"/>
              <w:ind w:left="325"/>
              <w:rPr>
                <w:b/>
                <w:sz w:val="14"/>
              </w:rPr>
            </w:pPr>
            <w:r>
              <w:rPr>
                <w:b/>
                <w:sz w:val="14"/>
              </w:rPr>
              <w:t>2,200</w:t>
            </w:r>
          </w:p>
        </w:tc>
        <w:tc>
          <w:tcPr>
            <w:tcW w:w="832" w:type="dxa"/>
          </w:tcPr>
          <w:p>
            <w:pPr>
              <w:pStyle w:val="TableParagraph"/>
              <w:spacing w:before="32"/>
              <w:ind w:right="132"/>
              <w:jc w:val="right"/>
              <w:rPr>
                <w:b/>
                <w:sz w:val="14"/>
              </w:rPr>
            </w:pPr>
            <w:r>
              <w:rPr>
                <w:b/>
                <w:w w:val="99"/>
                <w:sz w:val="14"/>
              </w:rPr>
              <w:t>-</w:t>
            </w:r>
          </w:p>
        </w:tc>
        <w:tc>
          <w:tcPr>
            <w:tcW w:w="821" w:type="dxa"/>
          </w:tcPr>
          <w:p>
            <w:pPr>
              <w:pStyle w:val="TableParagraph"/>
              <w:spacing w:before="32"/>
              <w:ind w:right="35"/>
              <w:jc w:val="right"/>
              <w:rPr>
                <w:b/>
                <w:sz w:val="14"/>
              </w:rPr>
            </w:pPr>
            <w:r>
              <w:rPr>
                <w:b/>
                <w:sz w:val="14"/>
              </w:rPr>
              <w:t>2,420</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National Land Policy and Legal Reform Project</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spacing w:before="32"/>
              <w:ind w:left="134"/>
              <w:rPr>
                <w:sz w:val="14"/>
              </w:rPr>
            </w:pPr>
            <w:r>
              <w:rPr>
                <w:sz w:val="14"/>
              </w:rPr>
              <w:t>Grant/ Budget</w:t>
            </w:r>
          </w:p>
        </w:tc>
        <w:tc>
          <w:tcPr>
            <w:tcW w:w="902" w:type="dxa"/>
          </w:tcPr>
          <w:p>
            <w:pPr>
              <w:pStyle w:val="TableParagraph"/>
              <w:spacing w:before="32"/>
              <w:ind w:right="155"/>
              <w:jc w:val="right"/>
              <w:rPr>
                <w:sz w:val="14"/>
              </w:rPr>
            </w:pPr>
            <w:r>
              <w:rPr>
                <w:w w:val="99"/>
                <w:sz w:val="14"/>
              </w:rPr>
              <w:t>-</w:t>
            </w:r>
          </w:p>
        </w:tc>
        <w:tc>
          <w:tcPr>
            <w:tcW w:w="896" w:type="dxa"/>
          </w:tcPr>
          <w:p>
            <w:pPr>
              <w:pStyle w:val="TableParagraph"/>
              <w:spacing w:before="32"/>
              <w:ind w:right="156"/>
              <w:jc w:val="right"/>
              <w:rPr>
                <w:sz w:val="14"/>
              </w:rPr>
            </w:pPr>
            <w:r>
              <w:rPr>
                <w:sz w:val="14"/>
              </w:rPr>
              <w:t>1,000</w:t>
            </w:r>
          </w:p>
        </w:tc>
        <w:tc>
          <w:tcPr>
            <w:tcW w:w="845" w:type="dxa"/>
          </w:tcPr>
          <w:p>
            <w:pPr>
              <w:pStyle w:val="TableParagraph"/>
              <w:spacing w:before="32"/>
              <w:ind w:right="139"/>
              <w:jc w:val="right"/>
              <w:rPr>
                <w:sz w:val="14"/>
              </w:rPr>
            </w:pPr>
            <w:r>
              <w:rPr>
                <w:w w:val="99"/>
                <w:sz w:val="14"/>
              </w:rPr>
              <w:t>-</w:t>
            </w:r>
          </w:p>
        </w:tc>
        <w:tc>
          <w:tcPr>
            <w:tcW w:w="936" w:type="dxa"/>
          </w:tcPr>
          <w:p>
            <w:pPr>
              <w:pStyle w:val="TableParagraph"/>
              <w:spacing w:before="32"/>
              <w:ind w:left="360"/>
              <w:rPr>
                <w:sz w:val="14"/>
              </w:rPr>
            </w:pPr>
            <w:r>
              <w:rPr>
                <w:sz w:val="14"/>
              </w:rPr>
              <w:t>1,100</w:t>
            </w:r>
          </w:p>
        </w:tc>
        <w:tc>
          <w:tcPr>
            <w:tcW w:w="832" w:type="dxa"/>
          </w:tcPr>
          <w:p>
            <w:pPr>
              <w:pStyle w:val="TableParagraph"/>
              <w:rPr>
                <w:rFonts w:ascii="Times New Roman"/>
                <w:sz w:val="14"/>
              </w:rPr>
            </w:pPr>
          </w:p>
        </w:tc>
        <w:tc>
          <w:tcPr>
            <w:tcW w:w="821" w:type="dxa"/>
          </w:tcPr>
          <w:p>
            <w:pPr>
              <w:pStyle w:val="TableParagraph"/>
              <w:spacing w:before="32"/>
              <w:ind w:right="19"/>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792" w:type="dxa"/>
          </w:tcPr>
          <w:p>
            <w:pPr>
              <w:pStyle w:val="TableParagraph"/>
              <w:spacing w:before="32"/>
              <w:ind w:left="263"/>
              <w:rPr>
                <w:sz w:val="14"/>
              </w:rPr>
            </w:pPr>
            <w:r>
              <w:rPr>
                <w:sz w:val="14"/>
              </w:rPr>
              <w:t>Lands Administration Project</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spacing w:before="32"/>
              <w:ind w:left="134"/>
              <w:rPr>
                <w:sz w:val="14"/>
              </w:rPr>
            </w:pPr>
            <w:r>
              <w:rPr>
                <w:sz w:val="14"/>
              </w:rPr>
              <w:t>Grant/ Budget</w:t>
            </w:r>
          </w:p>
        </w:tc>
        <w:tc>
          <w:tcPr>
            <w:tcW w:w="902" w:type="dxa"/>
          </w:tcPr>
          <w:p>
            <w:pPr>
              <w:pStyle w:val="TableParagraph"/>
              <w:rPr>
                <w:rFonts w:ascii="Times New Roman"/>
                <w:sz w:val="14"/>
              </w:rPr>
            </w:pPr>
          </w:p>
        </w:tc>
        <w:tc>
          <w:tcPr>
            <w:tcW w:w="896" w:type="dxa"/>
          </w:tcPr>
          <w:p>
            <w:pPr>
              <w:pStyle w:val="TableParagraph"/>
              <w:spacing w:before="32"/>
              <w:ind w:right="156"/>
              <w:jc w:val="right"/>
              <w:rPr>
                <w:sz w:val="14"/>
              </w:rPr>
            </w:pPr>
            <w:r>
              <w:rPr>
                <w:sz w:val="14"/>
              </w:rPr>
              <w:t>1,000</w:t>
            </w:r>
          </w:p>
        </w:tc>
        <w:tc>
          <w:tcPr>
            <w:tcW w:w="845" w:type="dxa"/>
          </w:tcPr>
          <w:p>
            <w:pPr>
              <w:pStyle w:val="TableParagraph"/>
              <w:rPr>
                <w:rFonts w:ascii="Times New Roman"/>
                <w:sz w:val="14"/>
              </w:rPr>
            </w:pPr>
          </w:p>
        </w:tc>
        <w:tc>
          <w:tcPr>
            <w:tcW w:w="936" w:type="dxa"/>
          </w:tcPr>
          <w:p>
            <w:pPr>
              <w:pStyle w:val="TableParagraph"/>
              <w:spacing w:before="32"/>
              <w:ind w:left="360"/>
              <w:rPr>
                <w:sz w:val="14"/>
              </w:rPr>
            </w:pPr>
            <w:r>
              <w:rPr>
                <w:sz w:val="14"/>
              </w:rPr>
              <w:t>1,100</w:t>
            </w:r>
          </w:p>
        </w:tc>
        <w:tc>
          <w:tcPr>
            <w:tcW w:w="832" w:type="dxa"/>
          </w:tcPr>
          <w:p>
            <w:pPr>
              <w:pStyle w:val="TableParagraph"/>
              <w:rPr>
                <w:rFonts w:ascii="Times New Roman"/>
                <w:sz w:val="14"/>
              </w:rPr>
            </w:pPr>
          </w:p>
        </w:tc>
        <w:tc>
          <w:tcPr>
            <w:tcW w:w="821" w:type="dxa"/>
          </w:tcPr>
          <w:p>
            <w:pPr>
              <w:pStyle w:val="TableParagraph"/>
              <w:spacing w:before="32"/>
              <w:ind w:right="19"/>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792" w:type="dxa"/>
          </w:tcPr>
          <w:p>
            <w:pPr>
              <w:pStyle w:val="TableParagraph"/>
              <w:rPr>
                <w:rFonts w:ascii="Times New Roman"/>
                <w:sz w:val="14"/>
              </w:rPr>
            </w:pP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spacing w:before="29"/>
              <w:ind w:right="246"/>
              <w:jc w:val="right"/>
              <w:rPr>
                <w:sz w:val="14"/>
              </w:rPr>
            </w:pPr>
            <w:r>
              <w:rPr>
                <w:w w:val="99"/>
                <w:sz w:val="14"/>
              </w:rPr>
              <w:t>-</w:t>
            </w:r>
          </w:p>
        </w:tc>
        <w:tc>
          <w:tcPr>
            <w:tcW w:w="902" w:type="dxa"/>
          </w:tcPr>
          <w:p>
            <w:pPr>
              <w:pStyle w:val="TableParagraph"/>
              <w:rPr>
                <w:rFonts w:ascii="Times New Roman"/>
                <w:sz w:val="14"/>
              </w:rPr>
            </w:pPr>
          </w:p>
        </w:tc>
        <w:tc>
          <w:tcPr>
            <w:tcW w:w="896" w:type="dxa"/>
          </w:tcPr>
          <w:p>
            <w:pPr>
              <w:pStyle w:val="TableParagraph"/>
              <w:rPr>
                <w:rFonts w:ascii="Times New Roman"/>
                <w:sz w:val="14"/>
              </w:rPr>
            </w:pPr>
          </w:p>
        </w:tc>
        <w:tc>
          <w:tcPr>
            <w:tcW w:w="845" w:type="dxa"/>
          </w:tcPr>
          <w:p>
            <w:pPr>
              <w:pStyle w:val="TableParagraph"/>
              <w:rPr>
                <w:rFonts w:ascii="Times New Roman"/>
                <w:sz w:val="14"/>
              </w:rPr>
            </w:pPr>
          </w:p>
        </w:tc>
        <w:tc>
          <w:tcPr>
            <w:tcW w:w="936" w:type="dxa"/>
          </w:tcPr>
          <w:p>
            <w:pPr>
              <w:pStyle w:val="TableParagraph"/>
              <w:rPr>
                <w:rFonts w:ascii="Times New Roman"/>
                <w:sz w:val="14"/>
              </w:rPr>
            </w:pPr>
          </w:p>
        </w:tc>
        <w:tc>
          <w:tcPr>
            <w:tcW w:w="832" w:type="dxa"/>
          </w:tcPr>
          <w:p>
            <w:pPr>
              <w:pStyle w:val="TableParagraph"/>
              <w:rPr>
                <w:rFonts w:ascii="Times New Roman"/>
                <w:sz w:val="14"/>
              </w:rPr>
            </w:pPr>
          </w:p>
        </w:tc>
        <w:tc>
          <w:tcPr>
            <w:tcW w:w="821"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94"/>
              <w:rPr>
                <w:b/>
                <w:sz w:val="14"/>
              </w:rPr>
            </w:pPr>
            <w:r>
              <w:rPr>
                <w:b/>
                <w:sz w:val="14"/>
              </w:rPr>
              <w:t>Cluster Two: Diversifying the Economy and Promoting Growth</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spacing w:before="32"/>
              <w:ind w:left="163"/>
              <w:rPr>
                <w:b/>
                <w:sz w:val="14"/>
              </w:rPr>
            </w:pPr>
            <w:r>
              <w:rPr>
                <w:b/>
                <w:sz w:val="14"/>
              </w:rPr>
              <w:t>205,862</w:t>
            </w:r>
          </w:p>
        </w:tc>
        <w:tc>
          <w:tcPr>
            <w:tcW w:w="896" w:type="dxa"/>
          </w:tcPr>
          <w:p>
            <w:pPr>
              <w:pStyle w:val="TableParagraph"/>
              <w:spacing w:before="32"/>
              <w:ind w:left="148"/>
              <w:rPr>
                <w:b/>
                <w:sz w:val="14"/>
              </w:rPr>
            </w:pPr>
            <w:r>
              <w:rPr>
                <w:b/>
                <w:sz w:val="14"/>
              </w:rPr>
              <w:t>133,978</w:t>
            </w:r>
          </w:p>
        </w:tc>
        <w:tc>
          <w:tcPr>
            <w:tcW w:w="845" w:type="dxa"/>
          </w:tcPr>
          <w:p>
            <w:pPr>
              <w:pStyle w:val="TableParagraph"/>
              <w:spacing w:before="32"/>
              <w:ind w:right="180"/>
              <w:jc w:val="right"/>
              <w:rPr>
                <w:b/>
                <w:sz w:val="14"/>
              </w:rPr>
            </w:pPr>
            <w:r>
              <w:rPr>
                <w:b/>
                <w:sz w:val="14"/>
              </w:rPr>
              <w:t>141,700</w:t>
            </w:r>
          </w:p>
        </w:tc>
        <w:tc>
          <w:tcPr>
            <w:tcW w:w="936" w:type="dxa"/>
          </w:tcPr>
          <w:p>
            <w:pPr>
              <w:pStyle w:val="TableParagraph"/>
              <w:spacing w:before="32"/>
              <w:ind w:left="116"/>
              <w:rPr>
                <w:b/>
                <w:sz w:val="14"/>
              </w:rPr>
            </w:pPr>
            <w:r>
              <w:rPr>
                <w:b/>
                <w:sz w:val="14"/>
              </w:rPr>
              <w:t>179,618</w:t>
            </w:r>
          </w:p>
        </w:tc>
        <w:tc>
          <w:tcPr>
            <w:tcW w:w="832" w:type="dxa"/>
          </w:tcPr>
          <w:p>
            <w:pPr>
              <w:pStyle w:val="TableParagraph"/>
              <w:spacing w:before="32"/>
              <w:ind w:right="196"/>
              <w:jc w:val="right"/>
              <w:rPr>
                <w:b/>
                <w:sz w:val="14"/>
              </w:rPr>
            </w:pPr>
            <w:r>
              <w:rPr>
                <w:b/>
                <w:w w:val="95"/>
                <w:sz w:val="14"/>
              </w:rPr>
              <w:t>257,174</w:t>
            </w:r>
          </w:p>
        </w:tc>
        <w:tc>
          <w:tcPr>
            <w:tcW w:w="821" w:type="dxa"/>
          </w:tcPr>
          <w:p>
            <w:pPr>
              <w:pStyle w:val="TableParagraph"/>
              <w:spacing w:before="32"/>
              <w:ind w:right="52"/>
              <w:jc w:val="right"/>
              <w:rPr>
                <w:b/>
                <w:sz w:val="14"/>
              </w:rPr>
            </w:pPr>
            <w:r>
              <w:rPr>
                <w:b/>
                <w:w w:val="95"/>
                <w:sz w:val="14"/>
              </w:rPr>
              <w:t>207,567</w:t>
            </w:r>
          </w:p>
        </w:tc>
      </w:tr>
      <w:tr>
        <w:trPr>
          <w:trHeight w:val="230" w:hRule="atLeast"/>
        </w:trPr>
        <w:tc>
          <w:tcPr>
            <w:tcW w:w="470" w:type="dxa"/>
          </w:tcPr>
          <w:p>
            <w:pPr>
              <w:pStyle w:val="TableParagraph"/>
              <w:spacing w:before="32"/>
              <w:ind w:left="123"/>
              <w:rPr>
                <w:sz w:val="14"/>
              </w:rPr>
            </w:pPr>
            <w:r>
              <w:rPr>
                <w:sz w:val="14"/>
              </w:rPr>
              <w:t>401</w:t>
            </w:r>
          </w:p>
        </w:tc>
        <w:tc>
          <w:tcPr>
            <w:tcW w:w="4792" w:type="dxa"/>
          </w:tcPr>
          <w:p>
            <w:pPr>
              <w:pStyle w:val="TableParagraph"/>
              <w:spacing w:before="32"/>
              <w:ind w:left="95"/>
              <w:rPr>
                <w:b/>
                <w:sz w:val="14"/>
              </w:rPr>
            </w:pPr>
            <w:r>
              <w:rPr>
                <w:b/>
                <w:sz w:val="14"/>
              </w:rPr>
              <w:t>Ministry of Agriculture and Forestry (MoAF)</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spacing w:before="32"/>
              <w:ind w:left="163"/>
              <w:rPr>
                <w:b/>
                <w:sz w:val="14"/>
              </w:rPr>
            </w:pPr>
            <w:r>
              <w:rPr>
                <w:b/>
                <w:sz w:val="14"/>
              </w:rPr>
              <w:t>172,862</w:t>
            </w:r>
          </w:p>
        </w:tc>
        <w:tc>
          <w:tcPr>
            <w:tcW w:w="896" w:type="dxa"/>
          </w:tcPr>
          <w:p>
            <w:pPr>
              <w:pStyle w:val="TableParagraph"/>
              <w:spacing w:before="32"/>
              <w:ind w:left="148"/>
              <w:rPr>
                <w:b/>
                <w:sz w:val="14"/>
              </w:rPr>
            </w:pPr>
            <w:r>
              <w:rPr>
                <w:b/>
                <w:sz w:val="14"/>
              </w:rPr>
              <w:t>109,378</w:t>
            </w:r>
          </w:p>
        </w:tc>
        <w:tc>
          <w:tcPr>
            <w:tcW w:w="845" w:type="dxa"/>
          </w:tcPr>
          <w:p>
            <w:pPr>
              <w:pStyle w:val="TableParagraph"/>
              <w:spacing w:before="32"/>
              <w:ind w:right="180"/>
              <w:jc w:val="right"/>
              <w:rPr>
                <w:b/>
                <w:sz w:val="14"/>
              </w:rPr>
            </w:pPr>
            <w:r>
              <w:rPr>
                <w:b/>
                <w:sz w:val="14"/>
              </w:rPr>
              <w:t>128,000</w:t>
            </w:r>
          </w:p>
        </w:tc>
        <w:tc>
          <w:tcPr>
            <w:tcW w:w="936" w:type="dxa"/>
          </w:tcPr>
          <w:p>
            <w:pPr>
              <w:pStyle w:val="TableParagraph"/>
              <w:spacing w:before="32"/>
              <w:ind w:left="116"/>
              <w:rPr>
                <w:b/>
                <w:sz w:val="14"/>
              </w:rPr>
            </w:pPr>
            <w:r>
              <w:rPr>
                <w:b/>
                <w:sz w:val="14"/>
              </w:rPr>
              <w:t>152,558</w:t>
            </w:r>
          </w:p>
        </w:tc>
        <w:tc>
          <w:tcPr>
            <w:tcW w:w="832" w:type="dxa"/>
          </w:tcPr>
          <w:p>
            <w:pPr>
              <w:pStyle w:val="TableParagraph"/>
              <w:spacing w:before="32"/>
              <w:ind w:right="196"/>
              <w:jc w:val="right"/>
              <w:rPr>
                <w:b/>
                <w:sz w:val="14"/>
              </w:rPr>
            </w:pPr>
            <w:r>
              <w:rPr>
                <w:b/>
                <w:w w:val="95"/>
                <w:sz w:val="14"/>
              </w:rPr>
              <w:t>217,574</w:t>
            </w:r>
          </w:p>
        </w:tc>
        <w:tc>
          <w:tcPr>
            <w:tcW w:w="821" w:type="dxa"/>
          </w:tcPr>
          <w:p>
            <w:pPr>
              <w:pStyle w:val="TableParagraph"/>
              <w:spacing w:before="32"/>
              <w:ind w:right="52"/>
              <w:jc w:val="right"/>
              <w:rPr>
                <w:b/>
                <w:sz w:val="14"/>
              </w:rPr>
            </w:pPr>
            <w:r>
              <w:rPr>
                <w:b/>
                <w:w w:val="95"/>
                <w:sz w:val="14"/>
              </w:rPr>
              <w:t>177,801</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3"/>
              <w:rPr>
                <w:sz w:val="14"/>
              </w:rPr>
            </w:pPr>
            <w:r>
              <w:rPr>
                <w:sz w:val="14"/>
              </w:rPr>
              <w:t>Linking Small Holder Farmers to Market</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2"/>
              <w:rPr>
                <w:sz w:val="14"/>
              </w:rPr>
            </w:pPr>
            <w:r>
              <w:rPr>
                <w:sz w:val="14"/>
              </w:rPr>
              <w:t>IDB/ GoSL</w:t>
            </w:r>
          </w:p>
        </w:tc>
        <w:tc>
          <w:tcPr>
            <w:tcW w:w="1143" w:type="dxa"/>
          </w:tcPr>
          <w:p>
            <w:pPr>
              <w:pStyle w:val="TableParagraph"/>
              <w:spacing w:before="32"/>
              <w:ind w:left="135"/>
              <w:rPr>
                <w:sz w:val="14"/>
              </w:rPr>
            </w:pPr>
            <w:r>
              <w:rPr>
                <w:sz w:val="14"/>
              </w:rPr>
              <w:t>Loan/ Budget</w:t>
            </w:r>
          </w:p>
        </w:tc>
        <w:tc>
          <w:tcPr>
            <w:tcW w:w="902" w:type="dxa"/>
          </w:tcPr>
          <w:p>
            <w:pPr>
              <w:pStyle w:val="TableParagraph"/>
              <w:spacing w:before="32"/>
              <w:ind w:right="173"/>
              <w:jc w:val="right"/>
              <w:rPr>
                <w:sz w:val="14"/>
              </w:rPr>
            </w:pPr>
            <w:r>
              <w:rPr>
                <w:w w:val="95"/>
                <w:sz w:val="14"/>
              </w:rPr>
              <w:t>29,050</w:t>
            </w:r>
          </w:p>
        </w:tc>
        <w:tc>
          <w:tcPr>
            <w:tcW w:w="896" w:type="dxa"/>
          </w:tcPr>
          <w:p>
            <w:pPr>
              <w:pStyle w:val="TableParagraph"/>
              <w:spacing w:before="32"/>
              <w:ind w:right="148"/>
              <w:jc w:val="right"/>
              <w:rPr>
                <w:sz w:val="14"/>
              </w:rPr>
            </w:pPr>
            <w:r>
              <w:rPr>
                <w:sz w:val="14"/>
              </w:rPr>
              <w:t>212</w:t>
            </w:r>
          </w:p>
        </w:tc>
        <w:tc>
          <w:tcPr>
            <w:tcW w:w="845" w:type="dxa"/>
          </w:tcPr>
          <w:p>
            <w:pPr>
              <w:pStyle w:val="TableParagraph"/>
              <w:spacing w:before="32"/>
              <w:ind w:right="153"/>
              <w:jc w:val="right"/>
              <w:rPr>
                <w:sz w:val="14"/>
              </w:rPr>
            </w:pPr>
            <w:r>
              <w:rPr>
                <w:w w:val="95"/>
                <w:sz w:val="14"/>
              </w:rPr>
              <w:t>25,000</w:t>
            </w:r>
          </w:p>
        </w:tc>
        <w:tc>
          <w:tcPr>
            <w:tcW w:w="936" w:type="dxa"/>
          </w:tcPr>
          <w:p>
            <w:pPr>
              <w:pStyle w:val="TableParagraph"/>
              <w:spacing w:before="32"/>
              <w:ind w:left="491"/>
              <w:rPr>
                <w:sz w:val="14"/>
              </w:rPr>
            </w:pPr>
            <w:r>
              <w:rPr>
                <w:sz w:val="14"/>
              </w:rPr>
              <w:t>233</w:t>
            </w:r>
          </w:p>
        </w:tc>
        <w:tc>
          <w:tcPr>
            <w:tcW w:w="832" w:type="dxa"/>
          </w:tcPr>
          <w:p>
            <w:pPr>
              <w:pStyle w:val="TableParagraph"/>
              <w:spacing w:before="32"/>
              <w:ind w:right="154"/>
              <w:jc w:val="right"/>
              <w:rPr>
                <w:sz w:val="14"/>
              </w:rPr>
            </w:pPr>
            <w:r>
              <w:rPr>
                <w:w w:val="95"/>
                <w:sz w:val="14"/>
              </w:rPr>
              <w:t>45,000</w:t>
            </w:r>
          </w:p>
        </w:tc>
        <w:tc>
          <w:tcPr>
            <w:tcW w:w="821" w:type="dxa"/>
          </w:tcPr>
          <w:p>
            <w:pPr>
              <w:pStyle w:val="TableParagraph"/>
              <w:spacing w:before="32"/>
              <w:ind w:right="11"/>
              <w:jc w:val="right"/>
              <w:rPr>
                <w:sz w:val="14"/>
              </w:rPr>
            </w:pPr>
            <w:r>
              <w:rPr>
                <w:sz w:val="14"/>
              </w:rPr>
              <w:t>256</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Smallholder Commercialisation and Agribusiness</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rPr>
                <w:rFonts w:ascii="Times New Roman"/>
                <w:sz w:val="14"/>
              </w:rPr>
            </w:pPr>
          </w:p>
        </w:tc>
        <w:tc>
          <w:tcPr>
            <w:tcW w:w="845" w:type="dxa"/>
          </w:tcPr>
          <w:p>
            <w:pPr>
              <w:pStyle w:val="TableParagraph"/>
              <w:rPr>
                <w:rFonts w:ascii="Times New Roman"/>
                <w:sz w:val="14"/>
              </w:rPr>
            </w:pPr>
          </w:p>
        </w:tc>
        <w:tc>
          <w:tcPr>
            <w:tcW w:w="936" w:type="dxa"/>
          </w:tcPr>
          <w:p>
            <w:pPr>
              <w:pStyle w:val="TableParagraph"/>
              <w:rPr>
                <w:rFonts w:ascii="Times New Roman"/>
                <w:sz w:val="14"/>
              </w:rPr>
            </w:pPr>
          </w:p>
        </w:tc>
        <w:tc>
          <w:tcPr>
            <w:tcW w:w="832" w:type="dxa"/>
          </w:tcPr>
          <w:p>
            <w:pPr>
              <w:pStyle w:val="TableParagraph"/>
              <w:rPr>
                <w:rFonts w:ascii="Times New Roman"/>
                <w:sz w:val="14"/>
              </w:rPr>
            </w:pPr>
          </w:p>
        </w:tc>
        <w:tc>
          <w:tcPr>
            <w:tcW w:w="821"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3"/>
              <w:rPr>
                <w:sz w:val="14"/>
              </w:rPr>
            </w:pPr>
            <w:r>
              <w:rPr>
                <w:sz w:val="14"/>
              </w:rPr>
              <w:t>Development Project (SCADeP)</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2"/>
              <w:rPr>
                <w:sz w:val="14"/>
              </w:rPr>
            </w:pPr>
            <w:r>
              <w:rPr>
                <w:sz w:val="14"/>
              </w:rPr>
              <w:t>IDA/ DFID/ GoSL</w:t>
            </w:r>
          </w:p>
        </w:tc>
        <w:tc>
          <w:tcPr>
            <w:tcW w:w="1143" w:type="dxa"/>
          </w:tcPr>
          <w:p>
            <w:pPr>
              <w:pStyle w:val="TableParagraph"/>
              <w:spacing w:before="32"/>
              <w:ind w:left="135"/>
              <w:rPr>
                <w:sz w:val="14"/>
              </w:rPr>
            </w:pPr>
            <w:r>
              <w:rPr>
                <w:sz w:val="14"/>
              </w:rPr>
              <w:t>Loan/ Budget</w:t>
            </w:r>
          </w:p>
        </w:tc>
        <w:tc>
          <w:tcPr>
            <w:tcW w:w="902" w:type="dxa"/>
          </w:tcPr>
          <w:p>
            <w:pPr>
              <w:pStyle w:val="TableParagraph"/>
              <w:spacing w:before="32"/>
              <w:ind w:right="173"/>
              <w:jc w:val="right"/>
              <w:rPr>
                <w:sz w:val="14"/>
              </w:rPr>
            </w:pPr>
            <w:r>
              <w:rPr>
                <w:w w:val="95"/>
                <w:sz w:val="14"/>
              </w:rPr>
              <w:t>41,500</w:t>
            </w:r>
          </w:p>
        </w:tc>
        <w:tc>
          <w:tcPr>
            <w:tcW w:w="896" w:type="dxa"/>
          </w:tcPr>
          <w:p>
            <w:pPr>
              <w:pStyle w:val="TableParagraph"/>
              <w:spacing w:before="32"/>
              <w:ind w:right="156"/>
              <w:jc w:val="right"/>
              <w:rPr>
                <w:sz w:val="14"/>
              </w:rPr>
            </w:pPr>
            <w:r>
              <w:rPr>
                <w:sz w:val="14"/>
              </w:rPr>
              <w:t>2,000</w:t>
            </w:r>
          </w:p>
        </w:tc>
        <w:tc>
          <w:tcPr>
            <w:tcW w:w="845" w:type="dxa"/>
          </w:tcPr>
          <w:p>
            <w:pPr>
              <w:pStyle w:val="TableParagraph"/>
              <w:spacing w:before="32"/>
              <w:ind w:right="153"/>
              <w:jc w:val="right"/>
              <w:rPr>
                <w:sz w:val="14"/>
              </w:rPr>
            </w:pPr>
            <w:r>
              <w:rPr>
                <w:w w:val="95"/>
                <w:sz w:val="14"/>
              </w:rPr>
              <w:t>75,000</w:t>
            </w:r>
          </w:p>
        </w:tc>
        <w:tc>
          <w:tcPr>
            <w:tcW w:w="936" w:type="dxa"/>
          </w:tcPr>
          <w:p>
            <w:pPr>
              <w:pStyle w:val="TableParagraph"/>
              <w:spacing w:before="32"/>
              <w:ind w:left="491"/>
              <w:rPr>
                <w:sz w:val="14"/>
              </w:rPr>
            </w:pPr>
            <w:r>
              <w:rPr>
                <w:sz w:val="14"/>
              </w:rPr>
              <w:t>796</w:t>
            </w:r>
          </w:p>
        </w:tc>
        <w:tc>
          <w:tcPr>
            <w:tcW w:w="832" w:type="dxa"/>
          </w:tcPr>
          <w:p>
            <w:pPr>
              <w:pStyle w:val="TableParagraph"/>
              <w:spacing w:before="32"/>
              <w:ind w:right="154"/>
              <w:jc w:val="right"/>
              <w:rPr>
                <w:sz w:val="14"/>
              </w:rPr>
            </w:pPr>
            <w:r>
              <w:rPr>
                <w:w w:val="95"/>
                <w:sz w:val="14"/>
              </w:rPr>
              <w:t>49,800</w:t>
            </w:r>
          </w:p>
        </w:tc>
        <w:tc>
          <w:tcPr>
            <w:tcW w:w="821" w:type="dxa"/>
          </w:tcPr>
          <w:p>
            <w:pPr>
              <w:pStyle w:val="TableParagraph"/>
              <w:spacing w:before="32"/>
              <w:ind w:right="11"/>
              <w:jc w:val="right"/>
              <w:rPr>
                <w:sz w:val="14"/>
              </w:rPr>
            </w:pPr>
            <w:r>
              <w:rPr>
                <w:sz w:val="14"/>
              </w:rPr>
              <w:t>876</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Palm Oil Production Project in Sierra Leone in the</w:t>
            </w:r>
          </w:p>
        </w:tc>
        <w:tc>
          <w:tcPr>
            <w:tcW w:w="827" w:type="dxa"/>
          </w:tcPr>
          <w:p>
            <w:pPr>
              <w:pStyle w:val="TableParagraph"/>
              <w:rPr>
                <w:rFonts w:ascii="Times New Roman"/>
                <w:sz w:val="14"/>
              </w:rPr>
            </w:pPr>
          </w:p>
        </w:tc>
        <w:tc>
          <w:tcPr>
            <w:tcW w:w="998" w:type="dxa"/>
          </w:tcPr>
          <w:p>
            <w:pPr>
              <w:pStyle w:val="TableParagraph"/>
              <w:rPr>
                <w:rFonts w:ascii="Times New Roman"/>
                <w:sz w:val="14"/>
              </w:rPr>
            </w:pPr>
          </w:p>
        </w:tc>
        <w:tc>
          <w:tcPr>
            <w:tcW w:w="1335" w:type="dxa"/>
          </w:tcPr>
          <w:p>
            <w:pPr>
              <w:pStyle w:val="TableParagraph"/>
              <w:rPr>
                <w:rFonts w:ascii="Times New Roman"/>
                <w:sz w:val="14"/>
              </w:rPr>
            </w:pPr>
          </w:p>
        </w:tc>
        <w:tc>
          <w:tcPr>
            <w:tcW w:w="1143" w:type="dxa"/>
          </w:tcPr>
          <w:p>
            <w:pPr>
              <w:pStyle w:val="TableParagraph"/>
              <w:rPr>
                <w:rFonts w:ascii="Times New Roman"/>
                <w:sz w:val="14"/>
              </w:rPr>
            </w:pPr>
          </w:p>
        </w:tc>
        <w:tc>
          <w:tcPr>
            <w:tcW w:w="902" w:type="dxa"/>
          </w:tcPr>
          <w:p>
            <w:pPr>
              <w:pStyle w:val="TableParagraph"/>
              <w:rPr>
                <w:rFonts w:ascii="Times New Roman"/>
                <w:sz w:val="14"/>
              </w:rPr>
            </w:pPr>
          </w:p>
        </w:tc>
        <w:tc>
          <w:tcPr>
            <w:tcW w:w="896" w:type="dxa"/>
          </w:tcPr>
          <w:p>
            <w:pPr>
              <w:pStyle w:val="TableParagraph"/>
              <w:rPr>
                <w:rFonts w:ascii="Times New Roman"/>
                <w:sz w:val="14"/>
              </w:rPr>
            </w:pPr>
          </w:p>
        </w:tc>
        <w:tc>
          <w:tcPr>
            <w:tcW w:w="845" w:type="dxa"/>
          </w:tcPr>
          <w:p>
            <w:pPr>
              <w:pStyle w:val="TableParagraph"/>
              <w:rPr>
                <w:rFonts w:ascii="Times New Roman"/>
                <w:sz w:val="14"/>
              </w:rPr>
            </w:pPr>
          </w:p>
        </w:tc>
        <w:tc>
          <w:tcPr>
            <w:tcW w:w="936" w:type="dxa"/>
          </w:tcPr>
          <w:p>
            <w:pPr>
              <w:pStyle w:val="TableParagraph"/>
              <w:rPr>
                <w:rFonts w:ascii="Times New Roman"/>
                <w:sz w:val="14"/>
              </w:rPr>
            </w:pPr>
          </w:p>
        </w:tc>
        <w:tc>
          <w:tcPr>
            <w:tcW w:w="832" w:type="dxa"/>
          </w:tcPr>
          <w:p>
            <w:pPr>
              <w:pStyle w:val="TableParagraph"/>
              <w:rPr>
                <w:rFonts w:ascii="Times New Roman"/>
                <w:sz w:val="14"/>
              </w:rPr>
            </w:pPr>
          </w:p>
        </w:tc>
        <w:tc>
          <w:tcPr>
            <w:tcW w:w="821"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Framework of Capacity Building (POPSLCB)</w:t>
            </w:r>
          </w:p>
        </w:tc>
        <w:tc>
          <w:tcPr>
            <w:tcW w:w="827" w:type="dxa"/>
          </w:tcPr>
          <w:p>
            <w:pPr>
              <w:pStyle w:val="TableParagraph"/>
              <w:spacing w:before="32"/>
              <w:ind w:left="174"/>
              <w:rPr>
                <w:sz w:val="14"/>
              </w:rPr>
            </w:pPr>
            <w:r>
              <w:rPr>
                <w:sz w:val="14"/>
              </w:rPr>
              <w:t>Ongoing</w:t>
            </w:r>
          </w:p>
        </w:tc>
        <w:tc>
          <w:tcPr>
            <w:tcW w:w="998" w:type="dxa"/>
          </w:tcPr>
          <w:p>
            <w:pPr>
              <w:pStyle w:val="TableParagraph"/>
              <w:spacing w:before="32"/>
              <w:ind w:left="87"/>
              <w:rPr>
                <w:sz w:val="14"/>
              </w:rPr>
            </w:pPr>
            <w:r>
              <w:rPr>
                <w:sz w:val="14"/>
              </w:rPr>
              <w:t>Bonthe</w:t>
            </w:r>
          </w:p>
        </w:tc>
        <w:tc>
          <w:tcPr>
            <w:tcW w:w="1335" w:type="dxa"/>
          </w:tcPr>
          <w:p>
            <w:pPr>
              <w:pStyle w:val="TableParagraph"/>
              <w:spacing w:before="32"/>
              <w:ind w:left="222"/>
              <w:rPr>
                <w:sz w:val="14"/>
              </w:rPr>
            </w:pPr>
            <w:r>
              <w:rPr>
                <w:sz w:val="14"/>
              </w:rPr>
              <w:t>IDB/ GoSL</w:t>
            </w:r>
          </w:p>
        </w:tc>
        <w:tc>
          <w:tcPr>
            <w:tcW w:w="1143" w:type="dxa"/>
          </w:tcPr>
          <w:p>
            <w:pPr>
              <w:pStyle w:val="TableParagraph"/>
              <w:spacing w:before="32"/>
              <w:ind w:left="135"/>
              <w:rPr>
                <w:sz w:val="14"/>
              </w:rPr>
            </w:pPr>
            <w:r>
              <w:rPr>
                <w:sz w:val="14"/>
              </w:rPr>
              <w:t>Loan/ Budget</w:t>
            </w:r>
          </w:p>
        </w:tc>
        <w:tc>
          <w:tcPr>
            <w:tcW w:w="902" w:type="dxa"/>
          </w:tcPr>
          <w:p>
            <w:pPr>
              <w:pStyle w:val="TableParagraph"/>
              <w:spacing w:before="32"/>
              <w:ind w:right="173"/>
              <w:jc w:val="right"/>
              <w:rPr>
                <w:sz w:val="14"/>
              </w:rPr>
            </w:pPr>
            <w:r>
              <w:rPr>
                <w:w w:val="95"/>
                <w:sz w:val="14"/>
              </w:rPr>
              <w:t>12,450</w:t>
            </w:r>
          </w:p>
        </w:tc>
        <w:tc>
          <w:tcPr>
            <w:tcW w:w="896" w:type="dxa"/>
          </w:tcPr>
          <w:p>
            <w:pPr>
              <w:pStyle w:val="TableParagraph"/>
              <w:spacing w:before="32"/>
              <w:ind w:right="156"/>
              <w:jc w:val="right"/>
              <w:rPr>
                <w:sz w:val="14"/>
              </w:rPr>
            </w:pPr>
            <w:r>
              <w:rPr>
                <w:sz w:val="14"/>
              </w:rPr>
              <w:t>5,000</w:t>
            </w:r>
          </w:p>
        </w:tc>
        <w:tc>
          <w:tcPr>
            <w:tcW w:w="845" w:type="dxa"/>
          </w:tcPr>
          <w:p>
            <w:pPr>
              <w:pStyle w:val="TableParagraph"/>
              <w:spacing w:before="32"/>
              <w:ind w:right="152"/>
              <w:jc w:val="right"/>
              <w:rPr>
                <w:sz w:val="14"/>
              </w:rPr>
            </w:pPr>
            <w:r>
              <w:rPr>
                <w:sz w:val="14"/>
              </w:rPr>
              <w:t>5,000</w:t>
            </w:r>
          </w:p>
        </w:tc>
        <w:tc>
          <w:tcPr>
            <w:tcW w:w="936" w:type="dxa"/>
          </w:tcPr>
          <w:p>
            <w:pPr>
              <w:pStyle w:val="TableParagraph"/>
              <w:spacing w:before="32"/>
              <w:ind w:left="360"/>
              <w:rPr>
                <w:sz w:val="14"/>
              </w:rPr>
            </w:pPr>
            <w:r>
              <w:rPr>
                <w:sz w:val="14"/>
              </w:rPr>
              <w:t>5,000</w:t>
            </w:r>
          </w:p>
        </w:tc>
        <w:tc>
          <w:tcPr>
            <w:tcW w:w="832" w:type="dxa"/>
          </w:tcPr>
          <w:p>
            <w:pPr>
              <w:pStyle w:val="TableParagraph"/>
              <w:spacing w:before="32"/>
              <w:ind w:right="154"/>
              <w:jc w:val="right"/>
              <w:rPr>
                <w:sz w:val="14"/>
              </w:rPr>
            </w:pPr>
            <w:r>
              <w:rPr>
                <w:w w:val="95"/>
                <w:sz w:val="14"/>
              </w:rPr>
              <w:t>14,940</w:t>
            </w:r>
          </w:p>
        </w:tc>
        <w:tc>
          <w:tcPr>
            <w:tcW w:w="821" w:type="dxa"/>
          </w:tcPr>
          <w:p>
            <w:pPr>
              <w:pStyle w:val="TableParagraph"/>
              <w:spacing w:before="32"/>
              <w:ind w:right="25"/>
              <w:jc w:val="right"/>
              <w:rPr>
                <w:sz w:val="14"/>
              </w:rPr>
            </w:pPr>
            <w:r>
              <w:rPr>
                <w:w w:val="95"/>
                <w:sz w:val="14"/>
              </w:rPr>
              <w:t>12,259</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263"/>
              <w:rPr>
                <w:sz w:val="14"/>
              </w:rPr>
            </w:pPr>
            <w:r>
              <w:rPr>
                <w:sz w:val="14"/>
              </w:rPr>
              <w:t>Establishment of Youth and Military Farms</w:t>
            </w:r>
          </w:p>
        </w:tc>
        <w:tc>
          <w:tcPr>
            <w:tcW w:w="827" w:type="dxa"/>
          </w:tcPr>
          <w:p>
            <w:pPr>
              <w:pStyle w:val="TableParagraph"/>
              <w:spacing w:before="32"/>
              <w:ind w:left="174"/>
              <w:rPr>
                <w:sz w:val="14"/>
              </w:rPr>
            </w:pPr>
            <w:r>
              <w:rPr>
                <w:sz w:val="14"/>
              </w:rPr>
              <w:t>New</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spacing w:before="32"/>
              <w:ind w:left="135"/>
              <w:rPr>
                <w:sz w:val="14"/>
              </w:rPr>
            </w:pPr>
            <w:r>
              <w:rPr>
                <w:sz w:val="14"/>
              </w:rPr>
              <w:t>Budget</w:t>
            </w:r>
          </w:p>
        </w:tc>
        <w:tc>
          <w:tcPr>
            <w:tcW w:w="902" w:type="dxa"/>
          </w:tcPr>
          <w:p>
            <w:pPr>
              <w:pStyle w:val="TableParagraph"/>
              <w:spacing w:before="32"/>
              <w:ind w:right="155"/>
              <w:jc w:val="right"/>
              <w:rPr>
                <w:sz w:val="14"/>
              </w:rPr>
            </w:pPr>
            <w:r>
              <w:rPr>
                <w:w w:val="99"/>
                <w:sz w:val="14"/>
              </w:rPr>
              <w:t>-</w:t>
            </w:r>
          </w:p>
        </w:tc>
        <w:tc>
          <w:tcPr>
            <w:tcW w:w="896" w:type="dxa"/>
          </w:tcPr>
          <w:p>
            <w:pPr>
              <w:pStyle w:val="TableParagraph"/>
              <w:spacing w:before="32"/>
              <w:ind w:right="162"/>
              <w:jc w:val="right"/>
              <w:rPr>
                <w:sz w:val="14"/>
              </w:rPr>
            </w:pPr>
            <w:r>
              <w:rPr>
                <w:w w:val="95"/>
                <w:sz w:val="14"/>
              </w:rPr>
              <w:t>61,645</w:t>
            </w:r>
          </w:p>
        </w:tc>
        <w:tc>
          <w:tcPr>
            <w:tcW w:w="845" w:type="dxa"/>
          </w:tcPr>
          <w:p>
            <w:pPr>
              <w:pStyle w:val="TableParagraph"/>
              <w:spacing w:before="32"/>
              <w:ind w:right="139"/>
              <w:jc w:val="right"/>
              <w:rPr>
                <w:sz w:val="14"/>
              </w:rPr>
            </w:pPr>
            <w:r>
              <w:rPr>
                <w:w w:val="99"/>
                <w:sz w:val="14"/>
              </w:rPr>
              <w:t>-</w:t>
            </w:r>
          </w:p>
        </w:tc>
        <w:tc>
          <w:tcPr>
            <w:tcW w:w="936" w:type="dxa"/>
          </w:tcPr>
          <w:p>
            <w:pPr>
              <w:pStyle w:val="TableParagraph"/>
              <w:spacing w:before="32"/>
              <w:ind w:left="162"/>
              <w:rPr>
                <w:sz w:val="14"/>
              </w:rPr>
            </w:pPr>
            <w:r>
              <w:rPr>
                <w:sz w:val="14"/>
              </w:rPr>
              <w:t>113,625</w:t>
            </w:r>
          </w:p>
        </w:tc>
        <w:tc>
          <w:tcPr>
            <w:tcW w:w="832" w:type="dxa"/>
          </w:tcPr>
          <w:p>
            <w:pPr>
              <w:pStyle w:val="TableParagraph"/>
              <w:spacing w:before="32"/>
              <w:ind w:right="146"/>
              <w:jc w:val="right"/>
              <w:rPr>
                <w:sz w:val="14"/>
              </w:rPr>
            </w:pPr>
            <w:r>
              <w:rPr>
                <w:w w:val="99"/>
                <w:sz w:val="14"/>
              </w:rPr>
              <w:t>-</w:t>
            </w:r>
          </w:p>
        </w:tc>
        <w:tc>
          <w:tcPr>
            <w:tcW w:w="821" w:type="dxa"/>
          </w:tcPr>
          <w:p>
            <w:pPr>
              <w:pStyle w:val="TableParagraph"/>
              <w:spacing w:before="32"/>
              <w:ind w:right="30"/>
              <w:jc w:val="right"/>
              <w:rPr>
                <w:sz w:val="14"/>
              </w:rPr>
            </w:pPr>
            <w:r>
              <w:rPr>
                <w:sz w:val="14"/>
              </w:rPr>
              <w:t>122,988</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603"/>
              <w:rPr>
                <w:sz w:val="14"/>
              </w:rPr>
            </w:pPr>
            <w:r>
              <w:rPr>
                <w:sz w:val="14"/>
              </w:rPr>
              <w:t>o/ w Equipment</w:t>
            </w:r>
          </w:p>
        </w:tc>
        <w:tc>
          <w:tcPr>
            <w:tcW w:w="827" w:type="dxa"/>
          </w:tcPr>
          <w:p>
            <w:pPr>
              <w:pStyle w:val="TableParagraph"/>
              <w:spacing w:before="32"/>
              <w:ind w:left="174"/>
              <w:rPr>
                <w:sz w:val="14"/>
              </w:rPr>
            </w:pPr>
            <w:r>
              <w:rPr>
                <w:sz w:val="14"/>
              </w:rPr>
              <w:t>New</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spacing w:before="32"/>
              <w:ind w:left="135"/>
              <w:rPr>
                <w:sz w:val="14"/>
              </w:rPr>
            </w:pPr>
            <w:r>
              <w:rPr>
                <w:sz w:val="14"/>
              </w:rPr>
              <w:t>Budget</w:t>
            </w:r>
          </w:p>
        </w:tc>
        <w:tc>
          <w:tcPr>
            <w:tcW w:w="902" w:type="dxa"/>
          </w:tcPr>
          <w:p>
            <w:pPr>
              <w:pStyle w:val="TableParagraph"/>
              <w:rPr>
                <w:rFonts w:ascii="Times New Roman"/>
                <w:sz w:val="14"/>
              </w:rPr>
            </w:pPr>
          </w:p>
        </w:tc>
        <w:tc>
          <w:tcPr>
            <w:tcW w:w="896" w:type="dxa"/>
          </w:tcPr>
          <w:p>
            <w:pPr>
              <w:pStyle w:val="TableParagraph"/>
              <w:spacing w:before="32"/>
              <w:ind w:right="162"/>
              <w:jc w:val="right"/>
              <w:rPr>
                <w:sz w:val="14"/>
              </w:rPr>
            </w:pPr>
            <w:r>
              <w:rPr>
                <w:w w:val="95"/>
                <w:sz w:val="14"/>
              </w:rPr>
              <w:t>15,886</w:t>
            </w:r>
          </w:p>
        </w:tc>
        <w:tc>
          <w:tcPr>
            <w:tcW w:w="845" w:type="dxa"/>
          </w:tcPr>
          <w:p>
            <w:pPr>
              <w:pStyle w:val="TableParagraph"/>
              <w:rPr>
                <w:rFonts w:ascii="Times New Roman"/>
                <w:sz w:val="14"/>
              </w:rPr>
            </w:pPr>
          </w:p>
        </w:tc>
        <w:tc>
          <w:tcPr>
            <w:tcW w:w="936" w:type="dxa"/>
          </w:tcPr>
          <w:p>
            <w:pPr>
              <w:pStyle w:val="TableParagraph"/>
              <w:spacing w:before="32"/>
              <w:ind w:left="268"/>
              <w:rPr>
                <w:sz w:val="14"/>
              </w:rPr>
            </w:pPr>
            <w:r>
              <w:rPr>
                <w:sz w:val="14"/>
              </w:rPr>
              <w:t>25,296</w:t>
            </w:r>
          </w:p>
        </w:tc>
        <w:tc>
          <w:tcPr>
            <w:tcW w:w="832" w:type="dxa"/>
          </w:tcPr>
          <w:p>
            <w:pPr>
              <w:pStyle w:val="TableParagraph"/>
              <w:rPr>
                <w:rFonts w:ascii="Times New Roman"/>
                <w:sz w:val="14"/>
              </w:rPr>
            </w:pPr>
          </w:p>
        </w:tc>
        <w:tc>
          <w:tcPr>
            <w:tcW w:w="821" w:type="dxa"/>
          </w:tcPr>
          <w:p>
            <w:pPr>
              <w:pStyle w:val="TableParagraph"/>
              <w:spacing w:before="32"/>
              <w:ind w:right="25"/>
              <w:jc w:val="right"/>
              <w:rPr>
                <w:sz w:val="14"/>
              </w:rPr>
            </w:pPr>
            <w:r>
              <w:rPr>
                <w:w w:val="95"/>
                <w:sz w:val="14"/>
              </w:rPr>
              <w:t>25,826</w:t>
            </w:r>
          </w:p>
        </w:tc>
      </w:tr>
      <w:tr>
        <w:trPr>
          <w:trHeight w:val="230" w:hRule="atLeast"/>
        </w:trPr>
        <w:tc>
          <w:tcPr>
            <w:tcW w:w="470" w:type="dxa"/>
          </w:tcPr>
          <w:p>
            <w:pPr>
              <w:pStyle w:val="TableParagraph"/>
              <w:rPr>
                <w:rFonts w:ascii="Times New Roman"/>
                <w:sz w:val="14"/>
              </w:rPr>
            </w:pPr>
          </w:p>
        </w:tc>
        <w:tc>
          <w:tcPr>
            <w:tcW w:w="4792" w:type="dxa"/>
          </w:tcPr>
          <w:p>
            <w:pPr>
              <w:pStyle w:val="TableParagraph"/>
              <w:spacing w:before="32"/>
              <w:ind w:left="603"/>
              <w:rPr>
                <w:sz w:val="14"/>
              </w:rPr>
            </w:pPr>
            <w:r>
              <w:rPr>
                <w:sz w:val="14"/>
              </w:rPr>
              <w:t>Seedlings</w:t>
            </w:r>
          </w:p>
        </w:tc>
        <w:tc>
          <w:tcPr>
            <w:tcW w:w="827" w:type="dxa"/>
          </w:tcPr>
          <w:p>
            <w:pPr>
              <w:pStyle w:val="TableParagraph"/>
              <w:spacing w:before="32"/>
              <w:ind w:left="174"/>
              <w:rPr>
                <w:sz w:val="14"/>
              </w:rPr>
            </w:pPr>
            <w:r>
              <w:rPr>
                <w:sz w:val="14"/>
              </w:rPr>
              <w:t>New</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spacing w:before="32"/>
              <w:ind w:left="135"/>
              <w:rPr>
                <w:sz w:val="14"/>
              </w:rPr>
            </w:pPr>
            <w:r>
              <w:rPr>
                <w:sz w:val="14"/>
              </w:rPr>
              <w:t>Budget</w:t>
            </w:r>
          </w:p>
        </w:tc>
        <w:tc>
          <w:tcPr>
            <w:tcW w:w="902" w:type="dxa"/>
          </w:tcPr>
          <w:p>
            <w:pPr>
              <w:pStyle w:val="TableParagraph"/>
              <w:rPr>
                <w:rFonts w:ascii="Times New Roman"/>
                <w:sz w:val="14"/>
              </w:rPr>
            </w:pPr>
          </w:p>
        </w:tc>
        <w:tc>
          <w:tcPr>
            <w:tcW w:w="896" w:type="dxa"/>
          </w:tcPr>
          <w:p>
            <w:pPr>
              <w:pStyle w:val="TableParagraph"/>
              <w:spacing w:before="32"/>
              <w:ind w:right="156"/>
              <w:jc w:val="right"/>
              <w:rPr>
                <w:sz w:val="14"/>
              </w:rPr>
            </w:pPr>
            <w:r>
              <w:rPr>
                <w:sz w:val="14"/>
              </w:rPr>
              <w:t>6,800</w:t>
            </w:r>
          </w:p>
        </w:tc>
        <w:tc>
          <w:tcPr>
            <w:tcW w:w="845" w:type="dxa"/>
          </w:tcPr>
          <w:p>
            <w:pPr>
              <w:pStyle w:val="TableParagraph"/>
              <w:rPr>
                <w:rFonts w:ascii="Times New Roman"/>
                <w:sz w:val="14"/>
              </w:rPr>
            </w:pPr>
          </w:p>
        </w:tc>
        <w:tc>
          <w:tcPr>
            <w:tcW w:w="936" w:type="dxa"/>
          </w:tcPr>
          <w:p>
            <w:pPr>
              <w:pStyle w:val="TableParagraph"/>
              <w:spacing w:before="32"/>
              <w:ind w:left="268"/>
              <w:rPr>
                <w:sz w:val="14"/>
              </w:rPr>
            </w:pPr>
            <w:r>
              <w:rPr>
                <w:sz w:val="14"/>
              </w:rPr>
              <w:t>13,600</w:t>
            </w:r>
          </w:p>
        </w:tc>
        <w:tc>
          <w:tcPr>
            <w:tcW w:w="832" w:type="dxa"/>
          </w:tcPr>
          <w:p>
            <w:pPr>
              <w:pStyle w:val="TableParagraph"/>
              <w:rPr>
                <w:rFonts w:ascii="Times New Roman"/>
                <w:sz w:val="14"/>
              </w:rPr>
            </w:pPr>
          </w:p>
        </w:tc>
        <w:tc>
          <w:tcPr>
            <w:tcW w:w="821" w:type="dxa"/>
          </w:tcPr>
          <w:p>
            <w:pPr>
              <w:pStyle w:val="TableParagraph"/>
              <w:spacing w:before="32"/>
              <w:ind w:right="25"/>
              <w:jc w:val="right"/>
              <w:rPr>
                <w:sz w:val="14"/>
              </w:rPr>
            </w:pPr>
            <w:r>
              <w:rPr>
                <w:w w:val="95"/>
                <w:sz w:val="14"/>
              </w:rPr>
              <w:t>14,960</w:t>
            </w:r>
          </w:p>
        </w:tc>
      </w:tr>
      <w:tr>
        <w:trPr>
          <w:trHeight w:val="227" w:hRule="atLeast"/>
        </w:trPr>
        <w:tc>
          <w:tcPr>
            <w:tcW w:w="470" w:type="dxa"/>
          </w:tcPr>
          <w:p>
            <w:pPr>
              <w:pStyle w:val="TableParagraph"/>
              <w:rPr>
                <w:rFonts w:ascii="Times New Roman"/>
                <w:sz w:val="14"/>
              </w:rPr>
            </w:pPr>
          </w:p>
        </w:tc>
        <w:tc>
          <w:tcPr>
            <w:tcW w:w="4792" w:type="dxa"/>
          </w:tcPr>
          <w:p>
            <w:pPr>
              <w:pStyle w:val="TableParagraph"/>
              <w:spacing w:before="32"/>
              <w:ind w:left="603"/>
              <w:rPr>
                <w:sz w:val="14"/>
              </w:rPr>
            </w:pPr>
            <w:r>
              <w:rPr>
                <w:sz w:val="14"/>
              </w:rPr>
              <w:t>Fertilizer</w:t>
            </w:r>
          </w:p>
        </w:tc>
        <w:tc>
          <w:tcPr>
            <w:tcW w:w="827" w:type="dxa"/>
          </w:tcPr>
          <w:p>
            <w:pPr>
              <w:pStyle w:val="TableParagraph"/>
              <w:spacing w:before="32"/>
              <w:ind w:left="174"/>
              <w:rPr>
                <w:sz w:val="14"/>
              </w:rPr>
            </w:pPr>
            <w:r>
              <w:rPr>
                <w:sz w:val="14"/>
              </w:rPr>
              <w:t>New</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spacing w:before="32"/>
              <w:ind w:left="135"/>
              <w:rPr>
                <w:sz w:val="14"/>
              </w:rPr>
            </w:pPr>
            <w:r>
              <w:rPr>
                <w:sz w:val="14"/>
              </w:rPr>
              <w:t>Budget</w:t>
            </w:r>
          </w:p>
        </w:tc>
        <w:tc>
          <w:tcPr>
            <w:tcW w:w="902" w:type="dxa"/>
          </w:tcPr>
          <w:p>
            <w:pPr>
              <w:pStyle w:val="TableParagraph"/>
              <w:rPr>
                <w:rFonts w:ascii="Times New Roman"/>
                <w:sz w:val="14"/>
              </w:rPr>
            </w:pPr>
          </w:p>
        </w:tc>
        <w:tc>
          <w:tcPr>
            <w:tcW w:w="896" w:type="dxa"/>
          </w:tcPr>
          <w:p>
            <w:pPr>
              <w:pStyle w:val="TableParagraph"/>
              <w:spacing w:before="32"/>
              <w:ind w:right="162"/>
              <w:jc w:val="right"/>
              <w:rPr>
                <w:sz w:val="14"/>
              </w:rPr>
            </w:pPr>
            <w:r>
              <w:rPr>
                <w:w w:val="95"/>
                <w:sz w:val="14"/>
              </w:rPr>
              <w:t>35,417</w:t>
            </w:r>
          </w:p>
        </w:tc>
        <w:tc>
          <w:tcPr>
            <w:tcW w:w="845" w:type="dxa"/>
          </w:tcPr>
          <w:p>
            <w:pPr>
              <w:pStyle w:val="TableParagraph"/>
              <w:rPr>
                <w:rFonts w:ascii="Times New Roman"/>
                <w:sz w:val="14"/>
              </w:rPr>
            </w:pPr>
          </w:p>
        </w:tc>
        <w:tc>
          <w:tcPr>
            <w:tcW w:w="936" w:type="dxa"/>
          </w:tcPr>
          <w:p>
            <w:pPr>
              <w:pStyle w:val="TableParagraph"/>
              <w:spacing w:before="32"/>
              <w:ind w:left="268"/>
              <w:rPr>
                <w:sz w:val="14"/>
              </w:rPr>
            </w:pPr>
            <w:r>
              <w:rPr>
                <w:sz w:val="14"/>
              </w:rPr>
              <w:t>70,833</w:t>
            </w:r>
          </w:p>
        </w:tc>
        <w:tc>
          <w:tcPr>
            <w:tcW w:w="832" w:type="dxa"/>
          </w:tcPr>
          <w:p>
            <w:pPr>
              <w:pStyle w:val="TableParagraph"/>
              <w:rPr>
                <w:rFonts w:ascii="Times New Roman"/>
                <w:sz w:val="14"/>
              </w:rPr>
            </w:pPr>
          </w:p>
        </w:tc>
        <w:tc>
          <w:tcPr>
            <w:tcW w:w="821" w:type="dxa"/>
          </w:tcPr>
          <w:p>
            <w:pPr>
              <w:pStyle w:val="TableParagraph"/>
              <w:spacing w:before="32"/>
              <w:ind w:right="25"/>
              <w:jc w:val="right"/>
              <w:rPr>
                <w:sz w:val="14"/>
              </w:rPr>
            </w:pPr>
            <w:r>
              <w:rPr>
                <w:w w:val="95"/>
                <w:sz w:val="14"/>
              </w:rPr>
              <w:t>77,917</w:t>
            </w:r>
          </w:p>
        </w:tc>
      </w:tr>
      <w:tr>
        <w:trPr>
          <w:trHeight w:val="228" w:hRule="atLeast"/>
        </w:trPr>
        <w:tc>
          <w:tcPr>
            <w:tcW w:w="470" w:type="dxa"/>
          </w:tcPr>
          <w:p>
            <w:pPr>
              <w:pStyle w:val="TableParagraph"/>
              <w:rPr>
                <w:rFonts w:ascii="Times New Roman"/>
                <w:sz w:val="14"/>
              </w:rPr>
            </w:pPr>
          </w:p>
        </w:tc>
        <w:tc>
          <w:tcPr>
            <w:tcW w:w="4792" w:type="dxa"/>
          </w:tcPr>
          <w:p>
            <w:pPr>
              <w:pStyle w:val="TableParagraph"/>
              <w:spacing w:before="29"/>
              <w:ind w:left="603"/>
              <w:rPr>
                <w:sz w:val="14"/>
              </w:rPr>
            </w:pPr>
            <w:r>
              <w:rPr>
                <w:sz w:val="14"/>
              </w:rPr>
              <w:t>Extension Service Training of Community-Based Youth</w:t>
            </w:r>
          </w:p>
        </w:tc>
        <w:tc>
          <w:tcPr>
            <w:tcW w:w="827" w:type="dxa"/>
          </w:tcPr>
          <w:p>
            <w:pPr>
              <w:pStyle w:val="TableParagraph"/>
              <w:spacing w:before="29"/>
              <w:ind w:left="174"/>
              <w:rPr>
                <w:sz w:val="14"/>
              </w:rPr>
            </w:pPr>
            <w:r>
              <w:rPr>
                <w:sz w:val="14"/>
              </w:rPr>
              <w:t>New</w:t>
            </w:r>
          </w:p>
        </w:tc>
        <w:tc>
          <w:tcPr>
            <w:tcW w:w="998" w:type="dxa"/>
          </w:tcPr>
          <w:p>
            <w:pPr>
              <w:pStyle w:val="TableParagraph"/>
              <w:spacing w:before="29"/>
              <w:ind w:left="86"/>
              <w:rPr>
                <w:sz w:val="14"/>
              </w:rPr>
            </w:pPr>
            <w:r>
              <w:rPr>
                <w:sz w:val="14"/>
              </w:rPr>
              <w:t>Nationwide</w:t>
            </w:r>
          </w:p>
        </w:tc>
        <w:tc>
          <w:tcPr>
            <w:tcW w:w="1335" w:type="dxa"/>
          </w:tcPr>
          <w:p>
            <w:pPr>
              <w:pStyle w:val="TableParagraph"/>
              <w:spacing w:before="29"/>
              <w:ind w:left="221"/>
              <w:rPr>
                <w:sz w:val="14"/>
              </w:rPr>
            </w:pPr>
            <w:r>
              <w:rPr>
                <w:sz w:val="14"/>
              </w:rPr>
              <w:t>GoSL</w:t>
            </w:r>
          </w:p>
        </w:tc>
        <w:tc>
          <w:tcPr>
            <w:tcW w:w="1143" w:type="dxa"/>
          </w:tcPr>
          <w:p>
            <w:pPr>
              <w:pStyle w:val="TableParagraph"/>
              <w:spacing w:before="29"/>
              <w:ind w:left="135"/>
              <w:rPr>
                <w:sz w:val="14"/>
              </w:rPr>
            </w:pPr>
            <w:r>
              <w:rPr>
                <w:sz w:val="14"/>
              </w:rPr>
              <w:t>Budget</w:t>
            </w:r>
          </w:p>
        </w:tc>
        <w:tc>
          <w:tcPr>
            <w:tcW w:w="902" w:type="dxa"/>
          </w:tcPr>
          <w:p>
            <w:pPr>
              <w:pStyle w:val="TableParagraph"/>
              <w:rPr>
                <w:rFonts w:ascii="Times New Roman"/>
                <w:sz w:val="14"/>
              </w:rPr>
            </w:pPr>
          </w:p>
        </w:tc>
        <w:tc>
          <w:tcPr>
            <w:tcW w:w="896" w:type="dxa"/>
          </w:tcPr>
          <w:p>
            <w:pPr>
              <w:pStyle w:val="TableParagraph"/>
              <w:spacing w:before="29"/>
              <w:ind w:right="156"/>
              <w:jc w:val="right"/>
              <w:rPr>
                <w:sz w:val="14"/>
              </w:rPr>
            </w:pPr>
            <w:r>
              <w:rPr>
                <w:sz w:val="14"/>
              </w:rPr>
              <w:t>3,542</w:t>
            </w:r>
          </w:p>
        </w:tc>
        <w:tc>
          <w:tcPr>
            <w:tcW w:w="845" w:type="dxa"/>
          </w:tcPr>
          <w:p>
            <w:pPr>
              <w:pStyle w:val="TableParagraph"/>
              <w:rPr>
                <w:rFonts w:ascii="Times New Roman"/>
                <w:sz w:val="14"/>
              </w:rPr>
            </w:pPr>
          </w:p>
        </w:tc>
        <w:tc>
          <w:tcPr>
            <w:tcW w:w="936" w:type="dxa"/>
          </w:tcPr>
          <w:p>
            <w:pPr>
              <w:pStyle w:val="TableParagraph"/>
              <w:spacing w:before="29"/>
              <w:ind w:left="360"/>
              <w:rPr>
                <w:sz w:val="14"/>
              </w:rPr>
            </w:pPr>
            <w:r>
              <w:rPr>
                <w:sz w:val="14"/>
              </w:rPr>
              <w:t>3,896</w:t>
            </w:r>
          </w:p>
        </w:tc>
        <w:tc>
          <w:tcPr>
            <w:tcW w:w="832" w:type="dxa"/>
          </w:tcPr>
          <w:p>
            <w:pPr>
              <w:pStyle w:val="TableParagraph"/>
              <w:rPr>
                <w:rFonts w:ascii="Times New Roman"/>
                <w:sz w:val="14"/>
              </w:rPr>
            </w:pPr>
          </w:p>
        </w:tc>
        <w:tc>
          <w:tcPr>
            <w:tcW w:w="821" w:type="dxa"/>
          </w:tcPr>
          <w:p>
            <w:pPr>
              <w:pStyle w:val="TableParagraph"/>
              <w:spacing w:before="29"/>
              <w:ind w:right="19"/>
              <w:jc w:val="right"/>
              <w:rPr>
                <w:sz w:val="14"/>
              </w:rPr>
            </w:pPr>
            <w:r>
              <w:rPr>
                <w:sz w:val="14"/>
              </w:rPr>
              <w:t>4,285</w:t>
            </w:r>
          </w:p>
        </w:tc>
      </w:tr>
      <w:tr>
        <w:trPr>
          <w:trHeight w:val="227" w:hRule="atLeast"/>
        </w:trPr>
        <w:tc>
          <w:tcPr>
            <w:tcW w:w="470" w:type="dxa"/>
          </w:tcPr>
          <w:p>
            <w:pPr>
              <w:pStyle w:val="TableParagraph"/>
              <w:rPr>
                <w:rFonts w:ascii="Times New Roman"/>
                <w:sz w:val="14"/>
              </w:rPr>
            </w:pPr>
          </w:p>
        </w:tc>
        <w:tc>
          <w:tcPr>
            <w:tcW w:w="4792" w:type="dxa"/>
          </w:tcPr>
          <w:p>
            <w:pPr>
              <w:pStyle w:val="TableParagraph"/>
              <w:spacing w:before="32"/>
              <w:ind w:left="262"/>
              <w:rPr>
                <w:sz w:val="14"/>
              </w:rPr>
            </w:pPr>
            <w:r>
              <w:rPr>
                <w:sz w:val="14"/>
              </w:rPr>
              <w:t>Support to Non-Youth Farming Groups for Production</w:t>
            </w:r>
          </w:p>
        </w:tc>
        <w:tc>
          <w:tcPr>
            <w:tcW w:w="827" w:type="dxa"/>
          </w:tcPr>
          <w:p>
            <w:pPr>
              <w:pStyle w:val="TableParagraph"/>
              <w:spacing w:before="32"/>
              <w:ind w:left="174"/>
              <w:rPr>
                <w:sz w:val="14"/>
              </w:rPr>
            </w:pPr>
            <w:r>
              <w:rPr>
                <w:sz w:val="14"/>
              </w:rPr>
              <w:t>New</w:t>
            </w:r>
          </w:p>
        </w:tc>
        <w:tc>
          <w:tcPr>
            <w:tcW w:w="998" w:type="dxa"/>
          </w:tcPr>
          <w:p>
            <w:pPr>
              <w:pStyle w:val="TableParagraph"/>
              <w:spacing w:before="32"/>
              <w:ind w:left="86"/>
              <w:rPr>
                <w:sz w:val="14"/>
              </w:rPr>
            </w:pPr>
            <w:r>
              <w:rPr>
                <w:sz w:val="14"/>
              </w:rPr>
              <w:t>Nationwide</w:t>
            </w:r>
          </w:p>
        </w:tc>
        <w:tc>
          <w:tcPr>
            <w:tcW w:w="1335" w:type="dxa"/>
          </w:tcPr>
          <w:p>
            <w:pPr>
              <w:pStyle w:val="TableParagraph"/>
              <w:spacing w:before="32"/>
              <w:ind w:left="221"/>
              <w:rPr>
                <w:sz w:val="14"/>
              </w:rPr>
            </w:pPr>
            <w:r>
              <w:rPr>
                <w:sz w:val="14"/>
              </w:rPr>
              <w:t>GoSL</w:t>
            </w:r>
          </w:p>
        </w:tc>
        <w:tc>
          <w:tcPr>
            <w:tcW w:w="1143" w:type="dxa"/>
          </w:tcPr>
          <w:p>
            <w:pPr>
              <w:pStyle w:val="TableParagraph"/>
              <w:spacing w:before="32"/>
              <w:ind w:left="135"/>
              <w:rPr>
                <w:sz w:val="14"/>
              </w:rPr>
            </w:pPr>
            <w:r>
              <w:rPr>
                <w:sz w:val="14"/>
              </w:rPr>
              <w:t>Budget</w:t>
            </w:r>
          </w:p>
        </w:tc>
        <w:tc>
          <w:tcPr>
            <w:tcW w:w="902" w:type="dxa"/>
          </w:tcPr>
          <w:p>
            <w:pPr>
              <w:pStyle w:val="TableParagraph"/>
              <w:spacing w:before="32"/>
              <w:ind w:right="155"/>
              <w:jc w:val="right"/>
              <w:rPr>
                <w:sz w:val="14"/>
              </w:rPr>
            </w:pPr>
            <w:r>
              <w:rPr>
                <w:w w:val="99"/>
                <w:sz w:val="14"/>
              </w:rPr>
              <w:t>-</w:t>
            </w:r>
          </w:p>
        </w:tc>
        <w:tc>
          <w:tcPr>
            <w:tcW w:w="896" w:type="dxa"/>
          </w:tcPr>
          <w:p>
            <w:pPr>
              <w:pStyle w:val="TableParagraph"/>
              <w:spacing w:before="32"/>
              <w:ind w:right="162"/>
              <w:jc w:val="right"/>
              <w:rPr>
                <w:sz w:val="14"/>
              </w:rPr>
            </w:pPr>
            <w:r>
              <w:rPr>
                <w:w w:val="95"/>
                <w:sz w:val="14"/>
              </w:rPr>
              <w:t>15,000</w:t>
            </w:r>
          </w:p>
        </w:tc>
        <w:tc>
          <w:tcPr>
            <w:tcW w:w="845" w:type="dxa"/>
          </w:tcPr>
          <w:p>
            <w:pPr>
              <w:pStyle w:val="TableParagraph"/>
              <w:spacing w:before="32"/>
              <w:ind w:right="139"/>
              <w:jc w:val="right"/>
              <w:rPr>
                <w:sz w:val="14"/>
              </w:rPr>
            </w:pPr>
            <w:r>
              <w:rPr>
                <w:w w:val="99"/>
                <w:sz w:val="14"/>
              </w:rPr>
              <w:t>-</w:t>
            </w:r>
          </w:p>
        </w:tc>
        <w:tc>
          <w:tcPr>
            <w:tcW w:w="936" w:type="dxa"/>
          </w:tcPr>
          <w:p>
            <w:pPr>
              <w:pStyle w:val="TableParagraph"/>
              <w:spacing w:before="32"/>
              <w:ind w:left="268"/>
              <w:rPr>
                <w:sz w:val="14"/>
              </w:rPr>
            </w:pPr>
            <w:r>
              <w:rPr>
                <w:sz w:val="14"/>
              </w:rPr>
              <w:t>15,000</w:t>
            </w:r>
          </w:p>
        </w:tc>
        <w:tc>
          <w:tcPr>
            <w:tcW w:w="832" w:type="dxa"/>
          </w:tcPr>
          <w:p>
            <w:pPr>
              <w:pStyle w:val="TableParagraph"/>
              <w:spacing w:before="32"/>
              <w:ind w:right="146"/>
              <w:jc w:val="right"/>
              <w:rPr>
                <w:sz w:val="14"/>
              </w:rPr>
            </w:pPr>
            <w:r>
              <w:rPr>
                <w:w w:val="99"/>
                <w:sz w:val="14"/>
              </w:rPr>
              <w:t>-</w:t>
            </w:r>
          </w:p>
        </w:tc>
        <w:tc>
          <w:tcPr>
            <w:tcW w:w="821" w:type="dxa"/>
          </w:tcPr>
          <w:p>
            <w:pPr>
              <w:pStyle w:val="TableParagraph"/>
              <w:spacing w:before="32"/>
              <w:ind w:right="25"/>
              <w:jc w:val="right"/>
              <w:rPr>
                <w:sz w:val="14"/>
              </w:rPr>
            </w:pPr>
            <w:r>
              <w:rPr>
                <w:w w:val="95"/>
                <w:sz w:val="14"/>
              </w:rPr>
              <w:t>16,500</w:t>
            </w:r>
          </w:p>
        </w:tc>
      </w:tr>
    </w:tbl>
    <w:p>
      <w:pPr>
        <w:spacing w:after="0"/>
        <w:jc w:val="right"/>
        <w:rPr>
          <w:sz w:val="14"/>
        </w:rPr>
        <w:sectPr>
          <w:type w:val="continuous"/>
          <w:pgSz w:w="16840" w:h="11900" w:orient="landscape"/>
          <w:pgMar w:top="1600" w:bottom="280" w:left="880" w:right="920"/>
        </w:sectPr>
      </w:pPr>
    </w:p>
    <w:p>
      <w:pPr>
        <w:pStyle w:val="BodyText"/>
        <w:spacing w:before="9"/>
        <w:rPr>
          <w:rFonts w:ascii="Arial"/>
          <w:b/>
          <w:sz w:val="12"/>
        </w:rPr>
      </w:pPr>
      <w:r>
        <w:rPr/>
        <w:pict>
          <v:shape style="position:absolute;margin-left:27.140491pt;margin-top:286.350006pt;width:14.35pt;height:19.350pt;mso-position-horizontal-relative:page;mso-position-vertical-relative:page;z-index:1840" type="#_x0000_t202" filled="false" stroked="false">
            <v:textbox inset="0,0,0,0" style="layout-flow:vertical">
              <w:txbxContent>
                <w:p>
                  <w:pPr>
                    <w:spacing w:before="13"/>
                    <w:ind w:left="20" w:right="0" w:firstLine="0"/>
                    <w:jc w:val="left"/>
                    <w:rPr>
                      <w:rFonts w:ascii="Arial"/>
                      <w:sz w:val="22"/>
                    </w:rPr>
                  </w:pPr>
                  <w:r>
                    <w:rPr>
                      <w:rFonts w:ascii="Arial"/>
                      <w:sz w:val="22"/>
                    </w:rPr>
                    <w:t>xxx</w:t>
                  </w:r>
                </w:p>
              </w:txbxContent>
            </v:textbox>
            <w10:wrap type="none"/>
          </v:shape>
        </w:pict>
      </w:r>
    </w:p>
    <w:p>
      <w:pPr>
        <w:tabs>
          <w:tab w:pos="11610" w:val="left" w:leader="none"/>
          <w:tab w:pos="13256" w:val="left" w:leader="none"/>
        </w:tabs>
        <w:spacing w:before="0" w:after="33"/>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781"/>
        <w:gridCol w:w="838"/>
        <w:gridCol w:w="1075"/>
        <w:gridCol w:w="1120"/>
        <w:gridCol w:w="1250"/>
        <w:gridCol w:w="947"/>
        <w:gridCol w:w="917"/>
        <w:gridCol w:w="848"/>
        <w:gridCol w:w="937"/>
        <w:gridCol w:w="792"/>
        <w:gridCol w:w="820"/>
      </w:tblGrid>
      <w:tr>
        <w:trPr>
          <w:trHeight w:val="445"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before="60"/>
              <w:ind w:left="17"/>
              <w:rPr>
                <w:sz w:val="14"/>
              </w:rPr>
            </w:pPr>
            <w:r>
              <w:rPr>
                <w:spacing w:val="2"/>
                <w:sz w:val="14"/>
              </w:rPr>
              <w:t>Code</w:t>
            </w:r>
          </w:p>
        </w:tc>
        <w:tc>
          <w:tcPr>
            <w:tcW w:w="4781" w:type="dxa"/>
            <w:tcBorders>
              <w:top w:val="single" w:sz="4" w:space="0" w:color="000000"/>
              <w:bottom w:val="single" w:sz="18" w:space="0" w:color="000000"/>
            </w:tcBorders>
          </w:tcPr>
          <w:p>
            <w:pPr>
              <w:pStyle w:val="TableParagraph"/>
              <w:spacing w:before="22"/>
              <w:ind w:left="113"/>
              <w:rPr>
                <w:sz w:val="14"/>
              </w:rPr>
            </w:pPr>
            <w:r>
              <w:rPr>
                <w:sz w:val="14"/>
              </w:rPr>
              <w:t>National Development Plan Cluster/ Ministry, Department</w:t>
            </w:r>
          </w:p>
          <w:p>
            <w:pPr>
              <w:pStyle w:val="TableParagraph"/>
              <w:spacing w:before="60"/>
              <w:ind w:left="114"/>
              <w:rPr>
                <w:sz w:val="14"/>
              </w:rPr>
            </w:pPr>
            <w:r>
              <w:rPr>
                <w:sz w:val="14"/>
              </w:rPr>
              <w:t>and Agency (MDAs)</w:t>
            </w:r>
          </w:p>
        </w:tc>
        <w:tc>
          <w:tcPr>
            <w:tcW w:w="838" w:type="dxa"/>
            <w:tcBorders>
              <w:top w:val="single" w:sz="4" w:space="0" w:color="000000"/>
              <w:bottom w:val="single" w:sz="18" w:space="0" w:color="000000"/>
            </w:tcBorders>
          </w:tcPr>
          <w:p>
            <w:pPr>
              <w:pStyle w:val="TableParagraph"/>
              <w:spacing w:before="22"/>
              <w:ind w:left="219"/>
              <w:rPr>
                <w:sz w:val="14"/>
              </w:rPr>
            </w:pPr>
            <w:r>
              <w:rPr>
                <w:sz w:val="14"/>
              </w:rPr>
              <w:t>Status</w:t>
            </w:r>
          </w:p>
        </w:tc>
        <w:tc>
          <w:tcPr>
            <w:tcW w:w="1075" w:type="dxa"/>
            <w:tcBorders>
              <w:top w:val="single" w:sz="4" w:space="0" w:color="000000"/>
              <w:bottom w:val="single" w:sz="18" w:space="0" w:color="000000"/>
            </w:tcBorders>
          </w:tcPr>
          <w:p>
            <w:pPr>
              <w:pStyle w:val="TableParagraph"/>
              <w:spacing w:before="22"/>
              <w:ind w:left="106"/>
              <w:rPr>
                <w:sz w:val="14"/>
              </w:rPr>
            </w:pPr>
            <w:r>
              <w:rPr>
                <w:sz w:val="14"/>
              </w:rPr>
              <w:t>Location</w:t>
            </w:r>
          </w:p>
        </w:tc>
        <w:tc>
          <w:tcPr>
            <w:tcW w:w="1120" w:type="dxa"/>
            <w:tcBorders>
              <w:top w:val="single" w:sz="4" w:space="0" w:color="000000"/>
              <w:bottom w:val="single" w:sz="18" w:space="0" w:color="000000"/>
            </w:tcBorders>
          </w:tcPr>
          <w:p>
            <w:pPr>
              <w:pStyle w:val="TableParagraph"/>
              <w:spacing w:before="22"/>
              <w:ind w:left="101"/>
              <w:rPr>
                <w:sz w:val="14"/>
              </w:rPr>
            </w:pPr>
            <w:r>
              <w:rPr>
                <w:spacing w:val="6"/>
                <w:sz w:val="14"/>
              </w:rPr>
              <w:t>Funding</w:t>
            </w:r>
          </w:p>
          <w:p>
            <w:pPr>
              <w:pStyle w:val="TableParagraph"/>
              <w:spacing w:before="60"/>
              <w:ind w:left="154"/>
              <w:rPr>
                <w:sz w:val="14"/>
              </w:rPr>
            </w:pPr>
            <w:r>
              <w:rPr>
                <w:spacing w:val="4"/>
                <w:sz w:val="14"/>
              </w:rPr>
              <w:t>Source</w:t>
            </w:r>
          </w:p>
        </w:tc>
        <w:tc>
          <w:tcPr>
            <w:tcW w:w="1250" w:type="dxa"/>
            <w:tcBorders>
              <w:top w:val="single" w:sz="4" w:space="0" w:color="000000"/>
              <w:bottom w:val="single" w:sz="18" w:space="0" w:color="000000"/>
            </w:tcBorders>
          </w:tcPr>
          <w:p>
            <w:pPr>
              <w:pStyle w:val="TableParagraph"/>
              <w:spacing w:before="22"/>
              <w:ind w:left="232" w:right="472"/>
              <w:jc w:val="center"/>
              <w:rPr>
                <w:sz w:val="14"/>
              </w:rPr>
            </w:pPr>
            <w:r>
              <w:rPr>
                <w:sz w:val="14"/>
              </w:rPr>
              <w:t>Funding</w:t>
            </w:r>
          </w:p>
          <w:p>
            <w:pPr>
              <w:pStyle w:val="TableParagraph"/>
              <w:spacing w:before="60"/>
              <w:ind w:left="232" w:right="412"/>
              <w:jc w:val="center"/>
              <w:rPr>
                <w:sz w:val="14"/>
              </w:rPr>
            </w:pPr>
            <w:r>
              <w:rPr>
                <w:sz w:val="14"/>
              </w:rPr>
              <w:t>Type</w:t>
            </w:r>
          </w:p>
        </w:tc>
        <w:tc>
          <w:tcPr>
            <w:tcW w:w="947" w:type="dxa"/>
            <w:tcBorders>
              <w:top w:val="single" w:sz="4" w:space="0" w:color="000000"/>
              <w:bottom w:val="single" w:sz="18" w:space="0" w:color="000000"/>
            </w:tcBorders>
          </w:tcPr>
          <w:p>
            <w:pPr>
              <w:pStyle w:val="TableParagraph"/>
              <w:spacing w:before="22"/>
              <w:ind w:left="165"/>
              <w:rPr>
                <w:sz w:val="14"/>
              </w:rPr>
            </w:pPr>
            <w:r>
              <w:rPr>
                <w:sz w:val="14"/>
              </w:rPr>
              <w:t>Foreign</w:t>
            </w:r>
          </w:p>
        </w:tc>
        <w:tc>
          <w:tcPr>
            <w:tcW w:w="917" w:type="dxa"/>
            <w:tcBorders>
              <w:top w:val="single" w:sz="4" w:space="0" w:color="000000"/>
              <w:bottom w:val="single" w:sz="18" w:space="0" w:color="000000"/>
            </w:tcBorders>
          </w:tcPr>
          <w:p>
            <w:pPr>
              <w:pStyle w:val="TableParagraph"/>
              <w:spacing w:before="22"/>
              <w:ind w:left="164"/>
              <w:rPr>
                <w:sz w:val="14"/>
              </w:rPr>
            </w:pPr>
            <w:r>
              <w:rPr>
                <w:sz w:val="14"/>
              </w:rPr>
              <w:t>Domestic</w:t>
            </w:r>
          </w:p>
        </w:tc>
        <w:tc>
          <w:tcPr>
            <w:tcW w:w="848" w:type="dxa"/>
            <w:tcBorders>
              <w:top w:val="single" w:sz="4" w:space="0" w:color="000000"/>
              <w:bottom w:val="single" w:sz="18" w:space="0" w:color="000000"/>
            </w:tcBorders>
          </w:tcPr>
          <w:p>
            <w:pPr>
              <w:pStyle w:val="TableParagraph"/>
              <w:spacing w:before="22"/>
              <w:ind w:right="201"/>
              <w:jc w:val="right"/>
              <w:rPr>
                <w:sz w:val="14"/>
              </w:rPr>
            </w:pPr>
            <w:r>
              <w:rPr>
                <w:w w:val="95"/>
                <w:sz w:val="14"/>
              </w:rPr>
              <w:t>Foreign</w:t>
            </w:r>
          </w:p>
        </w:tc>
        <w:tc>
          <w:tcPr>
            <w:tcW w:w="937" w:type="dxa"/>
            <w:tcBorders>
              <w:top w:val="single" w:sz="4" w:space="0" w:color="000000"/>
              <w:bottom w:val="single" w:sz="18" w:space="0" w:color="000000"/>
            </w:tcBorders>
          </w:tcPr>
          <w:p>
            <w:pPr>
              <w:pStyle w:val="TableParagraph"/>
              <w:spacing w:before="22"/>
              <w:ind w:left="213"/>
              <w:rPr>
                <w:sz w:val="14"/>
              </w:rPr>
            </w:pPr>
            <w:r>
              <w:rPr>
                <w:sz w:val="14"/>
              </w:rPr>
              <w:t>Domestic</w:t>
            </w:r>
          </w:p>
        </w:tc>
        <w:tc>
          <w:tcPr>
            <w:tcW w:w="792" w:type="dxa"/>
            <w:tcBorders>
              <w:top w:val="single" w:sz="4" w:space="0" w:color="000000"/>
              <w:bottom w:val="single" w:sz="18" w:space="0" w:color="000000"/>
            </w:tcBorders>
          </w:tcPr>
          <w:p>
            <w:pPr>
              <w:pStyle w:val="TableParagraph"/>
              <w:spacing w:before="22"/>
              <w:ind w:right="174"/>
              <w:jc w:val="right"/>
              <w:rPr>
                <w:sz w:val="14"/>
              </w:rPr>
            </w:pPr>
            <w:r>
              <w:rPr>
                <w:w w:val="95"/>
                <w:sz w:val="14"/>
              </w:rPr>
              <w:t>Foreign</w:t>
            </w:r>
          </w:p>
        </w:tc>
        <w:tc>
          <w:tcPr>
            <w:tcW w:w="820" w:type="dxa"/>
            <w:tcBorders>
              <w:top w:val="single" w:sz="4" w:space="0" w:color="000000"/>
              <w:bottom w:val="single" w:sz="18" w:space="0" w:color="000000"/>
            </w:tcBorders>
          </w:tcPr>
          <w:p>
            <w:pPr>
              <w:pStyle w:val="TableParagraph"/>
              <w:spacing w:before="22"/>
              <w:ind w:right="86"/>
              <w:jc w:val="right"/>
              <w:rPr>
                <w:sz w:val="14"/>
              </w:rPr>
            </w:pPr>
            <w:r>
              <w:rPr>
                <w:w w:val="95"/>
                <w:sz w:val="14"/>
              </w:rPr>
              <w:t>Domestic</w:t>
            </w:r>
          </w:p>
        </w:tc>
      </w:tr>
      <w:tr>
        <w:trPr>
          <w:trHeight w:val="229" w:hRule="atLeast"/>
        </w:trPr>
        <w:tc>
          <w:tcPr>
            <w:tcW w:w="470" w:type="dxa"/>
            <w:tcBorders>
              <w:top w:val="single" w:sz="18" w:space="0" w:color="000000"/>
            </w:tcBorders>
          </w:tcPr>
          <w:p>
            <w:pPr>
              <w:pStyle w:val="TableParagraph"/>
              <w:rPr>
                <w:rFonts w:ascii="Times New Roman"/>
                <w:sz w:val="14"/>
              </w:rPr>
            </w:pPr>
          </w:p>
        </w:tc>
        <w:tc>
          <w:tcPr>
            <w:tcW w:w="4781" w:type="dxa"/>
            <w:tcBorders>
              <w:top w:val="single" w:sz="18" w:space="0" w:color="000000"/>
            </w:tcBorders>
          </w:tcPr>
          <w:p>
            <w:pPr>
              <w:pStyle w:val="TableParagraph"/>
              <w:spacing w:before="31"/>
              <w:ind w:left="603"/>
              <w:rPr>
                <w:sz w:val="14"/>
              </w:rPr>
            </w:pPr>
            <w:r>
              <w:rPr>
                <w:sz w:val="14"/>
              </w:rPr>
              <w:t>Seedlings</w:t>
            </w:r>
          </w:p>
        </w:tc>
        <w:tc>
          <w:tcPr>
            <w:tcW w:w="838" w:type="dxa"/>
            <w:tcBorders>
              <w:top w:val="single" w:sz="18" w:space="0" w:color="000000"/>
            </w:tcBorders>
          </w:tcPr>
          <w:p>
            <w:pPr>
              <w:pStyle w:val="TableParagraph"/>
              <w:spacing w:before="31"/>
              <w:ind w:left="185"/>
              <w:rPr>
                <w:sz w:val="14"/>
              </w:rPr>
            </w:pPr>
            <w:r>
              <w:rPr>
                <w:sz w:val="14"/>
              </w:rPr>
              <w:t>New</w:t>
            </w:r>
          </w:p>
        </w:tc>
        <w:tc>
          <w:tcPr>
            <w:tcW w:w="1075" w:type="dxa"/>
            <w:tcBorders>
              <w:top w:val="single" w:sz="18" w:space="0" w:color="000000"/>
            </w:tcBorders>
          </w:tcPr>
          <w:p>
            <w:pPr>
              <w:pStyle w:val="TableParagraph"/>
              <w:spacing w:before="31"/>
              <w:ind w:left="86"/>
              <w:rPr>
                <w:sz w:val="14"/>
              </w:rPr>
            </w:pPr>
            <w:r>
              <w:rPr>
                <w:sz w:val="14"/>
              </w:rPr>
              <w:t>Nationwide</w:t>
            </w:r>
          </w:p>
        </w:tc>
        <w:tc>
          <w:tcPr>
            <w:tcW w:w="1120" w:type="dxa"/>
            <w:tcBorders>
              <w:top w:val="single" w:sz="18" w:space="0" w:color="000000"/>
            </w:tcBorders>
          </w:tcPr>
          <w:p>
            <w:pPr>
              <w:pStyle w:val="TableParagraph"/>
              <w:spacing w:before="31"/>
              <w:ind w:left="144"/>
              <w:rPr>
                <w:sz w:val="14"/>
              </w:rPr>
            </w:pPr>
            <w:r>
              <w:rPr>
                <w:sz w:val="14"/>
              </w:rPr>
              <w:t>GoSL</w:t>
            </w:r>
          </w:p>
        </w:tc>
        <w:tc>
          <w:tcPr>
            <w:tcW w:w="1250" w:type="dxa"/>
            <w:tcBorders>
              <w:top w:val="single" w:sz="18" w:space="0" w:color="000000"/>
            </w:tcBorders>
          </w:tcPr>
          <w:p>
            <w:pPr>
              <w:pStyle w:val="TableParagraph"/>
              <w:spacing w:before="31"/>
              <w:ind w:left="273"/>
              <w:rPr>
                <w:sz w:val="14"/>
              </w:rPr>
            </w:pPr>
            <w:r>
              <w:rPr>
                <w:sz w:val="14"/>
              </w:rPr>
              <w:t>Budget</w:t>
            </w:r>
          </w:p>
        </w:tc>
        <w:tc>
          <w:tcPr>
            <w:tcW w:w="947" w:type="dxa"/>
            <w:tcBorders>
              <w:top w:val="single" w:sz="18" w:space="0" w:color="000000"/>
            </w:tcBorders>
          </w:tcPr>
          <w:p>
            <w:pPr>
              <w:pStyle w:val="TableParagraph"/>
              <w:rPr>
                <w:rFonts w:ascii="Times New Roman"/>
                <w:sz w:val="14"/>
              </w:rPr>
            </w:pPr>
          </w:p>
        </w:tc>
        <w:tc>
          <w:tcPr>
            <w:tcW w:w="917" w:type="dxa"/>
            <w:tcBorders>
              <w:top w:val="single" w:sz="18" w:space="0" w:color="000000"/>
            </w:tcBorders>
          </w:tcPr>
          <w:p>
            <w:pPr>
              <w:pStyle w:val="TableParagraph"/>
              <w:spacing w:before="31"/>
              <w:ind w:right="191"/>
              <w:jc w:val="right"/>
              <w:rPr>
                <w:sz w:val="14"/>
              </w:rPr>
            </w:pPr>
            <w:r>
              <w:rPr>
                <w:sz w:val="14"/>
              </w:rPr>
              <w:t>5,000</w:t>
            </w:r>
          </w:p>
        </w:tc>
        <w:tc>
          <w:tcPr>
            <w:tcW w:w="848" w:type="dxa"/>
            <w:tcBorders>
              <w:top w:val="single" w:sz="18" w:space="0" w:color="000000"/>
            </w:tcBorders>
          </w:tcPr>
          <w:p>
            <w:pPr>
              <w:pStyle w:val="TableParagraph"/>
              <w:rPr>
                <w:rFonts w:ascii="Times New Roman"/>
                <w:sz w:val="14"/>
              </w:rPr>
            </w:pPr>
          </w:p>
        </w:tc>
        <w:tc>
          <w:tcPr>
            <w:tcW w:w="937" w:type="dxa"/>
            <w:tcBorders>
              <w:top w:val="single" w:sz="18" w:space="0" w:color="000000"/>
            </w:tcBorders>
          </w:tcPr>
          <w:p>
            <w:pPr>
              <w:pStyle w:val="TableParagraph"/>
              <w:spacing w:before="31"/>
              <w:ind w:left="322"/>
              <w:rPr>
                <w:sz w:val="14"/>
              </w:rPr>
            </w:pPr>
            <w:r>
              <w:rPr>
                <w:sz w:val="14"/>
              </w:rPr>
              <w:t>5,000</w:t>
            </w:r>
          </w:p>
        </w:tc>
        <w:tc>
          <w:tcPr>
            <w:tcW w:w="792" w:type="dxa"/>
            <w:tcBorders>
              <w:top w:val="single" w:sz="18" w:space="0" w:color="000000"/>
            </w:tcBorders>
          </w:tcPr>
          <w:p>
            <w:pPr>
              <w:pStyle w:val="TableParagraph"/>
              <w:rPr>
                <w:rFonts w:ascii="Times New Roman"/>
                <w:sz w:val="14"/>
              </w:rPr>
            </w:pPr>
          </w:p>
        </w:tc>
        <w:tc>
          <w:tcPr>
            <w:tcW w:w="820" w:type="dxa"/>
            <w:tcBorders>
              <w:top w:val="single" w:sz="18" w:space="0" w:color="000000"/>
            </w:tcBorders>
          </w:tcPr>
          <w:p>
            <w:pPr>
              <w:pStyle w:val="TableParagraph"/>
              <w:spacing w:before="31"/>
              <w:ind w:right="17"/>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603"/>
              <w:rPr>
                <w:sz w:val="14"/>
              </w:rPr>
            </w:pPr>
            <w:r>
              <w:rPr>
                <w:sz w:val="14"/>
              </w:rPr>
              <w:t>Fertilizer</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5,000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5,000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603"/>
              <w:rPr>
                <w:sz w:val="14"/>
              </w:rPr>
            </w:pPr>
            <w:r>
              <w:rPr>
                <w:sz w:val="14"/>
              </w:rPr>
              <w:t>Other farm input</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5,000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5,000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3"/>
              <w:rPr>
                <w:sz w:val="14"/>
              </w:rPr>
            </w:pPr>
            <w:r>
              <w:rPr>
                <w:sz w:val="14"/>
              </w:rPr>
              <w:t>Development of a National Master Plan for Irrigation</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4"/>
              <w:jc w:val="right"/>
              <w:rPr>
                <w:b/>
                <w:sz w:val="14"/>
              </w:rPr>
            </w:pPr>
            <w:r>
              <w:rPr>
                <w:b/>
                <w:sz w:val="14"/>
              </w:rPr>
              <w:t>500</w:t>
            </w:r>
          </w:p>
        </w:tc>
        <w:tc>
          <w:tcPr>
            <w:tcW w:w="848" w:type="dxa"/>
          </w:tcPr>
          <w:p>
            <w:pPr>
              <w:pStyle w:val="TableParagraph"/>
              <w:rPr>
                <w:rFonts w:ascii="Times New Roman"/>
                <w:sz w:val="14"/>
              </w:rPr>
            </w:pPr>
          </w:p>
        </w:tc>
        <w:tc>
          <w:tcPr>
            <w:tcW w:w="937" w:type="dxa"/>
          </w:tcPr>
          <w:p>
            <w:pPr>
              <w:pStyle w:val="TableParagraph"/>
              <w:spacing w:before="32"/>
              <w:ind w:left="453"/>
              <w:rPr>
                <w:sz w:val="14"/>
              </w:rPr>
            </w:pPr>
            <w:r>
              <w:rPr>
                <w:sz w:val="14"/>
              </w:rPr>
              <w:t>550</w:t>
            </w:r>
          </w:p>
        </w:tc>
        <w:tc>
          <w:tcPr>
            <w:tcW w:w="792" w:type="dxa"/>
          </w:tcPr>
          <w:p>
            <w:pPr>
              <w:pStyle w:val="TableParagraph"/>
              <w:rPr>
                <w:rFonts w:ascii="Times New Roman"/>
                <w:sz w:val="14"/>
              </w:rPr>
            </w:pPr>
          </w:p>
        </w:tc>
        <w:tc>
          <w:tcPr>
            <w:tcW w:w="820" w:type="dxa"/>
          </w:tcPr>
          <w:p>
            <w:pPr>
              <w:pStyle w:val="TableParagraph"/>
              <w:spacing w:before="32"/>
              <w:ind w:right="9"/>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Redevelopment of Musaia Livestock Station</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7"/>
              <w:rPr>
                <w:sz w:val="14"/>
              </w:rPr>
            </w:pPr>
            <w:r>
              <w:rPr>
                <w:sz w:val="14"/>
              </w:rPr>
              <w:t>Koinadugu</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2,000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2,200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Tree Crops Development Project</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2,000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2,200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2,420</w:t>
            </w:r>
          </w:p>
        </w:tc>
      </w:tr>
      <w:tr>
        <w:trPr>
          <w:trHeight w:val="227"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Rural Finance and Community Improvement Project Phase 11</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5"/>
              <w:rPr>
                <w:sz w:val="14"/>
              </w:rPr>
            </w:pPr>
            <w:r>
              <w:rPr>
                <w:sz w:val="14"/>
              </w:rPr>
              <w:t>IFAD/ GoSL</w:t>
            </w:r>
          </w:p>
        </w:tc>
        <w:tc>
          <w:tcPr>
            <w:tcW w:w="1250" w:type="dxa"/>
          </w:tcPr>
          <w:p>
            <w:pPr>
              <w:pStyle w:val="TableParagraph"/>
              <w:spacing w:before="32"/>
              <w:ind w:left="273"/>
              <w:rPr>
                <w:sz w:val="14"/>
              </w:rPr>
            </w:pPr>
            <w:r>
              <w:rPr>
                <w:sz w:val="14"/>
              </w:rPr>
              <w:t>Loan/ Grant</w:t>
            </w:r>
          </w:p>
        </w:tc>
        <w:tc>
          <w:tcPr>
            <w:tcW w:w="947" w:type="dxa"/>
          </w:tcPr>
          <w:p>
            <w:pPr>
              <w:pStyle w:val="TableParagraph"/>
              <w:spacing w:before="32"/>
              <w:ind w:right="194"/>
              <w:jc w:val="right"/>
              <w:rPr>
                <w:sz w:val="14"/>
              </w:rPr>
            </w:pPr>
            <w:r>
              <w:rPr>
                <w:sz w:val="14"/>
              </w:rPr>
              <w:t>12 ,000</w:t>
            </w:r>
          </w:p>
        </w:tc>
        <w:tc>
          <w:tcPr>
            <w:tcW w:w="917" w:type="dxa"/>
          </w:tcPr>
          <w:p>
            <w:pPr>
              <w:pStyle w:val="TableParagraph"/>
              <w:spacing w:before="32"/>
              <w:ind w:right="199"/>
              <w:jc w:val="right"/>
              <w:rPr>
                <w:sz w:val="14"/>
              </w:rPr>
            </w:pPr>
            <w:r>
              <w:rPr>
                <w:sz w:val="14"/>
              </w:rPr>
              <w:t>3,000</w:t>
            </w:r>
          </w:p>
        </w:tc>
        <w:tc>
          <w:tcPr>
            <w:tcW w:w="848" w:type="dxa"/>
          </w:tcPr>
          <w:p>
            <w:pPr>
              <w:pStyle w:val="TableParagraph"/>
              <w:spacing w:before="32"/>
              <w:ind w:right="203"/>
              <w:jc w:val="right"/>
              <w:rPr>
                <w:sz w:val="14"/>
              </w:rPr>
            </w:pPr>
            <w:r>
              <w:rPr>
                <w:sz w:val="14"/>
              </w:rPr>
              <w:t>15 ,000</w:t>
            </w:r>
          </w:p>
        </w:tc>
        <w:tc>
          <w:tcPr>
            <w:tcW w:w="937" w:type="dxa"/>
          </w:tcPr>
          <w:p>
            <w:pPr>
              <w:pStyle w:val="TableParagraph"/>
              <w:spacing w:before="32"/>
              <w:ind w:left="165"/>
              <w:rPr>
                <w:sz w:val="14"/>
              </w:rPr>
            </w:pPr>
            <w:r>
              <w:rPr>
                <w:sz w:val="14"/>
              </w:rPr>
              <w:t>10 ,202</w:t>
            </w:r>
          </w:p>
        </w:tc>
        <w:tc>
          <w:tcPr>
            <w:tcW w:w="792" w:type="dxa"/>
          </w:tcPr>
          <w:p>
            <w:pPr>
              <w:pStyle w:val="TableParagraph"/>
              <w:spacing w:before="32"/>
              <w:ind w:right="169"/>
              <w:jc w:val="right"/>
              <w:rPr>
                <w:sz w:val="14"/>
              </w:rPr>
            </w:pPr>
            <w:r>
              <w:rPr>
                <w:w w:val="95"/>
                <w:sz w:val="14"/>
              </w:rPr>
              <w:t>14,400</w:t>
            </w:r>
          </w:p>
        </w:tc>
        <w:tc>
          <w:tcPr>
            <w:tcW w:w="820" w:type="dxa"/>
          </w:tcPr>
          <w:p>
            <w:pPr>
              <w:pStyle w:val="TableParagraph"/>
              <w:spacing w:before="32"/>
              <w:ind w:right="23"/>
              <w:jc w:val="right"/>
              <w:rPr>
                <w:sz w:val="14"/>
              </w:rPr>
            </w:pPr>
            <w:r>
              <w:rPr>
                <w:w w:val="95"/>
                <w:sz w:val="14"/>
              </w:rPr>
              <w:t>13,603</w:t>
            </w:r>
          </w:p>
        </w:tc>
      </w:tr>
      <w:tr>
        <w:trPr>
          <w:trHeight w:val="228" w:hRule="atLeast"/>
        </w:trPr>
        <w:tc>
          <w:tcPr>
            <w:tcW w:w="470" w:type="dxa"/>
          </w:tcPr>
          <w:p>
            <w:pPr>
              <w:pStyle w:val="TableParagraph"/>
              <w:rPr>
                <w:rFonts w:ascii="Times New Roman"/>
                <w:sz w:val="14"/>
              </w:rPr>
            </w:pPr>
          </w:p>
        </w:tc>
        <w:tc>
          <w:tcPr>
            <w:tcW w:w="4781" w:type="dxa"/>
          </w:tcPr>
          <w:p>
            <w:pPr>
              <w:pStyle w:val="TableParagraph"/>
              <w:rPr>
                <w:rFonts w:ascii="Times New Roman"/>
                <w:sz w:val="14"/>
              </w:rPr>
            </w:pP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spacing w:before="29"/>
              <w:ind w:left="147"/>
              <w:rPr>
                <w:sz w:val="14"/>
              </w:rPr>
            </w:pPr>
            <w:r>
              <w:rPr>
                <w:sz w:val="14"/>
              </w:rPr>
              <w:t>/ Budget</w:t>
            </w:r>
          </w:p>
        </w:tc>
        <w:tc>
          <w:tcPr>
            <w:tcW w:w="1250" w:type="dxa"/>
          </w:tcPr>
          <w:p>
            <w:pPr>
              <w:pStyle w:val="TableParagraph"/>
              <w:rPr>
                <w:rFonts w:ascii="Times New Roman"/>
                <w:sz w:val="14"/>
              </w:rPr>
            </w:pPr>
          </w:p>
        </w:tc>
        <w:tc>
          <w:tcPr>
            <w:tcW w:w="947" w:type="dxa"/>
          </w:tcPr>
          <w:p>
            <w:pPr>
              <w:pStyle w:val="TableParagraph"/>
              <w:rPr>
                <w:rFonts w:ascii="Times New Roman"/>
                <w:sz w:val="14"/>
              </w:rPr>
            </w:pPr>
          </w:p>
        </w:tc>
        <w:tc>
          <w:tcPr>
            <w:tcW w:w="917" w:type="dxa"/>
          </w:tcPr>
          <w:p>
            <w:pPr>
              <w:pStyle w:val="TableParagraph"/>
              <w:rPr>
                <w:rFonts w:ascii="Times New Roman"/>
                <w:sz w:val="14"/>
              </w:rPr>
            </w:pPr>
          </w:p>
        </w:tc>
        <w:tc>
          <w:tcPr>
            <w:tcW w:w="848" w:type="dxa"/>
          </w:tcPr>
          <w:p>
            <w:pPr>
              <w:pStyle w:val="TableParagraph"/>
              <w:rPr>
                <w:rFonts w:ascii="Times New Roman"/>
                <w:sz w:val="14"/>
              </w:rPr>
            </w:pPr>
          </w:p>
        </w:tc>
        <w:tc>
          <w:tcPr>
            <w:tcW w:w="937"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Agriculture Value Chain Development</w:t>
            </w:r>
          </w:p>
        </w:tc>
        <w:tc>
          <w:tcPr>
            <w:tcW w:w="838" w:type="dxa"/>
          </w:tcPr>
          <w:p>
            <w:pPr>
              <w:pStyle w:val="TableParagraph"/>
              <w:rPr>
                <w:rFonts w:ascii="Times New Roman"/>
                <w:sz w:val="14"/>
              </w:rPr>
            </w:pP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5"/>
              <w:rPr>
                <w:sz w:val="14"/>
              </w:rPr>
            </w:pPr>
            <w:r>
              <w:rPr>
                <w:sz w:val="14"/>
              </w:rPr>
              <w:t>IFAD/ GoSL</w:t>
            </w:r>
          </w:p>
        </w:tc>
        <w:tc>
          <w:tcPr>
            <w:tcW w:w="1250" w:type="dxa"/>
          </w:tcPr>
          <w:p>
            <w:pPr>
              <w:pStyle w:val="TableParagraph"/>
              <w:spacing w:before="32"/>
              <w:ind w:left="273"/>
              <w:rPr>
                <w:sz w:val="14"/>
              </w:rPr>
            </w:pPr>
            <w:r>
              <w:rPr>
                <w:sz w:val="14"/>
              </w:rPr>
              <w:t>Loan/ Grant</w:t>
            </w:r>
          </w:p>
        </w:tc>
        <w:tc>
          <w:tcPr>
            <w:tcW w:w="947" w:type="dxa"/>
          </w:tcPr>
          <w:p>
            <w:pPr>
              <w:pStyle w:val="TableParagraph"/>
              <w:spacing w:before="32"/>
              <w:ind w:left="104"/>
              <w:rPr>
                <w:sz w:val="14"/>
              </w:rPr>
            </w:pPr>
            <w:r>
              <w:rPr>
                <w:sz w:val="14"/>
              </w:rPr>
              <w:t>25,820</w:t>
            </w:r>
          </w:p>
        </w:tc>
        <w:tc>
          <w:tcPr>
            <w:tcW w:w="917" w:type="dxa"/>
          </w:tcPr>
          <w:p>
            <w:pPr>
              <w:pStyle w:val="TableParagraph"/>
              <w:spacing w:before="32"/>
              <w:ind w:left="191"/>
              <w:rPr>
                <w:sz w:val="14"/>
              </w:rPr>
            </w:pPr>
            <w:r>
              <w:rPr>
                <w:sz w:val="14"/>
              </w:rPr>
              <w:t>3,000</w:t>
            </w:r>
          </w:p>
        </w:tc>
        <w:tc>
          <w:tcPr>
            <w:tcW w:w="848" w:type="dxa"/>
          </w:tcPr>
          <w:p>
            <w:pPr>
              <w:pStyle w:val="TableParagraph"/>
              <w:spacing w:before="32"/>
              <w:ind w:right="198"/>
              <w:jc w:val="right"/>
              <w:rPr>
                <w:sz w:val="14"/>
              </w:rPr>
            </w:pPr>
            <w:r>
              <w:rPr>
                <w:sz w:val="14"/>
              </w:rPr>
              <w:t>2,500</w:t>
            </w:r>
          </w:p>
        </w:tc>
        <w:tc>
          <w:tcPr>
            <w:tcW w:w="937" w:type="dxa"/>
          </w:tcPr>
          <w:p>
            <w:pPr>
              <w:pStyle w:val="TableParagraph"/>
              <w:spacing w:before="32"/>
              <w:ind w:left="322"/>
              <w:rPr>
                <w:sz w:val="14"/>
              </w:rPr>
            </w:pPr>
            <w:r>
              <w:rPr>
                <w:sz w:val="14"/>
              </w:rPr>
              <w:t>5,455</w:t>
            </w:r>
          </w:p>
        </w:tc>
        <w:tc>
          <w:tcPr>
            <w:tcW w:w="792" w:type="dxa"/>
          </w:tcPr>
          <w:p>
            <w:pPr>
              <w:pStyle w:val="TableParagraph"/>
              <w:spacing w:before="32"/>
              <w:ind w:right="175"/>
              <w:jc w:val="right"/>
              <w:rPr>
                <w:sz w:val="14"/>
              </w:rPr>
            </w:pPr>
            <w:r>
              <w:rPr>
                <w:sz w:val="14"/>
              </w:rPr>
              <w:t>30 ,984</w:t>
            </w:r>
          </w:p>
        </w:tc>
        <w:tc>
          <w:tcPr>
            <w:tcW w:w="820" w:type="dxa"/>
          </w:tcPr>
          <w:p>
            <w:pPr>
              <w:pStyle w:val="TableParagraph"/>
              <w:spacing w:before="32"/>
              <w:ind w:right="17"/>
              <w:jc w:val="right"/>
              <w:rPr>
                <w:sz w:val="14"/>
              </w:rPr>
            </w:pPr>
            <w:r>
              <w:rPr>
                <w:sz w:val="14"/>
              </w:rPr>
              <w:t>7,273</w:t>
            </w:r>
          </w:p>
        </w:tc>
      </w:tr>
      <w:tr>
        <w:trPr>
          <w:trHeight w:val="230" w:hRule="atLeast"/>
        </w:trPr>
        <w:tc>
          <w:tcPr>
            <w:tcW w:w="470" w:type="dxa"/>
          </w:tcPr>
          <w:p>
            <w:pPr>
              <w:pStyle w:val="TableParagraph"/>
              <w:rPr>
                <w:rFonts w:ascii="Times New Roman"/>
                <w:sz w:val="14"/>
              </w:rPr>
            </w:pPr>
          </w:p>
        </w:tc>
        <w:tc>
          <w:tcPr>
            <w:tcW w:w="4781" w:type="dxa"/>
          </w:tcPr>
          <w:p>
            <w:pPr>
              <w:pStyle w:val="TableParagraph"/>
              <w:rPr>
                <w:rFonts w:ascii="Times New Roman"/>
                <w:sz w:val="14"/>
              </w:rPr>
            </w:pP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rPr>
                <w:rFonts w:ascii="Times New Roman"/>
                <w:sz w:val="14"/>
              </w:rPr>
            </w:pPr>
          </w:p>
        </w:tc>
        <w:tc>
          <w:tcPr>
            <w:tcW w:w="1250" w:type="dxa"/>
          </w:tcPr>
          <w:p>
            <w:pPr>
              <w:pStyle w:val="TableParagraph"/>
              <w:spacing w:before="32"/>
              <w:ind w:left="275"/>
              <w:rPr>
                <w:sz w:val="14"/>
              </w:rPr>
            </w:pPr>
            <w:r>
              <w:rPr>
                <w:sz w:val="14"/>
              </w:rPr>
              <w:t>/ Budget</w:t>
            </w:r>
          </w:p>
        </w:tc>
        <w:tc>
          <w:tcPr>
            <w:tcW w:w="947" w:type="dxa"/>
          </w:tcPr>
          <w:p>
            <w:pPr>
              <w:pStyle w:val="TableParagraph"/>
              <w:rPr>
                <w:rFonts w:ascii="Times New Roman"/>
                <w:sz w:val="14"/>
              </w:rPr>
            </w:pPr>
          </w:p>
        </w:tc>
        <w:tc>
          <w:tcPr>
            <w:tcW w:w="917" w:type="dxa"/>
          </w:tcPr>
          <w:p>
            <w:pPr>
              <w:pStyle w:val="TableParagraph"/>
              <w:rPr>
                <w:rFonts w:ascii="Times New Roman"/>
                <w:sz w:val="14"/>
              </w:rPr>
            </w:pPr>
          </w:p>
        </w:tc>
        <w:tc>
          <w:tcPr>
            <w:tcW w:w="848" w:type="dxa"/>
          </w:tcPr>
          <w:p>
            <w:pPr>
              <w:pStyle w:val="TableParagraph"/>
              <w:rPr>
                <w:rFonts w:ascii="Times New Roman"/>
                <w:sz w:val="14"/>
              </w:rPr>
            </w:pPr>
          </w:p>
        </w:tc>
        <w:tc>
          <w:tcPr>
            <w:tcW w:w="937"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Regional Rice Value Chain Development</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5"/>
              <w:rPr>
                <w:sz w:val="14"/>
              </w:rPr>
            </w:pPr>
            <w:r>
              <w:rPr>
                <w:sz w:val="14"/>
              </w:rPr>
              <w:t>IDB/ GoSL</w:t>
            </w:r>
          </w:p>
        </w:tc>
        <w:tc>
          <w:tcPr>
            <w:tcW w:w="1250" w:type="dxa"/>
          </w:tcPr>
          <w:p>
            <w:pPr>
              <w:pStyle w:val="TableParagraph"/>
              <w:spacing w:before="32"/>
              <w:ind w:left="273"/>
              <w:rPr>
                <w:sz w:val="14"/>
              </w:rPr>
            </w:pPr>
            <w:r>
              <w:rPr>
                <w:sz w:val="14"/>
              </w:rPr>
              <w:t>Loan/ Budget</w:t>
            </w:r>
          </w:p>
        </w:tc>
        <w:tc>
          <w:tcPr>
            <w:tcW w:w="947" w:type="dxa"/>
          </w:tcPr>
          <w:p>
            <w:pPr>
              <w:pStyle w:val="TableParagraph"/>
              <w:spacing w:before="32"/>
              <w:ind w:right="187"/>
              <w:jc w:val="right"/>
              <w:rPr>
                <w:sz w:val="14"/>
              </w:rPr>
            </w:pPr>
            <w:r>
              <w:rPr>
                <w:w w:val="95"/>
                <w:sz w:val="14"/>
              </w:rPr>
              <w:t>50,520</w:t>
            </w:r>
          </w:p>
        </w:tc>
        <w:tc>
          <w:tcPr>
            <w:tcW w:w="917" w:type="dxa"/>
          </w:tcPr>
          <w:p>
            <w:pPr>
              <w:pStyle w:val="TableParagraph"/>
              <w:spacing w:before="32"/>
              <w:ind w:right="191"/>
              <w:jc w:val="right"/>
              <w:rPr>
                <w:sz w:val="14"/>
              </w:rPr>
            </w:pPr>
            <w:r>
              <w:rPr>
                <w:sz w:val="14"/>
              </w:rPr>
              <w:t>3,000</w:t>
            </w:r>
          </w:p>
        </w:tc>
        <w:tc>
          <w:tcPr>
            <w:tcW w:w="848" w:type="dxa"/>
          </w:tcPr>
          <w:p>
            <w:pPr>
              <w:pStyle w:val="TableParagraph"/>
              <w:spacing w:before="32"/>
              <w:ind w:right="190"/>
              <w:jc w:val="right"/>
              <w:rPr>
                <w:sz w:val="14"/>
              </w:rPr>
            </w:pPr>
            <w:r>
              <w:rPr>
                <w:sz w:val="14"/>
              </w:rPr>
              <w:t>5,000</w:t>
            </w:r>
          </w:p>
        </w:tc>
        <w:tc>
          <w:tcPr>
            <w:tcW w:w="937" w:type="dxa"/>
          </w:tcPr>
          <w:p>
            <w:pPr>
              <w:pStyle w:val="TableParagraph"/>
              <w:spacing w:before="32"/>
              <w:ind w:left="322"/>
              <w:rPr>
                <w:sz w:val="14"/>
              </w:rPr>
            </w:pPr>
            <w:r>
              <w:rPr>
                <w:sz w:val="14"/>
              </w:rPr>
              <w:t>5,225</w:t>
            </w:r>
          </w:p>
        </w:tc>
        <w:tc>
          <w:tcPr>
            <w:tcW w:w="792" w:type="dxa"/>
          </w:tcPr>
          <w:p>
            <w:pPr>
              <w:pStyle w:val="TableParagraph"/>
              <w:spacing w:before="32"/>
              <w:ind w:right="153"/>
              <w:jc w:val="right"/>
              <w:rPr>
                <w:sz w:val="14"/>
              </w:rPr>
            </w:pPr>
            <w:r>
              <w:rPr>
                <w:w w:val="95"/>
                <w:sz w:val="14"/>
              </w:rPr>
              <w:t>60,624</w:t>
            </w:r>
          </w:p>
        </w:tc>
        <w:tc>
          <w:tcPr>
            <w:tcW w:w="820" w:type="dxa"/>
          </w:tcPr>
          <w:p>
            <w:pPr>
              <w:pStyle w:val="TableParagraph"/>
              <w:spacing w:before="32"/>
              <w:ind w:right="17"/>
              <w:jc w:val="right"/>
              <w:rPr>
                <w:sz w:val="14"/>
              </w:rPr>
            </w:pPr>
            <w:r>
              <w:rPr>
                <w:sz w:val="14"/>
              </w:rPr>
              <w:t>6,967</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Sierra Leone Agribusiness and Rice Value Chain Support</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AfDB/ GoSL</w:t>
            </w:r>
          </w:p>
        </w:tc>
        <w:tc>
          <w:tcPr>
            <w:tcW w:w="1250" w:type="dxa"/>
          </w:tcPr>
          <w:p>
            <w:pPr>
              <w:pStyle w:val="TableParagraph"/>
              <w:rPr>
                <w:rFonts w:ascii="Times New Roman"/>
                <w:sz w:val="14"/>
              </w:rPr>
            </w:pPr>
          </w:p>
        </w:tc>
        <w:tc>
          <w:tcPr>
            <w:tcW w:w="947" w:type="dxa"/>
          </w:tcPr>
          <w:p>
            <w:pPr>
              <w:pStyle w:val="TableParagraph"/>
              <w:spacing w:before="32"/>
              <w:ind w:right="182"/>
              <w:jc w:val="right"/>
              <w:rPr>
                <w:sz w:val="14"/>
              </w:rPr>
            </w:pPr>
            <w:r>
              <w:rPr>
                <w:sz w:val="14"/>
              </w:rPr>
              <w:t>1,522</w:t>
            </w:r>
          </w:p>
        </w:tc>
        <w:tc>
          <w:tcPr>
            <w:tcW w:w="917" w:type="dxa"/>
          </w:tcPr>
          <w:p>
            <w:pPr>
              <w:pStyle w:val="TableParagraph"/>
              <w:spacing w:before="32"/>
              <w:ind w:right="191"/>
              <w:jc w:val="right"/>
              <w:rPr>
                <w:sz w:val="14"/>
              </w:rPr>
            </w:pPr>
            <w:r>
              <w:rPr>
                <w:sz w:val="14"/>
              </w:rPr>
              <w:t>1,522</w:t>
            </w:r>
          </w:p>
        </w:tc>
        <w:tc>
          <w:tcPr>
            <w:tcW w:w="848" w:type="dxa"/>
          </w:tcPr>
          <w:p>
            <w:pPr>
              <w:pStyle w:val="TableParagraph"/>
              <w:spacing w:before="32"/>
              <w:ind w:right="182"/>
              <w:jc w:val="right"/>
              <w:rPr>
                <w:sz w:val="14"/>
              </w:rPr>
            </w:pPr>
            <w:r>
              <w:rPr>
                <w:sz w:val="14"/>
              </w:rPr>
              <w:t>500</w:t>
            </w:r>
          </w:p>
        </w:tc>
        <w:tc>
          <w:tcPr>
            <w:tcW w:w="937" w:type="dxa"/>
          </w:tcPr>
          <w:p>
            <w:pPr>
              <w:pStyle w:val="TableParagraph"/>
              <w:spacing w:before="32"/>
              <w:ind w:left="322"/>
              <w:rPr>
                <w:sz w:val="14"/>
              </w:rPr>
            </w:pPr>
            <w:r>
              <w:rPr>
                <w:sz w:val="14"/>
              </w:rPr>
              <w:t>1,522</w:t>
            </w:r>
          </w:p>
        </w:tc>
        <w:tc>
          <w:tcPr>
            <w:tcW w:w="792" w:type="dxa"/>
          </w:tcPr>
          <w:p>
            <w:pPr>
              <w:pStyle w:val="TableParagraph"/>
              <w:spacing w:before="32"/>
              <w:ind w:right="147"/>
              <w:jc w:val="right"/>
              <w:rPr>
                <w:sz w:val="14"/>
              </w:rPr>
            </w:pPr>
            <w:r>
              <w:rPr>
                <w:sz w:val="14"/>
              </w:rPr>
              <w:t>1,826</w:t>
            </w:r>
          </w:p>
        </w:tc>
        <w:tc>
          <w:tcPr>
            <w:tcW w:w="820" w:type="dxa"/>
          </w:tcPr>
          <w:p>
            <w:pPr>
              <w:pStyle w:val="TableParagraph"/>
              <w:spacing w:before="32"/>
              <w:ind w:right="17"/>
              <w:jc w:val="right"/>
              <w:rPr>
                <w:sz w:val="14"/>
              </w:rPr>
            </w:pPr>
            <w:r>
              <w:rPr>
                <w:sz w:val="14"/>
              </w:rPr>
              <w:t>2,029</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National Re-Afforestation Programme</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left="258"/>
              <w:rPr>
                <w:sz w:val="14"/>
              </w:rPr>
            </w:pPr>
            <w:r>
              <w:rPr>
                <w:sz w:val="14"/>
              </w:rPr>
              <w:t>10,000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5,000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Feasibility Study for the Establishment of District Farm</w:t>
            </w: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rPr>
                <w:rFonts w:ascii="Times New Roman"/>
                <w:sz w:val="14"/>
              </w:rPr>
            </w:pPr>
          </w:p>
        </w:tc>
        <w:tc>
          <w:tcPr>
            <w:tcW w:w="1250" w:type="dxa"/>
          </w:tcPr>
          <w:p>
            <w:pPr>
              <w:pStyle w:val="TableParagraph"/>
              <w:rPr>
                <w:rFonts w:ascii="Times New Roman"/>
                <w:sz w:val="14"/>
              </w:rPr>
            </w:pPr>
          </w:p>
        </w:tc>
        <w:tc>
          <w:tcPr>
            <w:tcW w:w="947" w:type="dxa"/>
          </w:tcPr>
          <w:p>
            <w:pPr>
              <w:pStyle w:val="TableParagraph"/>
              <w:rPr>
                <w:rFonts w:ascii="Times New Roman"/>
                <w:sz w:val="14"/>
              </w:rPr>
            </w:pPr>
          </w:p>
        </w:tc>
        <w:tc>
          <w:tcPr>
            <w:tcW w:w="917" w:type="dxa"/>
          </w:tcPr>
          <w:p>
            <w:pPr>
              <w:pStyle w:val="TableParagraph"/>
              <w:rPr>
                <w:rFonts w:ascii="Times New Roman"/>
                <w:sz w:val="14"/>
              </w:rPr>
            </w:pPr>
          </w:p>
        </w:tc>
        <w:tc>
          <w:tcPr>
            <w:tcW w:w="848" w:type="dxa"/>
          </w:tcPr>
          <w:p>
            <w:pPr>
              <w:pStyle w:val="TableParagraph"/>
              <w:rPr>
                <w:rFonts w:ascii="Times New Roman"/>
                <w:sz w:val="14"/>
              </w:rPr>
            </w:pPr>
          </w:p>
        </w:tc>
        <w:tc>
          <w:tcPr>
            <w:tcW w:w="937"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Service Centres</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83"/>
              <w:jc w:val="right"/>
              <w:rPr>
                <w:sz w:val="14"/>
              </w:rPr>
            </w:pPr>
            <w:r>
              <w:rPr>
                <w:sz w:val="14"/>
              </w:rPr>
              <w:t>500</w:t>
            </w:r>
          </w:p>
        </w:tc>
        <w:tc>
          <w:tcPr>
            <w:tcW w:w="848" w:type="dxa"/>
          </w:tcPr>
          <w:p>
            <w:pPr>
              <w:pStyle w:val="TableParagraph"/>
              <w:rPr>
                <w:rFonts w:ascii="Times New Roman"/>
                <w:sz w:val="14"/>
              </w:rPr>
            </w:pPr>
          </w:p>
        </w:tc>
        <w:tc>
          <w:tcPr>
            <w:tcW w:w="937" w:type="dxa"/>
          </w:tcPr>
          <w:p>
            <w:pPr>
              <w:pStyle w:val="TableParagraph"/>
              <w:spacing w:before="32"/>
              <w:ind w:left="453"/>
              <w:rPr>
                <w:sz w:val="14"/>
              </w:rPr>
            </w:pPr>
            <w:r>
              <w:rPr>
                <w:sz w:val="14"/>
              </w:rPr>
              <w:t>550</w:t>
            </w:r>
          </w:p>
        </w:tc>
        <w:tc>
          <w:tcPr>
            <w:tcW w:w="792" w:type="dxa"/>
          </w:tcPr>
          <w:p>
            <w:pPr>
              <w:pStyle w:val="TableParagraph"/>
              <w:rPr>
                <w:rFonts w:ascii="Times New Roman"/>
                <w:sz w:val="14"/>
              </w:rPr>
            </w:pPr>
          </w:p>
        </w:tc>
        <w:tc>
          <w:tcPr>
            <w:tcW w:w="820" w:type="dxa"/>
          </w:tcPr>
          <w:p>
            <w:pPr>
              <w:pStyle w:val="TableParagraph"/>
              <w:spacing w:before="32"/>
              <w:ind w:right="9"/>
              <w:jc w:val="right"/>
              <w:rPr>
                <w:sz w:val="14"/>
              </w:rPr>
            </w:pPr>
            <w:r>
              <w:rPr>
                <w:sz w:val="14"/>
              </w:rPr>
              <w:t>605</w:t>
            </w:r>
          </w:p>
        </w:tc>
      </w:tr>
      <w:tr>
        <w:trPr>
          <w:trHeight w:val="230" w:hRule="atLeast"/>
        </w:trPr>
        <w:tc>
          <w:tcPr>
            <w:tcW w:w="470" w:type="dxa"/>
          </w:tcPr>
          <w:p>
            <w:pPr>
              <w:pStyle w:val="TableParagraph"/>
              <w:spacing w:before="32"/>
              <w:ind w:left="123"/>
              <w:rPr>
                <w:sz w:val="14"/>
              </w:rPr>
            </w:pPr>
            <w:r>
              <w:rPr>
                <w:sz w:val="14"/>
              </w:rPr>
              <w:t>402</w:t>
            </w:r>
          </w:p>
        </w:tc>
        <w:tc>
          <w:tcPr>
            <w:tcW w:w="4781" w:type="dxa"/>
          </w:tcPr>
          <w:p>
            <w:pPr>
              <w:pStyle w:val="TableParagraph"/>
              <w:spacing w:before="32"/>
              <w:ind w:left="95"/>
              <w:rPr>
                <w:b/>
                <w:sz w:val="14"/>
              </w:rPr>
            </w:pPr>
            <w:r>
              <w:rPr>
                <w:b/>
                <w:sz w:val="14"/>
              </w:rPr>
              <w:t>Ministry of Fisheries and Marine Resources (MoFMR)</w:t>
            </w: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rPr>
                <w:rFonts w:ascii="Times New Roman"/>
                <w:sz w:val="14"/>
              </w:rPr>
            </w:pPr>
          </w:p>
        </w:tc>
        <w:tc>
          <w:tcPr>
            <w:tcW w:w="1250" w:type="dxa"/>
          </w:tcPr>
          <w:p>
            <w:pPr>
              <w:pStyle w:val="TableParagraph"/>
              <w:rPr>
                <w:rFonts w:ascii="Times New Roman"/>
                <w:sz w:val="14"/>
              </w:rPr>
            </w:pPr>
          </w:p>
        </w:tc>
        <w:tc>
          <w:tcPr>
            <w:tcW w:w="947" w:type="dxa"/>
          </w:tcPr>
          <w:p>
            <w:pPr>
              <w:pStyle w:val="TableParagraph"/>
              <w:spacing w:before="32"/>
              <w:ind w:right="166"/>
              <w:jc w:val="right"/>
              <w:rPr>
                <w:b/>
                <w:sz w:val="14"/>
              </w:rPr>
            </w:pPr>
            <w:r>
              <w:rPr>
                <w:b/>
                <w:w w:val="99"/>
                <w:sz w:val="14"/>
              </w:rPr>
              <w:t>-</w:t>
            </w:r>
          </w:p>
        </w:tc>
        <w:tc>
          <w:tcPr>
            <w:tcW w:w="917" w:type="dxa"/>
          </w:tcPr>
          <w:p>
            <w:pPr>
              <w:pStyle w:val="TableParagraph"/>
              <w:spacing w:before="32"/>
              <w:ind w:right="207"/>
              <w:jc w:val="right"/>
              <w:rPr>
                <w:b/>
                <w:sz w:val="14"/>
              </w:rPr>
            </w:pPr>
            <w:r>
              <w:rPr>
                <w:b/>
                <w:sz w:val="14"/>
              </w:rPr>
              <w:t>7,500</w:t>
            </w:r>
          </w:p>
        </w:tc>
        <w:tc>
          <w:tcPr>
            <w:tcW w:w="848" w:type="dxa"/>
          </w:tcPr>
          <w:p>
            <w:pPr>
              <w:pStyle w:val="TableParagraph"/>
              <w:spacing w:before="32"/>
              <w:ind w:right="166"/>
              <w:jc w:val="right"/>
              <w:rPr>
                <w:b/>
                <w:sz w:val="14"/>
              </w:rPr>
            </w:pPr>
            <w:r>
              <w:rPr>
                <w:b/>
                <w:w w:val="99"/>
                <w:sz w:val="14"/>
              </w:rPr>
              <w:t>-</w:t>
            </w:r>
          </w:p>
        </w:tc>
        <w:tc>
          <w:tcPr>
            <w:tcW w:w="937" w:type="dxa"/>
          </w:tcPr>
          <w:p>
            <w:pPr>
              <w:pStyle w:val="TableParagraph"/>
              <w:spacing w:before="32"/>
              <w:ind w:left="287"/>
              <w:rPr>
                <w:b/>
                <w:sz w:val="14"/>
              </w:rPr>
            </w:pPr>
            <w:r>
              <w:rPr>
                <w:b/>
                <w:sz w:val="14"/>
              </w:rPr>
              <w:t>8,250</w:t>
            </w:r>
          </w:p>
        </w:tc>
        <w:tc>
          <w:tcPr>
            <w:tcW w:w="792" w:type="dxa"/>
          </w:tcPr>
          <w:p>
            <w:pPr>
              <w:pStyle w:val="TableParagraph"/>
              <w:spacing w:before="32"/>
              <w:ind w:right="131"/>
              <w:jc w:val="right"/>
              <w:rPr>
                <w:b/>
                <w:sz w:val="14"/>
              </w:rPr>
            </w:pPr>
            <w:r>
              <w:rPr>
                <w:b/>
                <w:w w:val="99"/>
                <w:sz w:val="14"/>
              </w:rPr>
              <w:t>-</w:t>
            </w:r>
          </w:p>
        </w:tc>
        <w:tc>
          <w:tcPr>
            <w:tcW w:w="820" w:type="dxa"/>
          </w:tcPr>
          <w:p>
            <w:pPr>
              <w:pStyle w:val="TableParagraph"/>
              <w:spacing w:before="32"/>
              <w:ind w:right="33"/>
              <w:jc w:val="right"/>
              <w:rPr>
                <w:b/>
                <w:sz w:val="14"/>
              </w:rPr>
            </w:pPr>
            <w:r>
              <w:rPr>
                <w:b/>
                <w:sz w:val="14"/>
              </w:rPr>
              <w:t>9,075</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Fish Stock Assessment Project</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Support to Artisanal Fishery Sector</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Rehabilitation/ Construction of Fishery Infrastructure</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Support to Women in Fishery</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9"/>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781" w:type="dxa"/>
          </w:tcPr>
          <w:p>
            <w:pPr>
              <w:pStyle w:val="TableParagraph"/>
              <w:spacing w:before="29"/>
              <w:ind w:left="262"/>
              <w:rPr>
                <w:sz w:val="14"/>
              </w:rPr>
            </w:pPr>
            <w:r>
              <w:rPr>
                <w:sz w:val="14"/>
              </w:rPr>
              <w:t>Strengthening Inland Fisheries and Aquaculture Production</w:t>
            </w:r>
          </w:p>
        </w:tc>
        <w:tc>
          <w:tcPr>
            <w:tcW w:w="838" w:type="dxa"/>
          </w:tcPr>
          <w:p>
            <w:pPr>
              <w:pStyle w:val="TableParagraph"/>
              <w:spacing w:before="29"/>
              <w:ind w:left="185"/>
              <w:rPr>
                <w:sz w:val="14"/>
              </w:rPr>
            </w:pPr>
            <w:r>
              <w:rPr>
                <w:sz w:val="14"/>
              </w:rPr>
              <w:t>Ongoing</w:t>
            </w:r>
          </w:p>
        </w:tc>
        <w:tc>
          <w:tcPr>
            <w:tcW w:w="1075" w:type="dxa"/>
          </w:tcPr>
          <w:p>
            <w:pPr>
              <w:pStyle w:val="TableParagraph"/>
              <w:spacing w:before="29"/>
              <w:ind w:left="86"/>
              <w:rPr>
                <w:sz w:val="14"/>
              </w:rPr>
            </w:pPr>
            <w:r>
              <w:rPr>
                <w:sz w:val="14"/>
              </w:rPr>
              <w:t>Nationwide</w:t>
            </w:r>
          </w:p>
        </w:tc>
        <w:tc>
          <w:tcPr>
            <w:tcW w:w="1120" w:type="dxa"/>
          </w:tcPr>
          <w:p>
            <w:pPr>
              <w:pStyle w:val="TableParagraph"/>
              <w:spacing w:before="29"/>
              <w:ind w:left="144"/>
              <w:rPr>
                <w:sz w:val="14"/>
              </w:rPr>
            </w:pPr>
            <w:r>
              <w:rPr>
                <w:sz w:val="14"/>
              </w:rPr>
              <w:t>GoSL</w:t>
            </w:r>
          </w:p>
        </w:tc>
        <w:tc>
          <w:tcPr>
            <w:tcW w:w="1250" w:type="dxa"/>
          </w:tcPr>
          <w:p>
            <w:pPr>
              <w:pStyle w:val="TableParagraph"/>
              <w:spacing w:before="29"/>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29"/>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29"/>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29"/>
              <w:ind w:right="17"/>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3"/>
              <w:rPr>
                <w:sz w:val="14"/>
              </w:rPr>
            </w:pPr>
            <w:r>
              <w:rPr>
                <w:sz w:val="14"/>
              </w:rPr>
              <w:t>Enhancing Monitoring Control and Surveillance Systems</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3"/>
              <w:rPr>
                <w:sz w:val="14"/>
              </w:rPr>
            </w:pPr>
            <w:r>
              <w:rPr>
                <w:sz w:val="14"/>
              </w:rPr>
              <w:t>Improving Quality and Safety Standards for Value</w:t>
            </w: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rPr>
                <w:rFonts w:ascii="Times New Roman"/>
                <w:sz w:val="14"/>
              </w:rPr>
            </w:pPr>
          </w:p>
        </w:tc>
        <w:tc>
          <w:tcPr>
            <w:tcW w:w="1250" w:type="dxa"/>
          </w:tcPr>
          <w:p>
            <w:pPr>
              <w:pStyle w:val="TableParagraph"/>
              <w:rPr>
                <w:rFonts w:ascii="Times New Roman"/>
                <w:sz w:val="14"/>
              </w:rPr>
            </w:pPr>
          </w:p>
        </w:tc>
        <w:tc>
          <w:tcPr>
            <w:tcW w:w="947" w:type="dxa"/>
          </w:tcPr>
          <w:p>
            <w:pPr>
              <w:pStyle w:val="TableParagraph"/>
              <w:rPr>
                <w:rFonts w:ascii="Times New Roman"/>
                <w:sz w:val="14"/>
              </w:rPr>
            </w:pPr>
          </w:p>
        </w:tc>
        <w:tc>
          <w:tcPr>
            <w:tcW w:w="917" w:type="dxa"/>
          </w:tcPr>
          <w:p>
            <w:pPr>
              <w:pStyle w:val="TableParagraph"/>
              <w:rPr>
                <w:rFonts w:ascii="Times New Roman"/>
                <w:sz w:val="14"/>
              </w:rPr>
            </w:pPr>
          </w:p>
        </w:tc>
        <w:tc>
          <w:tcPr>
            <w:tcW w:w="848" w:type="dxa"/>
          </w:tcPr>
          <w:p>
            <w:pPr>
              <w:pStyle w:val="TableParagraph"/>
              <w:rPr>
                <w:rFonts w:ascii="Times New Roman"/>
                <w:sz w:val="14"/>
              </w:rPr>
            </w:pPr>
          </w:p>
        </w:tc>
        <w:tc>
          <w:tcPr>
            <w:tcW w:w="937"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Addition and Exports</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2"/>
              <w:rPr>
                <w:sz w:val="14"/>
              </w:rPr>
            </w:pPr>
            <w:r>
              <w:rPr>
                <w:sz w:val="14"/>
              </w:rPr>
              <w:t>Support for Institutional Capacity Building</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83"/>
              <w:jc w:val="right"/>
              <w:rPr>
                <w:sz w:val="14"/>
              </w:rPr>
            </w:pPr>
            <w:r>
              <w:rPr>
                <w:sz w:val="14"/>
              </w:rPr>
              <w:t>500</w:t>
            </w:r>
          </w:p>
        </w:tc>
        <w:tc>
          <w:tcPr>
            <w:tcW w:w="848" w:type="dxa"/>
          </w:tcPr>
          <w:p>
            <w:pPr>
              <w:pStyle w:val="TableParagraph"/>
              <w:rPr>
                <w:rFonts w:ascii="Times New Roman"/>
                <w:sz w:val="14"/>
              </w:rPr>
            </w:pPr>
          </w:p>
        </w:tc>
        <w:tc>
          <w:tcPr>
            <w:tcW w:w="937" w:type="dxa"/>
          </w:tcPr>
          <w:p>
            <w:pPr>
              <w:pStyle w:val="TableParagraph"/>
              <w:spacing w:before="32"/>
              <w:ind w:left="453"/>
              <w:rPr>
                <w:sz w:val="14"/>
              </w:rPr>
            </w:pPr>
            <w:r>
              <w:rPr>
                <w:sz w:val="14"/>
              </w:rPr>
              <w:t>550</w:t>
            </w:r>
          </w:p>
        </w:tc>
        <w:tc>
          <w:tcPr>
            <w:tcW w:w="792" w:type="dxa"/>
          </w:tcPr>
          <w:p>
            <w:pPr>
              <w:pStyle w:val="TableParagraph"/>
              <w:rPr>
                <w:rFonts w:ascii="Times New Roman"/>
                <w:sz w:val="14"/>
              </w:rPr>
            </w:pPr>
          </w:p>
        </w:tc>
        <w:tc>
          <w:tcPr>
            <w:tcW w:w="820" w:type="dxa"/>
          </w:tcPr>
          <w:p>
            <w:pPr>
              <w:pStyle w:val="TableParagraph"/>
              <w:spacing w:before="32"/>
              <w:ind w:right="9"/>
              <w:jc w:val="right"/>
              <w:rPr>
                <w:sz w:val="14"/>
              </w:rPr>
            </w:pPr>
            <w:r>
              <w:rPr>
                <w:sz w:val="14"/>
              </w:rPr>
              <w:t>605</w:t>
            </w:r>
          </w:p>
        </w:tc>
      </w:tr>
      <w:tr>
        <w:trPr>
          <w:trHeight w:val="230" w:hRule="atLeast"/>
        </w:trPr>
        <w:tc>
          <w:tcPr>
            <w:tcW w:w="470" w:type="dxa"/>
          </w:tcPr>
          <w:p>
            <w:pPr>
              <w:pStyle w:val="TableParagraph"/>
              <w:spacing w:before="32"/>
              <w:ind w:left="123"/>
              <w:rPr>
                <w:sz w:val="14"/>
              </w:rPr>
            </w:pPr>
            <w:r>
              <w:rPr>
                <w:sz w:val="14"/>
              </w:rPr>
              <w:t>303</w:t>
            </w:r>
          </w:p>
        </w:tc>
        <w:tc>
          <w:tcPr>
            <w:tcW w:w="4781" w:type="dxa"/>
          </w:tcPr>
          <w:p>
            <w:pPr>
              <w:pStyle w:val="TableParagraph"/>
              <w:spacing w:before="32"/>
              <w:ind w:left="95"/>
              <w:rPr>
                <w:b/>
                <w:sz w:val="14"/>
              </w:rPr>
            </w:pPr>
            <w:r>
              <w:rPr>
                <w:b/>
                <w:sz w:val="14"/>
              </w:rPr>
              <w:t>Ministry of Toursim and Cultural Affairs (MoTCA)</w:t>
            </w: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rPr>
                <w:rFonts w:ascii="Times New Roman"/>
                <w:sz w:val="14"/>
              </w:rPr>
            </w:pPr>
          </w:p>
        </w:tc>
        <w:tc>
          <w:tcPr>
            <w:tcW w:w="1250" w:type="dxa"/>
          </w:tcPr>
          <w:p>
            <w:pPr>
              <w:pStyle w:val="TableParagraph"/>
              <w:rPr>
                <w:rFonts w:ascii="Times New Roman"/>
                <w:sz w:val="14"/>
              </w:rPr>
            </w:pPr>
          </w:p>
        </w:tc>
        <w:tc>
          <w:tcPr>
            <w:tcW w:w="947" w:type="dxa"/>
          </w:tcPr>
          <w:p>
            <w:pPr>
              <w:pStyle w:val="TableParagraph"/>
              <w:spacing w:before="32"/>
              <w:ind w:right="166"/>
              <w:jc w:val="right"/>
              <w:rPr>
                <w:b/>
                <w:sz w:val="14"/>
              </w:rPr>
            </w:pPr>
            <w:r>
              <w:rPr>
                <w:b/>
                <w:w w:val="99"/>
                <w:sz w:val="14"/>
              </w:rPr>
              <w:t>-</w:t>
            </w:r>
          </w:p>
        </w:tc>
        <w:tc>
          <w:tcPr>
            <w:tcW w:w="917" w:type="dxa"/>
          </w:tcPr>
          <w:p>
            <w:pPr>
              <w:pStyle w:val="TableParagraph"/>
              <w:spacing w:before="32"/>
              <w:ind w:right="207"/>
              <w:jc w:val="right"/>
              <w:rPr>
                <w:b/>
                <w:sz w:val="14"/>
              </w:rPr>
            </w:pPr>
            <w:r>
              <w:rPr>
                <w:b/>
                <w:sz w:val="14"/>
              </w:rPr>
              <w:t>1,900</w:t>
            </w:r>
          </w:p>
        </w:tc>
        <w:tc>
          <w:tcPr>
            <w:tcW w:w="848" w:type="dxa"/>
          </w:tcPr>
          <w:p>
            <w:pPr>
              <w:pStyle w:val="TableParagraph"/>
              <w:spacing w:before="32"/>
              <w:ind w:right="166"/>
              <w:jc w:val="right"/>
              <w:rPr>
                <w:b/>
                <w:sz w:val="14"/>
              </w:rPr>
            </w:pPr>
            <w:r>
              <w:rPr>
                <w:b/>
                <w:w w:val="99"/>
                <w:sz w:val="14"/>
              </w:rPr>
              <w:t>-</w:t>
            </w:r>
          </w:p>
        </w:tc>
        <w:tc>
          <w:tcPr>
            <w:tcW w:w="937" w:type="dxa"/>
          </w:tcPr>
          <w:p>
            <w:pPr>
              <w:pStyle w:val="TableParagraph"/>
              <w:spacing w:before="32"/>
              <w:ind w:left="287"/>
              <w:rPr>
                <w:b/>
                <w:sz w:val="14"/>
              </w:rPr>
            </w:pPr>
            <w:r>
              <w:rPr>
                <w:b/>
                <w:sz w:val="14"/>
              </w:rPr>
              <w:t>2,090</w:t>
            </w:r>
          </w:p>
        </w:tc>
        <w:tc>
          <w:tcPr>
            <w:tcW w:w="792" w:type="dxa"/>
          </w:tcPr>
          <w:p>
            <w:pPr>
              <w:pStyle w:val="TableParagraph"/>
              <w:spacing w:before="32"/>
              <w:ind w:right="131"/>
              <w:jc w:val="right"/>
              <w:rPr>
                <w:b/>
                <w:sz w:val="14"/>
              </w:rPr>
            </w:pPr>
            <w:r>
              <w:rPr>
                <w:b/>
                <w:w w:val="99"/>
                <w:sz w:val="14"/>
              </w:rPr>
              <w:t>-</w:t>
            </w:r>
          </w:p>
        </w:tc>
        <w:tc>
          <w:tcPr>
            <w:tcW w:w="820" w:type="dxa"/>
          </w:tcPr>
          <w:p>
            <w:pPr>
              <w:pStyle w:val="TableParagraph"/>
              <w:spacing w:before="32"/>
              <w:ind w:right="33"/>
              <w:jc w:val="right"/>
              <w:rPr>
                <w:b/>
                <w:sz w:val="14"/>
              </w:rPr>
            </w:pPr>
            <w:r>
              <w:rPr>
                <w:b/>
                <w:sz w:val="14"/>
              </w:rPr>
              <w:t>2,299</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right="218"/>
              <w:jc w:val="right"/>
              <w:rPr>
                <w:sz w:val="14"/>
              </w:rPr>
            </w:pPr>
            <w:r>
              <w:rPr>
                <w:sz w:val="14"/>
              </w:rPr>
              <w:t>Promotion and Reactivation of Domestic Tourism in Coastal Areas</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83"/>
              <w:jc w:val="right"/>
              <w:rPr>
                <w:sz w:val="14"/>
              </w:rPr>
            </w:pPr>
            <w:r>
              <w:rPr>
                <w:sz w:val="14"/>
              </w:rPr>
              <w:t>500</w:t>
            </w:r>
          </w:p>
        </w:tc>
        <w:tc>
          <w:tcPr>
            <w:tcW w:w="848" w:type="dxa"/>
          </w:tcPr>
          <w:p>
            <w:pPr>
              <w:pStyle w:val="TableParagraph"/>
              <w:rPr>
                <w:rFonts w:ascii="Times New Roman"/>
                <w:sz w:val="14"/>
              </w:rPr>
            </w:pPr>
          </w:p>
        </w:tc>
        <w:tc>
          <w:tcPr>
            <w:tcW w:w="937" w:type="dxa"/>
          </w:tcPr>
          <w:p>
            <w:pPr>
              <w:pStyle w:val="TableParagraph"/>
              <w:spacing w:before="32"/>
              <w:ind w:left="453"/>
              <w:rPr>
                <w:sz w:val="14"/>
              </w:rPr>
            </w:pPr>
            <w:r>
              <w:rPr>
                <w:sz w:val="14"/>
              </w:rPr>
              <w:t>550</w:t>
            </w:r>
          </w:p>
        </w:tc>
        <w:tc>
          <w:tcPr>
            <w:tcW w:w="792" w:type="dxa"/>
          </w:tcPr>
          <w:p>
            <w:pPr>
              <w:pStyle w:val="TableParagraph"/>
              <w:rPr>
                <w:rFonts w:ascii="Times New Roman"/>
                <w:sz w:val="14"/>
              </w:rPr>
            </w:pPr>
          </w:p>
        </w:tc>
        <w:tc>
          <w:tcPr>
            <w:tcW w:w="820" w:type="dxa"/>
          </w:tcPr>
          <w:p>
            <w:pPr>
              <w:pStyle w:val="TableParagraph"/>
              <w:spacing w:before="32"/>
              <w:ind w:right="9"/>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3"/>
              <w:rPr>
                <w:sz w:val="14"/>
              </w:rPr>
            </w:pPr>
            <w:r>
              <w:rPr>
                <w:sz w:val="14"/>
              </w:rPr>
              <w:t>Development of Tourism Facilities in Five (5) Prime</w:t>
            </w: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rPr>
                <w:rFonts w:ascii="Times New Roman"/>
                <w:sz w:val="14"/>
              </w:rPr>
            </w:pPr>
          </w:p>
        </w:tc>
        <w:tc>
          <w:tcPr>
            <w:tcW w:w="1250" w:type="dxa"/>
          </w:tcPr>
          <w:p>
            <w:pPr>
              <w:pStyle w:val="TableParagraph"/>
              <w:rPr>
                <w:rFonts w:ascii="Times New Roman"/>
                <w:sz w:val="14"/>
              </w:rPr>
            </w:pPr>
          </w:p>
        </w:tc>
        <w:tc>
          <w:tcPr>
            <w:tcW w:w="947" w:type="dxa"/>
          </w:tcPr>
          <w:p>
            <w:pPr>
              <w:pStyle w:val="TableParagraph"/>
              <w:rPr>
                <w:rFonts w:ascii="Times New Roman"/>
                <w:sz w:val="14"/>
              </w:rPr>
            </w:pPr>
          </w:p>
        </w:tc>
        <w:tc>
          <w:tcPr>
            <w:tcW w:w="917" w:type="dxa"/>
          </w:tcPr>
          <w:p>
            <w:pPr>
              <w:pStyle w:val="TableParagraph"/>
              <w:rPr>
                <w:rFonts w:ascii="Times New Roman"/>
                <w:sz w:val="14"/>
              </w:rPr>
            </w:pPr>
          </w:p>
        </w:tc>
        <w:tc>
          <w:tcPr>
            <w:tcW w:w="848" w:type="dxa"/>
          </w:tcPr>
          <w:p>
            <w:pPr>
              <w:pStyle w:val="TableParagraph"/>
              <w:rPr>
                <w:rFonts w:ascii="Times New Roman"/>
                <w:sz w:val="14"/>
              </w:rPr>
            </w:pPr>
          </w:p>
        </w:tc>
        <w:tc>
          <w:tcPr>
            <w:tcW w:w="937"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3"/>
              <w:rPr>
                <w:sz w:val="14"/>
              </w:rPr>
            </w:pPr>
            <w:r>
              <w:rPr>
                <w:sz w:val="14"/>
              </w:rPr>
              <w:t>Ecotourism Sites</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81" w:type="dxa"/>
          </w:tcPr>
          <w:p>
            <w:pPr>
              <w:pStyle w:val="TableParagraph"/>
              <w:spacing w:before="32"/>
              <w:ind w:left="263"/>
              <w:rPr>
                <w:sz w:val="14"/>
              </w:rPr>
            </w:pPr>
            <w:r>
              <w:rPr>
                <w:sz w:val="14"/>
              </w:rPr>
              <w:t>Institutional Support for Capacity Building</w:t>
            </w:r>
          </w:p>
        </w:tc>
        <w:tc>
          <w:tcPr>
            <w:tcW w:w="838" w:type="dxa"/>
          </w:tcPr>
          <w:p>
            <w:pPr>
              <w:pStyle w:val="TableParagraph"/>
              <w:spacing w:before="32"/>
              <w:ind w:left="185"/>
              <w:rPr>
                <w:sz w:val="14"/>
              </w:rPr>
            </w:pPr>
            <w:r>
              <w:rPr>
                <w:sz w:val="14"/>
              </w:rPr>
              <w:t>New</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83"/>
              <w:jc w:val="right"/>
              <w:rPr>
                <w:sz w:val="14"/>
              </w:rPr>
            </w:pPr>
            <w:r>
              <w:rPr>
                <w:sz w:val="14"/>
              </w:rPr>
              <w:t>400</w:t>
            </w:r>
          </w:p>
        </w:tc>
        <w:tc>
          <w:tcPr>
            <w:tcW w:w="848" w:type="dxa"/>
          </w:tcPr>
          <w:p>
            <w:pPr>
              <w:pStyle w:val="TableParagraph"/>
              <w:rPr>
                <w:rFonts w:ascii="Times New Roman"/>
                <w:sz w:val="14"/>
              </w:rPr>
            </w:pPr>
          </w:p>
        </w:tc>
        <w:tc>
          <w:tcPr>
            <w:tcW w:w="937" w:type="dxa"/>
          </w:tcPr>
          <w:p>
            <w:pPr>
              <w:pStyle w:val="TableParagraph"/>
              <w:spacing w:before="32"/>
              <w:ind w:left="453"/>
              <w:rPr>
                <w:sz w:val="14"/>
              </w:rPr>
            </w:pPr>
            <w:r>
              <w:rPr>
                <w:sz w:val="14"/>
              </w:rPr>
              <w:t>440</w:t>
            </w:r>
          </w:p>
        </w:tc>
        <w:tc>
          <w:tcPr>
            <w:tcW w:w="792" w:type="dxa"/>
          </w:tcPr>
          <w:p>
            <w:pPr>
              <w:pStyle w:val="TableParagraph"/>
              <w:rPr>
                <w:rFonts w:ascii="Times New Roman"/>
                <w:sz w:val="14"/>
              </w:rPr>
            </w:pPr>
          </w:p>
        </w:tc>
        <w:tc>
          <w:tcPr>
            <w:tcW w:w="820" w:type="dxa"/>
          </w:tcPr>
          <w:p>
            <w:pPr>
              <w:pStyle w:val="TableParagraph"/>
              <w:spacing w:before="32"/>
              <w:ind w:right="9"/>
              <w:jc w:val="right"/>
              <w:rPr>
                <w:sz w:val="14"/>
              </w:rPr>
            </w:pPr>
            <w:r>
              <w:rPr>
                <w:sz w:val="14"/>
              </w:rPr>
              <w:t>484</w:t>
            </w:r>
          </w:p>
        </w:tc>
      </w:tr>
      <w:tr>
        <w:trPr>
          <w:trHeight w:val="230" w:hRule="atLeast"/>
        </w:trPr>
        <w:tc>
          <w:tcPr>
            <w:tcW w:w="470" w:type="dxa"/>
          </w:tcPr>
          <w:p>
            <w:pPr>
              <w:pStyle w:val="TableParagraph"/>
              <w:spacing w:before="32"/>
              <w:ind w:left="123"/>
              <w:rPr>
                <w:sz w:val="14"/>
              </w:rPr>
            </w:pPr>
            <w:r>
              <w:rPr>
                <w:sz w:val="14"/>
              </w:rPr>
              <w:t>405</w:t>
            </w:r>
          </w:p>
        </w:tc>
        <w:tc>
          <w:tcPr>
            <w:tcW w:w="4781" w:type="dxa"/>
          </w:tcPr>
          <w:p>
            <w:pPr>
              <w:pStyle w:val="TableParagraph"/>
              <w:spacing w:before="32"/>
              <w:ind w:left="94"/>
              <w:rPr>
                <w:b/>
                <w:sz w:val="14"/>
              </w:rPr>
            </w:pPr>
            <w:r>
              <w:rPr>
                <w:b/>
                <w:sz w:val="14"/>
              </w:rPr>
              <w:t>National Tourist Board (NTB)</w:t>
            </w:r>
          </w:p>
        </w:tc>
        <w:tc>
          <w:tcPr>
            <w:tcW w:w="838" w:type="dxa"/>
          </w:tcPr>
          <w:p>
            <w:pPr>
              <w:pStyle w:val="TableParagraph"/>
              <w:rPr>
                <w:rFonts w:ascii="Times New Roman"/>
                <w:sz w:val="14"/>
              </w:rPr>
            </w:pPr>
          </w:p>
        </w:tc>
        <w:tc>
          <w:tcPr>
            <w:tcW w:w="1075" w:type="dxa"/>
          </w:tcPr>
          <w:p>
            <w:pPr>
              <w:pStyle w:val="TableParagraph"/>
              <w:rPr>
                <w:rFonts w:ascii="Times New Roman"/>
                <w:sz w:val="14"/>
              </w:rPr>
            </w:pPr>
          </w:p>
        </w:tc>
        <w:tc>
          <w:tcPr>
            <w:tcW w:w="1120" w:type="dxa"/>
          </w:tcPr>
          <w:p>
            <w:pPr>
              <w:pStyle w:val="TableParagraph"/>
              <w:rPr>
                <w:rFonts w:ascii="Times New Roman"/>
                <w:sz w:val="14"/>
              </w:rPr>
            </w:pPr>
          </w:p>
        </w:tc>
        <w:tc>
          <w:tcPr>
            <w:tcW w:w="1250" w:type="dxa"/>
          </w:tcPr>
          <w:p>
            <w:pPr>
              <w:pStyle w:val="TableParagraph"/>
              <w:rPr>
                <w:rFonts w:ascii="Times New Roman"/>
                <w:sz w:val="14"/>
              </w:rPr>
            </w:pPr>
          </w:p>
        </w:tc>
        <w:tc>
          <w:tcPr>
            <w:tcW w:w="947" w:type="dxa"/>
          </w:tcPr>
          <w:p>
            <w:pPr>
              <w:pStyle w:val="TableParagraph"/>
              <w:spacing w:before="32"/>
              <w:ind w:right="211"/>
              <w:jc w:val="right"/>
              <w:rPr>
                <w:b/>
                <w:sz w:val="14"/>
              </w:rPr>
            </w:pPr>
            <w:r>
              <w:rPr>
                <w:b/>
                <w:w w:val="95"/>
                <w:sz w:val="14"/>
              </w:rPr>
              <w:t>28,500</w:t>
            </w:r>
          </w:p>
        </w:tc>
        <w:tc>
          <w:tcPr>
            <w:tcW w:w="917" w:type="dxa"/>
          </w:tcPr>
          <w:p>
            <w:pPr>
              <w:pStyle w:val="TableParagraph"/>
              <w:spacing w:before="32"/>
              <w:ind w:right="207"/>
              <w:jc w:val="right"/>
              <w:rPr>
                <w:b/>
                <w:sz w:val="14"/>
              </w:rPr>
            </w:pPr>
            <w:r>
              <w:rPr>
                <w:b/>
                <w:sz w:val="14"/>
              </w:rPr>
              <w:t>8,200</w:t>
            </w:r>
          </w:p>
        </w:tc>
        <w:tc>
          <w:tcPr>
            <w:tcW w:w="848" w:type="dxa"/>
          </w:tcPr>
          <w:p>
            <w:pPr>
              <w:pStyle w:val="TableParagraph"/>
              <w:spacing w:before="32"/>
              <w:ind w:right="210"/>
              <w:jc w:val="right"/>
              <w:rPr>
                <w:b/>
                <w:sz w:val="14"/>
              </w:rPr>
            </w:pPr>
            <w:r>
              <w:rPr>
                <w:b/>
                <w:w w:val="95"/>
                <w:sz w:val="14"/>
              </w:rPr>
              <w:t>10,200</w:t>
            </w:r>
          </w:p>
        </w:tc>
        <w:tc>
          <w:tcPr>
            <w:tcW w:w="937" w:type="dxa"/>
          </w:tcPr>
          <w:p>
            <w:pPr>
              <w:pStyle w:val="TableParagraph"/>
              <w:spacing w:before="32"/>
              <w:ind w:left="287"/>
              <w:rPr>
                <w:b/>
                <w:sz w:val="14"/>
              </w:rPr>
            </w:pPr>
            <w:r>
              <w:rPr>
                <w:b/>
                <w:sz w:val="14"/>
              </w:rPr>
              <w:t>9,020</w:t>
            </w:r>
          </w:p>
        </w:tc>
        <w:tc>
          <w:tcPr>
            <w:tcW w:w="792" w:type="dxa"/>
          </w:tcPr>
          <w:p>
            <w:pPr>
              <w:pStyle w:val="TableParagraph"/>
              <w:spacing w:before="32"/>
              <w:ind w:right="186"/>
              <w:jc w:val="right"/>
              <w:rPr>
                <w:b/>
                <w:sz w:val="14"/>
              </w:rPr>
            </w:pPr>
            <w:r>
              <w:rPr>
                <w:b/>
                <w:w w:val="95"/>
                <w:sz w:val="14"/>
              </w:rPr>
              <w:t>34,200</w:t>
            </w:r>
          </w:p>
        </w:tc>
        <w:tc>
          <w:tcPr>
            <w:tcW w:w="820" w:type="dxa"/>
          </w:tcPr>
          <w:p>
            <w:pPr>
              <w:pStyle w:val="TableParagraph"/>
              <w:spacing w:before="32"/>
              <w:ind w:right="33"/>
              <w:jc w:val="right"/>
              <w:rPr>
                <w:b/>
                <w:sz w:val="14"/>
              </w:rPr>
            </w:pPr>
            <w:r>
              <w:rPr>
                <w:b/>
                <w:sz w:val="14"/>
              </w:rPr>
              <w:t>9,922</w:t>
            </w:r>
          </w:p>
        </w:tc>
      </w:tr>
      <w:tr>
        <w:trPr>
          <w:trHeight w:val="227" w:hRule="atLeast"/>
        </w:trPr>
        <w:tc>
          <w:tcPr>
            <w:tcW w:w="470" w:type="dxa"/>
          </w:tcPr>
          <w:p>
            <w:pPr>
              <w:pStyle w:val="TableParagraph"/>
              <w:rPr>
                <w:rFonts w:ascii="Times New Roman"/>
                <w:sz w:val="14"/>
              </w:rPr>
            </w:pPr>
          </w:p>
        </w:tc>
        <w:tc>
          <w:tcPr>
            <w:tcW w:w="4781" w:type="dxa"/>
          </w:tcPr>
          <w:p>
            <w:pPr>
              <w:pStyle w:val="TableParagraph"/>
              <w:spacing w:before="32"/>
              <w:ind w:left="263"/>
              <w:rPr>
                <w:sz w:val="14"/>
              </w:rPr>
            </w:pPr>
            <w:r>
              <w:rPr>
                <w:sz w:val="14"/>
              </w:rPr>
              <w:t>Development of Lumley Beach Project - Phase II</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Western Area</w:t>
            </w:r>
          </w:p>
        </w:tc>
        <w:tc>
          <w:tcPr>
            <w:tcW w:w="1120" w:type="dxa"/>
          </w:tcPr>
          <w:p>
            <w:pPr>
              <w:pStyle w:val="TableParagraph"/>
              <w:spacing w:before="32"/>
              <w:ind w:left="144"/>
              <w:rPr>
                <w:sz w:val="14"/>
              </w:rPr>
            </w:pPr>
            <w:r>
              <w:rPr>
                <w:sz w:val="14"/>
              </w:rPr>
              <w:t>GoSL</w:t>
            </w:r>
          </w:p>
        </w:tc>
        <w:tc>
          <w:tcPr>
            <w:tcW w:w="1250" w:type="dxa"/>
          </w:tcPr>
          <w:p>
            <w:pPr>
              <w:pStyle w:val="TableParagraph"/>
              <w:spacing w:before="32"/>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32"/>
              <w:ind w:right="191"/>
              <w:jc w:val="right"/>
              <w:rPr>
                <w:sz w:val="14"/>
              </w:rPr>
            </w:pPr>
            <w:r>
              <w:rPr>
                <w:sz w:val="14"/>
              </w:rPr>
              <w:t>1,000</w:t>
            </w:r>
          </w:p>
        </w:tc>
        <w:tc>
          <w:tcPr>
            <w:tcW w:w="848" w:type="dxa"/>
          </w:tcPr>
          <w:p>
            <w:pPr>
              <w:pStyle w:val="TableParagraph"/>
              <w:rPr>
                <w:rFonts w:ascii="Times New Roman"/>
                <w:sz w:val="14"/>
              </w:rPr>
            </w:pPr>
          </w:p>
        </w:tc>
        <w:tc>
          <w:tcPr>
            <w:tcW w:w="937" w:type="dxa"/>
          </w:tcPr>
          <w:p>
            <w:pPr>
              <w:pStyle w:val="TableParagraph"/>
              <w:spacing w:before="32"/>
              <w:ind w:left="322"/>
              <w:rPr>
                <w:sz w:val="14"/>
              </w:rPr>
            </w:pPr>
            <w:r>
              <w:rPr>
                <w:sz w:val="14"/>
              </w:rPr>
              <w:t>1,100</w:t>
            </w:r>
          </w:p>
        </w:tc>
        <w:tc>
          <w:tcPr>
            <w:tcW w:w="792" w:type="dxa"/>
          </w:tcPr>
          <w:p>
            <w:pPr>
              <w:pStyle w:val="TableParagraph"/>
              <w:rPr>
                <w:rFonts w:ascii="Times New Roman"/>
                <w:sz w:val="14"/>
              </w:rPr>
            </w:pPr>
          </w:p>
        </w:tc>
        <w:tc>
          <w:tcPr>
            <w:tcW w:w="820" w:type="dxa"/>
          </w:tcPr>
          <w:p>
            <w:pPr>
              <w:pStyle w:val="TableParagraph"/>
              <w:spacing w:before="32"/>
              <w:ind w:right="17"/>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781" w:type="dxa"/>
          </w:tcPr>
          <w:p>
            <w:pPr>
              <w:pStyle w:val="TableParagraph"/>
              <w:spacing w:before="29"/>
              <w:ind w:left="262"/>
              <w:rPr>
                <w:sz w:val="14"/>
              </w:rPr>
            </w:pPr>
            <w:r>
              <w:rPr>
                <w:sz w:val="14"/>
              </w:rPr>
              <w:t>Peninsular Beaches Sanitation and Securiy Project</w:t>
            </w:r>
          </w:p>
        </w:tc>
        <w:tc>
          <w:tcPr>
            <w:tcW w:w="838" w:type="dxa"/>
          </w:tcPr>
          <w:p>
            <w:pPr>
              <w:pStyle w:val="TableParagraph"/>
              <w:spacing w:before="29"/>
              <w:ind w:left="185"/>
              <w:rPr>
                <w:sz w:val="14"/>
              </w:rPr>
            </w:pPr>
            <w:r>
              <w:rPr>
                <w:sz w:val="14"/>
              </w:rPr>
              <w:t>Ongoing</w:t>
            </w:r>
          </w:p>
        </w:tc>
        <w:tc>
          <w:tcPr>
            <w:tcW w:w="1075" w:type="dxa"/>
          </w:tcPr>
          <w:p>
            <w:pPr>
              <w:pStyle w:val="TableParagraph"/>
              <w:spacing w:before="29"/>
              <w:ind w:left="86"/>
              <w:rPr>
                <w:sz w:val="14"/>
              </w:rPr>
            </w:pPr>
            <w:r>
              <w:rPr>
                <w:sz w:val="14"/>
              </w:rPr>
              <w:t>Western Area</w:t>
            </w:r>
          </w:p>
        </w:tc>
        <w:tc>
          <w:tcPr>
            <w:tcW w:w="1120" w:type="dxa"/>
          </w:tcPr>
          <w:p>
            <w:pPr>
              <w:pStyle w:val="TableParagraph"/>
              <w:spacing w:before="29"/>
              <w:ind w:left="144"/>
              <w:rPr>
                <w:sz w:val="14"/>
              </w:rPr>
            </w:pPr>
            <w:r>
              <w:rPr>
                <w:sz w:val="14"/>
              </w:rPr>
              <w:t>GoSL</w:t>
            </w:r>
          </w:p>
        </w:tc>
        <w:tc>
          <w:tcPr>
            <w:tcW w:w="1250" w:type="dxa"/>
          </w:tcPr>
          <w:p>
            <w:pPr>
              <w:pStyle w:val="TableParagraph"/>
              <w:spacing w:before="29"/>
              <w:ind w:left="273"/>
              <w:rPr>
                <w:sz w:val="14"/>
              </w:rPr>
            </w:pPr>
            <w:r>
              <w:rPr>
                <w:sz w:val="14"/>
              </w:rPr>
              <w:t>Budget</w:t>
            </w:r>
          </w:p>
        </w:tc>
        <w:tc>
          <w:tcPr>
            <w:tcW w:w="947" w:type="dxa"/>
          </w:tcPr>
          <w:p>
            <w:pPr>
              <w:pStyle w:val="TableParagraph"/>
              <w:rPr>
                <w:rFonts w:ascii="Times New Roman"/>
                <w:sz w:val="14"/>
              </w:rPr>
            </w:pPr>
          </w:p>
        </w:tc>
        <w:tc>
          <w:tcPr>
            <w:tcW w:w="917" w:type="dxa"/>
          </w:tcPr>
          <w:p>
            <w:pPr>
              <w:pStyle w:val="TableParagraph"/>
              <w:spacing w:before="29"/>
              <w:ind w:right="191"/>
              <w:jc w:val="right"/>
              <w:rPr>
                <w:sz w:val="14"/>
              </w:rPr>
            </w:pPr>
            <w:r>
              <w:rPr>
                <w:sz w:val="14"/>
              </w:rPr>
              <w:t>2,000</w:t>
            </w:r>
          </w:p>
        </w:tc>
        <w:tc>
          <w:tcPr>
            <w:tcW w:w="848" w:type="dxa"/>
          </w:tcPr>
          <w:p>
            <w:pPr>
              <w:pStyle w:val="TableParagraph"/>
              <w:rPr>
                <w:rFonts w:ascii="Times New Roman"/>
                <w:sz w:val="14"/>
              </w:rPr>
            </w:pPr>
          </w:p>
        </w:tc>
        <w:tc>
          <w:tcPr>
            <w:tcW w:w="937" w:type="dxa"/>
          </w:tcPr>
          <w:p>
            <w:pPr>
              <w:pStyle w:val="TableParagraph"/>
              <w:spacing w:before="29"/>
              <w:ind w:left="322"/>
              <w:rPr>
                <w:sz w:val="14"/>
              </w:rPr>
            </w:pPr>
            <w:r>
              <w:rPr>
                <w:sz w:val="14"/>
              </w:rPr>
              <w:t>2,200</w:t>
            </w:r>
          </w:p>
        </w:tc>
        <w:tc>
          <w:tcPr>
            <w:tcW w:w="792" w:type="dxa"/>
          </w:tcPr>
          <w:p>
            <w:pPr>
              <w:pStyle w:val="TableParagraph"/>
              <w:rPr>
                <w:rFonts w:ascii="Times New Roman"/>
                <w:sz w:val="14"/>
              </w:rPr>
            </w:pPr>
          </w:p>
        </w:tc>
        <w:tc>
          <w:tcPr>
            <w:tcW w:w="820" w:type="dxa"/>
          </w:tcPr>
          <w:p>
            <w:pPr>
              <w:pStyle w:val="TableParagraph"/>
              <w:spacing w:before="29"/>
              <w:ind w:right="17"/>
              <w:jc w:val="right"/>
              <w:rPr>
                <w:sz w:val="14"/>
              </w:rPr>
            </w:pPr>
            <w:r>
              <w:rPr>
                <w:sz w:val="14"/>
              </w:rPr>
              <w:t>2,420</w:t>
            </w:r>
          </w:p>
        </w:tc>
      </w:tr>
      <w:tr>
        <w:trPr>
          <w:trHeight w:val="227" w:hRule="atLeast"/>
        </w:trPr>
        <w:tc>
          <w:tcPr>
            <w:tcW w:w="470" w:type="dxa"/>
          </w:tcPr>
          <w:p>
            <w:pPr>
              <w:pStyle w:val="TableParagraph"/>
              <w:rPr>
                <w:rFonts w:ascii="Times New Roman"/>
                <w:sz w:val="14"/>
              </w:rPr>
            </w:pPr>
          </w:p>
        </w:tc>
        <w:tc>
          <w:tcPr>
            <w:tcW w:w="4781" w:type="dxa"/>
          </w:tcPr>
          <w:p>
            <w:pPr>
              <w:pStyle w:val="TableParagraph"/>
              <w:spacing w:before="32"/>
              <w:ind w:right="185"/>
              <w:jc w:val="right"/>
              <w:rPr>
                <w:sz w:val="14"/>
              </w:rPr>
            </w:pPr>
            <w:r>
              <w:rPr>
                <w:sz w:val="14"/>
              </w:rPr>
              <w:t>Sustainable Tourism Development and Promotion Project (STDPP)</w:t>
            </w:r>
          </w:p>
        </w:tc>
        <w:tc>
          <w:tcPr>
            <w:tcW w:w="838" w:type="dxa"/>
          </w:tcPr>
          <w:p>
            <w:pPr>
              <w:pStyle w:val="TableParagraph"/>
              <w:spacing w:before="32"/>
              <w:ind w:left="185"/>
              <w:rPr>
                <w:sz w:val="14"/>
              </w:rPr>
            </w:pPr>
            <w:r>
              <w:rPr>
                <w:sz w:val="14"/>
              </w:rPr>
              <w:t>Ongoing</w:t>
            </w:r>
          </w:p>
        </w:tc>
        <w:tc>
          <w:tcPr>
            <w:tcW w:w="1075" w:type="dxa"/>
          </w:tcPr>
          <w:p>
            <w:pPr>
              <w:pStyle w:val="TableParagraph"/>
              <w:spacing w:before="32"/>
              <w:ind w:left="86"/>
              <w:rPr>
                <w:sz w:val="14"/>
              </w:rPr>
            </w:pPr>
            <w:r>
              <w:rPr>
                <w:sz w:val="14"/>
              </w:rPr>
              <w:t>Nationwide</w:t>
            </w:r>
          </w:p>
        </w:tc>
        <w:tc>
          <w:tcPr>
            <w:tcW w:w="1120" w:type="dxa"/>
          </w:tcPr>
          <w:p>
            <w:pPr>
              <w:pStyle w:val="TableParagraph"/>
              <w:spacing w:before="32"/>
              <w:ind w:left="145"/>
              <w:rPr>
                <w:sz w:val="14"/>
              </w:rPr>
            </w:pPr>
            <w:r>
              <w:rPr>
                <w:sz w:val="14"/>
              </w:rPr>
              <w:t>EIF/ GoSL</w:t>
            </w:r>
          </w:p>
        </w:tc>
        <w:tc>
          <w:tcPr>
            <w:tcW w:w="1250" w:type="dxa"/>
          </w:tcPr>
          <w:p>
            <w:pPr>
              <w:pStyle w:val="TableParagraph"/>
              <w:spacing w:before="32"/>
              <w:ind w:left="272"/>
              <w:rPr>
                <w:sz w:val="14"/>
              </w:rPr>
            </w:pPr>
            <w:r>
              <w:rPr>
                <w:sz w:val="14"/>
              </w:rPr>
              <w:t>Grant/ Budget</w:t>
            </w:r>
          </w:p>
        </w:tc>
        <w:tc>
          <w:tcPr>
            <w:tcW w:w="947" w:type="dxa"/>
          </w:tcPr>
          <w:p>
            <w:pPr>
              <w:pStyle w:val="TableParagraph"/>
              <w:spacing w:before="32"/>
              <w:ind w:right="173"/>
              <w:jc w:val="right"/>
              <w:rPr>
                <w:sz w:val="14"/>
              </w:rPr>
            </w:pPr>
            <w:r>
              <w:rPr>
                <w:w w:val="95"/>
                <w:sz w:val="14"/>
              </w:rPr>
              <w:t>12,500</w:t>
            </w:r>
          </w:p>
        </w:tc>
        <w:tc>
          <w:tcPr>
            <w:tcW w:w="917" w:type="dxa"/>
          </w:tcPr>
          <w:p>
            <w:pPr>
              <w:pStyle w:val="TableParagraph"/>
              <w:spacing w:before="32"/>
              <w:ind w:right="191"/>
              <w:jc w:val="right"/>
              <w:rPr>
                <w:sz w:val="14"/>
              </w:rPr>
            </w:pPr>
            <w:r>
              <w:rPr>
                <w:sz w:val="14"/>
              </w:rPr>
              <w:t>2,000</w:t>
            </w:r>
          </w:p>
        </w:tc>
        <w:tc>
          <w:tcPr>
            <w:tcW w:w="848" w:type="dxa"/>
          </w:tcPr>
          <w:p>
            <w:pPr>
              <w:pStyle w:val="TableParagraph"/>
              <w:spacing w:before="32"/>
              <w:ind w:right="190"/>
              <w:jc w:val="right"/>
              <w:rPr>
                <w:sz w:val="14"/>
              </w:rPr>
            </w:pPr>
            <w:r>
              <w:rPr>
                <w:sz w:val="14"/>
              </w:rPr>
              <w:t>5,000</w:t>
            </w:r>
          </w:p>
        </w:tc>
        <w:tc>
          <w:tcPr>
            <w:tcW w:w="937" w:type="dxa"/>
          </w:tcPr>
          <w:p>
            <w:pPr>
              <w:pStyle w:val="TableParagraph"/>
              <w:spacing w:before="32"/>
              <w:ind w:left="322"/>
              <w:rPr>
                <w:sz w:val="14"/>
              </w:rPr>
            </w:pPr>
            <w:r>
              <w:rPr>
                <w:sz w:val="14"/>
              </w:rPr>
              <w:t>2,200</w:t>
            </w:r>
          </w:p>
        </w:tc>
        <w:tc>
          <w:tcPr>
            <w:tcW w:w="792" w:type="dxa"/>
          </w:tcPr>
          <w:p>
            <w:pPr>
              <w:pStyle w:val="TableParagraph"/>
              <w:spacing w:before="32"/>
              <w:ind w:right="153"/>
              <w:jc w:val="right"/>
              <w:rPr>
                <w:sz w:val="14"/>
              </w:rPr>
            </w:pPr>
            <w:r>
              <w:rPr>
                <w:w w:val="95"/>
                <w:sz w:val="14"/>
              </w:rPr>
              <w:t>15,000</w:t>
            </w:r>
          </w:p>
        </w:tc>
        <w:tc>
          <w:tcPr>
            <w:tcW w:w="820" w:type="dxa"/>
          </w:tcPr>
          <w:p>
            <w:pPr>
              <w:pStyle w:val="TableParagraph"/>
              <w:spacing w:before="32"/>
              <w:ind w:right="17"/>
              <w:jc w:val="right"/>
              <w:rPr>
                <w:sz w:val="14"/>
              </w:rPr>
            </w:pPr>
            <w:r>
              <w:rPr>
                <w:sz w:val="14"/>
              </w:rPr>
              <w:t>2,420</w:t>
            </w:r>
          </w:p>
        </w:tc>
      </w:tr>
    </w:tbl>
    <w:p>
      <w:pPr>
        <w:spacing w:after="0"/>
        <w:jc w:val="right"/>
        <w:rPr>
          <w:sz w:val="14"/>
        </w:rPr>
        <w:sectPr>
          <w:headerReference w:type="default" r:id="rId12"/>
          <w:pgSz w:w="16840" w:h="11900" w:orient="landscape"/>
          <w:pgMar w:header="1107" w:footer="0" w:top="2040" w:bottom="280" w:left="880" w:right="920"/>
        </w:sectPr>
      </w:pPr>
    </w:p>
    <w:p>
      <w:pPr>
        <w:pStyle w:val="BodyText"/>
        <w:spacing w:before="9"/>
        <w:rPr>
          <w:rFonts w:ascii="Arial"/>
          <w:b/>
          <w:sz w:val="12"/>
        </w:rPr>
      </w:pPr>
      <w:r>
        <w:rPr/>
        <w:pict>
          <v:shape style="position:absolute;margin-left:27.140491pt;margin-top:284.670013pt;width:14.35pt;height:22.2pt;mso-position-horizontal-relative:page;mso-position-vertical-relative:page;z-index:1864" type="#_x0000_t202" filled="false" stroked="false">
            <v:textbox inset="0,0,0,0" style="layout-flow:vertical">
              <w:txbxContent>
                <w:p>
                  <w:pPr>
                    <w:spacing w:before="13"/>
                    <w:ind w:left="20" w:right="0" w:firstLine="0"/>
                    <w:jc w:val="left"/>
                    <w:rPr>
                      <w:rFonts w:ascii="Arial"/>
                      <w:sz w:val="22"/>
                    </w:rPr>
                  </w:pPr>
                  <w:r>
                    <w:rPr>
                      <w:rFonts w:ascii="Arial"/>
                      <w:sz w:val="22"/>
                    </w:rPr>
                    <w:t>xxxi</w:t>
                  </w:r>
                </w:p>
              </w:txbxContent>
            </v:textbox>
            <w10:wrap type="none"/>
          </v:shape>
        </w:pict>
      </w:r>
    </w:p>
    <w:p>
      <w:pPr>
        <w:tabs>
          <w:tab w:pos="11610" w:val="left" w:leader="none"/>
          <w:tab w:pos="13256" w:val="left" w:leader="none"/>
        </w:tabs>
        <w:spacing w:before="0" w:after="33"/>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736"/>
        <w:gridCol w:w="883"/>
        <w:gridCol w:w="1075"/>
        <w:gridCol w:w="1317"/>
        <w:gridCol w:w="1086"/>
        <w:gridCol w:w="903"/>
        <w:gridCol w:w="897"/>
        <w:gridCol w:w="843"/>
        <w:gridCol w:w="941"/>
        <w:gridCol w:w="834"/>
        <w:gridCol w:w="823"/>
      </w:tblGrid>
      <w:tr>
        <w:trPr>
          <w:trHeight w:val="445"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before="60"/>
              <w:ind w:left="17"/>
              <w:rPr>
                <w:sz w:val="14"/>
              </w:rPr>
            </w:pPr>
            <w:r>
              <w:rPr>
                <w:spacing w:val="2"/>
                <w:sz w:val="14"/>
              </w:rPr>
              <w:t>Code</w:t>
            </w:r>
          </w:p>
        </w:tc>
        <w:tc>
          <w:tcPr>
            <w:tcW w:w="4736" w:type="dxa"/>
            <w:tcBorders>
              <w:top w:val="single" w:sz="4" w:space="0" w:color="000000"/>
              <w:bottom w:val="single" w:sz="18" w:space="0" w:color="000000"/>
            </w:tcBorders>
          </w:tcPr>
          <w:p>
            <w:pPr>
              <w:pStyle w:val="TableParagraph"/>
              <w:spacing w:before="22"/>
              <w:ind w:left="113"/>
              <w:rPr>
                <w:sz w:val="14"/>
              </w:rPr>
            </w:pPr>
            <w:r>
              <w:rPr>
                <w:sz w:val="14"/>
              </w:rPr>
              <w:t>National Development Plan Cluster/ Ministry, Department</w:t>
            </w:r>
          </w:p>
          <w:p>
            <w:pPr>
              <w:pStyle w:val="TableParagraph"/>
              <w:spacing w:before="60"/>
              <w:ind w:left="114"/>
              <w:rPr>
                <w:sz w:val="14"/>
              </w:rPr>
            </w:pPr>
            <w:r>
              <w:rPr>
                <w:sz w:val="14"/>
              </w:rPr>
              <w:t>and Agency (MDAs)</w:t>
            </w:r>
          </w:p>
        </w:tc>
        <w:tc>
          <w:tcPr>
            <w:tcW w:w="883" w:type="dxa"/>
            <w:tcBorders>
              <w:top w:val="single" w:sz="4" w:space="0" w:color="000000"/>
              <w:bottom w:val="single" w:sz="18" w:space="0" w:color="000000"/>
            </w:tcBorders>
          </w:tcPr>
          <w:p>
            <w:pPr>
              <w:pStyle w:val="TableParagraph"/>
              <w:spacing w:before="22"/>
              <w:ind w:left="264"/>
              <w:rPr>
                <w:sz w:val="14"/>
              </w:rPr>
            </w:pPr>
            <w:r>
              <w:rPr>
                <w:sz w:val="14"/>
              </w:rPr>
              <w:t>Status</w:t>
            </w:r>
          </w:p>
        </w:tc>
        <w:tc>
          <w:tcPr>
            <w:tcW w:w="1075" w:type="dxa"/>
            <w:tcBorders>
              <w:top w:val="single" w:sz="4" w:space="0" w:color="000000"/>
              <w:bottom w:val="single" w:sz="18" w:space="0" w:color="000000"/>
            </w:tcBorders>
          </w:tcPr>
          <w:p>
            <w:pPr>
              <w:pStyle w:val="TableParagraph"/>
              <w:spacing w:before="22"/>
              <w:ind w:left="106"/>
              <w:rPr>
                <w:sz w:val="14"/>
              </w:rPr>
            </w:pPr>
            <w:r>
              <w:rPr>
                <w:sz w:val="14"/>
              </w:rPr>
              <w:t>Location</w:t>
            </w:r>
          </w:p>
        </w:tc>
        <w:tc>
          <w:tcPr>
            <w:tcW w:w="1317" w:type="dxa"/>
            <w:tcBorders>
              <w:top w:val="single" w:sz="4" w:space="0" w:color="000000"/>
              <w:bottom w:val="single" w:sz="18" w:space="0" w:color="000000"/>
            </w:tcBorders>
          </w:tcPr>
          <w:p>
            <w:pPr>
              <w:pStyle w:val="TableParagraph"/>
              <w:spacing w:before="22"/>
              <w:ind w:left="101"/>
              <w:rPr>
                <w:sz w:val="14"/>
              </w:rPr>
            </w:pPr>
            <w:r>
              <w:rPr>
                <w:spacing w:val="6"/>
                <w:sz w:val="14"/>
              </w:rPr>
              <w:t>Funding</w:t>
            </w:r>
          </w:p>
          <w:p>
            <w:pPr>
              <w:pStyle w:val="TableParagraph"/>
              <w:spacing w:before="60"/>
              <w:ind w:left="154"/>
              <w:rPr>
                <w:sz w:val="14"/>
              </w:rPr>
            </w:pPr>
            <w:r>
              <w:rPr>
                <w:spacing w:val="4"/>
                <w:sz w:val="14"/>
              </w:rPr>
              <w:t>Source</w:t>
            </w:r>
          </w:p>
        </w:tc>
        <w:tc>
          <w:tcPr>
            <w:tcW w:w="1086" w:type="dxa"/>
            <w:tcBorders>
              <w:top w:val="single" w:sz="4" w:space="0" w:color="000000"/>
              <w:bottom w:val="single" w:sz="18" w:space="0" w:color="000000"/>
            </w:tcBorders>
          </w:tcPr>
          <w:p>
            <w:pPr>
              <w:pStyle w:val="TableParagraph"/>
              <w:spacing w:before="22"/>
              <w:ind w:left="35" w:right="505"/>
              <w:jc w:val="center"/>
              <w:rPr>
                <w:sz w:val="14"/>
              </w:rPr>
            </w:pPr>
            <w:r>
              <w:rPr>
                <w:sz w:val="14"/>
              </w:rPr>
              <w:t>Funding</w:t>
            </w:r>
          </w:p>
          <w:p>
            <w:pPr>
              <w:pStyle w:val="TableParagraph"/>
              <w:spacing w:before="60"/>
              <w:ind w:left="35" w:right="445"/>
              <w:jc w:val="center"/>
              <w:rPr>
                <w:sz w:val="14"/>
              </w:rPr>
            </w:pPr>
            <w:r>
              <w:rPr>
                <w:sz w:val="14"/>
              </w:rPr>
              <w:t>Type</w:t>
            </w:r>
          </w:p>
        </w:tc>
        <w:tc>
          <w:tcPr>
            <w:tcW w:w="903" w:type="dxa"/>
            <w:tcBorders>
              <w:top w:val="single" w:sz="4" w:space="0" w:color="000000"/>
              <w:bottom w:val="single" w:sz="18" w:space="0" w:color="000000"/>
            </w:tcBorders>
          </w:tcPr>
          <w:p>
            <w:pPr>
              <w:pStyle w:val="TableParagraph"/>
              <w:spacing w:before="22"/>
              <w:ind w:left="132"/>
              <w:rPr>
                <w:sz w:val="14"/>
              </w:rPr>
            </w:pPr>
            <w:r>
              <w:rPr>
                <w:sz w:val="14"/>
              </w:rPr>
              <w:t>Foreign</w:t>
            </w:r>
          </w:p>
        </w:tc>
        <w:tc>
          <w:tcPr>
            <w:tcW w:w="897" w:type="dxa"/>
            <w:tcBorders>
              <w:top w:val="single" w:sz="4" w:space="0" w:color="000000"/>
              <w:bottom w:val="single" w:sz="18" w:space="0" w:color="000000"/>
            </w:tcBorders>
          </w:tcPr>
          <w:p>
            <w:pPr>
              <w:pStyle w:val="TableParagraph"/>
              <w:spacing w:before="22"/>
              <w:ind w:left="175"/>
              <w:rPr>
                <w:sz w:val="14"/>
              </w:rPr>
            </w:pPr>
            <w:r>
              <w:rPr>
                <w:sz w:val="14"/>
              </w:rPr>
              <w:t>Domestic</w:t>
            </w:r>
          </w:p>
        </w:tc>
        <w:tc>
          <w:tcPr>
            <w:tcW w:w="843" w:type="dxa"/>
            <w:tcBorders>
              <w:top w:val="single" w:sz="4" w:space="0" w:color="000000"/>
              <w:bottom w:val="single" w:sz="18" w:space="0" w:color="000000"/>
            </w:tcBorders>
          </w:tcPr>
          <w:p>
            <w:pPr>
              <w:pStyle w:val="TableParagraph"/>
              <w:spacing w:before="22"/>
              <w:ind w:right="165"/>
              <w:jc w:val="right"/>
              <w:rPr>
                <w:sz w:val="14"/>
              </w:rPr>
            </w:pPr>
            <w:r>
              <w:rPr>
                <w:w w:val="95"/>
                <w:sz w:val="14"/>
              </w:rPr>
              <w:t>Foreign</w:t>
            </w:r>
          </w:p>
        </w:tc>
        <w:tc>
          <w:tcPr>
            <w:tcW w:w="941" w:type="dxa"/>
            <w:tcBorders>
              <w:top w:val="single" w:sz="4" w:space="0" w:color="000000"/>
              <w:bottom w:val="single" w:sz="18" w:space="0" w:color="000000"/>
            </w:tcBorders>
          </w:tcPr>
          <w:p>
            <w:pPr>
              <w:pStyle w:val="TableParagraph"/>
              <w:spacing w:before="22"/>
              <w:ind w:left="249"/>
              <w:rPr>
                <w:sz w:val="14"/>
              </w:rPr>
            </w:pPr>
            <w:r>
              <w:rPr>
                <w:sz w:val="14"/>
              </w:rPr>
              <w:t>Domestic</w:t>
            </w:r>
          </w:p>
        </w:tc>
        <w:tc>
          <w:tcPr>
            <w:tcW w:w="834" w:type="dxa"/>
            <w:tcBorders>
              <w:top w:val="single" w:sz="4" w:space="0" w:color="000000"/>
              <w:bottom w:val="single" w:sz="18" w:space="0" w:color="000000"/>
            </w:tcBorders>
          </w:tcPr>
          <w:p>
            <w:pPr>
              <w:pStyle w:val="TableParagraph"/>
              <w:spacing w:before="22"/>
              <w:ind w:right="184"/>
              <w:jc w:val="right"/>
              <w:rPr>
                <w:sz w:val="14"/>
              </w:rPr>
            </w:pPr>
            <w:r>
              <w:rPr>
                <w:w w:val="95"/>
                <w:sz w:val="14"/>
              </w:rPr>
              <w:t>Foreign</w:t>
            </w:r>
          </w:p>
        </w:tc>
        <w:tc>
          <w:tcPr>
            <w:tcW w:w="823" w:type="dxa"/>
            <w:tcBorders>
              <w:top w:val="single" w:sz="4" w:space="0" w:color="000000"/>
              <w:bottom w:val="single" w:sz="18" w:space="0" w:color="000000"/>
            </w:tcBorders>
          </w:tcPr>
          <w:p>
            <w:pPr>
              <w:pStyle w:val="TableParagraph"/>
              <w:spacing w:before="22"/>
              <w:ind w:right="99"/>
              <w:jc w:val="right"/>
              <w:rPr>
                <w:sz w:val="14"/>
              </w:rPr>
            </w:pPr>
            <w:r>
              <w:rPr>
                <w:w w:val="95"/>
                <w:sz w:val="14"/>
              </w:rPr>
              <w:t>Domestic</w:t>
            </w:r>
          </w:p>
        </w:tc>
      </w:tr>
      <w:tr>
        <w:trPr>
          <w:trHeight w:val="229" w:hRule="atLeast"/>
        </w:trPr>
        <w:tc>
          <w:tcPr>
            <w:tcW w:w="470" w:type="dxa"/>
            <w:tcBorders>
              <w:top w:val="single" w:sz="18" w:space="0" w:color="000000"/>
            </w:tcBorders>
          </w:tcPr>
          <w:p>
            <w:pPr>
              <w:pStyle w:val="TableParagraph"/>
              <w:rPr>
                <w:rFonts w:ascii="Times New Roman"/>
                <w:sz w:val="14"/>
              </w:rPr>
            </w:pPr>
          </w:p>
        </w:tc>
        <w:tc>
          <w:tcPr>
            <w:tcW w:w="4736" w:type="dxa"/>
            <w:tcBorders>
              <w:top w:val="single" w:sz="18" w:space="0" w:color="000000"/>
            </w:tcBorders>
          </w:tcPr>
          <w:p>
            <w:pPr>
              <w:pStyle w:val="TableParagraph"/>
              <w:spacing w:before="31"/>
              <w:ind w:left="262"/>
              <w:rPr>
                <w:sz w:val="14"/>
              </w:rPr>
            </w:pPr>
            <w:r>
              <w:rPr>
                <w:sz w:val="14"/>
              </w:rPr>
              <w:t>Sustainable Eco-Tourism Development Project</w:t>
            </w:r>
          </w:p>
        </w:tc>
        <w:tc>
          <w:tcPr>
            <w:tcW w:w="883" w:type="dxa"/>
            <w:tcBorders>
              <w:top w:val="single" w:sz="18" w:space="0" w:color="000000"/>
            </w:tcBorders>
          </w:tcPr>
          <w:p>
            <w:pPr>
              <w:pStyle w:val="TableParagraph"/>
              <w:spacing w:before="31"/>
              <w:ind w:left="230"/>
              <w:rPr>
                <w:sz w:val="14"/>
              </w:rPr>
            </w:pPr>
            <w:r>
              <w:rPr>
                <w:sz w:val="14"/>
              </w:rPr>
              <w:t>Ongoing</w:t>
            </w:r>
          </w:p>
        </w:tc>
        <w:tc>
          <w:tcPr>
            <w:tcW w:w="1075" w:type="dxa"/>
            <w:tcBorders>
              <w:top w:val="single" w:sz="18" w:space="0" w:color="000000"/>
            </w:tcBorders>
          </w:tcPr>
          <w:p>
            <w:pPr>
              <w:pStyle w:val="TableParagraph"/>
              <w:spacing w:before="31"/>
              <w:ind w:left="86"/>
              <w:rPr>
                <w:sz w:val="14"/>
              </w:rPr>
            </w:pPr>
            <w:r>
              <w:rPr>
                <w:sz w:val="14"/>
              </w:rPr>
              <w:t>Nationwide</w:t>
            </w:r>
          </w:p>
        </w:tc>
        <w:tc>
          <w:tcPr>
            <w:tcW w:w="1317" w:type="dxa"/>
            <w:tcBorders>
              <w:top w:val="single" w:sz="18" w:space="0" w:color="000000"/>
            </w:tcBorders>
          </w:tcPr>
          <w:p>
            <w:pPr>
              <w:pStyle w:val="TableParagraph"/>
              <w:spacing w:before="31"/>
              <w:ind w:left="144"/>
              <w:rPr>
                <w:sz w:val="14"/>
              </w:rPr>
            </w:pPr>
            <w:r>
              <w:rPr>
                <w:sz w:val="14"/>
              </w:rPr>
              <w:t>GoSL</w:t>
            </w:r>
          </w:p>
        </w:tc>
        <w:tc>
          <w:tcPr>
            <w:tcW w:w="1086" w:type="dxa"/>
            <w:tcBorders>
              <w:top w:val="single" w:sz="18" w:space="0" w:color="000000"/>
            </w:tcBorders>
          </w:tcPr>
          <w:p>
            <w:pPr>
              <w:pStyle w:val="TableParagraph"/>
              <w:spacing w:before="31"/>
              <w:ind w:left="76"/>
              <w:rPr>
                <w:sz w:val="14"/>
              </w:rPr>
            </w:pPr>
            <w:r>
              <w:rPr>
                <w:sz w:val="14"/>
              </w:rPr>
              <w:t>Budget</w:t>
            </w:r>
          </w:p>
        </w:tc>
        <w:tc>
          <w:tcPr>
            <w:tcW w:w="903" w:type="dxa"/>
            <w:tcBorders>
              <w:top w:val="single" w:sz="18" w:space="0" w:color="000000"/>
            </w:tcBorders>
          </w:tcPr>
          <w:p>
            <w:pPr>
              <w:pStyle w:val="TableParagraph"/>
              <w:rPr>
                <w:rFonts w:ascii="Times New Roman"/>
                <w:sz w:val="14"/>
              </w:rPr>
            </w:pPr>
          </w:p>
        </w:tc>
        <w:tc>
          <w:tcPr>
            <w:tcW w:w="897" w:type="dxa"/>
            <w:tcBorders>
              <w:top w:val="single" w:sz="18" w:space="0" w:color="000000"/>
            </w:tcBorders>
          </w:tcPr>
          <w:p>
            <w:pPr>
              <w:pStyle w:val="TableParagraph"/>
              <w:spacing w:before="31"/>
              <w:ind w:left="361"/>
              <w:rPr>
                <w:sz w:val="14"/>
              </w:rPr>
            </w:pPr>
            <w:r>
              <w:rPr>
                <w:sz w:val="14"/>
              </w:rPr>
              <w:t>1,000</w:t>
            </w:r>
          </w:p>
        </w:tc>
        <w:tc>
          <w:tcPr>
            <w:tcW w:w="843" w:type="dxa"/>
            <w:tcBorders>
              <w:top w:val="single" w:sz="18" w:space="0" w:color="000000"/>
            </w:tcBorders>
          </w:tcPr>
          <w:p>
            <w:pPr>
              <w:pStyle w:val="TableParagraph"/>
              <w:rPr>
                <w:rFonts w:ascii="Times New Roman"/>
                <w:sz w:val="14"/>
              </w:rPr>
            </w:pPr>
          </w:p>
        </w:tc>
        <w:tc>
          <w:tcPr>
            <w:tcW w:w="941" w:type="dxa"/>
            <w:tcBorders>
              <w:top w:val="single" w:sz="18" w:space="0" w:color="000000"/>
            </w:tcBorders>
          </w:tcPr>
          <w:p>
            <w:pPr>
              <w:pStyle w:val="TableParagraph"/>
              <w:spacing w:before="31"/>
              <w:ind w:left="358"/>
              <w:rPr>
                <w:sz w:val="14"/>
              </w:rPr>
            </w:pPr>
            <w:r>
              <w:rPr>
                <w:sz w:val="14"/>
              </w:rPr>
              <w:t>1,100</w:t>
            </w:r>
          </w:p>
        </w:tc>
        <w:tc>
          <w:tcPr>
            <w:tcW w:w="834" w:type="dxa"/>
            <w:tcBorders>
              <w:top w:val="single" w:sz="18" w:space="0" w:color="000000"/>
            </w:tcBorders>
          </w:tcPr>
          <w:p>
            <w:pPr>
              <w:pStyle w:val="TableParagraph"/>
              <w:spacing w:before="31"/>
              <w:ind w:right="155"/>
              <w:jc w:val="right"/>
              <w:rPr>
                <w:sz w:val="14"/>
              </w:rPr>
            </w:pPr>
            <w:r>
              <w:rPr>
                <w:w w:val="99"/>
                <w:sz w:val="14"/>
              </w:rPr>
              <w:t>-</w:t>
            </w:r>
          </w:p>
        </w:tc>
        <w:tc>
          <w:tcPr>
            <w:tcW w:w="823" w:type="dxa"/>
            <w:tcBorders>
              <w:top w:val="single" w:sz="18" w:space="0" w:color="000000"/>
            </w:tcBorders>
          </w:tcPr>
          <w:p>
            <w:pPr>
              <w:pStyle w:val="TableParagraph"/>
              <w:spacing w:before="31"/>
              <w:ind w:right="30"/>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Construction of Five Tourist Information Offices (TIOs)</w:t>
            </w:r>
          </w:p>
        </w:tc>
        <w:tc>
          <w:tcPr>
            <w:tcW w:w="883" w:type="dxa"/>
          </w:tcPr>
          <w:p>
            <w:pPr>
              <w:pStyle w:val="TableParagraph"/>
              <w:spacing w:before="32"/>
              <w:ind w:left="230"/>
              <w:rPr>
                <w:sz w:val="14"/>
              </w:rPr>
            </w:pPr>
            <w:r>
              <w:rPr>
                <w:sz w:val="14"/>
              </w:rPr>
              <w:t>New</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1,200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1,320</w:t>
            </w:r>
          </w:p>
        </w:tc>
        <w:tc>
          <w:tcPr>
            <w:tcW w:w="834" w:type="dxa"/>
          </w:tcPr>
          <w:p>
            <w:pPr>
              <w:pStyle w:val="TableParagraph"/>
              <w:spacing w:before="32"/>
              <w:ind w:right="155"/>
              <w:jc w:val="right"/>
              <w:rPr>
                <w:sz w:val="14"/>
              </w:rPr>
            </w:pPr>
            <w:r>
              <w:rPr>
                <w:w w:val="99"/>
                <w:sz w:val="14"/>
              </w:rPr>
              <w:t>-</w:t>
            </w:r>
          </w:p>
        </w:tc>
        <w:tc>
          <w:tcPr>
            <w:tcW w:w="823" w:type="dxa"/>
          </w:tcPr>
          <w:p>
            <w:pPr>
              <w:pStyle w:val="TableParagraph"/>
              <w:spacing w:before="32"/>
              <w:ind w:right="30"/>
              <w:jc w:val="right"/>
              <w:rPr>
                <w:sz w:val="14"/>
              </w:rPr>
            </w:pPr>
            <w:r>
              <w:rPr>
                <w:sz w:val="14"/>
              </w:rPr>
              <w:t>1,452</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Adapting Climate Change Induced Coastal Risk Management</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5"/>
              <w:rPr>
                <w:sz w:val="14"/>
              </w:rPr>
            </w:pPr>
            <w:r>
              <w:rPr>
                <w:sz w:val="14"/>
              </w:rPr>
              <w:t>UNDP/ GoSL</w:t>
            </w:r>
          </w:p>
        </w:tc>
        <w:tc>
          <w:tcPr>
            <w:tcW w:w="1086" w:type="dxa"/>
          </w:tcPr>
          <w:p>
            <w:pPr>
              <w:pStyle w:val="TableParagraph"/>
              <w:spacing w:before="32"/>
              <w:ind w:left="75"/>
              <w:rPr>
                <w:sz w:val="14"/>
              </w:rPr>
            </w:pPr>
            <w:r>
              <w:rPr>
                <w:sz w:val="14"/>
              </w:rPr>
              <w:t>Grant/ Budget</w:t>
            </w:r>
          </w:p>
        </w:tc>
        <w:tc>
          <w:tcPr>
            <w:tcW w:w="903" w:type="dxa"/>
          </w:tcPr>
          <w:p>
            <w:pPr>
              <w:pStyle w:val="TableParagraph"/>
              <w:spacing w:before="32"/>
              <w:ind w:right="162"/>
              <w:jc w:val="right"/>
              <w:rPr>
                <w:sz w:val="14"/>
              </w:rPr>
            </w:pPr>
            <w:r>
              <w:rPr>
                <w:w w:val="95"/>
                <w:sz w:val="14"/>
              </w:rPr>
              <w:t>16,000</w:t>
            </w:r>
          </w:p>
        </w:tc>
        <w:tc>
          <w:tcPr>
            <w:tcW w:w="897" w:type="dxa"/>
          </w:tcPr>
          <w:p>
            <w:pPr>
              <w:pStyle w:val="TableParagraph"/>
              <w:spacing w:before="32"/>
              <w:ind w:left="361"/>
              <w:rPr>
                <w:sz w:val="14"/>
              </w:rPr>
            </w:pPr>
            <w:r>
              <w:rPr>
                <w:sz w:val="14"/>
              </w:rPr>
              <w:t>1,000</w:t>
            </w:r>
          </w:p>
        </w:tc>
        <w:tc>
          <w:tcPr>
            <w:tcW w:w="843" w:type="dxa"/>
          </w:tcPr>
          <w:p>
            <w:pPr>
              <w:pStyle w:val="TableParagraph"/>
              <w:spacing w:before="32"/>
              <w:ind w:right="154"/>
              <w:jc w:val="right"/>
              <w:rPr>
                <w:sz w:val="14"/>
              </w:rPr>
            </w:pPr>
            <w:r>
              <w:rPr>
                <w:sz w:val="14"/>
              </w:rPr>
              <w:t>5,200</w:t>
            </w:r>
          </w:p>
        </w:tc>
        <w:tc>
          <w:tcPr>
            <w:tcW w:w="941" w:type="dxa"/>
          </w:tcPr>
          <w:p>
            <w:pPr>
              <w:pStyle w:val="TableParagraph"/>
              <w:spacing w:before="32"/>
              <w:ind w:left="358"/>
              <w:rPr>
                <w:sz w:val="14"/>
              </w:rPr>
            </w:pPr>
            <w:r>
              <w:rPr>
                <w:sz w:val="14"/>
              </w:rPr>
              <w:t>1,100</w:t>
            </w:r>
          </w:p>
        </w:tc>
        <w:tc>
          <w:tcPr>
            <w:tcW w:w="834" w:type="dxa"/>
          </w:tcPr>
          <w:p>
            <w:pPr>
              <w:pStyle w:val="TableParagraph"/>
              <w:spacing w:before="32"/>
              <w:ind w:right="163"/>
              <w:jc w:val="right"/>
              <w:rPr>
                <w:sz w:val="14"/>
              </w:rPr>
            </w:pPr>
            <w:r>
              <w:rPr>
                <w:w w:val="95"/>
                <w:sz w:val="14"/>
              </w:rPr>
              <w:t>19,200</w:t>
            </w:r>
          </w:p>
        </w:tc>
        <w:tc>
          <w:tcPr>
            <w:tcW w:w="823" w:type="dxa"/>
          </w:tcPr>
          <w:p>
            <w:pPr>
              <w:pStyle w:val="TableParagraph"/>
              <w:spacing w:before="32"/>
              <w:ind w:right="30"/>
              <w:jc w:val="right"/>
              <w:rPr>
                <w:sz w:val="14"/>
              </w:rPr>
            </w:pPr>
            <w:r>
              <w:rPr>
                <w:sz w:val="14"/>
              </w:rPr>
              <w:t>1,210</w:t>
            </w:r>
          </w:p>
        </w:tc>
      </w:tr>
      <w:tr>
        <w:trPr>
          <w:trHeight w:val="230" w:hRule="atLeast"/>
        </w:trPr>
        <w:tc>
          <w:tcPr>
            <w:tcW w:w="470" w:type="dxa"/>
          </w:tcPr>
          <w:p>
            <w:pPr>
              <w:pStyle w:val="TableParagraph"/>
              <w:spacing w:before="32"/>
              <w:ind w:left="123"/>
              <w:rPr>
                <w:sz w:val="14"/>
              </w:rPr>
            </w:pPr>
            <w:r>
              <w:rPr>
                <w:sz w:val="14"/>
              </w:rPr>
              <w:t>405</w:t>
            </w:r>
          </w:p>
        </w:tc>
        <w:tc>
          <w:tcPr>
            <w:tcW w:w="4736" w:type="dxa"/>
          </w:tcPr>
          <w:p>
            <w:pPr>
              <w:pStyle w:val="TableParagraph"/>
              <w:spacing w:before="32"/>
              <w:ind w:left="95"/>
              <w:rPr>
                <w:b/>
                <w:sz w:val="14"/>
              </w:rPr>
            </w:pPr>
            <w:r>
              <w:rPr>
                <w:b/>
                <w:sz w:val="14"/>
              </w:rPr>
              <w:t>Monument and Relics Commission (MRC)</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spacing w:before="32"/>
              <w:ind w:right="193"/>
              <w:jc w:val="right"/>
              <w:rPr>
                <w:b/>
                <w:sz w:val="14"/>
              </w:rPr>
            </w:pPr>
            <w:r>
              <w:rPr>
                <w:b/>
                <w:sz w:val="14"/>
              </w:rPr>
              <w:t>4,500</w:t>
            </w:r>
          </w:p>
        </w:tc>
        <w:tc>
          <w:tcPr>
            <w:tcW w:w="897" w:type="dxa"/>
          </w:tcPr>
          <w:p>
            <w:pPr>
              <w:pStyle w:val="TableParagraph"/>
              <w:spacing w:before="32"/>
              <w:ind w:left="340"/>
              <w:rPr>
                <w:b/>
                <w:sz w:val="14"/>
              </w:rPr>
            </w:pPr>
            <w:r>
              <w:rPr>
                <w:b/>
                <w:sz w:val="14"/>
              </w:rPr>
              <w:t>7,000</w:t>
            </w:r>
          </w:p>
        </w:tc>
        <w:tc>
          <w:tcPr>
            <w:tcW w:w="843" w:type="dxa"/>
          </w:tcPr>
          <w:p>
            <w:pPr>
              <w:pStyle w:val="TableParagraph"/>
              <w:spacing w:before="32"/>
              <w:ind w:right="166"/>
              <w:jc w:val="right"/>
              <w:rPr>
                <w:b/>
                <w:sz w:val="14"/>
              </w:rPr>
            </w:pPr>
            <w:r>
              <w:rPr>
                <w:b/>
                <w:sz w:val="14"/>
              </w:rPr>
              <w:t>3,500</w:t>
            </w:r>
          </w:p>
        </w:tc>
        <w:tc>
          <w:tcPr>
            <w:tcW w:w="941" w:type="dxa"/>
          </w:tcPr>
          <w:p>
            <w:pPr>
              <w:pStyle w:val="TableParagraph"/>
              <w:spacing w:before="32"/>
              <w:ind w:left="323"/>
              <w:rPr>
                <w:b/>
                <w:sz w:val="14"/>
              </w:rPr>
            </w:pPr>
            <w:r>
              <w:rPr>
                <w:b/>
                <w:sz w:val="14"/>
              </w:rPr>
              <w:t>7,700</w:t>
            </w:r>
          </w:p>
        </w:tc>
        <w:tc>
          <w:tcPr>
            <w:tcW w:w="834" w:type="dxa"/>
          </w:tcPr>
          <w:p>
            <w:pPr>
              <w:pStyle w:val="TableParagraph"/>
              <w:spacing w:before="32"/>
              <w:ind w:right="188"/>
              <w:jc w:val="right"/>
              <w:rPr>
                <w:b/>
                <w:sz w:val="14"/>
              </w:rPr>
            </w:pPr>
            <w:r>
              <w:rPr>
                <w:b/>
                <w:sz w:val="14"/>
              </w:rPr>
              <w:t>5,400</w:t>
            </w:r>
          </w:p>
        </w:tc>
        <w:tc>
          <w:tcPr>
            <w:tcW w:w="823" w:type="dxa"/>
          </w:tcPr>
          <w:p>
            <w:pPr>
              <w:pStyle w:val="TableParagraph"/>
              <w:spacing w:before="32"/>
              <w:ind w:right="46"/>
              <w:jc w:val="right"/>
              <w:rPr>
                <w:b/>
                <w:sz w:val="14"/>
              </w:rPr>
            </w:pPr>
            <w:r>
              <w:rPr>
                <w:b/>
                <w:sz w:val="14"/>
              </w:rPr>
              <w:t>8,470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3"/>
              <w:rPr>
                <w:sz w:val="14"/>
              </w:rPr>
            </w:pPr>
            <w:r>
              <w:rPr>
                <w:sz w:val="14"/>
              </w:rPr>
              <w:t>Development of the Physical Infrastructure of the</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rPr>
                <w:rFonts w:ascii="Times New Roman"/>
                <w:sz w:val="14"/>
              </w:rPr>
            </w:pPr>
          </w:p>
        </w:tc>
        <w:tc>
          <w:tcPr>
            <w:tcW w:w="897" w:type="dxa"/>
          </w:tcPr>
          <w:p>
            <w:pPr>
              <w:pStyle w:val="TableParagraph"/>
              <w:rPr>
                <w:rFonts w:ascii="Times New Roman"/>
                <w:sz w:val="14"/>
              </w:rPr>
            </w:pPr>
          </w:p>
        </w:tc>
        <w:tc>
          <w:tcPr>
            <w:tcW w:w="843" w:type="dxa"/>
          </w:tcPr>
          <w:p>
            <w:pPr>
              <w:pStyle w:val="TableParagraph"/>
              <w:rPr>
                <w:rFonts w:ascii="Times New Roman"/>
                <w:sz w:val="14"/>
              </w:rPr>
            </w:pPr>
          </w:p>
        </w:tc>
        <w:tc>
          <w:tcPr>
            <w:tcW w:w="941" w:type="dxa"/>
          </w:tcPr>
          <w:p>
            <w:pPr>
              <w:pStyle w:val="TableParagraph"/>
              <w:rPr>
                <w:rFonts w:ascii="Times New Roman"/>
                <w:sz w:val="14"/>
              </w:rPr>
            </w:pPr>
          </w:p>
        </w:tc>
        <w:tc>
          <w:tcPr>
            <w:tcW w:w="834" w:type="dxa"/>
          </w:tcPr>
          <w:p>
            <w:pPr>
              <w:pStyle w:val="TableParagraph"/>
              <w:rPr>
                <w:rFonts w:ascii="Times New Roman"/>
                <w:sz w:val="14"/>
              </w:rPr>
            </w:pPr>
          </w:p>
        </w:tc>
        <w:tc>
          <w:tcPr>
            <w:tcW w:w="823"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Cultural Heritage Sector (2750)</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1,000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1,100</w:t>
            </w:r>
          </w:p>
        </w:tc>
        <w:tc>
          <w:tcPr>
            <w:tcW w:w="834" w:type="dxa"/>
          </w:tcPr>
          <w:p>
            <w:pPr>
              <w:pStyle w:val="TableParagraph"/>
              <w:rPr>
                <w:rFonts w:ascii="Times New Roman"/>
                <w:sz w:val="14"/>
              </w:rPr>
            </w:pPr>
          </w:p>
        </w:tc>
        <w:tc>
          <w:tcPr>
            <w:tcW w:w="823" w:type="dxa"/>
          </w:tcPr>
          <w:p>
            <w:pPr>
              <w:pStyle w:val="TableParagraph"/>
              <w:spacing w:before="32"/>
              <w:ind w:right="30"/>
              <w:jc w:val="right"/>
              <w:rPr>
                <w:sz w:val="14"/>
              </w:rPr>
            </w:pPr>
            <w:r>
              <w:rPr>
                <w:sz w:val="14"/>
              </w:rPr>
              <w:t>1,210</w:t>
            </w:r>
          </w:p>
        </w:tc>
      </w:tr>
      <w:tr>
        <w:trPr>
          <w:trHeight w:val="227"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Restoration of selected Proclaimed/ Protected Sites</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1,000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1,100</w:t>
            </w:r>
          </w:p>
        </w:tc>
        <w:tc>
          <w:tcPr>
            <w:tcW w:w="834" w:type="dxa"/>
          </w:tcPr>
          <w:p>
            <w:pPr>
              <w:pStyle w:val="TableParagraph"/>
              <w:rPr>
                <w:rFonts w:ascii="Times New Roman"/>
                <w:sz w:val="14"/>
              </w:rPr>
            </w:pPr>
          </w:p>
        </w:tc>
        <w:tc>
          <w:tcPr>
            <w:tcW w:w="823" w:type="dxa"/>
          </w:tcPr>
          <w:p>
            <w:pPr>
              <w:pStyle w:val="TableParagraph"/>
              <w:spacing w:before="32"/>
              <w:ind w:right="30"/>
              <w:jc w:val="right"/>
              <w:rPr>
                <w:sz w:val="14"/>
              </w:rPr>
            </w:pPr>
            <w:r>
              <w:rPr>
                <w:sz w:val="14"/>
              </w:rPr>
              <w:t>1,210</w:t>
            </w:r>
          </w:p>
        </w:tc>
      </w:tr>
      <w:tr>
        <w:trPr>
          <w:trHeight w:val="228" w:hRule="atLeast"/>
        </w:trPr>
        <w:tc>
          <w:tcPr>
            <w:tcW w:w="470" w:type="dxa"/>
          </w:tcPr>
          <w:p>
            <w:pPr>
              <w:pStyle w:val="TableParagraph"/>
              <w:rPr>
                <w:rFonts w:ascii="Times New Roman"/>
                <w:sz w:val="14"/>
              </w:rPr>
            </w:pPr>
          </w:p>
        </w:tc>
        <w:tc>
          <w:tcPr>
            <w:tcW w:w="4736" w:type="dxa"/>
          </w:tcPr>
          <w:p>
            <w:pPr>
              <w:pStyle w:val="TableParagraph"/>
              <w:spacing w:before="29"/>
              <w:ind w:left="262"/>
              <w:rPr>
                <w:sz w:val="14"/>
              </w:rPr>
            </w:pPr>
            <w:r>
              <w:rPr>
                <w:sz w:val="14"/>
              </w:rPr>
              <w:t>Representation and Inscription of Cultural Sites to the</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rPr>
                <w:rFonts w:ascii="Times New Roman"/>
                <w:sz w:val="14"/>
              </w:rPr>
            </w:pPr>
          </w:p>
        </w:tc>
        <w:tc>
          <w:tcPr>
            <w:tcW w:w="897" w:type="dxa"/>
          </w:tcPr>
          <w:p>
            <w:pPr>
              <w:pStyle w:val="TableParagraph"/>
              <w:rPr>
                <w:rFonts w:ascii="Times New Roman"/>
                <w:sz w:val="14"/>
              </w:rPr>
            </w:pPr>
          </w:p>
        </w:tc>
        <w:tc>
          <w:tcPr>
            <w:tcW w:w="843" w:type="dxa"/>
          </w:tcPr>
          <w:p>
            <w:pPr>
              <w:pStyle w:val="TableParagraph"/>
              <w:rPr>
                <w:rFonts w:ascii="Times New Roman"/>
                <w:sz w:val="14"/>
              </w:rPr>
            </w:pPr>
          </w:p>
        </w:tc>
        <w:tc>
          <w:tcPr>
            <w:tcW w:w="941" w:type="dxa"/>
          </w:tcPr>
          <w:p>
            <w:pPr>
              <w:pStyle w:val="TableParagraph"/>
              <w:rPr>
                <w:rFonts w:ascii="Times New Roman"/>
                <w:sz w:val="14"/>
              </w:rPr>
            </w:pPr>
          </w:p>
        </w:tc>
        <w:tc>
          <w:tcPr>
            <w:tcW w:w="834" w:type="dxa"/>
          </w:tcPr>
          <w:p>
            <w:pPr>
              <w:pStyle w:val="TableParagraph"/>
              <w:rPr>
                <w:rFonts w:ascii="Times New Roman"/>
                <w:sz w:val="14"/>
              </w:rPr>
            </w:pPr>
          </w:p>
        </w:tc>
        <w:tc>
          <w:tcPr>
            <w:tcW w:w="823"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3"/>
              <w:rPr>
                <w:sz w:val="14"/>
              </w:rPr>
            </w:pPr>
            <w:r>
              <w:rPr>
                <w:sz w:val="14"/>
              </w:rPr>
              <w:t>UNESCO World Heritage List (500)</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492"/>
              <w:rPr>
                <w:sz w:val="14"/>
              </w:rPr>
            </w:pPr>
            <w:r>
              <w:rPr>
                <w:sz w:val="14"/>
              </w:rPr>
              <w:t>500</w:t>
            </w:r>
          </w:p>
        </w:tc>
        <w:tc>
          <w:tcPr>
            <w:tcW w:w="843" w:type="dxa"/>
          </w:tcPr>
          <w:p>
            <w:pPr>
              <w:pStyle w:val="TableParagraph"/>
              <w:rPr>
                <w:rFonts w:ascii="Times New Roman"/>
                <w:sz w:val="14"/>
              </w:rPr>
            </w:pPr>
          </w:p>
        </w:tc>
        <w:tc>
          <w:tcPr>
            <w:tcW w:w="941" w:type="dxa"/>
          </w:tcPr>
          <w:p>
            <w:pPr>
              <w:pStyle w:val="TableParagraph"/>
              <w:spacing w:before="32"/>
              <w:ind w:left="489"/>
              <w:rPr>
                <w:sz w:val="14"/>
              </w:rPr>
            </w:pPr>
            <w:r>
              <w:rPr>
                <w:sz w:val="14"/>
              </w:rPr>
              <w:t>550</w:t>
            </w:r>
          </w:p>
        </w:tc>
        <w:tc>
          <w:tcPr>
            <w:tcW w:w="834" w:type="dxa"/>
          </w:tcPr>
          <w:p>
            <w:pPr>
              <w:pStyle w:val="TableParagraph"/>
              <w:rPr>
                <w:rFonts w:ascii="Times New Roman"/>
                <w:sz w:val="14"/>
              </w:rPr>
            </w:pPr>
          </w:p>
        </w:tc>
        <w:tc>
          <w:tcPr>
            <w:tcW w:w="823" w:type="dxa"/>
          </w:tcPr>
          <w:p>
            <w:pPr>
              <w:pStyle w:val="TableParagraph"/>
              <w:spacing w:before="32"/>
              <w:ind w:right="22"/>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right="290"/>
              <w:jc w:val="right"/>
              <w:rPr>
                <w:sz w:val="14"/>
              </w:rPr>
            </w:pPr>
            <w:r>
              <w:rPr>
                <w:sz w:val="14"/>
              </w:rPr>
              <w:t>Comprehensive Preservation and Development of Bunce Island</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Port Loko</w:t>
            </w:r>
          </w:p>
        </w:tc>
        <w:tc>
          <w:tcPr>
            <w:tcW w:w="1317" w:type="dxa"/>
          </w:tcPr>
          <w:p>
            <w:pPr>
              <w:pStyle w:val="TableParagraph"/>
              <w:spacing w:before="32"/>
              <w:ind w:left="145"/>
              <w:rPr>
                <w:sz w:val="14"/>
              </w:rPr>
            </w:pPr>
            <w:r>
              <w:rPr>
                <w:sz w:val="14"/>
              </w:rPr>
              <w:t>USAFCP/ GoSL</w:t>
            </w:r>
          </w:p>
        </w:tc>
        <w:tc>
          <w:tcPr>
            <w:tcW w:w="1086" w:type="dxa"/>
          </w:tcPr>
          <w:p>
            <w:pPr>
              <w:pStyle w:val="TableParagraph"/>
              <w:spacing w:before="32"/>
              <w:ind w:left="75"/>
              <w:rPr>
                <w:sz w:val="14"/>
              </w:rPr>
            </w:pPr>
            <w:r>
              <w:rPr>
                <w:sz w:val="14"/>
              </w:rPr>
              <w:t>Grant</w:t>
            </w:r>
          </w:p>
        </w:tc>
        <w:tc>
          <w:tcPr>
            <w:tcW w:w="903" w:type="dxa"/>
          </w:tcPr>
          <w:p>
            <w:pPr>
              <w:pStyle w:val="TableParagraph"/>
              <w:spacing w:before="32"/>
              <w:ind w:right="171"/>
              <w:jc w:val="right"/>
              <w:rPr>
                <w:sz w:val="14"/>
              </w:rPr>
            </w:pPr>
            <w:r>
              <w:rPr>
                <w:sz w:val="14"/>
              </w:rPr>
              <w:t>4,500</w:t>
            </w:r>
          </w:p>
        </w:tc>
        <w:tc>
          <w:tcPr>
            <w:tcW w:w="897" w:type="dxa"/>
          </w:tcPr>
          <w:p>
            <w:pPr>
              <w:pStyle w:val="TableParagraph"/>
              <w:spacing w:before="32"/>
              <w:ind w:left="361"/>
              <w:rPr>
                <w:sz w:val="14"/>
              </w:rPr>
            </w:pPr>
            <w:r>
              <w:rPr>
                <w:sz w:val="14"/>
              </w:rPr>
              <w:t>2,000</w:t>
            </w:r>
          </w:p>
        </w:tc>
        <w:tc>
          <w:tcPr>
            <w:tcW w:w="843" w:type="dxa"/>
          </w:tcPr>
          <w:p>
            <w:pPr>
              <w:pStyle w:val="TableParagraph"/>
              <w:spacing w:before="32"/>
              <w:ind w:right="154"/>
              <w:jc w:val="right"/>
              <w:rPr>
                <w:sz w:val="14"/>
              </w:rPr>
            </w:pPr>
            <w:r>
              <w:rPr>
                <w:sz w:val="14"/>
              </w:rPr>
              <w:t>3,500</w:t>
            </w:r>
          </w:p>
        </w:tc>
        <w:tc>
          <w:tcPr>
            <w:tcW w:w="941" w:type="dxa"/>
          </w:tcPr>
          <w:p>
            <w:pPr>
              <w:pStyle w:val="TableParagraph"/>
              <w:spacing w:before="32"/>
              <w:ind w:left="358"/>
              <w:rPr>
                <w:sz w:val="14"/>
              </w:rPr>
            </w:pPr>
            <w:r>
              <w:rPr>
                <w:sz w:val="14"/>
              </w:rPr>
              <w:t>2,200</w:t>
            </w:r>
          </w:p>
        </w:tc>
        <w:tc>
          <w:tcPr>
            <w:tcW w:w="834" w:type="dxa"/>
          </w:tcPr>
          <w:p>
            <w:pPr>
              <w:pStyle w:val="TableParagraph"/>
              <w:spacing w:before="32"/>
              <w:ind w:right="157"/>
              <w:jc w:val="right"/>
              <w:rPr>
                <w:sz w:val="14"/>
              </w:rPr>
            </w:pPr>
            <w:r>
              <w:rPr>
                <w:sz w:val="14"/>
              </w:rPr>
              <w:t>5,400</w:t>
            </w:r>
          </w:p>
        </w:tc>
        <w:tc>
          <w:tcPr>
            <w:tcW w:w="823" w:type="dxa"/>
          </w:tcPr>
          <w:p>
            <w:pPr>
              <w:pStyle w:val="TableParagraph"/>
              <w:spacing w:before="32"/>
              <w:ind w:right="30"/>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right="230"/>
              <w:jc w:val="right"/>
              <w:rPr>
                <w:sz w:val="14"/>
              </w:rPr>
            </w:pPr>
            <w:r>
              <w:rPr>
                <w:sz w:val="14"/>
              </w:rPr>
              <w:t>Construction of an Ethnographic Meseum and Heritage Resource</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rPr>
                <w:rFonts w:ascii="Times New Roman"/>
                <w:sz w:val="14"/>
              </w:rPr>
            </w:pPr>
          </w:p>
        </w:tc>
        <w:tc>
          <w:tcPr>
            <w:tcW w:w="897" w:type="dxa"/>
          </w:tcPr>
          <w:p>
            <w:pPr>
              <w:pStyle w:val="TableParagraph"/>
              <w:rPr>
                <w:rFonts w:ascii="Times New Roman"/>
                <w:sz w:val="14"/>
              </w:rPr>
            </w:pPr>
          </w:p>
        </w:tc>
        <w:tc>
          <w:tcPr>
            <w:tcW w:w="843" w:type="dxa"/>
          </w:tcPr>
          <w:p>
            <w:pPr>
              <w:pStyle w:val="TableParagraph"/>
              <w:rPr>
                <w:rFonts w:ascii="Times New Roman"/>
                <w:sz w:val="14"/>
              </w:rPr>
            </w:pPr>
          </w:p>
        </w:tc>
        <w:tc>
          <w:tcPr>
            <w:tcW w:w="941" w:type="dxa"/>
          </w:tcPr>
          <w:p>
            <w:pPr>
              <w:pStyle w:val="TableParagraph"/>
              <w:rPr>
                <w:rFonts w:ascii="Times New Roman"/>
                <w:sz w:val="14"/>
              </w:rPr>
            </w:pPr>
          </w:p>
        </w:tc>
        <w:tc>
          <w:tcPr>
            <w:tcW w:w="834" w:type="dxa"/>
          </w:tcPr>
          <w:p>
            <w:pPr>
              <w:pStyle w:val="TableParagraph"/>
              <w:rPr>
                <w:rFonts w:ascii="Times New Roman"/>
                <w:sz w:val="14"/>
              </w:rPr>
            </w:pPr>
          </w:p>
        </w:tc>
        <w:tc>
          <w:tcPr>
            <w:tcW w:w="823"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Centre in Bonthe</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1,000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1,100</w:t>
            </w:r>
          </w:p>
        </w:tc>
        <w:tc>
          <w:tcPr>
            <w:tcW w:w="834" w:type="dxa"/>
          </w:tcPr>
          <w:p>
            <w:pPr>
              <w:pStyle w:val="TableParagraph"/>
              <w:rPr>
                <w:rFonts w:ascii="Times New Roman"/>
                <w:sz w:val="14"/>
              </w:rPr>
            </w:pPr>
          </w:p>
        </w:tc>
        <w:tc>
          <w:tcPr>
            <w:tcW w:w="823" w:type="dxa"/>
          </w:tcPr>
          <w:p>
            <w:pPr>
              <w:pStyle w:val="TableParagraph"/>
              <w:spacing w:before="32"/>
              <w:ind w:right="30"/>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Restoration of Old FBC face II</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40"/>
              <w:rPr>
                <w:b/>
                <w:sz w:val="14"/>
              </w:rPr>
            </w:pPr>
            <w:r>
              <w:rPr>
                <w:b/>
                <w:sz w:val="14"/>
              </w:rPr>
              <w:t>1,500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1,650</w:t>
            </w:r>
          </w:p>
        </w:tc>
        <w:tc>
          <w:tcPr>
            <w:tcW w:w="834" w:type="dxa"/>
          </w:tcPr>
          <w:p>
            <w:pPr>
              <w:pStyle w:val="TableParagraph"/>
              <w:rPr>
                <w:rFonts w:ascii="Times New Roman"/>
                <w:sz w:val="14"/>
              </w:rPr>
            </w:pPr>
          </w:p>
        </w:tc>
        <w:tc>
          <w:tcPr>
            <w:tcW w:w="823" w:type="dxa"/>
          </w:tcPr>
          <w:p>
            <w:pPr>
              <w:pStyle w:val="TableParagraph"/>
              <w:spacing w:before="32"/>
              <w:ind w:right="30"/>
              <w:jc w:val="right"/>
              <w:rPr>
                <w:sz w:val="14"/>
              </w:rPr>
            </w:pPr>
            <w:r>
              <w:rPr>
                <w:sz w:val="14"/>
              </w:rPr>
              <w:t>1,815</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94"/>
              <w:rPr>
                <w:b/>
                <w:sz w:val="14"/>
              </w:rPr>
            </w:pPr>
            <w:r>
              <w:rPr>
                <w:b/>
                <w:sz w:val="14"/>
              </w:rPr>
              <w:t>Cluster Three: Infrastructure and Economic Competitiveness</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spacing w:before="32"/>
              <w:ind w:left="161"/>
              <w:rPr>
                <w:b/>
                <w:sz w:val="14"/>
              </w:rPr>
            </w:pPr>
            <w:r>
              <w:rPr>
                <w:b/>
                <w:sz w:val="14"/>
              </w:rPr>
              <w:t>820,900</w:t>
            </w:r>
          </w:p>
        </w:tc>
        <w:tc>
          <w:tcPr>
            <w:tcW w:w="897" w:type="dxa"/>
          </w:tcPr>
          <w:p>
            <w:pPr>
              <w:pStyle w:val="TableParagraph"/>
              <w:spacing w:before="32"/>
              <w:ind w:left="145"/>
              <w:rPr>
                <w:b/>
                <w:sz w:val="14"/>
              </w:rPr>
            </w:pPr>
            <w:r>
              <w:rPr>
                <w:b/>
                <w:sz w:val="14"/>
              </w:rPr>
              <w:t>347,295</w:t>
            </w:r>
          </w:p>
        </w:tc>
        <w:tc>
          <w:tcPr>
            <w:tcW w:w="843" w:type="dxa"/>
          </w:tcPr>
          <w:p>
            <w:pPr>
              <w:pStyle w:val="TableParagraph"/>
              <w:spacing w:before="32"/>
              <w:ind w:right="182"/>
              <w:jc w:val="right"/>
              <w:rPr>
                <w:b/>
                <w:sz w:val="14"/>
              </w:rPr>
            </w:pPr>
            <w:r>
              <w:rPr>
                <w:b/>
                <w:sz w:val="14"/>
              </w:rPr>
              <w:t>739,307</w:t>
            </w:r>
          </w:p>
        </w:tc>
        <w:tc>
          <w:tcPr>
            <w:tcW w:w="941" w:type="dxa"/>
          </w:tcPr>
          <w:p>
            <w:pPr>
              <w:pStyle w:val="TableParagraph"/>
              <w:spacing w:before="32"/>
              <w:ind w:left="114"/>
              <w:rPr>
                <w:b/>
                <w:sz w:val="14"/>
              </w:rPr>
            </w:pPr>
            <w:r>
              <w:rPr>
                <w:b/>
                <w:sz w:val="14"/>
              </w:rPr>
              <w:t>531,060</w:t>
            </w:r>
          </w:p>
        </w:tc>
        <w:tc>
          <w:tcPr>
            <w:tcW w:w="834" w:type="dxa"/>
          </w:tcPr>
          <w:p>
            <w:pPr>
              <w:pStyle w:val="TableParagraph"/>
              <w:spacing w:before="32"/>
              <w:ind w:right="205"/>
              <w:jc w:val="right"/>
              <w:rPr>
                <w:b/>
                <w:sz w:val="14"/>
              </w:rPr>
            </w:pPr>
            <w:r>
              <w:rPr>
                <w:b/>
                <w:w w:val="95"/>
                <w:sz w:val="14"/>
              </w:rPr>
              <w:t>512,406</w:t>
            </w:r>
          </w:p>
        </w:tc>
        <w:tc>
          <w:tcPr>
            <w:tcW w:w="823" w:type="dxa"/>
          </w:tcPr>
          <w:p>
            <w:pPr>
              <w:pStyle w:val="TableParagraph"/>
              <w:spacing w:before="32"/>
              <w:ind w:right="63"/>
              <w:jc w:val="right"/>
              <w:rPr>
                <w:b/>
                <w:sz w:val="14"/>
              </w:rPr>
            </w:pPr>
            <w:r>
              <w:rPr>
                <w:b/>
                <w:w w:val="95"/>
                <w:sz w:val="14"/>
              </w:rPr>
              <w:t>793,185</w:t>
            </w:r>
          </w:p>
        </w:tc>
      </w:tr>
      <w:tr>
        <w:trPr>
          <w:trHeight w:val="230" w:hRule="atLeast"/>
        </w:trPr>
        <w:tc>
          <w:tcPr>
            <w:tcW w:w="470" w:type="dxa"/>
          </w:tcPr>
          <w:p>
            <w:pPr>
              <w:pStyle w:val="TableParagraph"/>
              <w:spacing w:before="32"/>
              <w:ind w:left="123"/>
              <w:rPr>
                <w:sz w:val="14"/>
              </w:rPr>
            </w:pPr>
            <w:r>
              <w:rPr>
                <w:sz w:val="14"/>
              </w:rPr>
              <w:t>406</w:t>
            </w:r>
          </w:p>
        </w:tc>
        <w:tc>
          <w:tcPr>
            <w:tcW w:w="4736" w:type="dxa"/>
          </w:tcPr>
          <w:p>
            <w:pPr>
              <w:pStyle w:val="TableParagraph"/>
              <w:spacing w:before="32"/>
              <w:ind w:left="95"/>
              <w:rPr>
                <w:b/>
                <w:sz w:val="14"/>
              </w:rPr>
            </w:pPr>
            <w:r>
              <w:rPr>
                <w:b/>
                <w:sz w:val="14"/>
              </w:rPr>
              <w:t>Ministry of Energy (MoE)</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spacing w:before="32"/>
              <w:ind w:left="157"/>
              <w:rPr>
                <w:b/>
                <w:sz w:val="14"/>
              </w:rPr>
            </w:pPr>
            <w:r>
              <w:rPr>
                <w:b/>
                <w:sz w:val="14"/>
              </w:rPr>
              <w:t>292,400</w:t>
            </w:r>
          </w:p>
        </w:tc>
        <w:tc>
          <w:tcPr>
            <w:tcW w:w="897" w:type="dxa"/>
          </w:tcPr>
          <w:p>
            <w:pPr>
              <w:pStyle w:val="TableParagraph"/>
              <w:spacing w:before="32"/>
              <w:ind w:left="243"/>
              <w:rPr>
                <w:b/>
                <w:sz w:val="14"/>
              </w:rPr>
            </w:pPr>
            <w:r>
              <w:rPr>
                <w:b/>
                <w:sz w:val="14"/>
              </w:rPr>
              <w:t>42,153</w:t>
            </w:r>
          </w:p>
        </w:tc>
        <w:tc>
          <w:tcPr>
            <w:tcW w:w="843" w:type="dxa"/>
          </w:tcPr>
          <w:p>
            <w:pPr>
              <w:pStyle w:val="TableParagraph"/>
              <w:spacing w:before="32"/>
              <w:ind w:right="182"/>
              <w:jc w:val="right"/>
              <w:rPr>
                <w:b/>
                <w:sz w:val="14"/>
              </w:rPr>
            </w:pPr>
            <w:r>
              <w:rPr>
                <w:b/>
                <w:sz w:val="14"/>
              </w:rPr>
              <w:t>332,287</w:t>
            </w:r>
          </w:p>
        </w:tc>
        <w:tc>
          <w:tcPr>
            <w:tcW w:w="941" w:type="dxa"/>
          </w:tcPr>
          <w:p>
            <w:pPr>
              <w:pStyle w:val="TableParagraph"/>
              <w:spacing w:before="32"/>
              <w:ind w:left="226"/>
              <w:rPr>
                <w:b/>
                <w:sz w:val="14"/>
              </w:rPr>
            </w:pPr>
            <w:r>
              <w:rPr>
                <w:b/>
                <w:sz w:val="14"/>
              </w:rPr>
              <w:t>38,618</w:t>
            </w:r>
          </w:p>
        </w:tc>
        <w:tc>
          <w:tcPr>
            <w:tcW w:w="834" w:type="dxa"/>
          </w:tcPr>
          <w:p>
            <w:pPr>
              <w:pStyle w:val="TableParagraph"/>
              <w:spacing w:before="32"/>
              <w:ind w:right="205"/>
              <w:jc w:val="right"/>
              <w:rPr>
                <w:b/>
                <w:sz w:val="14"/>
              </w:rPr>
            </w:pPr>
            <w:r>
              <w:rPr>
                <w:b/>
                <w:w w:val="95"/>
                <w:sz w:val="14"/>
              </w:rPr>
              <w:t>321,640</w:t>
            </w:r>
          </w:p>
        </w:tc>
        <w:tc>
          <w:tcPr>
            <w:tcW w:w="823" w:type="dxa"/>
          </w:tcPr>
          <w:p>
            <w:pPr>
              <w:pStyle w:val="TableParagraph"/>
              <w:spacing w:before="32"/>
              <w:ind w:right="54"/>
              <w:jc w:val="right"/>
              <w:rPr>
                <w:b/>
                <w:sz w:val="14"/>
              </w:rPr>
            </w:pPr>
            <w:r>
              <w:rPr>
                <w:b/>
                <w:w w:val="95"/>
                <w:sz w:val="14"/>
              </w:rPr>
              <w:t>44,048</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Rural Electrification of 6 District Capital Towns (Transmission)</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Private/ GoSL</w:t>
            </w:r>
          </w:p>
        </w:tc>
        <w:tc>
          <w:tcPr>
            <w:tcW w:w="1086" w:type="dxa"/>
          </w:tcPr>
          <w:p>
            <w:pPr>
              <w:pStyle w:val="TableParagraph"/>
              <w:spacing w:before="32"/>
              <w:ind w:left="76"/>
              <w:rPr>
                <w:sz w:val="14"/>
              </w:rPr>
            </w:pPr>
            <w:r>
              <w:rPr>
                <w:sz w:val="14"/>
              </w:rPr>
              <w:t>Budget</w:t>
            </w:r>
          </w:p>
        </w:tc>
        <w:tc>
          <w:tcPr>
            <w:tcW w:w="903" w:type="dxa"/>
          </w:tcPr>
          <w:p>
            <w:pPr>
              <w:pStyle w:val="TableParagraph"/>
              <w:spacing w:before="32"/>
              <w:ind w:right="163"/>
              <w:jc w:val="right"/>
              <w:rPr>
                <w:sz w:val="14"/>
              </w:rPr>
            </w:pPr>
            <w:r>
              <w:rPr>
                <w:sz w:val="14"/>
              </w:rPr>
              <w:t>900</w:t>
            </w:r>
          </w:p>
        </w:tc>
        <w:tc>
          <w:tcPr>
            <w:tcW w:w="897" w:type="dxa"/>
          </w:tcPr>
          <w:p>
            <w:pPr>
              <w:pStyle w:val="TableParagraph"/>
              <w:spacing w:before="32"/>
              <w:ind w:left="269"/>
              <w:rPr>
                <w:sz w:val="14"/>
              </w:rPr>
            </w:pPr>
            <w:r>
              <w:rPr>
                <w:sz w:val="14"/>
              </w:rPr>
              <w:t>20,000</w:t>
            </w:r>
          </w:p>
        </w:tc>
        <w:tc>
          <w:tcPr>
            <w:tcW w:w="843" w:type="dxa"/>
          </w:tcPr>
          <w:p>
            <w:pPr>
              <w:pStyle w:val="TableParagraph"/>
              <w:rPr>
                <w:rFonts w:ascii="Times New Roman"/>
                <w:sz w:val="14"/>
              </w:rPr>
            </w:pPr>
          </w:p>
        </w:tc>
        <w:tc>
          <w:tcPr>
            <w:tcW w:w="941" w:type="dxa"/>
          </w:tcPr>
          <w:p>
            <w:pPr>
              <w:pStyle w:val="TableParagraph"/>
              <w:spacing w:before="32"/>
              <w:ind w:left="266"/>
              <w:rPr>
                <w:sz w:val="14"/>
              </w:rPr>
            </w:pPr>
            <w:r>
              <w:rPr>
                <w:sz w:val="14"/>
              </w:rPr>
              <w:t>20,000</w:t>
            </w:r>
          </w:p>
        </w:tc>
        <w:tc>
          <w:tcPr>
            <w:tcW w:w="834" w:type="dxa"/>
          </w:tcPr>
          <w:p>
            <w:pPr>
              <w:pStyle w:val="TableParagraph"/>
              <w:spacing w:before="32"/>
              <w:ind w:right="149"/>
              <w:jc w:val="right"/>
              <w:rPr>
                <w:sz w:val="14"/>
              </w:rPr>
            </w:pPr>
            <w:r>
              <w:rPr>
                <w:sz w:val="14"/>
              </w:rPr>
              <w:t>990</w:t>
            </w:r>
          </w:p>
        </w:tc>
        <w:tc>
          <w:tcPr>
            <w:tcW w:w="823" w:type="dxa"/>
          </w:tcPr>
          <w:p>
            <w:pPr>
              <w:pStyle w:val="TableParagraph"/>
              <w:spacing w:before="32"/>
              <w:ind w:right="36"/>
              <w:jc w:val="right"/>
              <w:rPr>
                <w:sz w:val="14"/>
              </w:rPr>
            </w:pPr>
            <w:r>
              <w:rPr>
                <w:w w:val="95"/>
                <w:sz w:val="14"/>
              </w:rPr>
              <w:t>22,000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Rehabilitation and Extention of Bo-Kenema Distribution System</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7"/>
              <w:rPr>
                <w:sz w:val="14"/>
              </w:rPr>
            </w:pPr>
            <w:r>
              <w:rPr>
                <w:sz w:val="14"/>
              </w:rPr>
              <w:t>Bo, Kenema</w:t>
            </w:r>
          </w:p>
        </w:tc>
        <w:tc>
          <w:tcPr>
            <w:tcW w:w="1317" w:type="dxa"/>
          </w:tcPr>
          <w:p>
            <w:pPr>
              <w:pStyle w:val="TableParagraph"/>
              <w:spacing w:before="32"/>
              <w:ind w:left="144"/>
              <w:rPr>
                <w:sz w:val="14"/>
              </w:rPr>
            </w:pPr>
            <w:r>
              <w:rPr>
                <w:sz w:val="14"/>
              </w:rPr>
              <w:t>AfDB/ DFID/ GoSL</w:t>
            </w:r>
          </w:p>
        </w:tc>
        <w:tc>
          <w:tcPr>
            <w:tcW w:w="1086" w:type="dxa"/>
          </w:tcPr>
          <w:p>
            <w:pPr>
              <w:pStyle w:val="TableParagraph"/>
              <w:spacing w:before="32"/>
              <w:ind w:left="75"/>
              <w:rPr>
                <w:sz w:val="14"/>
              </w:rPr>
            </w:pPr>
            <w:r>
              <w:rPr>
                <w:sz w:val="14"/>
              </w:rPr>
              <w:t>Grant/ Loan</w:t>
            </w:r>
          </w:p>
        </w:tc>
        <w:tc>
          <w:tcPr>
            <w:tcW w:w="903" w:type="dxa"/>
          </w:tcPr>
          <w:p>
            <w:pPr>
              <w:pStyle w:val="TableParagraph"/>
              <w:spacing w:before="32"/>
              <w:ind w:right="176"/>
              <w:jc w:val="right"/>
              <w:rPr>
                <w:sz w:val="14"/>
              </w:rPr>
            </w:pPr>
            <w:r>
              <w:rPr>
                <w:w w:val="95"/>
                <w:sz w:val="14"/>
              </w:rPr>
              <w:t>54,000</w:t>
            </w:r>
          </w:p>
        </w:tc>
        <w:tc>
          <w:tcPr>
            <w:tcW w:w="897" w:type="dxa"/>
          </w:tcPr>
          <w:p>
            <w:pPr>
              <w:pStyle w:val="TableParagraph"/>
              <w:spacing w:before="32"/>
              <w:ind w:left="361"/>
              <w:rPr>
                <w:sz w:val="14"/>
              </w:rPr>
            </w:pPr>
            <w:r>
              <w:rPr>
                <w:sz w:val="14"/>
              </w:rPr>
              <w:t>3,153</w:t>
            </w:r>
          </w:p>
        </w:tc>
        <w:tc>
          <w:tcPr>
            <w:tcW w:w="843" w:type="dxa"/>
          </w:tcPr>
          <w:p>
            <w:pPr>
              <w:pStyle w:val="TableParagraph"/>
              <w:spacing w:before="32"/>
              <w:ind w:right="155"/>
              <w:jc w:val="right"/>
              <w:rPr>
                <w:sz w:val="14"/>
              </w:rPr>
            </w:pPr>
            <w:r>
              <w:rPr>
                <w:w w:val="95"/>
                <w:sz w:val="14"/>
              </w:rPr>
              <w:t>39,037</w:t>
            </w:r>
          </w:p>
        </w:tc>
        <w:tc>
          <w:tcPr>
            <w:tcW w:w="941" w:type="dxa"/>
          </w:tcPr>
          <w:p>
            <w:pPr>
              <w:pStyle w:val="TableParagraph"/>
              <w:spacing w:before="32"/>
              <w:ind w:left="358"/>
              <w:rPr>
                <w:sz w:val="14"/>
              </w:rPr>
            </w:pPr>
            <w:r>
              <w:rPr>
                <w:sz w:val="14"/>
              </w:rPr>
              <w:t>3,153</w:t>
            </w:r>
          </w:p>
        </w:tc>
        <w:tc>
          <w:tcPr>
            <w:tcW w:w="834" w:type="dxa"/>
          </w:tcPr>
          <w:p>
            <w:pPr>
              <w:pStyle w:val="TableParagraph"/>
              <w:spacing w:before="32"/>
              <w:ind w:right="163"/>
              <w:jc w:val="right"/>
              <w:rPr>
                <w:sz w:val="14"/>
              </w:rPr>
            </w:pPr>
            <w:r>
              <w:rPr>
                <w:w w:val="95"/>
                <w:sz w:val="14"/>
              </w:rPr>
              <w:t>59,400</w:t>
            </w:r>
          </w:p>
        </w:tc>
        <w:tc>
          <w:tcPr>
            <w:tcW w:w="823" w:type="dxa"/>
          </w:tcPr>
          <w:p>
            <w:pPr>
              <w:pStyle w:val="TableParagraph"/>
              <w:spacing w:before="32"/>
              <w:ind w:right="30"/>
              <w:jc w:val="right"/>
              <w:rPr>
                <w:sz w:val="14"/>
              </w:rPr>
            </w:pPr>
            <w:r>
              <w:rPr>
                <w:sz w:val="14"/>
              </w:rPr>
              <w:t>4,204</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3"/>
              <w:rPr>
                <w:sz w:val="14"/>
              </w:rPr>
            </w:pPr>
            <w:r>
              <w:rPr>
                <w:sz w:val="14"/>
              </w:rPr>
              <w:t>6MW Solar Park Project in Newton</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Western Area</w:t>
            </w:r>
          </w:p>
        </w:tc>
        <w:tc>
          <w:tcPr>
            <w:tcW w:w="1317" w:type="dxa"/>
          </w:tcPr>
          <w:p>
            <w:pPr>
              <w:pStyle w:val="TableParagraph"/>
              <w:spacing w:before="32"/>
              <w:ind w:left="144"/>
              <w:rPr>
                <w:sz w:val="14"/>
              </w:rPr>
            </w:pPr>
            <w:r>
              <w:rPr>
                <w:sz w:val="14"/>
              </w:rPr>
              <w:t>Abu Dhabi</w:t>
            </w:r>
          </w:p>
        </w:tc>
        <w:tc>
          <w:tcPr>
            <w:tcW w:w="1086" w:type="dxa"/>
          </w:tcPr>
          <w:p>
            <w:pPr>
              <w:pStyle w:val="TableParagraph"/>
              <w:spacing w:before="32"/>
              <w:ind w:left="76"/>
              <w:rPr>
                <w:sz w:val="14"/>
              </w:rPr>
            </w:pPr>
            <w:r>
              <w:rPr>
                <w:sz w:val="14"/>
              </w:rPr>
              <w:t>Loan/ Budget</w:t>
            </w:r>
          </w:p>
        </w:tc>
        <w:tc>
          <w:tcPr>
            <w:tcW w:w="903" w:type="dxa"/>
          </w:tcPr>
          <w:p>
            <w:pPr>
              <w:pStyle w:val="TableParagraph"/>
              <w:spacing w:before="32"/>
              <w:ind w:right="176"/>
              <w:jc w:val="right"/>
              <w:rPr>
                <w:sz w:val="14"/>
              </w:rPr>
            </w:pPr>
            <w:r>
              <w:rPr>
                <w:w w:val="95"/>
                <w:sz w:val="14"/>
              </w:rPr>
              <w:t>55,000</w:t>
            </w:r>
          </w:p>
        </w:tc>
        <w:tc>
          <w:tcPr>
            <w:tcW w:w="897" w:type="dxa"/>
          </w:tcPr>
          <w:p>
            <w:pPr>
              <w:pStyle w:val="TableParagraph"/>
              <w:spacing w:before="32"/>
              <w:ind w:left="361"/>
              <w:rPr>
                <w:sz w:val="14"/>
              </w:rPr>
            </w:pPr>
            <w:r>
              <w:rPr>
                <w:sz w:val="14"/>
              </w:rPr>
              <w:t>5,000</w:t>
            </w:r>
          </w:p>
        </w:tc>
        <w:tc>
          <w:tcPr>
            <w:tcW w:w="843" w:type="dxa"/>
          </w:tcPr>
          <w:p>
            <w:pPr>
              <w:pStyle w:val="TableParagraph"/>
              <w:spacing w:before="32"/>
              <w:ind w:right="155"/>
              <w:jc w:val="right"/>
              <w:rPr>
                <w:sz w:val="14"/>
              </w:rPr>
            </w:pPr>
            <w:r>
              <w:rPr>
                <w:w w:val="95"/>
                <w:sz w:val="14"/>
              </w:rPr>
              <w:t>35,000</w:t>
            </w:r>
          </w:p>
        </w:tc>
        <w:tc>
          <w:tcPr>
            <w:tcW w:w="941" w:type="dxa"/>
          </w:tcPr>
          <w:p>
            <w:pPr>
              <w:pStyle w:val="TableParagraph"/>
              <w:spacing w:before="32"/>
              <w:ind w:left="358"/>
              <w:rPr>
                <w:sz w:val="14"/>
              </w:rPr>
            </w:pPr>
            <w:r>
              <w:rPr>
                <w:sz w:val="14"/>
              </w:rPr>
              <w:t>3,566</w:t>
            </w:r>
          </w:p>
        </w:tc>
        <w:tc>
          <w:tcPr>
            <w:tcW w:w="834" w:type="dxa"/>
          </w:tcPr>
          <w:p>
            <w:pPr>
              <w:pStyle w:val="TableParagraph"/>
              <w:spacing w:before="32"/>
              <w:ind w:right="163"/>
              <w:jc w:val="right"/>
              <w:rPr>
                <w:sz w:val="14"/>
              </w:rPr>
            </w:pPr>
            <w:r>
              <w:rPr>
                <w:w w:val="95"/>
                <w:sz w:val="14"/>
              </w:rPr>
              <w:t>60,500</w:t>
            </w:r>
          </w:p>
        </w:tc>
        <w:tc>
          <w:tcPr>
            <w:tcW w:w="823" w:type="dxa"/>
          </w:tcPr>
          <w:p>
            <w:pPr>
              <w:pStyle w:val="TableParagraph"/>
              <w:spacing w:before="32"/>
              <w:ind w:right="30"/>
              <w:jc w:val="right"/>
              <w:rPr>
                <w:sz w:val="14"/>
              </w:rPr>
            </w:pPr>
            <w:r>
              <w:rPr>
                <w:sz w:val="14"/>
              </w:rPr>
              <w:t>4,754</w:t>
            </w:r>
          </w:p>
        </w:tc>
      </w:tr>
      <w:tr>
        <w:trPr>
          <w:trHeight w:val="230" w:hRule="atLeast"/>
        </w:trPr>
        <w:tc>
          <w:tcPr>
            <w:tcW w:w="470" w:type="dxa"/>
          </w:tcPr>
          <w:p>
            <w:pPr>
              <w:pStyle w:val="TableParagraph"/>
              <w:rPr>
                <w:rFonts w:ascii="Times New Roman"/>
                <w:sz w:val="14"/>
              </w:rPr>
            </w:pPr>
          </w:p>
        </w:tc>
        <w:tc>
          <w:tcPr>
            <w:tcW w:w="4736" w:type="dxa"/>
          </w:tcPr>
          <w:p>
            <w:pPr>
              <w:pStyle w:val="TableParagraph"/>
              <w:rPr>
                <w:rFonts w:ascii="Times New Roman"/>
                <w:sz w:val="14"/>
              </w:rPr>
            </w:pP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spacing w:before="32"/>
              <w:ind w:left="179"/>
              <w:rPr>
                <w:sz w:val="14"/>
              </w:rPr>
            </w:pPr>
            <w:r>
              <w:rPr>
                <w:sz w:val="14"/>
              </w:rPr>
              <w:t>Fund/ GoSL</w:t>
            </w:r>
          </w:p>
        </w:tc>
        <w:tc>
          <w:tcPr>
            <w:tcW w:w="1086" w:type="dxa"/>
          </w:tcPr>
          <w:p>
            <w:pPr>
              <w:pStyle w:val="TableParagraph"/>
              <w:rPr>
                <w:rFonts w:ascii="Times New Roman"/>
                <w:sz w:val="14"/>
              </w:rPr>
            </w:pPr>
          </w:p>
        </w:tc>
        <w:tc>
          <w:tcPr>
            <w:tcW w:w="903" w:type="dxa"/>
          </w:tcPr>
          <w:p>
            <w:pPr>
              <w:pStyle w:val="TableParagraph"/>
              <w:rPr>
                <w:rFonts w:ascii="Times New Roman"/>
                <w:sz w:val="14"/>
              </w:rPr>
            </w:pPr>
          </w:p>
        </w:tc>
        <w:tc>
          <w:tcPr>
            <w:tcW w:w="897" w:type="dxa"/>
          </w:tcPr>
          <w:p>
            <w:pPr>
              <w:pStyle w:val="TableParagraph"/>
              <w:rPr>
                <w:rFonts w:ascii="Times New Roman"/>
                <w:sz w:val="14"/>
              </w:rPr>
            </w:pPr>
          </w:p>
        </w:tc>
        <w:tc>
          <w:tcPr>
            <w:tcW w:w="843" w:type="dxa"/>
          </w:tcPr>
          <w:p>
            <w:pPr>
              <w:pStyle w:val="TableParagraph"/>
              <w:rPr>
                <w:rFonts w:ascii="Times New Roman"/>
                <w:sz w:val="14"/>
              </w:rPr>
            </w:pPr>
          </w:p>
        </w:tc>
        <w:tc>
          <w:tcPr>
            <w:tcW w:w="941" w:type="dxa"/>
          </w:tcPr>
          <w:p>
            <w:pPr>
              <w:pStyle w:val="TableParagraph"/>
              <w:rPr>
                <w:rFonts w:ascii="Times New Roman"/>
                <w:sz w:val="14"/>
              </w:rPr>
            </w:pPr>
          </w:p>
        </w:tc>
        <w:tc>
          <w:tcPr>
            <w:tcW w:w="834" w:type="dxa"/>
          </w:tcPr>
          <w:p>
            <w:pPr>
              <w:pStyle w:val="TableParagraph"/>
              <w:rPr>
                <w:rFonts w:ascii="Times New Roman"/>
                <w:sz w:val="14"/>
              </w:rPr>
            </w:pPr>
          </w:p>
        </w:tc>
        <w:tc>
          <w:tcPr>
            <w:tcW w:w="823" w:type="dxa"/>
          </w:tcPr>
          <w:p>
            <w:pPr>
              <w:pStyle w:val="TableParagraph"/>
              <w:rPr>
                <w:rFonts w:ascii="Times New Roman"/>
                <w:sz w:val="14"/>
              </w:rPr>
            </w:pPr>
          </w:p>
        </w:tc>
      </w:tr>
      <w:tr>
        <w:trPr>
          <w:trHeight w:val="228"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Rehabilitation of Dodo Dam</w:t>
            </w:r>
          </w:p>
        </w:tc>
        <w:tc>
          <w:tcPr>
            <w:tcW w:w="883" w:type="dxa"/>
          </w:tcPr>
          <w:p>
            <w:pPr>
              <w:pStyle w:val="TableParagraph"/>
              <w:spacing w:before="32"/>
              <w:ind w:left="230"/>
              <w:rPr>
                <w:sz w:val="14"/>
              </w:rPr>
            </w:pPr>
            <w:r>
              <w:rPr>
                <w:sz w:val="14"/>
              </w:rPr>
              <w:t>New</w:t>
            </w:r>
          </w:p>
        </w:tc>
        <w:tc>
          <w:tcPr>
            <w:tcW w:w="1075" w:type="dxa"/>
          </w:tcPr>
          <w:p>
            <w:pPr>
              <w:pStyle w:val="TableParagraph"/>
              <w:spacing w:before="32"/>
              <w:ind w:left="86"/>
              <w:rPr>
                <w:sz w:val="14"/>
              </w:rPr>
            </w:pPr>
            <w:r>
              <w:rPr>
                <w:sz w:val="14"/>
              </w:rPr>
              <w:t>South</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2,000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2,200</w:t>
            </w:r>
          </w:p>
        </w:tc>
        <w:tc>
          <w:tcPr>
            <w:tcW w:w="834" w:type="dxa"/>
          </w:tcPr>
          <w:p>
            <w:pPr>
              <w:pStyle w:val="TableParagraph"/>
              <w:spacing w:before="32"/>
              <w:ind w:right="155"/>
              <w:jc w:val="right"/>
              <w:rPr>
                <w:sz w:val="14"/>
              </w:rPr>
            </w:pPr>
            <w:r>
              <w:rPr>
                <w:w w:val="99"/>
                <w:sz w:val="14"/>
              </w:rPr>
              <w:t>-</w:t>
            </w:r>
          </w:p>
        </w:tc>
        <w:tc>
          <w:tcPr>
            <w:tcW w:w="823" w:type="dxa"/>
          </w:tcPr>
          <w:p>
            <w:pPr>
              <w:pStyle w:val="TableParagraph"/>
              <w:spacing w:before="32"/>
              <w:ind w:right="30"/>
              <w:jc w:val="right"/>
              <w:rPr>
                <w:sz w:val="14"/>
              </w:rPr>
            </w:pPr>
            <w:r>
              <w:rPr>
                <w:sz w:val="14"/>
              </w:rPr>
              <w:t>2,420</w:t>
            </w:r>
          </w:p>
        </w:tc>
      </w:tr>
      <w:tr>
        <w:trPr>
          <w:trHeight w:val="228" w:hRule="atLeast"/>
        </w:trPr>
        <w:tc>
          <w:tcPr>
            <w:tcW w:w="470" w:type="dxa"/>
          </w:tcPr>
          <w:p>
            <w:pPr>
              <w:pStyle w:val="TableParagraph"/>
              <w:rPr>
                <w:rFonts w:ascii="Times New Roman"/>
                <w:sz w:val="14"/>
              </w:rPr>
            </w:pPr>
          </w:p>
        </w:tc>
        <w:tc>
          <w:tcPr>
            <w:tcW w:w="4736" w:type="dxa"/>
          </w:tcPr>
          <w:p>
            <w:pPr>
              <w:pStyle w:val="TableParagraph"/>
              <w:spacing w:before="29"/>
              <w:ind w:left="262"/>
              <w:rPr>
                <w:sz w:val="14"/>
              </w:rPr>
            </w:pPr>
            <w:r>
              <w:rPr>
                <w:sz w:val="14"/>
              </w:rPr>
              <w:t>Rehabilitation of Electricity House</w:t>
            </w:r>
          </w:p>
        </w:tc>
        <w:tc>
          <w:tcPr>
            <w:tcW w:w="883" w:type="dxa"/>
          </w:tcPr>
          <w:p>
            <w:pPr>
              <w:pStyle w:val="TableParagraph"/>
              <w:spacing w:before="29"/>
              <w:ind w:left="230"/>
              <w:rPr>
                <w:sz w:val="14"/>
              </w:rPr>
            </w:pPr>
            <w:r>
              <w:rPr>
                <w:sz w:val="14"/>
              </w:rPr>
              <w:t>New</w:t>
            </w:r>
          </w:p>
        </w:tc>
        <w:tc>
          <w:tcPr>
            <w:tcW w:w="1075" w:type="dxa"/>
          </w:tcPr>
          <w:p>
            <w:pPr>
              <w:pStyle w:val="TableParagraph"/>
              <w:spacing w:before="29"/>
              <w:ind w:left="86"/>
              <w:rPr>
                <w:sz w:val="14"/>
              </w:rPr>
            </w:pPr>
            <w:r>
              <w:rPr>
                <w:sz w:val="14"/>
              </w:rPr>
              <w:t>Western Area</w:t>
            </w:r>
          </w:p>
        </w:tc>
        <w:tc>
          <w:tcPr>
            <w:tcW w:w="1317" w:type="dxa"/>
          </w:tcPr>
          <w:p>
            <w:pPr>
              <w:pStyle w:val="TableParagraph"/>
              <w:spacing w:before="29"/>
              <w:ind w:left="144"/>
              <w:rPr>
                <w:sz w:val="14"/>
              </w:rPr>
            </w:pPr>
            <w:r>
              <w:rPr>
                <w:sz w:val="14"/>
              </w:rPr>
              <w:t>GoSL</w:t>
            </w:r>
          </w:p>
        </w:tc>
        <w:tc>
          <w:tcPr>
            <w:tcW w:w="1086" w:type="dxa"/>
          </w:tcPr>
          <w:p>
            <w:pPr>
              <w:pStyle w:val="TableParagraph"/>
              <w:spacing w:before="29"/>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29"/>
              <w:ind w:left="361"/>
              <w:rPr>
                <w:sz w:val="14"/>
              </w:rPr>
            </w:pPr>
            <w:r>
              <w:rPr>
                <w:sz w:val="14"/>
              </w:rPr>
              <w:t>5,000</w:t>
            </w:r>
          </w:p>
        </w:tc>
        <w:tc>
          <w:tcPr>
            <w:tcW w:w="843" w:type="dxa"/>
          </w:tcPr>
          <w:p>
            <w:pPr>
              <w:pStyle w:val="TableParagraph"/>
              <w:rPr>
                <w:rFonts w:ascii="Times New Roman"/>
                <w:sz w:val="14"/>
              </w:rPr>
            </w:pPr>
          </w:p>
        </w:tc>
        <w:tc>
          <w:tcPr>
            <w:tcW w:w="941" w:type="dxa"/>
          </w:tcPr>
          <w:p>
            <w:pPr>
              <w:pStyle w:val="TableParagraph"/>
              <w:spacing w:before="29"/>
              <w:ind w:left="358"/>
              <w:rPr>
                <w:sz w:val="14"/>
              </w:rPr>
            </w:pPr>
            <w:r>
              <w:rPr>
                <w:sz w:val="14"/>
              </w:rPr>
              <w:t>2,000</w:t>
            </w:r>
          </w:p>
        </w:tc>
        <w:tc>
          <w:tcPr>
            <w:tcW w:w="834" w:type="dxa"/>
          </w:tcPr>
          <w:p>
            <w:pPr>
              <w:pStyle w:val="TableParagraph"/>
              <w:spacing w:before="29"/>
              <w:ind w:right="155"/>
              <w:jc w:val="right"/>
              <w:rPr>
                <w:sz w:val="14"/>
              </w:rPr>
            </w:pPr>
            <w:r>
              <w:rPr>
                <w:w w:val="99"/>
                <w:sz w:val="14"/>
              </w:rPr>
              <w:t>-</w:t>
            </w:r>
          </w:p>
        </w:tc>
        <w:tc>
          <w:tcPr>
            <w:tcW w:w="823" w:type="dxa"/>
          </w:tcPr>
          <w:p>
            <w:pPr>
              <w:pStyle w:val="TableParagraph"/>
              <w:spacing w:before="29"/>
              <w:ind w:right="30"/>
              <w:jc w:val="right"/>
              <w:rPr>
                <w:sz w:val="14"/>
              </w:rPr>
            </w:pPr>
            <w:r>
              <w:rPr>
                <w:sz w:val="14"/>
              </w:rPr>
              <w:t>2,200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Rehabilitation of EGTC Plants</w:t>
            </w:r>
          </w:p>
        </w:tc>
        <w:tc>
          <w:tcPr>
            <w:tcW w:w="883" w:type="dxa"/>
          </w:tcPr>
          <w:p>
            <w:pPr>
              <w:pStyle w:val="TableParagraph"/>
              <w:spacing w:before="32"/>
              <w:ind w:left="230"/>
              <w:rPr>
                <w:sz w:val="14"/>
              </w:rPr>
            </w:pPr>
            <w:r>
              <w:rPr>
                <w:sz w:val="14"/>
              </w:rPr>
              <w:t>New</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5,000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5,500</w:t>
            </w:r>
          </w:p>
        </w:tc>
        <w:tc>
          <w:tcPr>
            <w:tcW w:w="834" w:type="dxa"/>
          </w:tcPr>
          <w:p>
            <w:pPr>
              <w:pStyle w:val="TableParagraph"/>
              <w:spacing w:before="32"/>
              <w:ind w:right="155"/>
              <w:jc w:val="right"/>
              <w:rPr>
                <w:sz w:val="14"/>
              </w:rPr>
            </w:pPr>
            <w:r>
              <w:rPr>
                <w:w w:val="99"/>
                <w:sz w:val="14"/>
              </w:rPr>
              <w:t>-</w:t>
            </w:r>
          </w:p>
        </w:tc>
        <w:tc>
          <w:tcPr>
            <w:tcW w:w="823" w:type="dxa"/>
          </w:tcPr>
          <w:p>
            <w:pPr>
              <w:pStyle w:val="TableParagraph"/>
              <w:spacing w:before="32"/>
              <w:ind w:right="30"/>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West African Power Pool Project (WAPP)</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5"/>
              <w:rPr>
                <w:sz w:val="14"/>
              </w:rPr>
            </w:pPr>
            <w:r>
              <w:rPr>
                <w:sz w:val="14"/>
              </w:rPr>
              <w:t>ECOWAS/ GOSL</w:t>
            </w:r>
          </w:p>
        </w:tc>
        <w:tc>
          <w:tcPr>
            <w:tcW w:w="1086" w:type="dxa"/>
          </w:tcPr>
          <w:p>
            <w:pPr>
              <w:pStyle w:val="TableParagraph"/>
              <w:spacing w:before="32"/>
              <w:ind w:left="76"/>
              <w:rPr>
                <w:sz w:val="14"/>
              </w:rPr>
            </w:pPr>
            <w:r>
              <w:rPr>
                <w:sz w:val="14"/>
              </w:rPr>
              <w:t>Loan / Budget</w:t>
            </w:r>
          </w:p>
        </w:tc>
        <w:tc>
          <w:tcPr>
            <w:tcW w:w="903" w:type="dxa"/>
          </w:tcPr>
          <w:p>
            <w:pPr>
              <w:pStyle w:val="TableParagraph"/>
              <w:spacing w:before="32"/>
              <w:ind w:right="176"/>
              <w:jc w:val="right"/>
              <w:rPr>
                <w:sz w:val="14"/>
              </w:rPr>
            </w:pPr>
            <w:r>
              <w:rPr>
                <w:w w:val="95"/>
                <w:sz w:val="14"/>
              </w:rPr>
              <w:t>35,000</w:t>
            </w:r>
          </w:p>
        </w:tc>
        <w:tc>
          <w:tcPr>
            <w:tcW w:w="897" w:type="dxa"/>
          </w:tcPr>
          <w:p>
            <w:pPr>
              <w:pStyle w:val="TableParagraph"/>
              <w:rPr>
                <w:rFonts w:ascii="Times New Roman"/>
                <w:sz w:val="14"/>
              </w:rPr>
            </w:pPr>
          </w:p>
        </w:tc>
        <w:tc>
          <w:tcPr>
            <w:tcW w:w="843" w:type="dxa"/>
          </w:tcPr>
          <w:p>
            <w:pPr>
              <w:pStyle w:val="TableParagraph"/>
              <w:spacing w:before="32"/>
              <w:ind w:right="155"/>
              <w:jc w:val="right"/>
              <w:rPr>
                <w:sz w:val="14"/>
              </w:rPr>
            </w:pPr>
            <w:r>
              <w:rPr>
                <w:w w:val="95"/>
                <w:sz w:val="14"/>
              </w:rPr>
              <w:t>60,000</w:t>
            </w:r>
          </w:p>
        </w:tc>
        <w:tc>
          <w:tcPr>
            <w:tcW w:w="941" w:type="dxa"/>
          </w:tcPr>
          <w:p>
            <w:pPr>
              <w:pStyle w:val="TableParagraph"/>
              <w:spacing w:before="32"/>
              <w:ind w:right="232"/>
              <w:jc w:val="right"/>
              <w:rPr>
                <w:sz w:val="14"/>
              </w:rPr>
            </w:pPr>
            <w:r>
              <w:rPr>
                <w:w w:val="99"/>
                <w:sz w:val="14"/>
              </w:rPr>
              <w:t>-</w:t>
            </w:r>
          </w:p>
        </w:tc>
        <w:tc>
          <w:tcPr>
            <w:tcW w:w="834" w:type="dxa"/>
          </w:tcPr>
          <w:p>
            <w:pPr>
              <w:pStyle w:val="TableParagraph"/>
              <w:spacing w:before="32"/>
              <w:ind w:right="177"/>
              <w:jc w:val="right"/>
              <w:rPr>
                <w:sz w:val="14"/>
              </w:rPr>
            </w:pPr>
            <w:r>
              <w:rPr>
                <w:w w:val="95"/>
                <w:sz w:val="14"/>
              </w:rPr>
              <w:t>38,500</w:t>
            </w:r>
          </w:p>
        </w:tc>
        <w:tc>
          <w:tcPr>
            <w:tcW w:w="823" w:type="dxa"/>
          </w:tcPr>
          <w:p>
            <w:pPr>
              <w:pStyle w:val="TableParagraph"/>
              <w:spacing w:before="32"/>
              <w:ind w:right="13"/>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Rural Electrification Project - CLSG (Serving</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rPr>
                <w:rFonts w:ascii="Times New Roman"/>
                <w:sz w:val="14"/>
              </w:rPr>
            </w:pPr>
          </w:p>
        </w:tc>
        <w:tc>
          <w:tcPr>
            <w:tcW w:w="897" w:type="dxa"/>
          </w:tcPr>
          <w:p>
            <w:pPr>
              <w:pStyle w:val="TableParagraph"/>
              <w:rPr>
                <w:rFonts w:ascii="Times New Roman"/>
                <w:sz w:val="14"/>
              </w:rPr>
            </w:pPr>
          </w:p>
        </w:tc>
        <w:tc>
          <w:tcPr>
            <w:tcW w:w="843" w:type="dxa"/>
          </w:tcPr>
          <w:p>
            <w:pPr>
              <w:pStyle w:val="TableParagraph"/>
              <w:rPr>
                <w:rFonts w:ascii="Times New Roman"/>
                <w:sz w:val="14"/>
              </w:rPr>
            </w:pPr>
          </w:p>
        </w:tc>
        <w:tc>
          <w:tcPr>
            <w:tcW w:w="941" w:type="dxa"/>
          </w:tcPr>
          <w:p>
            <w:pPr>
              <w:pStyle w:val="TableParagraph"/>
              <w:rPr>
                <w:rFonts w:ascii="Times New Roman"/>
                <w:sz w:val="14"/>
              </w:rPr>
            </w:pPr>
          </w:p>
        </w:tc>
        <w:tc>
          <w:tcPr>
            <w:tcW w:w="834" w:type="dxa"/>
          </w:tcPr>
          <w:p>
            <w:pPr>
              <w:pStyle w:val="TableParagraph"/>
              <w:rPr>
                <w:rFonts w:ascii="Times New Roman"/>
                <w:sz w:val="14"/>
              </w:rPr>
            </w:pPr>
          </w:p>
        </w:tc>
        <w:tc>
          <w:tcPr>
            <w:tcW w:w="823"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Communities along the Transmission Line)</w:t>
            </w:r>
          </w:p>
        </w:tc>
        <w:tc>
          <w:tcPr>
            <w:tcW w:w="883" w:type="dxa"/>
          </w:tcPr>
          <w:p>
            <w:pPr>
              <w:pStyle w:val="TableParagraph"/>
              <w:spacing w:before="32"/>
              <w:ind w:left="230"/>
              <w:rPr>
                <w:sz w:val="14"/>
              </w:rPr>
            </w:pPr>
            <w:r>
              <w:rPr>
                <w:sz w:val="14"/>
              </w:rPr>
              <w:t>Ongoin</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AfDB/ GoSl</w:t>
            </w:r>
          </w:p>
        </w:tc>
        <w:tc>
          <w:tcPr>
            <w:tcW w:w="1086" w:type="dxa"/>
          </w:tcPr>
          <w:p>
            <w:pPr>
              <w:pStyle w:val="TableParagraph"/>
              <w:spacing w:before="32"/>
              <w:ind w:left="75"/>
              <w:rPr>
                <w:sz w:val="14"/>
              </w:rPr>
            </w:pPr>
            <w:r>
              <w:rPr>
                <w:sz w:val="14"/>
              </w:rPr>
              <w:t>Grant/ Budget</w:t>
            </w:r>
          </w:p>
        </w:tc>
        <w:tc>
          <w:tcPr>
            <w:tcW w:w="903" w:type="dxa"/>
          </w:tcPr>
          <w:p>
            <w:pPr>
              <w:pStyle w:val="TableParagraph"/>
              <w:spacing w:before="32"/>
              <w:ind w:right="162"/>
              <w:jc w:val="right"/>
              <w:rPr>
                <w:sz w:val="14"/>
              </w:rPr>
            </w:pPr>
            <w:r>
              <w:rPr>
                <w:w w:val="95"/>
                <w:sz w:val="14"/>
              </w:rPr>
              <w:t>35,000</w:t>
            </w:r>
          </w:p>
        </w:tc>
        <w:tc>
          <w:tcPr>
            <w:tcW w:w="897" w:type="dxa"/>
          </w:tcPr>
          <w:p>
            <w:pPr>
              <w:pStyle w:val="TableParagraph"/>
              <w:rPr>
                <w:rFonts w:ascii="Times New Roman"/>
                <w:sz w:val="14"/>
              </w:rPr>
            </w:pPr>
          </w:p>
        </w:tc>
        <w:tc>
          <w:tcPr>
            <w:tcW w:w="843" w:type="dxa"/>
          </w:tcPr>
          <w:p>
            <w:pPr>
              <w:pStyle w:val="TableParagraph"/>
              <w:spacing w:before="32"/>
              <w:ind w:right="155"/>
              <w:jc w:val="right"/>
              <w:rPr>
                <w:sz w:val="14"/>
              </w:rPr>
            </w:pPr>
            <w:r>
              <w:rPr>
                <w:w w:val="95"/>
                <w:sz w:val="14"/>
              </w:rPr>
              <w:t>65,000</w:t>
            </w:r>
          </w:p>
        </w:tc>
        <w:tc>
          <w:tcPr>
            <w:tcW w:w="941" w:type="dxa"/>
          </w:tcPr>
          <w:p>
            <w:pPr>
              <w:pStyle w:val="TableParagraph"/>
              <w:spacing w:before="32"/>
              <w:ind w:right="232"/>
              <w:jc w:val="right"/>
              <w:rPr>
                <w:sz w:val="14"/>
              </w:rPr>
            </w:pPr>
            <w:r>
              <w:rPr>
                <w:w w:val="99"/>
                <w:sz w:val="14"/>
              </w:rPr>
              <w:t>-</w:t>
            </w:r>
          </w:p>
        </w:tc>
        <w:tc>
          <w:tcPr>
            <w:tcW w:w="834" w:type="dxa"/>
          </w:tcPr>
          <w:p>
            <w:pPr>
              <w:pStyle w:val="TableParagraph"/>
              <w:spacing w:before="32"/>
              <w:ind w:right="177"/>
              <w:jc w:val="right"/>
              <w:rPr>
                <w:sz w:val="14"/>
              </w:rPr>
            </w:pPr>
            <w:r>
              <w:rPr>
                <w:w w:val="95"/>
                <w:sz w:val="14"/>
              </w:rPr>
              <w:t>38,500</w:t>
            </w:r>
          </w:p>
        </w:tc>
        <w:tc>
          <w:tcPr>
            <w:tcW w:w="823" w:type="dxa"/>
          </w:tcPr>
          <w:p>
            <w:pPr>
              <w:pStyle w:val="TableParagraph"/>
              <w:spacing w:before="32"/>
              <w:ind w:right="13"/>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Supply and Installation of 225KV Double Circuit</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rPr>
                <w:rFonts w:ascii="Times New Roman"/>
                <w:sz w:val="14"/>
              </w:rPr>
            </w:pPr>
          </w:p>
        </w:tc>
        <w:tc>
          <w:tcPr>
            <w:tcW w:w="897" w:type="dxa"/>
          </w:tcPr>
          <w:p>
            <w:pPr>
              <w:pStyle w:val="TableParagraph"/>
              <w:rPr>
                <w:rFonts w:ascii="Times New Roman"/>
                <w:sz w:val="14"/>
              </w:rPr>
            </w:pPr>
          </w:p>
        </w:tc>
        <w:tc>
          <w:tcPr>
            <w:tcW w:w="843" w:type="dxa"/>
          </w:tcPr>
          <w:p>
            <w:pPr>
              <w:pStyle w:val="TableParagraph"/>
              <w:rPr>
                <w:rFonts w:ascii="Times New Roman"/>
                <w:sz w:val="14"/>
              </w:rPr>
            </w:pPr>
          </w:p>
        </w:tc>
        <w:tc>
          <w:tcPr>
            <w:tcW w:w="941" w:type="dxa"/>
          </w:tcPr>
          <w:p>
            <w:pPr>
              <w:pStyle w:val="TableParagraph"/>
              <w:rPr>
                <w:rFonts w:ascii="Times New Roman"/>
                <w:sz w:val="14"/>
              </w:rPr>
            </w:pPr>
          </w:p>
        </w:tc>
        <w:tc>
          <w:tcPr>
            <w:tcW w:w="834" w:type="dxa"/>
          </w:tcPr>
          <w:p>
            <w:pPr>
              <w:pStyle w:val="TableParagraph"/>
              <w:rPr>
                <w:rFonts w:ascii="Times New Roman"/>
                <w:sz w:val="14"/>
              </w:rPr>
            </w:pPr>
          </w:p>
        </w:tc>
        <w:tc>
          <w:tcPr>
            <w:tcW w:w="823"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Transmision Line from Bumbuna II to Waterloo</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5"/>
              <w:rPr>
                <w:sz w:val="14"/>
              </w:rPr>
            </w:pPr>
            <w:r>
              <w:rPr>
                <w:sz w:val="14"/>
              </w:rPr>
              <w:t>India Exim/ GoSL</w:t>
            </w:r>
          </w:p>
        </w:tc>
        <w:tc>
          <w:tcPr>
            <w:tcW w:w="1086" w:type="dxa"/>
          </w:tcPr>
          <w:p>
            <w:pPr>
              <w:pStyle w:val="TableParagraph"/>
              <w:spacing w:before="32"/>
              <w:ind w:left="76"/>
              <w:rPr>
                <w:sz w:val="14"/>
              </w:rPr>
            </w:pPr>
            <w:r>
              <w:rPr>
                <w:sz w:val="14"/>
              </w:rPr>
              <w:t>Loan/ Budget</w:t>
            </w:r>
          </w:p>
        </w:tc>
        <w:tc>
          <w:tcPr>
            <w:tcW w:w="903" w:type="dxa"/>
          </w:tcPr>
          <w:p>
            <w:pPr>
              <w:pStyle w:val="TableParagraph"/>
              <w:spacing w:before="32"/>
              <w:ind w:right="176"/>
              <w:jc w:val="right"/>
              <w:rPr>
                <w:sz w:val="14"/>
              </w:rPr>
            </w:pPr>
            <w:r>
              <w:rPr>
                <w:w w:val="95"/>
                <w:sz w:val="14"/>
              </w:rPr>
              <w:t>75,000</w:t>
            </w:r>
          </w:p>
        </w:tc>
        <w:tc>
          <w:tcPr>
            <w:tcW w:w="897" w:type="dxa"/>
          </w:tcPr>
          <w:p>
            <w:pPr>
              <w:pStyle w:val="TableParagraph"/>
              <w:spacing w:before="32"/>
              <w:ind w:left="361"/>
              <w:rPr>
                <w:sz w:val="14"/>
              </w:rPr>
            </w:pPr>
            <w:r>
              <w:rPr>
                <w:sz w:val="14"/>
              </w:rPr>
              <w:t>2,000</w:t>
            </w:r>
          </w:p>
        </w:tc>
        <w:tc>
          <w:tcPr>
            <w:tcW w:w="843" w:type="dxa"/>
          </w:tcPr>
          <w:p>
            <w:pPr>
              <w:pStyle w:val="TableParagraph"/>
              <w:spacing w:before="32"/>
              <w:ind w:right="155"/>
              <w:jc w:val="right"/>
              <w:rPr>
                <w:sz w:val="14"/>
              </w:rPr>
            </w:pPr>
            <w:r>
              <w:rPr>
                <w:w w:val="95"/>
                <w:sz w:val="14"/>
              </w:rPr>
              <w:t>85,000</w:t>
            </w:r>
          </w:p>
        </w:tc>
        <w:tc>
          <w:tcPr>
            <w:tcW w:w="941" w:type="dxa"/>
          </w:tcPr>
          <w:p>
            <w:pPr>
              <w:pStyle w:val="TableParagraph"/>
              <w:spacing w:before="32"/>
              <w:ind w:left="358"/>
              <w:rPr>
                <w:sz w:val="14"/>
              </w:rPr>
            </w:pPr>
            <w:r>
              <w:rPr>
                <w:sz w:val="14"/>
              </w:rPr>
              <w:t>2,200</w:t>
            </w:r>
          </w:p>
        </w:tc>
        <w:tc>
          <w:tcPr>
            <w:tcW w:w="834" w:type="dxa"/>
          </w:tcPr>
          <w:p>
            <w:pPr>
              <w:pStyle w:val="TableParagraph"/>
              <w:spacing w:before="32"/>
              <w:ind w:right="163"/>
              <w:jc w:val="right"/>
              <w:rPr>
                <w:sz w:val="14"/>
              </w:rPr>
            </w:pPr>
            <w:r>
              <w:rPr>
                <w:w w:val="95"/>
                <w:sz w:val="14"/>
              </w:rPr>
              <w:t>82,500</w:t>
            </w:r>
          </w:p>
        </w:tc>
        <w:tc>
          <w:tcPr>
            <w:tcW w:w="823" w:type="dxa"/>
          </w:tcPr>
          <w:p>
            <w:pPr>
              <w:pStyle w:val="TableParagraph"/>
              <w:spacing w:before="32"/>
              <w:ind w:right="30"/>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3"/>
              <w:rPr>
                <w:sz w:val="14"/>
              </w:rPr>
            </w:pPr>
            <w:r>
              <w:rPr>
                <w:sz w:val="14"/>
              </w:rPr>
              <w:t>Energy Sector Utility Reform Project (ESURP)</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5"/>
              <w:rPr>
                <w:sz w:val="14"/>
              </w:rPr>
            </w:pPr>
            <w:r>
              <w:rPr>
                <w:sz w:val="14"/>
              </w:rPr>
              <w:t>IDA</w:t>
            </w:r>
          </w:p>
        </w:tc>
        <w:tc>
          <w:tcPr>
            <w:tcW w:w="1086" w:type="dxa"/>
          </w:tcPr>
          <w:p>
            <w:pPr>
              <w:pStyle w:val="TableParagraph"/>
              <w:spacing w:before="32"/>
              <w:ind w:left="75"/>
              <w:rPr>
                <w:sz w:val="14"/>
              </w:rPr>
            </w:pPr>
            <w:r>
              <w:rPr>
                <w:sz w:val="14"/>
              </w:rPr>
              <w:t>Grant</w:t>
            </w:r>
          </w:p>
        </w:tc>
        <w:tc>
          <w:tcPr>
            <w:tcW w:w="903" w:type="dxa"/>
          </w:tcPr>
          <w:p>
            <w:pPr>
              <w:pStyle w:val="TableParagraph"/>
              <w:spacing w:before="32"/>
              <w:ind w:right="176"/>
              <w:jc w:val="right"/>
              <w:rPr>
                <w:sz w:val="14"/>
              </w:rPr>
            </w:pPr>
            <w:r>
              <w:rPr>
                <w:w w:val="95"/>
                <w:sz w:val="14"/>
              </w:rPr>
              <w:t>25,000</w:t>
            </w:r>
          </w:p>
        </w:tc>
        <w:tc>
          <w:tcPr>
            <w:tcW w:w="897" w:type="dxa"/>
          </w:tcPr>
          <w:p>
            <w:pPr>
              <w:pStyle w:val="TableParagraph"/>
              <w:spacing w:before="32"/>
              <w:ind w:right="148"/>
              <w:jc w:val="right"/>
              <w:rPr>
                <w:sz w:val="14"/>
              </w:rPr>
            </w:pPr>
            <w:r>
              <w:rPr>
                <w:w w:val="99"/>
                <w:sz w:val="14"/>
              </w:rPr>
              <w:t>-</w:t>
            </w:r>
          </w:p>
        </w:tc>
        <w:tc>
          <w:tcPr>
            <w:tcW w:w="843" w:type="dxa"/>
          </w:tcPr>
          <w:p>
            <w:pPr>
              <w:pStyle w:val="TableParagraph"/>
              <w:spacing w:before="32"/>
              <w:ind w:right="155"/>
              <w:jc w:val="right"/>
              <w:rPr>
                <w:sz w:val="14"/>
              </w:rPr>
            </w:pPr>
            <w:r>
              <w:rPr>
                <w:w w:val="95"/>
                <w:sz w:val="14"/>
              </w:rPr>
              <w:t>40,000</w:t>
            </w:r>
          </w:p>
        </w:tc>
        <w:tc>
          <w:tcPr>
            <w:tcW w:w="941" w:type="dxa"/>
          </w:tcPr>
          <w:p>
            <w:pPr>
              <w:pStyle w:val="TableParagraph"/>
              <w:spacing w:before="32"/>
              <w:ind w:right="232"/>
              <w:jc w:val="right"/>
              <w:rPr>
                <w:sz w:val="14"/>
              </w:rPr>
            </w:pPr>
            <w:r>
              <w:rPr>
                <w:w w:val="99"/>
                <w:sz w:val="14"/>
              </w:rPr>
              <w:t>-</w:t>
            </w:r>
          </w:p>
        </w:tc>
        <w:tc>
          <w:tcPr>
            <w:tcW w:w="834" w:type="dxa"/>
          </w:tcPr>
          <w:p>
            <w:pPr>
              <w:pStyle w:val="TableParagraph"/>
              <w:spacing w:before="32"/>
              <w:ind w:right="177"/>
              <w:jc w:val="right"/>
              <w:rPr>
                <w:sz w:val="14"/>
              </w:rPr>
            </w:pPr>
            <w:r>
              <w:rPr>
                <w:w w:val="95"/>
                <w:sz w:val="14"/>
              </w:rPr>
              <w:t>27,500</w:t>
            </w:r>
          </w:p>
        </w:tc>
        <w:tc>
          <w:tcPr>
            <w:tcW w:w="823" w:type="dxa"/>
          </w:tcPr>
          <w:p>
            <w:pPr>
              <w:pStyle w:val="TableParagraph"/>
              <w:spacing w:before="32"/>
              <w:ind w:right="13"/>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Feasibility Study for Establishment of Solar-Mini Grid, Njala</w:t>
            </w:r>
          </w:p>
        </w:tc>
        <w:tc>
          <w:tcPr>
            <w:tcW w:w="883" w:type="dxa"/>
          </w:tcPr>
          <w:p>
            <w:pPr>
              <w:pStyle w:val="TableParagraph"/>
              <w:spacing w:before="32"/>
              <w:ind w:left="230"/>
              <w:rPr>
                <w:sz w:val="14"/>
              </w:rPr>
            </w:pPr>
            <w:r>
              <w:rPr>
                <w:sz w:val="14"/>
              </w:rPr>
              <w:t>New</w:t>
            </w:r>
          </w:p>
        </w:tc>
        <w:tc>
          <w:tcPr>
            <w:tcW w:w="1075" w:type="dxa"/>
          </w:tcPr>
          <w:p>
            <w:pPr>
              <w:pStyle w:val="TableParagraph"/>
              <w:spacing w:before="32"/>
              <w:ind w:left="86"/>
              <w:rPr>
                <w:sz w:val="14"/>
              </w:rPr>
            </w:pPr>
            <w:r>
              <w:rPr>
                <w:sz w:val="14"/>
              </w:rPr>
              <w:t>Nationwide</w:t>
            </w:r>
          </w:p>
        </w:tc>
        <w:tc>
          <w:tcPr>
            <w:tcW w:w="1317" w:type="dxa"/>
          </w:tcPr>
          <w:p>
            <w:pPr>
              <w:pStyle w:val="TableParagraph"/>
              <w:spacing w:before="32"/>
              <w:ind w:left="144"/>
              <w:rPr>
                <w:sz w:val="14"/>
              </w:rPr>
            </w:pPr>
            <w:r>
              <w:rPr>
                <w:sz w:val="14"/>
              </w:rPr>
              <w:t>NEPAD/ GoSL</w:t>
            </w:r>
          </w:p>
        </w:tc>
        <w:tc>
          <w:tcPr>
            <w:tcW w:w="1086" w:type="dxa"/>
          </w:tcPr>
          <w:p>
            <w:pPr>
              <w:pStyle w:val="TableParagraph"/>
              <w:spacing w:before="32"/>
              <w:ind w:left="76"/>
              <w:rPr>
                <w:sz w:val="14"/>
              </w:rPr>
            </w:pPr>
            <w:r>
              <w:rPr>
                <w:sz w:val="14"/>
              </w:rPr>
              <w:t>Budget</w:t>
            </w:r>
          </w:p>
        </w:tc>
        <w:tc>
          <w:tcPr>
            <w:tcW w:w="903" w:type="dxa"/>
          </w:tcPr>
          <w:p>
            <w:pPr>
              <w:pStyle w:val="TableParagraph"/>
              <w:spacing w:before="32"/>
              <w:ind w:right="176"/>
              <w:jc w:val="right"/>
              <w:rPr>
                <w:sz w:val="14"/>
              </w:rPr>
            </w:pPr>
            <w:r>
              <w:rPr>
                <w:w w:val="95"/>
                <w:sz w:val="14"/>
              </w:rPr>
              <w:t>12,500</w:t>
            </w:r>
          </w:p>
        </w:tc>
        <w:tc>
          <w:tcPr>
            <w:tcW w:w="897" w:type="dxa"/>
          </w:tcPr>
          <w:p>
            <w:pPr>
              <w:pStyle w:val="TableParagraph"/>
              <w:spacing w:before="32"/>
              <w:ind w:right="148"/>
              <w:jc w:val="right"/>
              <w:rPr>
                <w:sz w:val="14"/>
              </w:rPr>
            </w:pPr>
            <w:r>
              <w:rPr>
                <w:w w:val="99"/>
                <w:sz w:val="14"/>
              </w:rPr>
              <w:t>-</w:t>
            </w:r>
          </w:p>
        </w:tc>
        <w:tc>
          <w:tcPr>
            <w:tcW w:w="843" w:type="dxa"/>
          </w:tcPr>
          <w:p>
            <w:pPr>
              <w:pStyle w:val="TableParagraph"/>
              <w:spacing w:before="32"/>
              <w:ind w:right="154"/>
              <w:jc w:val="right"/>
              <w:rPr>
                <w:sz w:val="14"/>
              </w:rPr>
            </w:pPr>
            <w:r>
              <w:rPr>
                <w:sz w:val="14"/>
              </w:rPr>
              <w:t>8,250</w:t>
            </w:r>
          </w:p>
        </w:tc>
        <w:tc>
          <w:tcPr>
            <w:tcW w:w="941" w:type="dxa"/>
          </w:tcPr>
          <w:p>
            <w:pPr>
              <w:pStyle w:val="TableParagraph"/>
              <w:spacing w:before="32"/>
              <w:ind w:right="232"/>
              <w:jc w:val="right"/>
              <w:rPr>
                <w:sz w:val="14"/>
              </w:rPr>
            </w:pPr>
            <w:r>
              <w:rPr>
                <w:w w:val="99"/>
                <w:sz w:val="14"/>
              </w:rPr>
              <w:t>-</w:t>
            </w:r>
          </w:p>
        </w:tc>
        <w:tc>
          <w:tcPr>
            <w:tcW w:w="834" w:type="dxa"/>
          </w:tcPr>
          <w:p>
            <w:pPr>
              <w:pStyle w:val="TableParagraph"/>
              <w:spacing w:before="32"/>
              <w:ind w:right="177"/>
              <w:jc w:val="right"/>
              <w:rPr>
                <w:sz w:val="14"/>
              </w:rPr>
            </w:pPr>
            <w:r>
              <w:rPr>
                <w:w w:val="95"/>
                <w:sz w:val="14"/>
              </w:rPr>
              <w:t>13,750</w:t>
            </w:r>
          </w:p>
        </w:tc>
        <w:tc>
          <w:tcPr>
            <w:tcW w:w="823" w:type="dxa"/>
          </w:tcPr>
          <w:p>
            <w:pPr>
              <w:pStyle w:val="TableParagraph"/>
              <w:spacing w:before="32"/>
              <w:ind w:right="13"/>
              <w:jc w:val="right"/>
              <w:rPr>
                <w:sz w:val="14"/>
              </w:rPr>
            </w:pPr>
            <w:r>
              <w:rPr>
                <w:w w:val="99"/>
                <w:sz w:val="14"/>
              </w:rPr>
              <w:t>-</w:t>
            </w:r>
          </w:p>
        </w:tc>
      </w:tr>
      <w:tr>
        <w:trPr>
          <w:trHeight w:val="230" w:hRule="atLeast"/>
        </w:trPr>
        <w:tc>
          <w:tcPr>
            <w:tcW w:w="470" w:type="dxa"/>
          </w:tcPr>
          <w:p>
            <w:pPr>
              <w:pStyle w:val="TableParagraph"/>
              <w:spacing w:before="32"/>
              <w:ind w:left="123"/>
              <w:rPr>
                <w:sz w:val="14"/>
              </w:rPr>
            </w:pPr>
            <w:r>
              <w:rPr>
                <w:sz w:val="14"/>
              </w:rPr>
              <w:t>414</w:t>
            </w:r>
          </w:p>
        </w:tc>
        <w:tc>
          <w:tcPr>
            <w:tcW w:w="4736" w:type="dxa"/>
          </w:tcPr>
          <w:p>
            <w:pPr>
              <w:pStyle w:val="TableParagraph"/>
              <w:spacing w:before="32"/>
              <w:ind w:left="95"/>
              <w:rPr>
                <w:b/>
                <w:sz w:val="14"/>
              </w:rPr>
            </w:pPr>
            <w:r>
              <w:rPr>
                <w:b/>
                <w:sz w:val="14"/>
              </w:rPr>
              <w:t>Ministry of Water Resources (MoWR)</w:t>
            </w:r>
          </w:p>
        </w:tc>
        <w:tc>
          <w:tcPr>
            <w:tcW w:w="883" w:type="dxa"/>
          </w:tcPr>
          <w:p>
            <w:pPr>
              <w:pStyle w:val="TableParagraph"/>
              <w:rPr>
                <w:rFonts w:ascii="Times New Roman"/>
                <w:sz w:val="14"/>
              </w:rPr>
            </w:pPr>
          </w:p>
        </w:tc>
        <w:tc>
          <w:tcPr>
            <w:tcW w:w="1075" w:type="dxa"/>
          </w:tcPr>
          <w:p>
            <w:pPr>
              <w:pStyle w:val="TableParagraph"/>
              <w:rPr>
                <w:rFonts w:ascii="Times New Roman"/>
                <w:sz w:val="14"/>
              </w:rPr>
            </w:pPr>
          </w:p>
        </w:tc>
        <w:tc>
          <w:tcPr>
            <w:tcW w:w="1317" w:type="dxa"/>
          </w:tcPr>
          <w:p>
            <w:pPr>
              <w:pStyle w:val="TableParagraph"/>
              <w:rPr>
                <w:rFonts w:ascii="Times New Roman"/>
                <w:sz w:val="14"/>
              </w:rPr>
            </w:pPr>
          </w:p>
        </w:tc>
        <w:tc>
          <w:tcPr>
            <w:tcW w:w="1086" w:type="dxa"/>
          </w:tcPr>
          <w:p>
            <w:pPr>
              <w:pStyle w:val="TableParagraph"/>
              <w:rPr>
                <w:rFonts w:ascii="Times New Roman"/>
                <w:sz w:val="14"/>
              </w:rPr>
            </w:pPr>
          </w:p>
        </w:tc>
        <w:tc>
          <w:tcPr>
            <w:tcW w:w="903" w:type="dxa"/>
          </w:tcPr>
          <w:p>
            <w:pPr>
              <w:pStyle w:val="TableParagraph"/>
              <w:spacing w:before="32"/>
              <w:ind w:right="155"/>
              <w:jc w:val="right"/>
              <w:rPr>
                <w:b/>
                <w:sz w:val="14"/>
              </w:rPr>
            </w:pPr>
            <w:r>
              <w:rPr>
                <w:b/>
                <w:w w:val="99"/>
                <w:sz w:val="14"/>
              </w:rPr>
              <w:t>-</w:t>
            </w:r>
          </w:p>
        </w:tc>
        <w:tc>
          <w:tcPr>
            <w:tcW w:w="897" w:type="dxa"/>
          </w:tcPr>
          <w:p>
            <w:pPr>
              <w:pStyle w:val="TableParagraph"/>
              <w:spacing w:before="32"/>
              <w:ind w:left="340"/>
              <w:rPr>
                <w:b/>
                <w:sz w:val="14"/>
              </w:rPr>
            </w:pPr>
            <w:r>
              <w:rPr>
                <w:b/>
                <w:sz w:val="14"/>
              </w:rPr>
              <w:t>4,000</w:t>
            </w:r>
          </w:p>
        </w:tc>
        <w:tc>
          <w:tcPr>
            <w:tcW w:w="843" w:type="dxa"/>
          </w:tcPr>
          <w:p>
            <w:pPr>
              <w:pStyle w:val="TableParagraph"/>
              <w:spacing w:before="32"/>
              <w:ind w:right="130"/>
              <w:jc w:val="right"/>
              <w:rPr>
                <w:b/>
                <w:sz w:val="14"/>
              </w:rPr>
            </w:pPr>
            <w:r>
              <w:rPr>
                <w:b/>
                <w:w w:val="99"/>
                <w:sz w:val="14"/>
              </w:rPr>
              <w:t>-</w:t>
            </w:r>
          </w:p>
        </w:tc>
        <w:tc>
          <w:tcPr>
            <w:tcW w:w="941" w:type="dxa"/>
          </w:tcPr>
          <w:p>
            <w:pPr>
              <w:pStyle w:val="TableParagraph"/>
              <w:spacing w:before="32"/>
              <w:ind w:left="323"/>
              <w:rPr>
                <w:b/>
                <w:sz w:val="14"/>
              </w:rPr>
            </w:pPr>
            <w:r>
              <w:rPr>
                <w:b/>
                <w:sz w:val="14"/>
              </w:rPr>
              <w:t>3,300</w:t>
            </w:r>
          </w:p>
        </w:tc>
        <w:tc>
          <w:tcPr>
            <w:tcW w:w="834" w:type="dxa"/>
          </w:tcPr>
          <w:p>
            <w:pPr>
              <w:pStyle w:val="TableParagraph"/>
              <w:spacing w:before="32"/>
              <w:ind w:right="141"/>
              <w:jc w:val="right"/>
              <w:rPr>
                <w:b/>
                <w:sz w:val="14"/>
              </w:rPr>
            </w:pPr>
            <w:r>
              <w:rPr>
                <w:b/>
                <w:w w:val="99"/>
                <w:sz w:val="14"/>
              </w:rPr>
              <w:t>-</w:t>
            </w:r>
          </w:p>
        </w:tc>
        <w:tc>
          <w:tcPr>
            <w:tcW w:w="823" w:type="dxa"/>
          </w:tcPr>
          <w:p>
            <w:pPr>
              <w:pStyle w:val="TableParagraph"/>
              <w:spacing w:before="32"/>
              <w:ind w:right="46"/>
              <w:jc w:val="right"/>
              <w:rPr>
                <w:b/>
                <w:sz w:val="14"/>
              </w:rPr>
            </w:pPr>
            <w:r>
              <w:rPr>
                <w:b/>
                <w:sz w:val="14"/>
              </w:rPr>
              <w:t>3,630</w:t>
            </w:r>
          </w:p>
        </w:tc>
      </w:tr>
      <w:tr>
        <w:trPr>
          <w:trHeight w:val="230" w:hRule="atLeast"/>
        </w:trPr>
        <w:tc>
          <w:tcPr>
            <w:tcW w:w="470" w:type="dxa"/>
          </w:tcPr>
          <w:p>
            <w:pPr>
              <w:pStyle w:val="TableParagraph"/>
              <w:rPr>
                <w:rFonts w:ascii="Times New Roman"/>
                <w:sz w:val="14"/>
              </w:rPr>
            </w:pPr>
          </w:p>
        </w:tc>
        <w:tc>
          <w:tcPr>
            <w:tcW w:w="4736" w:type="dxa"/>
          </w:tcPr>
          <w:p>
            <w:pPr>
              <w:pStyle w:val="TableParagraph"/>
              <w:spacing w:before="32"/>
              <w:ind w:left="263"/>
              <w:rPr>
                <w:sz w:val="14"/>
              </w:rPr>
            </w:pPr>
            <w:r>
              <w:rPr>
                <w:sz w:val="14"/>
              </w:rPr>
              <w:t>Institutional Support for Capacity Building</w:t>
            </w:r>
          </w:p>
        </w:tc>
        <w:tc>
          <w:tcPr>
            <w:tcW w:w="883" w:type="dxa"/>
          </w:tcPr>
          <w:p>
            <w:pPr>
              <w:pStyle w:val="TableParagraph"/>
              <w:spacing w:before="32"/>
              <w:ind w:left="230"/>
              <w:rPr>
                <w:sz w:val="14"/>
              </w:rPr>
            </w:pPr>
            <w:r>
              <w:rPr>
                <w:sz w:val="14"/>
              </w:rPr>
              <w:t>New</w:t>
            </w:r>
          </w:p>
        </w:tc>
        <w:tc>
          <w:tcPr>
            <w:tcW w:w="1075" w:type="dxa"/>
          </w:tcPr>
          <w:p>
            <w:pPr>
              <w:pStyle w:val="TableParagraph"/>
              <w:spacing w:before="32"/>
              <w:ind w:left="86"/>
              <w:rPr>
                <w:sz w:val="14"/>
              </w:rPr>
            </w:pPr>
            <w:r>
              <w:rPr>
                <w:sz w:val="14"/>
              </w:rPr>
              <w:t>Western Area</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1,000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1,100</w:t>
            </w:r>
          </w:p>
        </w:tc>
        <w:tc>
          <w:tcPr>
            <w:tcW w:w="834" w:type="dxa"/>
          </w:tcPr>
          <w:p>
            <w:pPr>
              <w:pStyle w:val="TableParagraph"/>
              <w:rPr>
                <w:rFonts w:ascii="Times New Roman"/>
                <w:sz w:val="14"/>
              </w:rPr>
            </w:pPr>
          </w:p>
        </w:tc>
        <w:tc>
          <w:tcPr>
            <w:tcW w:w="823" w:type="dxa"/>
          </w:tcPr>
          <w:p>
            <w:pPr>
              <w:pStyle w:val="TableParagraph"/>
              <w:spacing w:before="32"/>
              <w:ind w:right="30"/>
              <w:jc w:val="right"/>
              <w:rPr>
                <w:sz w:val="14"/>
              </w:rPr>
            </w:pPr>
            <w:r>
              <w:rPr>
                <w:sz w:val="14"/>
              </w:rPr>
              <w:t>1,210</w:t>
            </w:r>
          </w:p>
        </w:tc>
      </w:tr>
      <w:tr>
        <w:trPr>
          <w:trHeight w:val="227" w:hRule="atLeast"/>
        </w:trPr>
        <w:tc>
          <w:tcPr>
            <w:tcW w:w="470" w:type="dxa"/>
          </w:tcPr>
          <w:p>
            <w:pPr>
              <w:pStyle w:val="TableParagraph"/>
              <w:rPr>
                <w:rFonts w:ascii="Times New Roman"/>
                <w:sz w:val="14"/>
              </w:rPr>
            </w:pPr>
          </w:p>
        </w:tc>
        <w:tc>
          <w:tcPr>
            <w:tcW w:w="4736" w:type="dxa"/>
          </w:tcPr>
          <w:p>
            <w:pPr>
              <w:pStyle w:val="TableParagraph"/>
              <w:spacing w:before="32"/>
              <w:ind w:left="262"/>
              <w:rPr>
                <w:sz w:val="14"/>
              </w:rPr>
            </w:pPr>
            <w:r>
              <w:rPr>
                <w:sz w:val="14"/>
              </w:rPr>
              <w:t>Feasibility Studies for Water Supply Facilities</w:t>
            </w:r>
          </w:p>
        </w:tc>
        <w:tc>
          <w:tcPr>
            <w:tcW w:w="883" w:type="dxa"/>
          </w:tcPr>
          <w:p>
            <w:pPr>
              <w:pStyle w:val="TableParagraph"/>
              <w:spacing w:before="32"/>
              <w:ind w:left="230"/>
              <w:rPr>
                <w:sz w:val="14"/>
              </w:rPr>
            </w:pPr>
            <w:r>
              <w:rPr>
                <w:sz w:val="14"/>
              </w:rPr>
              <w:t>Ongoing</w:t>
            </w:r>
          </w:p>
        </w:tc>
        <w:tc>
          <w:tcPr>
            <w:tcW w:w="1075" w:type="dxa"/>
          </w:tcPr>
          <w:p>
            <w:pPr>
              <w:pStyle w:val="TableParagraph"/>
              <w:spacing w:before="32"/>
              <w:ind w:left="86"/>
              <w:rPr>
                <w:sz w:val="14"/>
              </w:rPr>
            </w:pPr>
            <w:r>
              <w:rPr>
                <w:sz w:val="14"/>
              </w:rPr>
              <w:t>Western Area</w:t>
            </w:r>
          </w:p>
        </w:tc>
        <w:tc>
          <w:tcPr>
            <w:tcW w:w="1317" w:type="dxa"/>
          </w:tcPr>
          <w:p>
            <w:pPr>
              <w:pStyle w:val="TableParagraph"/>
              <w:spacing w:before="32"/>
              <w:ind w:left="144"/>
              <w:rPr>
                <w:sz w:val="14"/>
              </w:rPr>
            </w:pPr>
            <w:r>
              <w:rPr>
                <w:sz w:val="14"/>
              </w:rPr>
              <w:t>GoSL</w:t>
            </w:r>
          </w:p>
        </w:tc>
        <w:tc>
          <w:tcPr>
            <w:tcW w:w="1086" w:type="dxa"/>
          </w:tcPr>
          <w:p>
            <w:pPr>
              <w:pStyle w:val="TableParagraph"/>
              <w:spacing w:before="32"/>
              <w:ind w:left="76"/>
              <w:rPr>
                <w:sz w:val="14"/>
              </w:rPr>
            </w:pPr>
            <w:r>
              <w:rPr>
                <w:sz w:val="14"/>
              </w:rPr>
              <w:t>Budget</w:t>
            </w:r>
          </w:p>
        </w:tc>
        <w:tc>
          <w:tcPr>
            <w:tcW w:w="903" w:type="dxa"/>
          </w:tcPr>
          <w:p>
            <w:pPr>
              <w:pStyle w:val="TableParagraph"/>
              <w:rPr>
                <w:rFonts w:ascii="Times New Roman"/>
                <w:sz w:val="14"/>
              </w:rPr>
            </w:pPr>
          </w:p>
        </w:tc>
        <w:tc>
          <w:tcPr>
            <w:tcW w:w="897" w:type="dxa"/>
          </w:tcPr>
          <w:p>
            <w:pPr>
              <w:pStyle w:val="TableParagraph"/>
              <w:spacing w:before="32"/>
              <w:ind w:left="361"/>
              <w:rPr>
                <w:sz w:val="14"/>
              </w:rPr>
            </w:pPr>
            <w:r>
              <w:rPr>
                <w:sz w:val="14"/>
              </w:rPr>
              <w:t>3,000</w:t>
            </w:r>
          </w:p>
        </w:tc>
        <w:tc>
          <w:tcPr>
            <w:tcW w:w="843" w:type="dxa"/>
          </w:tcPr>
          <w:p>
            <w:pPr>
              <w:pStyle w:val="TableParagraph"/>
              <w:rPr>
                <w:rFonts w:ascii="Times New Roman"/>
                <w:sz w:val="14"/>
              </w:rPr>
            </w:pPr>
          </w:p>
        </w:tc>
        <w:tc>
          <w:tcPr>
            <w:tcW w:w="941" w:type="dxa"/>
          </w:tcPr>
          <w:p>
            <w:pPr>
              <w:pStyle w:val="TableParagraph"/>
              <w:spacing w:before="32"/>
              <w:ind w:left="358"/>
              <w:rPr>
                <w:sz w:val="14"/>
              </w:rPr>
            </w:pPr>
            <w:r>
              <w:rPr>
                <w:sz w:val="14"/>
              </w:rPr>
              <w:t>3,300</w:t>
            </w:r>
          </w:p>
        </w:tc>
        <w:tc>
          <w:tcPr>
            <w:tcW w:w="834" w:type="dxa"/>
          </w:tcPr>
          <w:p>
            <w:pPr>
              <w:pStyle w:val="TableParagraph"/>
              <w:rPr>
                <w:rFonts w:ascii="Times New Roman"/>
                <w:sz w:val="14"/>
              </w:rPr>
            </w:pPr>
          </w:p>
        </w:tc>
        <w:tc>
          <w:tcPr>
            <w:tcW w:w="823" w:type="dxa"/>
          </w:tcPr>
          <w:p>
            <w:pPr>
              <w:pStyle w:val="TableParagraph"/>
              <w:spacing w:before="32"/>
              <w:ind w:right="30"/>
              <w:jc w:val="right"/>
              <w:rPr>
                <w:sz w:val="14"/>
              </w:rPr>
            </w:pPr>
            <w:r>
              <w:rPr>
                <w:sz w:val="14"/>
              </w:rPr>
              <w:t>3,630</w:t>
            </w:r>
          </w:p>
        </w:tc>
      </w:tr>
    </w:tbl>
    <w:p>
      <w:pPr>
        <w:spacing w:after="0"/>
        <w:jc w:val="right"/>
        <w:rPr>
          <w:sz w:val="14"/>
        </w:rPr>
        <w:sectPr>
          <w:pgSz w:w="16840" w:h="11900" w:orient="landscape"/>
          <w:pgMar w:header="1107" w:footer="0" w:top="2040" w:bottom="280" w:left="880" w:right="920"/>
        </w:sectPr>
      </w:pPr>
    </w:p>
    <w:p>
      <w:pPr>
        <w:pStyle w:val="BodyText"/>
        <w:spacing w:before="2" w:after="1"/>
        <w:rPr>
          <w:rFonts w:ascii="Times New Roman"/>
          <w:sz w:val="13"/>
        </w:rPr>
      </w:pPr>
      <w:r>
        <w:rPr/>
        <w:pict>
          <v:shape style="position:absolute;margin-left:27.140491pt;margin-top:282.989990pt;width:14.35pt;height:25.15pt;mso-position-horizontal-relative:page;mso-position-vertical-relative:page;z-index:1888" type="#_x0000_t202" filled="false" stroked="false">
            <v:textbox inset="0,0,0,0" style="layout-flow:vertical">
              <w:txbxContent>
                <w:p>
                  <w:pPr>
                    <w:spacing w:before="13"/>
                    <w:ind w:left="20" w:right="0" w:firstLine="0"/>
                    <w:jc w:val="left"/>
                    <w:rPr>
                      <w:rFonts w:ascii="Arial"/>
                      <w:sz w:val="22"/>
                    </w:rPr>
                  </w:pPr>
                  <w:r>
                    <w:rPr>
                      <w:rFonts w:ascii="Arial"/>
                      <w:sz w:val="22"/>
                    </w:rPr>
                    <w:t>xxxii</w:t>
                  </w:r>
                </w:p>
              </w:txbxContent>
            </v:textbox>
            <w10:wrap type="none"/>
          </v:shape>
        </w:pic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713"/>
        <w:gridCol w:w="906"/>
        <w:gridCol w:w="1075"/>
        <w:gridCol w:w="1139"/>
        <w:gridCol w:w="1264"/>
        <w:gridCol w:w="918"/>
        <w:gridCol w:w="918"/>
        <w:gridCol w:w="862"/>
        <w:gridCol w:w="926"/>
        <w:gridCol w:w="793"/>
        <w:gridCol w:w="822"/>
      </w:tblGrid>
      <w:tr>
        <w:trPr>
          <w:trHeight w:val="183" w:hRule="atLeast"/>
        </w:trPr>
        <w:tc>
          <w:tcPr>
            <w:tcW w:w="14806" w:type="dxa"/>
            <w:gridSpan w:val="12"/>
            <w:tcBorders>
              <w:bottom w:val="single" w:sz="4" w:space="0" w:color="000000"/>
            </w:tcBorders>
          </w:tcPr>
          <w:p>
            <w:pPr>
              <w:pStyle w:val="TableParagraph"/>
              <w:tabs>
                <w:tab w:pos="11470" w:val="left" w:leader="none"/>
                <w:tab w:pos="13117" w:val="left" w:leader="none"/>
              </w:tabs>
              <w:spacing w:line="156" w:lineRule="exact"/>
              <w:ind w:left="9829"/>
              <w:rPr>
                <w:b/>
                <w:sz w:val="14"/>
              </w:rPr>
            </w:pPr>
            <w:r>
              <w:rPr>
                <w:b/>
                <w:spacing w:val="2"/>
                <w:sz w:val="14"/>
              </w:rPr>
              <w:t>FY</w:t>
            </w:r>
            <w:r>
              <w:rPr>
                <w:b/>
                <w:spacing w:val="1"/>
                <w:sz w:val="14"/>
              </w:rPr>
              <w:t> </w:t>
            </w:r>
            <w:r>
              <w:rPr>
                <w:b/>
                <w:spacing w:val="4"/>
                <w:sz w:val="14"/>
              </w:rPr>
              <w:t>2020</w:t>
            </w:r>
            <w:r>
              <w:rPr>
                <w:b/>
                <w:spacing w:val="6"/>
                <w:sz w:val="14"/>
              </w:rPr>
              <w:t> </w:t>
            </w:r>
            <w:r>
              <w:rPr>
                <w:b/>
                <w:sz w:val="14"/>
              </w:rPr>
              <w:t>Budget</w:t>
              <w:tab/>
            </w:r>
            <w:r>
              <w:rPr>
                <w:b/>
                <w:spacing w:val="2"/>
                <w:sz w:val="14"/>
              </w:rPr>
              <w:t>FY</w:t>
            </w:r>
            <w:r>
              <w:rPr>
                <w:b/>
                <w:spacing w:val="12"/>
                <w:sz w:val="14"/>
              </w:rPr>
              <w:t> </w:t>
            </w:r>
            <w:r>
              <w:rPr>
                <w:b/>
                <w:spacing w:val="4"/>
                <w:sz w:val="14"/>
              </w:rPr>
              <w:t>2021</w:t>
            </w:r>
            <w:r>
              <w:rPr>
                <w:b/>
                <w:spacing w:val="17"/>
                <w:sz w:val="14"/>
              </w:rPr>
              <w:t> </w:t>
            </w:r>
            <w:r>
              <w:rPr>
                <w:b/>
                <w:spacing w:val="3"/>
                <w:sz w:val="14"/>
              </w:rPr>
              <w:t>Indicative</w:t>
              <w:tab/>
            </w:r>
            <w:r>
              <w:rPr>
                <w:b/>
                <w:spacing w:val="2"/>
                <w:sz w:val="14"/>
              </w:rPr>
              <w:t>FY </w:t>
            </w:r>
            <w:r>
              <w:rPr>
                <w:b/>
                <w:spacing w:val="4"/>
                <w:sz w:val="14"/>
              </w:rPr>
              <w:t>2022</w:t>
            </w:r>
            <w:r>
              <w:rPr>
                <w:b/>
                <w:spacing w:val="25"/>
                <w:sz w:val="14"/>
              </w:rPr>
              <w:t> </w:t>
            </w:r>
            <w:r>
              <w:rPr>
                <w:b/>
                <w:spacing w:val="3"/>
                <w:sz w:val="14"/>
              </w:rPr>
              <w:t>Indicative</w:t>
            </w:r>
          </w:p>
        </w:tc>
      </w:tr>
      <w:tr>
        <w:trPr>
          <w:trHeight w:val="215" w:hRule="atLeast"/>
        </w:trPr>
        <w:tc>
          <w:tcPr>
            <w:tcW w:w="470" w:type="dxa"/>
            <w:tcBorders>
              <w:top w:val="single" w:sz="4" w:space="0" w:color="000000"/>
            </w:tcBorders>
          </w:tcPr>
          <w:p>
            <w:pPr>
              <w:pStyle w:val="TableParagraph"/>
              <w:spacing w:before="22"/>
              <w:ind w:right="148"/>
              <w:jc w:val="right"/>
              <w:rPr>
                <w:sz w:val="14"/>
              </w:rPr>
            </w:pPr>
            <w:r>
              <w:rPr>
                <w:w w:val="95"/>
                <w:sz w:val="14"/>
              </w:rPr>
              <w:t>MDA</w:t>
            </w:r>
          </w:p>
        </w:tc>
        <w:tc>
          <w:tcPr>
            <w:tcW w:w="4713" w:type="dxa"/>
            <w:tcBorders>
              <w:top w:val="single" w:sz="4" w:space="0" w:color="000000"/>
            </w:tcBorders>
          </w:tcPr>
          <w:p>
            <w:pPr>
              <w:pStyle w:val="TableParagraph"/>
              <w:spacing w:before="22"/>
              <w:ind w:left="113"/>
              <w:rPr>
                <w:sz w:val="14"/>
              </w:rPr>
            </w:pPr>
            <w:r>
              <w:rPr>
                <w:sz w:val="14"/>
              </w:rPr>
              <w:t>National Development Plan Cluster/ Ministry, Department</w:t>
            </w:r>
          </w:p>
        </w:tc>
        <w:tc>
          <w:tcPr>
            <w:tcW w:w="906" w:type="dxa"/>
            <w:tcBorders>
              <w:top w:val="single" w:sz="4" w:space="0" w:color="000000"/>
            </w:tcBorders>
          </w:tcPr>
          <w:p>
            <w:pPr>
              <w:pStyle w:val="TableParagraph"/>
              <w:spacing w:before="22"/>
              <w:ind w:left="287"/>
              <w:rPr>
                <w:sz w:val="14"/>
              </w:rPr>
            </w:pPr>
            <w:r>
              <w:rPr>
                <w:sz w:val="14"/>
              </w:rPr>
              <w:t>Status</w:t>
            </w:r>
          </w:p>
        </w:tc>
        <w:tc>
          <w:tcPr>
            <w:tcW w:w="1075" w:type="dxa"/>
            <w:tcBorders>
              <w:top w:val="single" w:sz="4" w:space="0" w:color="000000"/>
            </w:tcBorders>
          </w:tcPr>
          <w:p>
            <w:pPr>
              <w:pStyle w:val="TableParagraph"/>
              <w:spacing w:before="22"/>
              <w:ind w:left="106"/>
              <w:rPr>
                <w:sz w:val="14"/>
              </w:rPr>
            </w:pPr>
            <w:r>
              <w:rPr>
                <w:sz w:val="14"/>
              </w:rPr>
              <w:t>Location</w:t>
            </w:r>
          </w:p>
        </w:tc>
        <w:tc>
          <w:tcPr>
            <w:tcW w:w="1139" w:type="dxa"/>
            <w:tcBorders>
              <w:top w:val="single" w:sz="4" w:space="0" w:color="000000"/>
            </w:tcBorders>
          </w:tcPr>
          <w:p>
            <w:pPr>
              <w:pStyle w:val="TableParagraph"/>
              <w:spacing w:before="22"/>
              <w:ind w:left="101"/>
              <w:rPr>
                <w:sz w:val="14"/>
              </w:rPr>
            </w:pPr>
            <w:r>
              <w:rPr>
                <w:sz w:val="14"/>
              </w:rPr>
              <w:t>Funding</w:t>
            </w:r>
          </w:p>
        </w:tc>
        <w:tc>
          <w:tcPr>
            <w:tcW w:w="1264" w:type="dxa"/>
            <w:tcBorders>
              <w:top w:val="single" w:sz="4" w:space="0" w:color="000000"/>
            </w:tcBorders>
          </w:tcPr>
          <w:p>
            <w:pPr>
              <w:pStyle w:val="TableParagraph"/>
              <w:spacing w:before="22"/>
              <w:ind w:left="210"/>
              <w:rPr>
                <w:sz w:val="14"/>
              </w:rPr>
            </w:pPr>
            <w:r>
              <w:rPr>
                <w:sz w:val="14"/>
              </w:rPr>
              <w:t>Funding</w:t>
            </w:r>
          </w:p>
        </w:tc>
        <w:tc>
          <w:tcPr>
            <w:tcW w:w="918" w:type="dxa"/>
            <w:tcBorders>
              <w:top w:val="single" w:sz="4" w:space="0" w:color="000000"/>
            </w:tcBorders>
          </w:tcPr>
          <w:p>
            <w:pPr>
              <w:pStyle w:val="TableParagraph"/>
              <w:spacing w:before="22"/>
              <w:ind w:left="132"/>
              <w:rPr>
                <w:sz w:val="14"/>
              </w:rPr>
            </w:pPr>
            <w:r>
              <w:rPr>
                <w:sz w:val="14"/>
              </w:rPr>
              <w:t>Foreign</w:t>
            </w:r>
          </w:p>
        </w:tc>
        <w:tc>
          <w:tcPr>
            <w:tcW w:w="918" w:type="dxa"/>
            <w:tcBorders>
              <w:top w:val="single" w:sz="4" w:space="0" w:color="000000"/>
            </w:tcBorders>
          </w:tcPr>
          <w:p>
            <w:pPr>
              <w:pStyle w:val="TableParagraph"/>
              <w:spacing w:before="22"/>
              <w:ind w:right="155"/>
              <w:jc w:val="right"/>
              <w:rPr>
                <w:sz w:val="14"/>
              </w:rPr>
            </w:pPr>
            <w:r>
              <w:rPr>
                <w:w w:val="95"/>
                <w:sz w:val="14"/>
              </w:rPr>
              <w:t>Domestic</w:t>
            </w:r>
          </w:p>
        </w:tc>
        <w:tc>
          <w:tcPr>
            <w:tcW w:w="862" w:type="dxa"/>
            <w:tcBorders>
              <w:top w:val="single" w:sz="4" w:space="0" w:color="000000"/>
            </w:tcBorders>
          </w:tcPr>
          <w:p>
            <w:pPr>
              <w:pStyle w:val="TableParagraph"/>
              <w:spacing w:before="22"/>
              <w:ind w:right="220"/>
              <w:jc w:val="right"/>
              <w:rPr>
                <w:sz w:val="14"/>
              </w:rPr>
            </w:pPr>
            <w:r>
              <w:rPr>
                <w:w w:val="95"/>
                <w:sz w:val="14"/>
              </w:rPr>
              <w:t>Foreign</w:t>
            </w:r>
          </w:p>
        </w:tc>
        <w:tc>
          <w:tcPr>
            <w:tcW w:w="926" w:type="dxa"/>
            <w:tcBorders>
              <w:top w:val="single" w:sz="4" w:space="0" w:color="000000"/>
            </w:tcBorders>
          </w:tcPr>
          <w:p>
            <w:pPr>
              <w:pStyle w:val="TableParagraph"/>
              <w:spacing w:before="22"/>
              <w:ind w:left="194"/>
              <w:rPr>
                <w:sz w:val="14"/>
              </w:rPr>
            </w:pPr>
            <w:r>
              <w:rPr>
                <w:sz w:val="14"/>
              </w:rPr>
              <w:t>Domestic</w:t>
            </w:r>
          </w:p>
        </w:tc>
        <w:tc>
          <w:tcPr>
            <w:tcW w:w="793" w:type="dxa"/>
            <w:tcBorders>
              <w:top w:val="single" w:sz="4" w:space="0" w:color="000000"/>
            </w:tcBorders>
          </w:tcPr>
          <w:p>
            <w:pPr>
              <w:pStyle w:val="TableParagraph"/>
              <w:spacing w:before="22"/>
              <w:ind w:right="183"/>
              <w:jc w:val="right"/>
              <w:rPr>
                <w:sz w:val="14"/>
              </w:rPr>
            </w:pPr>
            <w:r>
              <w:rPr>
                <w:w w:val="95"/>
                <w:sz w:val="14"/>
              </w:rPr>
              <w:t>Foreign</w:t>
            </w:r>
          </w:p>
        </w:tc>
        <w:tc>
          <w:tcPr>
            <w:tcW w:w="822" w:type="dxa"/>
            <w:tcBorders>
              <w:top w:val="single" w:sz="4" w:space="0" w:color="000000"/>
            </w:tcBorders>
          </w:tcPr>
          <w:p>
            <w:pPr>
              <w:pStyle w:val="TableParagraph"/>
              <w:spacing w:before="22"/>
              <w:ind w:right="97"/>
              <w:jc w:val="right"/>
              <w:rPr>
                <w:sz w:val="14"/>
              </w:rPr>
            </w:pPr>
            <w:r>
              <w:rPr>
                <w:w w:val="95"/>
                <w:sz w:val="14"/>
              </w:rPr>
              <w:t>Domestic</w:t>
            </w:r>
          </w:p>
        </w:tc>
      </w:tr>
      <w:tr>
        <w:trPr>
          <w:trHeight w:val="229" w:hRule="atLeast"/>
        </w:trPr>
        <w:tc>
          <w:tcPr>
            <w:tcW w:w="470" w:type="dxa"/>
            <w:tcBorders>
              <w:bottom w:val="single" w:sz="18" w:space="0" w:color="000000"/>
            </w:tcBorders>
          </w:tcPr>
          <w:p>
            <w:pPr>
              <w:pStyle w:val="TableParagraph"/>
              <w:spacing w:before="27"/>
              <w:ind w:right="110"/>
              <w:jc w:val="right"/>
              <w:rPr>
                <w:sz w:val="14"/>
              </w:rPr>
            </w:pPr>
            <w:r>
              <w:rPr>
                <w:w w:val="95"/>
                <w:sz w:val="14"/>
              </w:rPr>
              <w:t>Code</w:t>
            </w:r>
          </w:p>
        </w:tc>
        <w:tc>
          <w:tcPr>
            <w:tcW w:w="4713" w:type="dxa"/>
            <w:tcBorders>
              <w:bottom w:val="single" w:sz="18" w:space="0" w:color="000000"/>
            </w:tcBorders>
          </w:tcPr>
          <w:p>
            <w:pPr>
              <w:pStyle w:val="TableParagraph"/>
              <w:spacing w:before="27"/>
              <w:ind w:left="114"/>
              <w:rPr>
                <w:sz w:val="14"/>
              </w:rPr>
            </w:pPr>
            <w:r>
              <w:rPr>
                <w:sz w:val="14"/>
              </w:rPr>
              <w:t>and Agency (MDAs)</w:t>
            </w:r>
          </w:p>
        </w:tc>
        <w:tc>
          <w:tcPr>
            <w:tcW w:w="906" w:type="dxa"/>
            <w:tcBorders>
              <w:bottom w:val="single" w:sz="18" w:space="0" w:color="000000"/>
            </w:tcBorders>
          </w:tcPr>
          <w:p>
            <w:pPr>
              <w:pStyle w:val="TableParagraph"/>
              <w:rPr>
                <w:rFonts w:ascii="Times New Roman"/>
                <w:sz w:val="14"/>
              </w:rPr>
            </w:pPr>
          </w:p>
        </w:tc>
        <w:tc>
          <w:tcPr>
            <w:tcW w:w="1075" w:type="dxa"/>
            <w:tcBorders>
              <w:bottom w:val="single" w:sz="18" w:space="0" w:color="000000"/>
            </w:tcBorders>
          </w:tcPr>
          <w:p>
            <w:pPr>
              <w:pStyle w:val="TableParagraph"/>
              <w:rPr>
                <w:rFonts w:ascii="Times New Roman"/>
                <w:sz w:val="14"/>
              </w:rPr>
            </w:pPr>
          </w:p>
        </w:tc>
        <w:tc>
          <w:tcPr>
            <w:tcW w:w="1139" w:type="dxa"/>
            <w:tcBorders>
              <w:bottom w:val="single" w:sz="18" w:space="0" w:color="000000"/>
            </w:tcBorders>
          </w:tcPr>
          <w:p>
            <w:pPr>
              <w:pStyle w:val="TableParagraph"/>
              <w:spacing w:before="27"/>
              <w:ind w:left="154"/>
              <w:rPr>
                <w:sz w:val="14"/>
              </w:rPr>
            </w:pPr>
            <w:r>
              <w:rPr>
                <w:sz w:val="14"/>
              </w:rPr>
              <w:t>Source</w:t>
            </w:r>
          </w:p>
        </w:tc>
        <w:tc>
          <w:tcPr>
            <w:tcW w:w="1264" w:type="dxa"/>
            <w:tcBorders>
              <w:bottom w:val="single" w:sz="18" w:space="0" w:color="000000"/>
            </w:tcBorders>
          </w:tcPr>
          <w:p>
            <w:pPr>
              <w:pStyle w:val="TableParagraph"/>
              <w:spacing w:before="27"/>
              <w:ind w:left="354"/>
              <w:rPr>
                <w:sz w:val="14"/>
              </w:rPr>
            </w:pPr>
            <w:r>
              <w:rPr>
                <w:sz w:val="14"/>
              </w:rPr>
              <w:t>Type</w:t>
            </w:r>
          </w:p>
        </w:tc>
        <w:tc>
          <w:tcPr>
            <w:tcW w:w="918" w:type="dxa"/>
            <w:tcBorders>
              <w:bottom w:val="single" w:sz="18" w:space="0" w:color="000000"/>
            </w:tcBorders>
          </w:tcPr>
          <w:p>
            <w:pPr>
              <w:pStyle w:val="TableParagraph"/>
              <w:rPr>
                <w:rFonts w:ascii="Times New Roman"/>
                <w:sz w:val="14"/>
              </w:rPr>
            </w:pPr>
          </w:p>
        </w:tc>
        <w:tc>
          <w:tcPr>
            <w:tcW w:w="918" w:type="dxa"/>
            <w:tcBorders>
              <w:bottom w:val="single" w:sz="18" w:space="0" w:color="000000"/>
            </w:tcBorders>
          </w:tcPr>
          <w:p>
            <w:pPr>
              <w:pStyle w:val="TableParagraph"/>
              <w:rPr>
                <w:rFonts w:ascii="Times New Roman"/>
                <w:sz w:val="14"/>
              </w:rPr>
            </w:pPr>
          </w:p>
        </w:tc>
        <w:tc>
          <w:tcPr>
            <w:tcW w:w="862" w:type="dxa"/>
            <w:tcBorders>
              <w:bottom w:val="single" w:sz="18" w:space="0" w:color="000000"/>
            </w:tcBorders>
          </w:tcPr>
          <w:p>
            <w:pPr>
              <w:pStyle w:val="TableParagraph"/>
              <w:rPr>
                <w:rFonts w:ascii="Times New Roman"/>
                <w:sz w:val="14"/>
              </w:rPr>
            </w:pPr>
          </w:p>
        </w:tc>
        <w:tc>
          <w:tcPr>
            <w:tcW w:w="926" w:type="dxa"/>
            <w:tcBorders>
              <w:bottom w:val="single" w:sz="18" w:space="0" w:color="000000"/>
            </w:tcBorders>
          </w:tcPr>
          <w:p>
            <w:pPr>
              <w:pStyle w:val="TableParagraph"/>
              <w:rPr>
                <w:rFonts w:ascii="Times New Roman"/>
                <w:sz w:val="14"/>
              </w:rPr>
            </w:pPr>
          </w:p>
        </w:tc>
        <w:tc>
          <w:tcPr>
            <w:tcW w:w="793" w:type="dxa"/>
            <w:tcBorders>
              <w:bottom w:val="single" w:sz="18" w:space="0" w:color="000000"/>
            </w:tcBorders>
          </w:tcPr>
          <w:p>
            <w:pPr>
              <w:pStyle w:val="TableParagraph"/>
              <w:rPr>
                <w:rFonts w:ascii="Times New Roman"/>
                <w:sz w:val="14"/>
              </w:rPr>
            </w:pPr>
          </w:p>
        </w:tc>
        <w:tc>
          <w:tcPr>
            <w:tcW w:w="822" w:type="dxa"/>
            <w:tcBorders>
              <w:bottom w:val="single" w:sz="18" w:space="0" w:color="000000"/>
            </w:tcBorders>
          </w:tcPr>
          <w:p>
            <w:pPr>
              <w:pStyle w:val="TableParagraph"/>
              <w:rPr>
                <w:rFonts w:ascii="Times New Roman"/>
                <w:sz w:val="14"/>
              </w:rPr>
            </w:pPr>
          </w:p>
        </w:tc>
      </w:tr>
      <w:tr>
        <w:trPr>
          <w:trHeight w:val="229" w:hRule="atLeast"/>
        </w:trPr>
        <w:tc>
          <w:tcPr>
            <w:tcW w:w="470" w:type="dxa"/>
            <w:tcBorders>
              <w:top w:val="single" w:sz="18" w:space="0" w:color="000000"/>
            </w:tcBorders>
          </w:tcPr>
          <w:p>
            <w:pPr>
              <w:pStyle w:val="TableParagraph"/>
              <w:spacing w:before="31"/>
              <w:ind w:right="93"/>
              <w:jc w:val="right"/>
              <w:rPr>
                <w:sz w:val="14"/>
              </w:rPr>
            </w:pPr>
            <w:r>
              <w:rPr>
                <w:w w:val="95"/>
                <w:sz w:val="14"/>
              </w:rPr>
              <w:t>414</w:t>
            </w:r>
          </w:p>
        </w:tc>
        <w:tc>
          <w:tcPr>
            <w:tcW w:w="4713" w:type="dxa"/>
            <w:tcBorders>
              <w:top w:val="single" w:sz="18" w:space="0" w:color="000000"/>
            </w:tcBorders>
          </w:tcPr>
          <w:p>
            <w:pPr>
              <w:pStyle w:val="TableParagraph"/>
              <w:spacing w:before="31"/>
              <w:ind w:left="94"/>
              <w:rPr>
                <w:b/>
                <w:sz w:val="14"/>
              </w:rPr>
            </w:pPr>
            <w:r>
              <w:rPr>
                <w:b/>
                <w:sz w:val="14"/>
              </w:rPr>
              <w:t>Sierra Leone Water Company (SLAWACO)</w:t>
            </w:r>
          </w:p>
        </w:tc>
        <w:tc>
          <w:tcPr>
            <w:tcW w:w="906" w:type="dxa"/>
            <w:tcBorders>
              <w:top w:val="single" w:sz="18" w:space="0" w:color="000000"/>
            </w:tcBorders>
          </w:tcPr>
          <w:p>
            <w:pPr>
              <w:pStyle w:val="TableParagraph"/>
              <w:rPr>
                <w:rFonts w:ascii="Times New Roman"/>
                <w:sz w:val="14"/>
              </w:rPr>
            </w:pPr>
          </w:p>
        </w:tc>
        <w:tc>
          <w:tcPr>
            <w:tcW w:w="1075" w:type="dxa"/>
            <w:tcBorders>
              <w:top w:val="single" w:sz="18" w:space="0" w:color="000000"/>
            </w:tcBorders>
          </w:tcPr>
          <w:p>
            <w:pPr>
              <w:pStyle w:val="TableParagraph"/>
              <w:rPr>
                <w:rFonts w:ascii="Times New Roman"/>
                <w:sz w:val="14"/>
              </w:rPr>
            </w:pPr>
          </w:p>
        </w:tc>
        <w:tc>
          <w:tcPr>
            <w:tcW w:w="1139" w:type="dxa"/>
            <w:tcBorders>
              <w:top w:val="single" w:sz="18" w:space="0" w:color="000000"/>
            </w:tcBorders>
          </w:tcPr>
          <w:p>
            <w:pPr>
              <w:pStyle w:val="TableParagraph"/>
              <w:rPr>
                <w:rFonts w:ascii="Times New Roman"/>
                <w:sz w:val="14"/>
              </w:rPr>
            </w:pPr>
          </w:p>
        </w:tc>
        <w:tc>
          <w:tcPr>
            <w:tcW w:w="1264" w:type="dxa"/>
            <w:tcBorders>
              <w:top w:val="single" w:sz="18" w:space="0" w:color="000000"/>
            </w:tcBorders>
          </w:tcPr>
          <w:p>
            <w:pPr>
              <w:pStyle w:val="TableParagraph"/>
              <w:rPr>
                <w:rFonts w:ascii="Times New Roman"/>
                <w:sz w:val="14"/>
              </w:rPr>
            </w:pPr>
          </w:p>
        </w:tc>
        <w:tc>
          <w:tcPr>
            <w:tcW w:w="918" w:type="dxa"/>
            <w:tcBorders>
              <w:top w:val="single" w:sz="18" w:space="0" w:color="000000"/>
            </w:tcBorders>
          </w:tcPr>
          <w:p>
            <w:pPr>
              <w:pStyle w:val="TableParagraph"/>
              <w:spacing w:before="31"/>
              <w:ind w:right="215"/>
              <w:jc w:val="right"/>
              <w:rPr>
                <w:b/>
                <w:sz w:val="14"/>
              </w:rPr>
            </w:pPr>
            <w:r>
              <w:rPr>
                <w:b/>
                <w:w w:val="95"/>
                <w:sz w:val="14"/>
              </w:rPr>
              <w:t>64,500</w:t>
            </w:r>
          </w:p>
        </w:tc>
        <w:tc>
          <w:tcPr>
            <w:tcW w:w="918" w:type="dxa"/>
            <w:tcBorders>
              <w:top w:val="single" w:sz="18" w:space="0" w:color="000000"/>
            </w:tcBorders>
          </w:tcPr>
          <w:p>
            <w:pPr>
              <w:pStyle w:val="TableParagraph"/>
              <w:spacing w:before="31"/>
              <w:ind w:left="228"/>
              <w:rPr>
                <w:b/>
                <w:sz w:val="14"/>
              </w:rPr>
            </w:pPr>
            <w:r>
              <w:rPr>
                <w:b/>
                <w:sz w:val="14"/>
              </w:rPr>
              <w:t>21,000</w:t>
            </w:r>
          </w:p>
        </w:tc>
        <w:tc>
          <w:tcPr>
            <w:tcW w:w="862" w:type="dxa"/>
            <w:tcBorders>
              <w:top w:val="single" w:sz="18" w:space="0" w:color="000000"/>
            </w:tcBorders>
          </w:tcPr>
          <w:p>
            <w:pPr>
              <w:pStyle w:val="TableParagraph"/>
              <w:spacing w:before="31"/>
              <w:ind w:right="229"/>
              <w:jc w:val="right"/>
              <w:rPr>
                <w:b/>
                <w:sz w:val="14"/>
              </w:rPr>
            </w:pPr>
            <w:r>
              <w:rPr>
                <w:b/>
                <w:w w:val="95"/>
                <w:sz w:val="14"/>
              </w:rPr>
              <w:t>68,500</w:t>
            </w:r>
          </w:p>
        </w:tc>
        <w:tc>
          <w:tcPr>
            <w:tcW w:w="926" w:type="dxa"/>
            <w:tcBorders>
              <w:top w:val="single" w:sz="18" w:space="0" w:color="000000"/>
            </w:tcBorders>
          </w:tcPr>
          <w:p>
            <w:pPr>
              <w:pStyle w:val="TableParagraph"/>
              <w:spacing w:before="31"/>
              <w:ind w:left="171"/>
              <w:rPr>
                <w:b/>
                <w:sz w:val="14"/>
              </w:rPr>
            </w:pPr>
            <w:r>
              <w:rPr>
                <w:b/>
                <w:sz w:val="14"/>
              </w:rPr>
              <w:t>26,478</w:t>
            </w:r>
          </w:p>
        </w:tc>
        <w:tc>
          <w:tcPr>
            <w:tcW w:w="793" w:type="dxa"/>
            <w:tcBorders>
              <w:top w:val="single" w:sz="18" w:space="0" w:color="000000"/>
            </w:tcBorders>
          </w:tcPr>
          <w:p>
            <w:pPr>
              <w:pStyle w:val="TableParagraph"/>
              <w:spacing w:before="31"/>
              <w:ind w:right="195"/>
              <w:jc w:val="right"/>
              <w:rPr>
                <w:b/>
                <w:sz w:val="14"/>
              </w:rPr>
            </w:pPr>
            <w:r>
              <w:rPr>
                <w:b/>
                <w:w w:val="95"/>
                <w:sz w:val="14"/>
              </w:rPr>
              <w:t>44,766</w:t>
            </w:r>
          </w:p>
        </w:tc>
        <w:tc>
          <w:tcPr>
            <w:tcW w:w="822" w:type="dxa"/>
            <w:tcBorders>
              <w:top w:val="single" w:sz="18" w:space="0" w:color="000000"/>
            </w:tcBorders>
          </w:tcPr>
          <w:p>
            <w:pPr>
              <w:pStyle w:val="TableParagraph"/>
              <w:spacing w:before="31"/>
              <w:ind w:right="52"/>
              <w:jc w:val="right"/>
              <w:rPr>
                <w:b/>
                <w:sz w:val="14"/>
              </w:rPr>
            </w:pPr>
            <w:r>
              <w:rPr>
                <w:b/>
                <w:w w:val="95"/>
                <w:sz w:val="14"/>
              </w:rPr>
              <w:t>29,125</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Three (3) Towns - Bo, Kenema and Makeni -</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rPr>
                <w:rFonts w:ascii="Times New Roman"/>
                <w:sz w:val="14"/>
              </w:rPr>
            </w:pPr>
          </w:p>
        </w:tc>
        <w:tc>
          <w:tcPr>
            <w:tcW w:w="793"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Water Supply System Project Phase II</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7"/>
              <w:rPr>
                <w:sz w:val="14"/>
              </w:rPr>
            </w:pPr>
            <w:r>
              <w:rPr>
                <w:sz w:val="14"/>
              </w:rPr>
              <w:t>Bo, Kenema,</w:t>
            </w:r>
          </w:p>
        </w:tc>
        <w:tc>
          <w:tcPr>
            <w:tcW w:w="1139" w:type="dxa"/>
          </w:tcPr>
          <w:p>
            <w:pPr>
              <w:pStyle w:val="TableParagraph"/>
              <w:spacing w:before="32"/>
              <w:ind w:left="144"/>
              <w:rPr>
                <w:sz w:val="14"/>
              </w:rPr>
            </w:pPr>
            <w:r>
              <w:rPr>
                <w:sz w:val="14"/>
              </w:rPr>
              <w:t>AfDB/ GoSL</w:t>
            </w:r>
          </w:p>
        </w:tc>
        <w:tc>
          <w:tcPr>
            <w:tcW w:w="1264" w:type="dxa"/>
          </w:tcPr>
          <w:p>
            <w:pPr>
              <w:pStyle w:val="TableParagraph"/>
              <w:spacing w:before="32"/>
              <w:ind w:left="254"/>
              <w:rPr>
                <w:sz w:val="14"/>
              </w:rPr>
            </w:pPr>
            <w:r>
              <w:rPr>
                <w:sz w:val="14"/>
              </w:rPr>
              <w:t>Loan/ Budget</w:t>
            </w:r>
          </w:p>
        </w:tc>
        <w:tc>
          <w:tcPr>
            <w:tcW w:w="918" w:type="dxa"/>
          </w:tcPr>
          <w:p>
            <w:pPr>
              <w:pStyle w:val="TableParagraph"/>
              <w:spacing w:before="32"/>
              <w:ind w:right="186"/>
              <w:jc w:val="right"/>
              <w:rPr>
                <w:sz w:val="14"/>
              </w:rPr>
            </w:pPr>
            <w:r>
              <w:rPr>
                <w:sz w:val="14"/>
              </w:rPr>
              <w:t>8,500</w:t>
            </w:r>
          </w:p>
        </w:tc>
        <w:tc>
          <w:tcPr>
            <w:tcW w:w="918" w:type="dxa"/>
          </w:tcPr>
          <w:p>
            <w:pPr>
              <w:pStyle w:val="TableParagraph"/>
              <w:spacing w:before="32"/>
              <w:ind w:left="346"/>
              <w:rPr>
                <w:sz w:val="14"/>
              </w:rPr>
            </w:pPr>
            <w:r>
              <w:rPr>
                <w:sz w:val="14"/>
              </w:rPr>
              <w:t>3,000</w:t>
            </w:r>
          </w:p>
        </w:tc>
        <w:tc>
          <w:tcPr>
            <w:tcW w:w="862" w:type="dxa"/>
          </w:tcPr>
          <w:p>
            <w:pPr>
              <w:pStyle w:val="TableParagraph"/>
              <w:spacing w:before="32"/>
              <w:ind w:right="209"/>
              <w:jc w:val="right"/>
              <w:rPr>
                <w:sz w:val="14"/>
              </w:rPr>
            </w:pPr>
            <w:r>
              <w:rPr>
                <w:sz w:val="14"/>
              </w:rPr>
              <w:t>2,500</w:t>
            </w:r>
          </w:p>
        </w:tc>
        <w:tc>
          <w:tcPr>
            <w:tcW w:w="926" w:type="dxa"/>
          </w:tcPr>
          <w:p>
            <w:pPr>
              <w:pStyle w:val="TableParagraph"/>
              <w:spacing w:before="32"/>
              <w:ind w:left="303"/>
              <w:rPr>
                <w:sz w:val="14"/>
              </w:rPr>
            </w:pPr>
            <w:r>
              <w:rPr>
                <w:sz w:val="14"/>
              </w:rPr>
              <w:t>7,178</w:t>
            </w:r>
          </w:p>
        </w:tc>
        <w:tc>
          <w:tcPr>
            <w:tcW w:w="793" w:type="dxa"/>
          </w:tcPr>
          <w:p>
            <w:pPr>
              <w:pStyle w:val="TableParagraph"/>
              <w:spacing w:before="32"/>
              <w:ind w:right="156"/>
              <w:jc w:val="right"/>
              <w:rPr>
                <w:sz w:val="14"/>
              </w:rPr>
            </w:pPr>
            <w:r>
              <w:rPr>
                <w:sz w:val="14"/>
              </w:rPr>
              <w:t>2,750</w:t>
            </w:r>
          </w:p>
        </w:tc>
        <w:tc>
          <w:tcPr>
            <w:tcW w:w="822" w:type="dxa"/>
          </w:tcPr>
          <w:p>
            <w:pPr>
              <w:pStyle w:val="TableParagraph"/>
              <w:spacing w:before="32"/>
              <w:ind w:right="28"/>
              <w:jc w:val="right"/>
              <w:rPr>
                <w:sz w:val="14"/>
              </w:rPr>
            </w:pPr>
            <w:r>
              <w:rPr>
                <w:sz w:val="14"/>
              </w:rPr>
              <w:t>7,895</w:t>
            </w:r>
          </w:p>
        </w:tc>
      </w:tr>
      <w:tr>
        <w:trPr>
          <w:trHeight w:val="230" w:hRule="atLeast"/>
        </w:trPr>
        <w:tc>
          <w:tcPr>
            <w:tcW w:w="470" w:type="dxa"/>
          </w:tcPr>
          <w:p>
            <w:pPr>
              <w:pStyle w:val="TableParagraph"/>
              <w:rPr>
                <w:rFonts w:ascii="Times New Roman"/>
                <w:sz w:val="14"/>
              </w:rPr>
            </w:pPr>
          </w:p>
        </w:tc>
        <w:tc>
          <w:tcPr>
            <w:tcW w:w="4713" w:type="dxa"/>
          </w:tcPr>
          <w:p>
            <w:pPr>
              <w:pStyle w:val="TableParagraph"/>
              <w:rPr>
                <w:rFonts w:ascii="Times New Roman"/>
                <w:sz w:val="14"/>
              </w:rPr>
            </w:pPr>
          </w:p>
        </w:tc>
        <w:tc>
          <w:tcPr>
            <w:tcW w:w="906" w:type="dxa"/>
          </w:tcPr>
          <w:p>
            <w:pPr>
              <w:pStyle w:val="TableParagraph"/>
              <w:rPr>
                <w:rFonts w:ascii="Times New Roman"/>
                <w:sz w:val="14"/>
              </w:rPr>
            </w:pPr>
          </w:p>
        </w:tc>
        <w:tc>
          <w:tcPr>
            <w:tcW w:w="1075" w:type="dxa"/>
          </w:tcPr>
          <w:p>
            <w:pPr>
              <w:pStyle w:val="TableParagraph"/>
              <w:spacing w:before="32"/>
              <w:ind w:left="87"/>
              <w:rPr>
                <w:sz w:val="14"/>
              </w:rPr>
            </w:pPr>
            <w:r>
              <w:rPr>
                <w:sz w:val="14"/>
              </w:rPr>
              <w:t>Bombali</w:t>
            </w: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rPr>
                <w:rFonts w:ascii="Times New Roman"/>
                <w:sz w:val="14"/>
              </w:rPr>
            </w:pPr>
          </w:p>
        </w:tc>
        <w:tc>
          <w:tcPr>
            <w:tcW w:w="793"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Rural Water Supply and Sanitation Project</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Natiowide</w:t>
            </w:r>
          </w:p>
        </w:tc>
        <w:tc>
          <w:tcPr>
            <w:tcW w:w="1139" w:type="dxa"/>
          </w:tcPr>
          <w:p>
            <w:pPr>
              <w:pStyle w:val="TableParagraph"/>
              <w:spacing w:before="32"/>
              <w:ind w:left="144"/>
              <w:rPr>
                <w:sz w:val="14"/>
              </w:rPr>
            </w:pPr>
            <w:r>
              <w:rPr>
                <w:sz w:val="14"/>
              </w:rPr>
              <w:t>AfDB/ GoSL</w:t>
            </w:r>
          </w:p>
        </w:tc>
        <w:tc>
          <w:tcPr>
            <w:tcW w:w="1264" w:type="dxa"/>
          </w:tcPr>
          <w:p>
            <w:pPr>
              <w:pStyle w:val="TableParagraph"/>
              <w:spacing w:before="32"/>
              <w:ind w:left="254"/>
              <w:rPr>
                <w:sz w:val="14"/>
              </w:rPr>
            </w:pPr>
            <w:r>
              <w:rPr>
                <w:sz w:val="14"/>
              </w:rPr>
              <w:t>Loan/ Budget</w:t>
            </w:r>
          </w:p>
        </w:tc>
        <w:tc>
          <w:tcPr>
            <w:tcW w:w="918" w:type="dxa"/>
          </w:tcPr>
          <w:p>
            <w:pPr>
              <w:pStyle w:val="TableParagraph"/>
              <w:spacing w:before="32"/>
              <w:ind w:right="191"/>
              <w:jc w:val="right"/>
              <w:rPr>
                <w:sz w:val="14"/>
              </w:rPr>
            </w:pPr>
            <w:r>
              <w:rPr>
                <w:w w:val="95"/>
                <w:sz w:val="14"/>
              </w:rPr>
              <w:t>15,000</w:t>
            </w:r>
          </w:p>
        </w:tc>
        <w:tc>
          <w:tcPr>
            <w:tcW w:w="918" w:type="dxa"/>
          </w:tcPr>
          <w:p>
            <w:pPr>
              <w:pStyle w:val="TableParagraph"/>
              <w:spacing w:before="32"/>
              <w:ind w:left="346"/>
              <w:rPr>
                <w:sz w:val="14"/>
              </w:rPr>
            </w:pPr>
            <w:r>
              <w:rPr>
                <w:sz w:val="14"/>
              </w:rPr>
              <w:t>2,000</w:t>
            </w:r>
          </w:p>
        </w:tc>
        <w:tc>
          <w:tcPr>
            <w:tcW w:w="862" w:type="dxa"/>
          </w:tcPr>
          <w:p>
            <w:pPr>
              <w:pStyle w:val="TableParagraph"/>
              <w:spacing w:before="32"/>
              <w:ind w:right="210"/>
              <w:jc w:val="right"/>
              <w:rPr>
                <w:sz w:val="14"/>
              </w:rPr>
            </w:pPr>
            <w:r>
              <w:rPr>
                <w:w w:val="95"/>
                <w:sz w:val="14"/>
              </w:rPr>
              <w:t>25,000</w:t>
            </w:r>
          </w:p>
        </w:tc>
        <w:tc>
          <w:tcPr>
            <w:tcW w:w="926" w:type="dxa"/>
          </w:tcPr>
          <w:p>
            <w:pPr>
              <w:pStyle w:val="TableParagraph"/>
              <w:spacing w:before="32"/>
              <w:ind w:left="303"/>
              <w:rPr>
                <w:sz w:val="14"/>
              </w:rPr>
            </w:pPr>
            <w:r>
              <w:rPr>
                <w:sz w:val="14"/>
              </w:rPr>
              <w:t>2,200</w:t>
            </w:r>
          </w:p>
        </w:tc>
        <w:tc>
          <w:tcPr>
            <w:tcW w:w="793" w:type="dxa"/>
          </w:tcPr>
          <w:p>
            <w:pPr>
              <w:pStyle w:val="TableParagraph"/>
              <w:spacing w:before="32"/>
              <w:ind w:right="162"/>
              <w:jc w:val="right"/>
              <w:rPr>
                <w:sz w:val="14"/>
              </w:rPr>
            </w:pPr>
            <w:r>
              <w:rPr>
                <w:w w:val="95"/>
                <w:sz w:val="14"/>
              </w:rPr>
              <w:t>22,016</w:t>
            </w:r>
          </w:p>
        </w:tc>
        <w:tc>
          <w:tcPr>
            <w:tcW w:w="822" w:type="dxa"/>
          </w:tcPr>
          <w:p>
            <w:pPr>
              <w:pStyle w:val="TableParagraph"/>
              <w:spacing w:before="32"/>
              <w:ind w:right="28"/>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Construction of 100 Solar Powered Borehole in 13 Districts</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spacing w:before="32"/>
              <w:ind w:left="604"/>
              <w:rPr>
                <w:sz w:val="14"/>
              </w:rPr>
            </w:pPr>
            <w:r>
              <w:rPr>
                <w:w w:val="99"/>
                <w:sz w:val="14"/>
              </w:rPr>
              <w:t>-</w:t>
            </w:r>
          </w:p>
        </w:tc>
        <w:tc>
          <w:tcPr>
            <w:tcW w:w="793" w:type="dxa"/>
          </w:tcPr>
          <w:p>
            <w:pPr>
              <w:pStyle w:val="TableParagraph"/>
              <w:spacing w:before="32"/>
              <w:ind w:right="154"/>
              <w:jc w:val="right"/>
              <w:rPr>
                <w:sz w:val="14"/>
              </w:rPr>
            </w:pPr>
            <w:r>
              <w:rPr>
                <w:w w:val="99"/>
                <w:sz w:val="14"/>
              </w:rPr>
              <w:t>-</w:t>
            </w:r>
          </w:p>
        </w:tc>
        <w:tc>
          <w:tcPr>
            <w:tcW w:w="822" w:type="dxa"/>
          </w:tcPr>
          <w:p>
            <w:pPr>
              <w:pStyle w:val="TableParagraph"/>
              <w:spacing w:before="32"/>
              <w:ind w:right="11"/>
              <w:jc w:val="right"/>
              <w:rPr>
                <w:sz w:val="14"/>
              </w:rPr>
            </w:pPr>
            <w:r>
              <w:rPr>
                <w:w w:val="99"/>
                <w:sz w:val="14"/>
              </w:rPr>
              <w:t>-</w:t>
            </w:r>
          </w:p>
        </w:tc>
      </w:tr>
      <w:tr>
        <w:trPr>
          <w:trHeight w:val="227"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Construction of 100 Solar Powered Boreholes</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Saudi/ GoSL</w:t>
            </w:r>
          </w:p>
        </w:tc>
        <w:tc>
          <w:tcPr>
            <w:tcW w:w="1264" w:type="dxa"/>
          </w:tcPr>
          <w:p>
            <w:pPr>
              <w:pStyle w:val="TableParagraph"/>
              <w:spacing w:before="32"/>
              <w:ind w:left="253"/>
              <w:rPr>
                <w:sz w:val="14"/>
              </w:rPr>
            </w:pPr>
            <w:r>
              <w:rPr>
                <w:sz w:val="14"/>
              </w:rPr>
              <w:t>Grant</w:t>
            </w:r>
          </w:p>
        </w:tc>
        <w:tc>
          <w:tcPr>
            <w:tcW w:w="918" w:type="dxa"/>
          </w:tcPr>
          <w:p>
            <w:pPr>
              <w:pStyle w:val="TableParagraph"/>
              <w:spacing w:before="32"/>
              <w:ind w:right="191"/>
              <w:jc w:val="right"/>
              <w:rPr>
                <w:sz w:val="14"/>
              </w:rPr>
            </w:pPr>
            <w:r>
              <w:rPr>
                <w:w w:val="95"/>
                <w:sz w:val="14"/>
              </w:rPr>
              <w:t>41,000</w:t>
            </w:r>
          </w:p>
        </w:tc>
        <w:tc>
          <w:tcPr>
            <w:tcW w:w="918" w:type="dxa"/>
          </w:tcPr>
          <w:p>
            <w:pPr>
              <w:pStyle w:val="TableParagraph"/>
              <w:spacing w:before="32"/>
              <w:ind w:left="346"/>
              <w:rPr>
                <w:sz w:val="14"/>
              </w:rPr>
            </w:pPr>
            <w:r>
              <w:rPr>
                <w:sz w:val="14"/>
              </w:rPr>
              <w:t>4,000</w:t>
            </w:r>
          </w:p>
        </w:tc>
        <w:tc>
          <w:tcPr>
            <w:tcW w:w="862" w:type="dxa"/>
          </w:tcPr>
          <w:p>
            <w:pPr>
              <w:pStyle w:val="TableParagraph"/>
              <w:spacing w:before="32"/>
              <w:ind w:right="210"/>
              <w:jc w:val="right"/>
              <w:rPr>
                <w:sz w:val="14"/>
              </w:rPr>
            </w:pPr>
            <w:r>
              <w:rPr>
                <w:w w:val="95"/>
                <w:sz w:val="14"/>
              </w:rPr>
              <w:t>41,000</w:t>
            </w:r>
          </w:p>
        </w:tc>
        <w:tc>
          <w:tcPr>
            <w:tcW w:w="926" w:type="dxa"/>
          </w:tcPr>
          <w:p>
            <w:pPr>
              <w:pStyle w:val="TableParagraph"/>
              <w:spacing w:before="32"/>
              <w:ind w:left="303"/>
              <w:rPr>
                <w:sz w:val="14"/>
              </w:rPr>
            </w:pPr>
            <w:r>
              <w:rPr>
                <w:sz w:val="14"/>
              </w:rPr>
              <w:t>4,400</w:t>
            </w:r>
          </w:p>
        </w:tc>
        <w:tc>
          <w:tcPr>
            <w:tcW w:w="793" w:type="dxa"/>
          </w:tcPr>
          <w:p>
            <w:pPr>
              <w:pStyle w:val="TableParagraph"/>
              <w:spacing w:before="32"/>
              <w:ind w:right="162"/>
              <w:jc w:val="right"/>
              <w:rPr>
                <w:sz w:val="14"/>
              </w:rPr>
            </w:pPr>
            <w:r>
              <w:rPr>
                <w:w w:val="95"/>
                <w:sz w:val="14"/>
              </w:rPr>
              <w:t>20,000</w:t>
            </w:r>
          </w:p>
        </w:tc>
        <w:tc>
          <w:tcPr>
            <w:tcW w:w="822" w:type="dxa"/>
          </w:tcPr>
          <w:p>
            <w:pPr>
              <w:pStyle w:val="TableParagraph"/>
              <w:spacing w:before="32"/>
              <w:ind w:right="28"/>
              <w:jc w:val="right"/>
              <w:rPr>
                <w:sz w:val="14"/>
              </w:rPr>
            </w:pPr>
            <w:r>
              <w:rPr>
                <w:sz w:val="14"/>
              </w:rPr>
              <w:t>4,840</w:t>
            </w:r>
          </w:p>
        </w:tc>
      </w:tr>
      <w:tr>
        <w:trPr>
          <w:trHeight w:val="228" w:hRule="atLeast"/>
        </w:trPr>
        <w:tc>
          <w:tcPr>
            <w:tcW w:w="470" w:type="dxa"/>
          </w:tcPr>
          <w:p>
            <w:pPr>
              <w:pStyle w:val="TableParagraph"/>
              <w:rPr>
                <w:rFonts w:ascii="Times New Roman"/>
                <w:sz w:val="14"/>
              </w:rPr>
            </w:pPr>
          </w:p>
        </w:tc>
        <w:tc>
          <w:tcPr>
            <w:tcW w:w="4713" w:type="dxa"/>
          </w:tcPr>
          <w:p>
            <w:pPr>
              <w:pStyle w:val="TableParagraph"/>
              <w:spacing w:before="29"/>
              <w:ind w:left="262"/>
              <w:rPr>
                <w:sz w:val="14"/>
              </w:rPr>
            </w:pPr>
            <w:r>
              <w:rPr>
                <w:sz w:val="14"/>
              </w:rPr>
              <w:t>Construction of 45 Industrial Boreholes (Urban Wash Supply)</w:t>
            </w:r>
          </w:p>
        </w:tc>
        <w:tc>
          <w:tcPr>
            <w:tcW w:w="906" w:type="dxa"/>
          </w:tcPr>
          <w:p>
            <w:pPr>
              <w:pStyle w:val="TableParagraph"/>
              <w:spacing w:before="29"/>
              <w:ind w:left="253"/>
              <w:rPr>
                <w:sz w:val="14"/>
              </w:rPr>
            </w:pPr>
            <w:r>
              <w:rPr>
                <w:sz w:val="14"/>
              </w:rPr>
              <w:t>Ongoing</w:t>
            </w:r>
          </w:p>
        </w:tc>
        <w:tc>
          <w:tcPr>
            <w:tcW w:w="1075" w:type="dxa"/>
          </w:tcPr>
          <w:p>
            <w:pPr>
              <w:pStyle w:val="TableParagraph"/>
              <w:spacing w:before="29"/>
              <w:ind w:left="86"/>
              <w:rPr>
                <w:sz w:val="14"/>
              </w:rPr>
            </w:pPr>
            <w:r>
              <w:rPr>
                <w:sz w:val="14"/>
              </w:rPr>
              <w:t>Nationwide</w:t>
            </w:r>
          </w:p>
        </w:tc>
        <w:tc>
          <w:tcPr>
            <w:tcW w:w="1139" w:type="dxa"/>
          </w:tcPr>
          <w:p>
            <w:pPr>
              <w:pStyle w:val="TableParagraph"/>
              <w:spacing w:before="29"/>
              <w:ind w:left="144"/>
              <w:rPr>
                <w:sz w:val="14"/>
              </w:rPr>
            </w:pPr>
            <w:r>
              <w:rPr>
                <w:sz w:val="14"/>
              </w:rPr>
              <w:t>GoSL</w:t>
            </w:r>
          </w:p>
        </w:tc>
        <w:tc>
          <w:tcPr>
            <w:tcW w:w="1264" w:type="dxa"/>
          </w:tcPr>
          <w:p>
            <w:pPr>
              <w:pStyle w:val="TableParagraph"/>
              <w:spacing w:before="29"/>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29"/>
              <w:ind w:left="346"/>
              <w:rPr>
                <w:sz w:val="14"/>
              </w:rPr>
            </w:pPr>
            <w:r>
              <w:rPr>
                <w:sz w:val="14"/>
              </w:rPr>
              <w:t>5,000</w:t>
            </w:r>
          </w:p>
        </w:tc>
        <w:tc>
          <w:tcPr>
            <w:tcW w:w="862" w:type="dxa"/>
          </w:tcPr>
          <w:p>
            <w:pPr>
              <w:pStyle w:val="TableParagraph"/>
              <w:rPr>
                <w:rFonts w:ascii="Times New Roman"/>
                <w:sz w:val="14"/>
              </w:rPr>
            </w:pPr>
          </w:p>
        </w:tc>
        <w:tc>
          <w:tcPr>
            <w:tcW w:w="926" w:type="dxa"/>
          </w:tcPr>
          <w:p>
            <w:pPr>
              <w:pStyle w:val="TableParagraph"/>
              <w:spacing w:before="29"/>
              <w:ind w:left="303"/>
              <w:rPr>
                <w:sz w:val="14"/>
              </w:rPr>
            </w:pPr>
            <w:r>
              <w:rPr>
                <w:sz w:val="14"/>
              </w:rPr>
              <w:t>5,500</w:t>
            </w:r>
          </w:p>
        </w:tc>
        <w:tc>
          <w:tcPr>
            <w:tcW w:w="793" w:type="dxa"/>
          </w:tcPr>
          <w:p>
            <w:pPr>
              <w:pStyle w:val="TableParagraph"/>
              <w:spacing w:before="29"/>
              <w:ind w:right="154"/>
              <w:jc w:val="right"/>
              <w:rPr>
                <w:sz w:val="14"/>
              </w:rPr>
            </w:pPr>
            <w:r>
              <w:rPr>
                <w:w w:val="99"/>
                <w:sz w:val="14"/>
              </w:rPr>
              <w:t>-</w:t>
            </w:r>
          </w:p>
        </w:tc>
        <w:tc>
          <w:tcPr>
            <w:tcW w:w="822" w:type="dxa"/>
          </w:tcPr>
          <w:p>
            <w:pPr>
              <w:pStyle w:val="TableParagraph"/>
              <w:spacing w:before="29"/>
              <w:ind w:right="28"/>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Completion of Construction of Water Supply Facilities in Six (6)</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rPr>
                <w:rFonts w:ascii="Times New Roman"/>
                <w:sz w:val="14"/>
              </w:rPr>
            </w:pPr>
          </w:p>
        </w:tc>
        <w:tc>
          <w:tcPr>
            <w:tcW w:w="793"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3"/>
              <w:rPr>
                <w:sz w:val="14"/>
              </w:rPr>
            </w:pPr>
            <w:r>
              <w:rPr>
                <w:sz w:val="14"/>
              </w:rPr>
              <w:t>District Capitals and Other Small Towns</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spacing w:before="32"/>
              <w:ind w:left="604"/>
              <w:rPr>
                <w:sz w:val="14"/>
              </w:rPr>
            </w:pPr>
            <w:r>
              <w:rPr>
                <w:w w:val="99"/>
                <w:sz w:val="14"/>
              </w:rPr>
              <w:t>-</w:t>
            </w:r>
          </w:p>
        </w:tc>
        <w:tc>
          <w:tcPr>
            <w:tcW w:w="793" w:type="dxa"/>
          </w:tcPr>
          <w:p>
            <w:pPr>
              <w:pStyle w:val="TableParagraph"/>
              <w:rPr>
                <w:rFonts w:ascii="Times New Roman"/>
                <w:sz w:val="14"/>
              </w:rPr>
            </w:pPr>
          </w:p>
        </w:tc>
        <w:tc>
          <w:tcPr>
            <w:tcW w:w="822" w:type="dxa"/>
          </w:tcPr>
          <w:p>
            <w:pPr>
              <w:pStyle w:val="TableParagraph"/>
              <w:spacing w:before="32"/>
              <w:ind w:right="11"/>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Construction of Water Supply System in Bonthe Municipal</w:t>
            </w:r>
          </w:p>
        </w:tc>
        <w:tc>
          <w:tcPr>
            <w:tcW w:w="906" w:type="dxa"/>
          </w:tcPr>
          <w:p>
            <w:pPr>
              <w:pStyle w:val="TableParagraph"/>
              <w:spacing w:before="32"/>
              <w:ind w:left="253"/>
              <w:rPr>
                <w:sz w:val="14"/>
              </w:rPr>
            </w:pPr>
            <w:r>
              <w:rPr>
                <w:sz w:val="14"/>
              </w:rPr>
              <w:t>New</w:t>
            </w:r>
          </w:p>
        </w:tc>
        <w:tc>
          <w:tcPr>
            <w:tcW w:w="1075" w:type="dxa"/>
          </w:tcPr>
          <w:p>
            <w:pPr>
              <w:pStyle w:val="TableParagraph"/>
              <w:spacing w:before="32"/>
              <w:ind w:left="87"/>
              <w:rPr>
                <w:sz w:val="14"/>
              </w:rPr>
            </w:pPr>
            <w:r>
              <w:rPr>
                <w:sz w:val="14"/>
              </w:rPr>
              <w:t>Bonthe City</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346"/>
              <w:rPr>
                <w:sz w:val="14"/>
              </w:rPr>
            </w:pPr>
            <w:r>
              <w:rPr>
                <w:sz w:val="14"/>
              </w:rPr>
              <w:t>5,000</w:t>
            </w:r>
          </w:p>
        </w:tc>
        <w:tc>
          <w:tcPr>
            <w:tcW w:w="862" w:type="dxa"/>
          </w:tcPr>
          <w:p>
            <w:pPr>
              <w:pStyle w:val="TableParagraph"/>
              <w:rPr>
                <w:rFonts w:ascii="Times New Roman"/>
                <w:sz w:val="14"/>
              </w:rPr>
            </w:pPr>
          </w:p>
        </w:tc>
        <w:tc>
          <w:tcPr>
            <w:tcW w:w="926" w:type="dxa"/>
          </w:tcPr>
          <w:p>
            <w:pPr>
              <w:pStyle w:val="TableParagraph"/>
              <w:spacing w:before="32"/>
              <w:ind w:left="303"/>
              <w:rPr>
                <w:sz w:val="14"/>
              </w:rPr>
            </w:pPr>
            <w:r>
              <w:rPr>
                <w:sz w:val="14"/>
              </w:rPr>
              <w:t>5,000</w:t>
            </w:r>
          </w:p>
        </w:tc>
        <w:tc>
          <w:tcPr>
            <w:tcW w:w="793" w:type="dxa"/>
          </w:tcPr>
          <w:p>
            <w:pPr>
              <w:pStyle w:val="TableParagraph"/>
              <w:rPr>
                <w:rFonts w:ascii="Times New Roman"/>
                <w:sz w:val="14"/>
              </w:rPr>
            </w:pPr>
          </w:p>
        </w:tc>
        <w:tc>
          <w:tcPr>
            <w:tcW w:w="822" w:type="dxa"/>
          </w:tcPr>
          <w:p>
            <w:pPr>
              <w:pStyle w:val="TableParagraph"/>
              <w:spacing w:before="32"/>
              <w:ind w:right="28"/>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Procurement and Installation of Meters, Billing Software</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rPr>
                <w:rFonts w:ascii="Times New Roman"/>
                <w:sz w:val="14"/>
              </w:rPr>
            </w:pPr>
          </w:p>
        </w:tc>
        <w:tc>
          <w:tcPr>
            <w:tcW w:w="793"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and Laboratory Equipment</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346"/>
              <w:rPr>
                <w:sz w:val="14"/>
              </w:rPr>
            </w:pPr>
            <w:r>
              <w:rPr>
                <w:sz w:val="14"/>
              </w:rPr>
              <w:t>2,000</w:t>
            </w:r>
          </w:p>
        </w:tc>
        <w:tc>
          <w:tcPr>
            <w:tcW w:w="862" w:type="dxa"/>
          </w:tcPr>
          <w:p>
            <w:pPr>
              <w:pStyle w:val="TableParagraph"/>
              <w:rPr>
                <w:rFonts w:ascii="Times New Roman"/>
                <w:sz w:val="14"/>
              </w:rPr>
            </w:pPr>
          </w:p>
        </w:tc>
        <w:tc>
          <w:tcPr>
            <w:tcW w:w="926" w:type="dxa"/>
          </w:tcPr>
          <w:p>
            <w:pPr>
              <w:pStyle w:val="TableParagraph"/>
              <w:spacing w:before="32"/>
              <w:ind w:left="303"/>
              <w:rPr>
                <w:sz w:val="14"/>
              </w:rPr>
            </w:pPr>
            <w:r>
              <w:rPr>
                <w:sz w:val="14"/>
              </w:rPr>
              <w:t>2,200</w:t>
            </w:r>
          </w:p>
        </w:tc>
        <w:tc>
          <w:tcPr>
            <w:tcW w:w="793" w:type="dxa"/>
          </w:tcPr>
          <w:p>
            <w:pPr>
              <w:pStyle w:val="TableParagraph"/>
              <w:rPr>
                <w:rFonts w:ascii="Times New Roman"/>
                <w:sz w:val="14"/>
              </w:rPr>
            </w:pPr>
          </w:p>
        </w:tc>
        <w:tc>
          <w:tcPr>
            <w:tcW w:w="822" w:type="dxa"/>
          </w:tcPr>
          <w:p>
            <w:pPr>
              <w:pStyle w:val="TableParagraph"/>
              <w:spacing w:before="32"/>
              <w:ind w:right="28"/>
              <w:jc w:val="right"/>
              <w:rPr>
                <w:sz w:val="14"/>
              </w:rPr>
            </w:pPr>
            <w:r>
              <w:rPr>
                <w:sz w:val="14"/>
              </w:rPr>
              <w:t>2,420</w:t>
            </w:r>
          </w:p>
        </w:tc>
      </w:tr>
      <w:tr>
        <w:trPr>
          <w:trHeight w:val="230" w:hRule="atLeast"/>
        </w:trPr>
        <w:tc>
          <w:tcPr>
            <w:tcW w:w="470" w:type="dxa"/>
          </w:tcPr>
          <w:p>
            <w:pPr>
              <w:pStyle w:val="TableParagraph"/>
              <w:spacing w:before="32"/>
              <w:ind w:right="93"/>
              <w:jc w:val="right"/>
              <w:rPr>
                <w:sz w:val="14"/>
              </w:rPr>
            </w:pPr>
            <w:r>
              <w:rPr>
                <w:w w:val="95"/>
                <w:sz w:val="14"/>
              </w:rPr>
              <w:t>414</w:t>
            </w:r>
          </w:p>
        </w:tc>
        <w:tc>
          <w:tcPr>
            <w:tcW w:w="4713" w:type="dxa"/>
          </w:tcPr>
          <w:p>
            <w:pPr>
              <w:pStyle w:val="TableParagraph"/>
              <w:spacing w:before="32"/>
              <w:ind w:left="94"/>
              <w:rPr>
                <w:b/>
                <w:sz w:val="14"/>
              </w:rPr>
            </w:pPr>
            <w:r>
              <w:rPr>
                <w:b/>
                <w:sz w:val="14"/>
              </w:rPr>
              <w:t>National Water Resources Management Agency (NWRMA)</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spacing w:before="32"/>
              <w:ind w:right="170"/>
              <w:jc w:val="right"/>
              <w:rPr>
                <w:b/>
                <w:sz w:val="14"/>
              </w:rPr>
            </w:pPr>
            <w:r>
              <w:rPr>
                <w:b/>
                <w:w w:val="99"/>
                <w:sz w:val="14"/>
              </w:rPr>
              <w:t>-</w:t>
            </w:r>
          </w:p>
        </w:tc>
        <w:tc>
          <w:tcPr>
            <w:tcW w:w="918" w:type="dxa"/>
          </w:tcPr>
          <w:p>
            <w:pPr>
              <w:pStyle w:val="TableParagraph"/>
              <w:spacing w:before="32"/>
              <w:ind w:left="325"/>
              <w:rPr>
                <w:b/>
                <w:sz w:val="14"/>
              </w:rPr>
            </w:pPr>
            <w:r>
              <w:rPr>
                <w:b/>
                <w:sz w:val="14"/>
              </w:rPr>
              <w:t>6,000</w:t>
            </w:r>
          </w:p>
        </w:tc>
        <w:tc>
          <w:tcPr>
            <w:tcW w:w="862" w:type="dxa"/>
          </w:tcPr>
          <w:p>
            <w:pPr>
              <w:pStyle w:val="TableParagraph"/>
              <w:spacing w:before="32"/>
              <w:ind w:right="185"/>
              <w:jc w:val="right"/>
              <w:rPr>
                <w:b/>
                <w:sz w:val="14"/>
              </w:rPr>
            </w:pPr>
            <w:r>
              <w:rPr>
                <w:b/>
                <w:w w:val="99"/>
                <w:sz w:val="14"/>
              </w:rPr>
              <w:t>-</w:t>
            </w:r>
          </w:p>
        </w:tc>
        <w:tc>
          <w:tcPr>
            <w:tcW w:w="926" w:type="dxa"/>
          </w:tcPr>
          <w:p>
            <w:pPr>
              <w:pStyle w:val="TableParagraph"/>
              <w:spacing w:before="32"/>
              <w:ind w:left="268"/>
              <w:rPr>
                <w:b/>
                <w:sz w:val="14"/>
              </w:rPr>
            </w:pPr>
            <w:r>
              <w:rPr>
                <w:b/>
                <w:sz w:val="14"/>
              </w:rPr>
              <w:t>6,600</w:t>
            </w:r>
          </w:p>
        </w:tc>
        <w:tc>
          <w:tcPr>
            <w:tcW w:w="793" w:type="dxa"/>
          </w:tcPr>
          <w:p>
            <w:pPr>
              <w:pStyle w:val="TableParagraph"/>
              <w:spacing w:before="32"/>
              <w:ind w:right="140"/>
              <w:jc w:val="right"/>
              <w:rPr>
                <w:b/>
                <w:sz w:val="14"/>
              </w:rPr>
            </w:pPr>
            <w:r>
              <w:rPr>
                <w:b/>
                <w:w w:val="99"/>
                <w:sz w:val="14"/>
              </w:rPr>
              <w:t>-</w:t>
            </w:r>
          </w:p>
        </w:tc>
        <w:tc>
          <w:tcPr>
            <w:tcW w:w="822" w:type="dxa"/>
          </w:tcPr>
          <w:p>
            <w:pPr>
              <w:pStyle w:val="TableParagraph"/>
              <w:spacing w:before="32"/>
              <w:ind w:right="44"/>
              <w:jc w:val="right"/>
              <w:rPr>
                <w:b/>
                <w:sz w:val="14"/>
              </w:rPr>
            </w:pPr>
            <w:r>
              <w:rPr>
                <w:b/>
                <w:sz w:val="14"/>
              </w:rPr>
              <w:t>7,260</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Construction of 10 Hydrological Monitoring Network</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rPr>
                <w:rFonts w:ascii="Times New Roman"/>
                <w:sz w:val="14"/>
              </w:rPr>
            </w:pPr>
          </w:p>
        </w:tc>
        <w:tc>
          <w:tcPr>
            <w:tcW w:w="793"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and 25 Ground Water Monitoring Stations</w:t>
            </w:r>
          </w:p>
        </w:tc>
        <w:tc>
          <w:tcPr>
            <w:tcW w:w="906" w:type="dxa"/>
          </w:tcPr>
          <w:p>
            <w:pPr>
              <w:pStyle w:val="TableParagraph"/>
              <w:spacing w:before="32"/>
              <w:ind w:left="253"/>
              <w:rPr>
                <w:sz w:val="14"/>
              </w:rPr>
            </w:pPr>
            <w:r>
              <w:rPr>
                <w:sz w:val="14"/>
              </w:rPr>
              <w:t>New</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346"/>
              <w:rPr>
                <w:sz w:val="14"/>
              </w:rPr>
            </w:pPr>
            <w:r>
              <w:rPr>
                <w:sz w:val="14"/>
              </w:rPr>
              <w:t>3,000</w:t>
            </w:r>
          </w:p>
        </w:tc>
        <w:tc>
          <w:tcPr>
            <w:tcW w:w="862" w:type="dxa"/>
          </w:tcPr>
          <w:p>
            <w:pPr>
              <w:pStyle w:val="TableParagraph"/>
              <w:rPr>
                <w:rFonts w:ascii="Times New Roman"/>
                <w:sz w:val="14"/>
              </w:rPr>
            </w:pPr>
          </w:p>
        </w:tc>
        <w:tc>
          <w:tcPr>
            <w:tcW w:w="926" w:type="dxa"/>
          </w:tcPr>
          <w:p>
            <w:pPr>
              <w:pStyle w:val="TableParagraph"/>
              <w:spacing w:before="32"/>
              <w:ind w:left="303"/>
              <w:rPr>
                <w:sz w:val="14"/>
              </w:rPr>
            </w:pPr>
            <w:r>
              <w:rPr>
                <w:sz w:val="14"/>
              </w:rPr>
              <w:t>3,300</w:t>
            </w:r>
          </w:p>
        </w:tc>
        <w:tc>
          <w:tcPr>
            <w:tcW w:w="793" w:type="dxa"/>
          </w:tcPr>
          <w:p>
            <w:pPr>
              <w:pStyle w:val="TableParagraph"/>
              <w:rPr>
                <w:rFonts w:ascii="Times New Roman"/>
                <w:sz w:val="14"/>
              </w:rPr>
            </w:pPr>
          </w:p>
        </w:tc>
        <w:tc>
          <w:tcPr>
            <w:tcW w:w="822" w:type="dxa"/>
          </w:tcPr>
          <w:p>
            <w:pPr>
              <w:pStyle w:val="TableParagraph"/>
              <w:spacing w:before="32"/>
              <w:ind w:right="28"/>
              <w:jc w:val="right"/>
              <w:rPr>
                <w:sz w:val="14"/>
              </w:rPr>
            </w:pPr>
            <w:r>
              <w:rPr>
                <w:sz w:val="14"/>
              </w:rPr>
              <w:t>3,630</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3"/>
              <w:rPr>
                <w:sz w:val="14"/>
              </w:rPr>
            </w:pPr>
            <w:r>
              <w:rPr>
                <w:sz w:val="14"/>
              </w:rPr>
              <w:t>Establishment of Water Quality Laboratories</w:t>
            </w:r>
          </w:p>
        </w:tc>
        <w:tc>
          <w:tcPr>
            <w:tcW w:w="906" w:type="dxa"/>
          </w:tcPr>
          <w:p>
            <w:pPr>
              <w:pStyle w:val="TableParagraph"/>
              <w:spacing w:before="32"/>
              <w:ind w:left="253"/>
              <w:rPr>
                <w:sz w:val="14"/>
              </w:rPr>
            </w:pPr>
            <w:r>
              <w:rPr>
                <w:sz w:val="14"/>
              </w:rPr>
              <w:t>New</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346"/>
              <w:rPr>
                <w:sz w:val="14"/>
              </w:rPr>
            </w:pPr>
            <w:r>
              <w:rPr>
                <w:sz w:val="14"/>
              </w:rPr>
              <w:t>3,000</w:t>
            </w:r>
          </w:p>
        </w:tc>
        <w:tc>
          <w:tcPr>
            <w:tcW w:w="862" w:type="dxa"/>
          </w:tcPr>
          <w:p>
            <w:pPr>
              <w:pStyle w:val="TableParagraph"/>
              <w:rPr>
                <w:rFonts w:ascii="Times New Roman"/>
                <w:sz w:val="14"/>
              </w:rPr>
            </w:pPr>
          </w:p>
        </w:tc>
        <w:tc>
          <w:tcPr>
            <w:tcW w:w="926" w:type="dxa"/>
          </w:tcPr>
          <w:p>
            <w:pPr>
              <w:pStyle w:val="TableParagraph"/>
              <w:spacing w:before="32"/>
              <w:ind w:left="303"/>
              <w:rPr>
                <w:sz w:val="14"/>
              </w:rPr>
            </w:pPr>
            <w:r>
              <w:rPr>
                <w:sz w:val="14"/>
              </w:rPr>
              <w:t>3,300</w:t>
            </w:r>
          </w:p>
        </w:tc>
        <w:tc>
          <w:tcPr>
            <w:tcW w:w="793" w:type="dxa"/>
          </w:tcPr>
          <w:p>
            <w:pPr>
              <w:pStyle w:val="TableParagraph"/>
              <w:rPr>
                <w:rFonts w:ascii="Times New Roman"/>
                <w:sz w:val="14"/>
              </w:rPr>
            </w:pPr>
          </w:p>
        </w:tc>
        <w:tc>
          <w:tcPr>
            <w:tcW w:w="822" w:type="dxa"/>
          </w:tcPr>
          <w:p>
            <w:pPr>
              <w:pStyle w:val="TableParagraph"/>
              <w:spacing w:before="32"/>
              <w:ind w:right="28"/>
              <w:jc w:val="right"/>
              <w:rPr>
                <w:sz w:val="14"/>
              </w:rPr>
            </w:pPr>
            <w:r>
              <w:rPr>
                <w:sz w:val="14"/>
              </w:rPr>
              <w:t>3,630</w:t>
            </w:r>
          </w:p>
        </w:tc>
      </w:tr>
      <w:tr>
        <w:trPr>
          <w:trHeight w:val="230" w:hRule="atLeast"/>
        </w:trPr>
        <w:tc>
          <w:tcPr>
            <w:tcW w:w="470" w:type="dxa"/>
          </w:tcPr>
          <w:p>
            <w:pPr>
              <w:pStyle w:val="TableParagraph"/>
              <w:spacing w:before="32"/>
              <w:ind w:right="93"/>
              <w:jc w:val="right"/>
              <w:rPr>
                <w:sz w:val="14"/>
              </w:rPr>
            </w:pPr>
            <w:r>
              <w:rPr>
                <w:w w:val="95"/>
                <w:sz w:val="14"/>
              </w:rPr>
              <w:t>414</w:t>
            </w:r>
          </w:p>
        </w:tc>
        <w:tc>
          <w:tcPr>
            <w:tcW w:w="4713" w:type="dxa"/>
          </w:tcPr>
          <w:p>
            <w:pPr>
              <w:pStyle w:val="TableParagraph"/>
              <w:spacing w:before="32"/>
              <w:ind w:left="94"/>
              <w:rPr>
                <w:b/>
                <w:sz w:val="14"/>
              </w:rPr>
            </w:pPr>
            <w:r>
              <w:rPr>
                <w:b/>
                <w:sz w:val="14"/>
              </w:rPr>
              <w:t>Guma Valley Water Company (GVWC)</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spacing w:before="32"/>
              <w:ind w:left="161"/>
              <w:rPr>
                <w:b/>
                <w:sz w:val="14"/>
              </w:rPr>
            </w:pPr>
            <w:r>
              <w:rPr>
                <w:b/>
                <w:sz w:val="14"/>
              </w:rPr>
              <w:t>188,500</w:t>
            </w:r>
          </w:p>
        </w:tc>
        <w:tc>
          <w:tcPr>
            <w:tcW w:w="918" w:type="dxa"/>
          </w:tcPr>
          <w:p>
            <w:pPr>
              <w:pStyle w:val="TableParagraph"/>
              <w:spacing w:before="32"/>
              <w:ind w:left="228"/>
              <w:rPr>
                <w:b/>
                <w:sz w:val="14"/>
              </w:rPr>
            </w:pPr>
            <w:r>
              <w:rPr>
                <w:b/>
                <w:sz w:val="14"/>
              </w:rPr>
              <w:t>13,742</w:t>
            </w:r>
          </w:p>
        </w:tc>
        <w:tc>
          <w:tcPr>
            <w:tcW w:w="862" w:type="dxa"/>
          </w:tcPr>
          <w:p>
            <w:pPr>
              <w:pStyle w:val="TableParagraph"/>
              <w:spacing w:before="32"/>
              <w:ind w:right="229"/>
              <w:jc w:val="right"/>
              <w:rPr>
                <w:b/>
                <w:sz w:val="14"/>
              </w:rPr>
            </w:pPr>
            <w:r>
              <w:rPr>
                <w:b/>
                <w:w w:val="95"/>
                <w:sz w:val="14"/>
              </w:rPr>
              <w:t>63,500</w:t>
            </w:r>
          </w:p>
        </w:tc>
        <w:tc>
          <w:tcPr>
            <w:tcW w:w="926" w:type="dxa"/>
          </w:tcPr>
          <w:p>
            <w:pPr>
              <w:pStyle w:val="TableParagraph"/>
              <w:spacing w:before="32"/>
              <w:ind w:left="171"/>
              <w:rPr>
                <w:b/>
                <w:sz w:val="14"/>
              </w:rPr>
            </w:pPr>
            <w:r>
              <w:rPr>
                <w:b/>
                <w:sz w:val="14"/>
              </w:rPr>
              <w:t>14,042</w:t>
            </w:r>
          </w:p>
        </w:tc>
        <w:tc>
          <w:tcPr>
            <w:tcW w:w="793" w:type="dxa"/>
          </w:tcPr>
          <w:p>
            <w:pPr>
              <w:pStyle w:val="TableParagraph"/>
              <w:spacing w:before="32"/>
              <w:ind w:right="195"/>
              <w:jc w:val="right"/>
              <w:rPr>
                <w:b/>
                <w:sz w:val="14"/>
              </w:rPr>
            </w:pPr>
            <w:r>
              <w:rPr>
                <w:b/>
                <w:w w:val="95"/>
                <w:sz w:val="14"/>
              </w:rPr>
              <w:t>50,500</w:t>
            </w:r>
          </w:p>
        </w:tc>
        <w:tc>
          <w:tcPr>
            <w:tcW w:w="822" w:type="dxa"/>
          </w:tcPr>
          <w:p>
            <w:pPr>
              <w:pStyle w:val="TableParagraph"/>
              <w:spacing w:before="32"/>
              <w:ind w:right="52"/>
              <w:jc w:val="right"/>
              <w:rPr>
                <w:b/>
                <w:sz w:val="14"/>
              </w:rPr>
            </w:pPr>
            <w:r>
              <w:rPr>
                <w:b/>
                <w:w w:val="95"/>
                <w:sz w:val="14"/>
              </w:rPr>
              <w:t>24,684</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3"/>
              <w:rPr>
                <w:sz w:val="14"/>
              </w:rPr>
            </w:pPr>
            <w:r>
              <w:rPr>
                <w:sz w:val="14"/>
              </w:rPr>
              <w:t>Emergency Water Supply Project in Western Area</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346"/>
              <w:rPr>
                <w:sz w:val="14"/>
              </w:rPr>
            </w:pPr>
            <w:r>
              <w:rPr>
                <w:sz w:val="14"/>
              </w:rPr>
              <w:t>3,000</w:t>
            </w:r>
          </w:p>
        </w:tc>
        <w:tc>
          <w:tcPr>
            <w:tcW w:w="862" w:type="dxa"/>
          </w:tcPr>
          <w:p>
            <w:pPr>
              <w:pStyle w:val="TableParagraph"/>
              <w:rPr>
                <w:rFonts w:ascii="Times New Roman"/>
                <w:sz w:val="14"/>
              </w:rPr>
            </w:pPr>
          </w:p>
        </w:tc>
        <w:tc>
          <w:tcPr>
            <w:tcW w:w="926" w:type="dxa"/>
          </w:tcPr>
          <w:p>
            <w:pPr>
              <w:pStyle w:val="TableParagraph"/>
              <w:spacing w:before="32"/>
              <w:ind w:left="303"/>
              <w:rPr>
                <w:sz w:val="14"/>
              </w:rPr>
            </w:pPr>
            <w:r>
              <w:rPr>
                <w:sz w:val="14"/>
              </w:rPr>
              <w:t>3,300</w:t>
            </w:r>
          </w:p>
        </w:tc>
        <w:tc>
          <w:tcPr>
            <w:tcW w:w="793" w:type="dxa"/>
          </w:tcPr>
          <w:p>
            <w:pPr>
              <w:pStyle w:val="TableParagraph"/>
              <w:rPr>
                <w:rFonts w:ascii="Times New Roman"/>
                <w:sz w:val="14"/>
              </w:rPr>
            </w:pPr>
          </w:p>
        </w:tc>
        <w:tc>
          <w:tcPr>
            <w:tcW w:w="822" w:type="dxa"/>
          </w:tcPr>
          <w:p>
            <w:pPr>
              <w:pStyle w:val="TableParagraph"/>
              <w:spacing w:before="32"/>
              <w:ind w:right="28"/>
              <w:jc w:val="right"/>
              <w:rPr>
                <w:sz w:val="14"/>
              </w:rPr>
            </w:pPr>
            <w:r>
              <w:rPr>
                <w:sz w:val="14"/>
              </w:rPr>
              <w:t>3,630</w:t>
            </w:r>
          </w:p>
        </w:tc>
      </w:tr>
      <w:tr>
        <w:trPr>
          <w:trHeight w:val="228"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Freetowm Water Supply Rehabilitation Project</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5"/>
              <w:rPr>
                <w:sz w:val="14"/>
              </w:rPr>
            </w:pPr>
            <w:r>
              <w:rPr>
                <w:sz w:val="14"/>
              </w:rPr>
              <w:t>DfID/ GoSL</w:t>
            </w:r>
          </w:p>
        </w:tc>
        <w:tc>
          <w:tcPr>
            <w:tcW w:w="1264" w:type="dxa"/>
          </w:tcPr>
          <w:p>
            <w:pPr>
              <w:pStyle w:val="TableParagraph"/>
              <w:spacing w:before="32"/>
              <w:ind w:left="253"/>
              <w:rPr>
                <w:sz w:val="14"/>
              </w:rPr>
            </w:pPr>
            <w:r>
              <w:rPr>
                <w:sz w:val="14"/>
              </w:rPr>
              <w:t>Grant/ Budget</w:t>
            </w:r>
          </w:p>
        </w:tc>
        <w:tc>
          <w:tcPr>
            <w:tcW w:w="918" w:type="dxa"/>
          </w:tcPr>
          <w:p>
            <w:pPr>
              <w:pStyle w:val="TableParagraph"/>
              <w:spacing w:before="32"/>
              <w:ind w:right="177"/>
              <w:jc w:val="right"/>
              <w:rPr>
                <w:sz w:val="14"/>
              </w:rPr>
            </w:pPr>
            <w:r>
              <w:rPr>
                <w:w w:val="95"/>
                <w:sz w:val="14"/>
              </w:rPr>
              <w:t>32,000</w:t>
            </w:r>
          </w:p>
        </w:tc>
        <w:tc>
          <w:tcPr>
            <w:tcW w:w="918" w:type="dxa"/>
          </w:tcPr>
          <w:p>
            <w:pPr>
              <w:pStyle w:val="TableParagraph"/>
              <w:spacing w:before="32"/>
              <w:ind w:right="184"/>
              <w:jc w:val="right"/>
              <w:rPr>
                <w:sz w:val="14"/>
              </w:rPr>
            </w:pPr>
            <w:r>
              <w:rPr>
                <w:w w:val="99"/>
                <w:sz w:val="14"/>
              </w:rPr>
              <w:t>-</w:t>
            </w:r>
          </w:p>
        </w:tc>
        <w:tc>
          <w:tcPr>
            <w:tcW w:w="862" w:type="dxa"/>
          </w:tcPr>
          <w:p>
            <w:pPr>
              <w:pStyle w:val="TableParagraph"/>
              <w:spacing w:before="32"/>
              <w:ind w:right="210"/>
              <w:jc w:val="right"/>
              <w:rPr>
                <w:sz w:val="14"/>
              </w:rPr>
            </w:pPr>
            <w:r>
              <w:rPr>
                <w:w w:val="95"/>
                <w:sz w:val="14"/>
              </w:rPr>
              <w:t>22,000</w:t>
            </w:r>
          </w:p>
        </w:tc>
        <w:tc>
          <w:tcPr>
            <w:tcW w:w="926" w:type="dxa"/>
          </w:tcPr>
          <w:p>
            <w:pPr>
              <w:pStyle w:val="TableParagraph"/>
              <w:spacing w:before="32"/>
              <w:ind w:left="604"/>
              <w:rPr>
                <w:sz w:val="14"/>
              </w:rPr>
            </w:pPr>
            <w:r>
              <w:rPr>
                <w:w w:val="99"/>
                <w:sz w:val="14"/>
              </w:rPr>
              <w:t>-</w:t>
            </w:r>
          </w:p>
        </w:tc>
        <w:tc>
          <w:tcPr>
            <w:tcW w:w="793" w:type="dxa"/>
          </w:tcPr>
          <w:p>
            <w:pPr>
              <w:pStyle w:val="TableParagraph"/>
              <w:spacing w:before="32"/>
              <w:ind w:right="176"/>
              <w:jc w:val="right"/>
              <w:rPr>
                <w:sz w:val="14"/>
              </w:rPr>
            </w:pPr>
            <w:r>
              <w:rPr>
                <w:w w:val="95"/>
                <w:sz w:val="14"/>
              </w:rPr>
              <w:t>20,000</w:t>
            </w:r>
          </w:p>
        </w:tc>
        <w:tc>
          <w:tcPr>
            <w:tcW w:w="822" w:type="dxa"/>
          </w:tcPr>
          <w:p>
            <w:pPr>
              <w:pStyle w:val="TableParagraph"/>
              <w:spacing w:before="32"/>
              <w:ind w:right="11"/>
              <w:jc w:val="right"/>
              <w:rPr>
                <w:sz w:val="14"/>
              </w:rPr>
            </w:pPr>
            <w:r>
              <w:rPr>
                <w:w w:val="99"/>
                <w:sz w:val="14"/>
              </w:rPr>
              <w:t>-</w:t>
            </w:r>
          </w:p>
        </w:tc>
      </w:tr>
      <w:tr>
        <w:trPr>
          <w:trHeight w:val="228" w:hRule="atLeast"/>
        </w:trPr>
        <w:tc>
          <w:tcPr>
            <w:tcW w:w="470" w:type="dxa"/>
          </w:tcPr>
          <w:p>
            <w:pPr>
              <w:pStyle w:val="TableParagraph"/>
              <w:rPr>
                <w:rFonts w:ascii="Times New Roman"/>
                <w:sz w:val="14"/>
              </w:rPr>
            </w:pPr>
          </w:p>
        </w:tc>
        <w:tc>
          <w:tcPr>
            <w:tcW w:w="4713" w:type="dxa"/>
          </w:tcPr>
          <w:p>
            <w:pPr>
              <w:pStyle w:val="TableParagraph"/>
              <w:spacing w:before="29"/>
              <w:ind w:left="262"/>
              <w:rPr>
                <w:sz w:val="14"/>
              </w:rPr>
            </w:pPr>
            <w:r>
              <w:rPr>
                <w:sz w:val="14"/>
              </w:rPr>
              <w:t>Water Sector Reform Project</w:t>
            </w:r>
          </w:p>
        </w:tc>
        <w:tc>
          <w:tcPr>
            <w:tcW w:w="906" w:type="dxa"/>
          </w:tcPr>
          <w:p>
            <w:pPr>
              <w:pStyle w:val="TableParagraph"/>
              <w:spacing w:before="29"/>
              <w:ind w:left="253"/>
              <w:rPr>
                <w:sz w:val="14"/>
              </w:rPr>
            </w:pPr>
            <w:r>
              <w:rPr>
                <w:sz w:val="14"/>
              </w:rPr>
              <w:t>Ongoing</w:t>
            </w:r>
          </w:p>
        </w:tc>
        <w:tc>
          <w:tcPr>
            <w:tcW w:w="1075" w:type="dxa"/>
          </w:tcPr>
          <w:p>
            <w:pPr>
              <w:pStyle w:val="TableParagraph"/>
              <w:spacing w:before="29"/>
              <w:ind w:left="86"/>
              <w:rPr>
                <w:sz w:val="14"/>
              </w:rPr>
            </w:pPr>
            <w:r>
              <w:rPr>
                <w:sz w:val="14"/>
              </w:rPr>
              <w:t>Western Area</w:t>
            </w:r>
          </w:p>
        </w:tc>
        <w:tc>
          <w:tcPr>
            <w:tcW w:w="1139" w:type="dxa"/>
          </w:tcPr>
          <w:p>
            <w:pPr>
              <w:pStyle w:val="TableParagraph"/>
              <w:spacing w:before="29"/>
              <w:ind w:left="144"/>
              <w:rPr>
                <w:sz w:val="14"/>
              </w:rPr>
            </w:pPr>
            <w:r>
              <w:rPr>
                <w:sz w:val="14"/>
              </w:rPr>
              <w:t>AfDB/ GoSL</w:t>
            </w:r>
          </w:p>
        </w:tc>
        <w:tc>
          <w:tcPr>
            <w:tcW w:w="1264" w:type="dxa"/>
          </w:tcPr>
          <w:p>
            <w:pPr>
              <w:pStyle w:val="TableParagraph"/>
              <w:spacing w:before="29"/>
              <w:ind w:left="254"/>
              <w:rPr>
                <w:sz w:val="14"/>
              </w:rPr>
            </w:pPr>
            <w:r>
              <w:rPr>
                <w:sz w:val="14"/>
              </w:rPr>
              <w:t>Loan/ Budget</w:t>
            </w:r>
          </w:p>
        </w:tc>
        <w:tc>
          <w:tcPr>
            <w:tcW w:w="918" w:type="dxa"/>
          </w:tcPr>
          <w:p>
            <w:pPr>
              <w:pStyle w:val="TableParagraph"/>
              <w:spacing w:before="29"/>
              <w:ind w:right="191"/>
              <w:jc w:val="right"/>
              <w:rPr>
                <w:sz w:val="14"/>
              </w:rPr>
            </w:pPr>
            <w:r>
              <w:rPr>
                <w:w w:val="95"/>
                <w:sz w:val="14"/>
              </w:rPr>
              <w:t>11,500</w:t>
            </w:r>
          </w:p>
        </w:tc>
        <w:tc>
          <w:tcPr>
            <w:tcW w:w="918" w:type="dxa"/>
          </w:tcPr>
          <w:p>
            <w:pPr>
              <w:pStyle w:val="TableParagraph"/>
              <w:spacing w:before="29"/>
              <w:ind w:right="184"/>
              <w:jc w:val="right"/>
              <w:rPr>
                <w:sz w:val="14"/>
              </w:rPr>
            </w:pPr>
            <w:r>
              <w:rPr>
                <w:w w:val="99"/>
                <w:sz w:val="14"/>
              </w:rPr>
              <w:t>-</w:t>
            </w:r>
          </w:p>
        </w:tc>
        <w:tc>
          <w:tcPr>
            <w:tcW w:w="862" w:type="dxa"/>
          </w:tcPr>
          <w:p>
            <w:pPr>
              <w:pStyle w:val="TableParagraph"/>
              <w:spacing w:before="29"/>
              <w:ind w:right="210"/>
              <w:jc w:val="right"/>
              <w:rPr>
                <w:sz w:val="14"/>
              </w:rPr>
            </w:pPr>
            <w:r>
              <w:rPr>
                <w:w w:val="95"/>
                <w:sz w:val="14"/>
              </w:rPr>
              <w:t>25,000</w:t>
            </w:r>
          </w:p>
        </w:tc>
        <w:tc>
          <w:tcPr>
            <w:tcW w:w="926" w:type="dxa"/>
          </w:tcPr>
          <w:p>
            <w:pPr>
              <w:pStyle w:val="TableParagraph"/>
              <w:spacing w:before="29"/>
              <w:ind w:left="604"/>
              <w:rPr>
                <w:sz w:val="14"/>
              </w:rPr>
            </w:pPr>
            <w:r>
              <w:rPr>
                <w:w w:val="99"/>
                <w:sz w:val="14"/>
              </w:rPr>
              <w:t>-</w:t>
            </w:r>
          </w:p>
        </w:tc>
        <w:tc>
          <w:tcPr>
            <w:tcW w:w="793" w:type="dxa"/>
          </w:tcPr>
          <w:p>
            <w:pPr>
              <w:pStyle w:val="TableParagraph"/>
              <w:spacing w:before="29"/>
              <w:ind w:right="176"/>
              <w:jc w:val="right"/>
              <w:rPr>
                <w:sz w:val="14"/>
              </w:rPr>
            </w:pPr>
            <w:r>
              <w:rPr>
                <w:w w:val="95"/>
                <w:sz w:val="14"/>
              </w:rPr>
              <w:t>16,000</w:t>
            </w:r>
          </w:p>
        </w:tc>
        <w:tc>
          <w:tcPr>
            <w:tcW w:w="822" w:type="dxa"/>
          </w:tcPr>
          <w:p>
            <w:pPr>
              <w:pStyle w:val="TableParagraph"/>
              <w:spacing w:before="29"/>
              <w:ind w:right="11"/>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Freetown Emergency Recovery Project</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5"/>
              <w:rPr>
                <w:sz w:val="14"/>
              </w:rPr>
            </w:pPr>
            <w:r>
              <w:rPr>
                <w:sz w:val="14"/>
              </w:rPr>
              <w:t>IDA/ GoSL</w:t>
            </w:r>
          </w:p>
        </w:tc>
        <w:tc>
          <w:tcPr>
            <w:tcW w:w="1264" w:type="dxa"/>
          </w:tcPr>
          <w:p>
            <w:pPr>
              <w:pStyle w:val="TableParagraph"/>
              <w:spacing w:before="32"/>
              <w:ind w:left="253"/>
              <w:rPr>
                <w:sz w:val="14"/>
              </w:rPr>
            </w:pPr>
            <w:r>
              <w:rPr>
                <w:sz w:val="14"/>
              </w:rPr>
              <w:t>Grant/ Budget</w:t>
            </w:r>
          </w:p>
        </w:tc>
        <w:tc>
          <w:tcPr>
            <w:tcW w:w="918" w:type="dxa"/>
          </w:tcPr>
          <w:p>
            <w:pPr>
              <w:pStyle w:val="TableParagraph"/>
              <w:spacing w:before="32"/>
              <w:ind w:right="177"/>
              <w:jc w:val="right"/>
              <w:rPr>
                <w:sz w:val="14"/>
              </w:rPr>
            </w:pPr>
            <w:r>
              <w:rPr>
                <w:w w:val="95"/>
                <w:sz w:val="14"/>
              </w:rPr>
              <w:t>65,000</w:t>
            </w:r>
          </w:p>
        </w:tc>
        <w:tc>
          <w:tcPr>
            <w:tcW w:w="918" w:type="dxa"/>
          </w:tcPr>
          <w:p>
            <w:pPr>
              <w:pStyle w:val="TableParagraph"/>
              <w:spacing w:before="32"/>
              <w:ind w:right="184"/>
              <w:jc w:val="right"/>
              <w:rPr>
                <w:sz w:val="14"/>
              </w:rPr>
            </w:pPr>
            <w:r>
              <w:rPr>
                <w:w w:val="99"/>
                <w:sz w:val="14"/>
              </w:rPr>
              <w:t>-</w:t>
            </w:r>
          </w:p>
        </w:tc>
        <w:tc>
          <w:tcPr>
            <w:tcW w:w="862" w:type="dxa"/>
          </w:tcPr>
          <w:p>
            <w:pPr>
              <w:pStyle w:val="TableParagraph"/>
              <w:spacing w:before="32"/>
              <w:ind w:right="209"/>
              <w:jc w:val="right"/>
              <w:rPr>
                <w:sz w:val="14"/>
              </w:rPr>
            </w:pPr>
            <w:r>
              <w:rPr>
                <w:sz w:val="14"/>
              </w:rPr>
              <w:t>5,000</w:t>
            </w:r>
          </w:p>
        </w:tc>
        <w:tc>
          <w:tcPr>
            <w:tcW w:w="926" w:type="dxa"/>
          </w:tcPr>
          <w:p>
            <w:pPr>
              <w:pStyle w:val="TableParagraph"/>
              <w:spacing w:before="32"/>
              <w:ind w:left="604"/>
              <w:rPr>
                <w:sz w:val="14"/>
              </w:rPr>
            </w:pPr>
            <w:r>
              <w:rPr>
                <w:w w:val="99"/>
                <w:sz w:val="14"/>
              </w:rPr>
              <w:t>-</w:t>
            </w:r>
          </w:p>
        </w:tc>
        <w:tc>
          <w:tcPr>
            <w:tcW w:w="793" w:type="dxa"/>
          </w:tcPr>
          <w:p>
            <w:pPr>
              <w:pStyle w:val="TableParagraph"/>
              <w:spacing w:before="32"/>
              <w:ind w:right="171"/>
              <w:jc w:val="right"/>
              <w:rPr>
                <w:sz w:val="14"/>
              </w:rPr>
            </w:pPr>
            <w:r>
              <w:rPr>
                <w:sz w:val="14"/>
              </w:rPr>
              <w:t>5,000</w:t>
            </w:r>
          </w:p>
        </w:tc>
        <w:tc>
          <w:tcPr>
            <w:tcW w:w="822" w:type="dxa"/>
          </w:tcPr>
          <w:p>
            <w:pPr>
              <w:pStyle w:val="TableParagraph"/>
              <w:spacing w:before="32"/>
              <w:ind w:right="11"/>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Freetown Water Supply and Sanitation Master Plan</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4"/>
              <w:rPr>
                <w:sz w:val="14"/>
              </w:rPr>
            </w:pPr>
            <w:r>
              <w:rPr>
                <w:sz w:val="14"/>
              </w:rPr>
              <w:t>AfDB/ GoSL</w:t>
            </w:r>
          </w:p>
        </w:tc>
        <w:tc>
          <w:tcPr>
            <w:tcW w:w="1264" w:type="dxa"/>
          </w:tcPr>
          <w:p>
            <w:pPr>
              <w:pStyle w:val="TableParagraph"/>
              <w:spacing w:before="32"/>
              <w:ind w:left="253"/>
              <w:rPr>
                <w:sz w:val="14"/>
              </w:rPr>
            </w:pPr>
            <w:r>
              <w:rPr>
                <w:sz w:val="14"/>
              </w:rPr>
              <w:t>Grant/ GoSL</w:t>
            </w:r>
          </w:p>
        </w:tc>
        <w:tc>
          <w:tcPr>
            <w:tcW w:w="918" w:type="dxa"/>
          </w:tcPr>
          <w:p>
            <w:pPr>
              <w:pStyle w:val="TableParagraph"/>
              <w:spacing w:before="32"/>
              <w:ind w:right="191"/>
              <w:jc w:val="right"/>
              <w:rPr>
                <w:sz w:val="14"/>
              </w:rPr>
            </w:pPr>
            <w:r>
              <w:rPr>
                <w:w w:val="95"/>
                <w:sz w:val="14"/>
              </w:rPr>
              <w:t>55,000</w:t>
            </w:r>
          </w:p>
        </w:tc>
        <w:tc>
          <w:tcPr>
            <w:tcW w:w="918" w:type="dxa"/>
          </w:tcPr>
          <w:p>
            <w:pPr>
              <w:pStyle w:val="TableParagraph"/>
              <w:spacing w:before="32"/>
              <w:ind w:left="346"/>
              <w:rPr>
                <w:sz w:val="14"/>
              </w:rPr>
            </w:pPr>
            <w:r>
              <w:rPr>
                <w:sz w:val="14"/>
              </w:rPr>
              <w:t>5,742</w:t>
            </w:r>
          </w:p>
        </w:tc>
        <w:tc>
          <w:tcPr>
            <w:tcW w:w="862" w:type="dxa"/>
          </w:tcPr>
          <w:p>
            <w:pPr>
              <w:pStyle w:val="TableParagraph"/>
              <w:spacing w:before="32"/>
              <w:ind w:right="210"/>
              <w:jc w:val="right"/>
              <w:rPr>
                <w:sz w:val="14"/>
              </w:rPr>
            </w:pPr>
            <w:r>
              <w:rPr>
                <w:w w:val="95"/>
                <w:sz w:val="14"/>
              </w:rPr>
              <w:t>10,000</w:t>
            </w:r>
          </w:p>
        </w:tc>
        <w:tc>
          <w:tcPr>
            <w:tcW w:w="926" w:type="dxa"/>
          </w:tcPr>
          <w:p>
            <w:pPr>
              <w:pStyle w:val="TableParagraph"/>
              <w:spacing w:before="32"/>
              <w:ind w:left="303"/>
              <w:rPr>
                <w:sz w:val="14"/>
              </w:rPr>
            </w:pPr>
            <w:r>
              <w:rPr>
                <w:sz w:val="14"/>
              </w:rPr>
              <w:t>5,742</w:t>
            </w:r>
          </w:p>
        </w:tc>
        <w:tc>
          <w:tcPr>
            <w:tcW w:w="793" w:type="dxa"/>
          </w:tcPr>
          <w:p>
            <w:pPr>
              <w:pStyle w:val="TableParagraph"/>
              <w:spacing w:before="32"/>
              <w:ind w:right="156"/>
              <w:jc w:val="right"/>
              <w:rPr>
                <w:sz w:val="14"/>
              </w:rPr>
            </w:pPr>
            <w:r>
              <w:rPr>
                <w:sz w:val="14"/>
              </w:rPr>
              <w:t>8,000</w:t>
            </w:r>
          </w:p>
        </w:tc>
        <w:tc>
          <w:tcPr>
            <w:tcW w:w="822" w:type="dxa"/>
          </w:tcPr>
          <w:p>
            <w:pPr>
              <w:pStyle w:val="TableParagraph"/>
              <w:spacing w:before="32"/>
              <w:ind w:right="28"/>
              <w:jc w:val="right"/>
              <w:rPr>
                <w:sz w:val="14"/>
              </w:rPr>
            </w:pPr>
            <w:r>
              <w:rPr>
                <w:sz w:val="14"/>
              </w:rPr>
              <w:t>7,656</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Freetown WASH and Aquatic Revamping Project</w:t>
            </w:r>
          </w:p>
        </w:tc>
        <w:tc>
          <w:tcPr>
            <w:tcW w:w="906" w:type="dxa"/>
          </w:tcPr>
          <w:p>
            <w:pPr>
              <w:pStyle w:val="TableParagraph"/>
              <w:spacing w:before="32"/>
              <w:ind w:left="253"/>
              <w:rPr>
                <w:sz w:val="14"/>
              </w:rPr>
            </w:pPr>
            <w:r>
              <w:rPr>
                <w:sz w:val="14"/>
              </w:rPr>
              <w:t>New</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5"/>
              <w:rPr>
                <w:sz w:val="14"/>
              </w:rPr>
            </w:pPr>
            <w:r>
              <w:rPr>
                <w:sz w:val="14"/>
              </w:rPr>
              <w:t>Kuwaiti</w:t>
            </w:r>
          </w:p>
        </w:tc>
        <w:tc>
          <w:tcPr>
            <w:tcW w:w="1264" w:type="dxa"/>
          </w:tcPr>
          <w:p>
            <w:pPr>
              <w:pStyle w:val="TableParagraph"/>
              <w:spacing w:before="32"/>
              <w:ind w:left="254"/>
              <w:rPr>
                <w:sz w:val="14"/>
              </w:rPr>
            </w:pPr>
            <w:r>
              <w:rPr>
                <w:sz w:val="14"/>
              </w:rPr>
              <w:t>Loan/ GoSL</w:t>
            </w:r>
          </w:p>
        </w:tc>
        <w:tc>
          <w:tcPr>
            <w:tcW w:w="918" w:type="dxa"/>
          </w:tcPr>
          <w:p>
            <w:pPr>
              <w:pStyle w:val="TableParagraph"/>
              <w:spacing w:before="32"/>
              <w:ind w:right="191"/>
              <w:jc w:val="right"/>
              <w:rPr>
                <w:sz w:val="14"/>
              </w:rPr>
            </w:pPr>
            <w:r>
              <w:rPr>
                <w:w w:val="95"/>
                <w:sz w:val="14"/>
              </w:rPr>
              <w:t>25,000</w:t>
            </w:r>
          </w:p>
        </w:tc>
        <w:tc>
          <w:tcPr>
            <w:tcW w:w="918" w:type="dxa"/>
          </w:tcPr>
          <w:p>
            <w:pPr>
              <w:pStyle w:val="TableParagraph"/>
              <w:spacing w:before="32"/>
              <w:ind w:left="346"/>
              <w:rPr>
                <w:sz w:val="14"/>
              </w:rPr>
            </w:pPr>
            <w:r>
              <w:rPr>
                <w:sz w:val="14"/>
              </w:rPr>
              <w:t>5,000</w:t>
            </w:r>
          </w:p>
        </w:tc>
        <w:tc>
          <w:tcPr>
            <w:tcW w:w="862" w:type="dxa"/>
          </w:tcPr>
          <w:p>
            <w:pPr>
              <w:pStyle w:val="TableParagraph"/>
              <w:spacing w:before="32"/>
              <w:ind w:right="209"/>
              <w:jc w:val="right"/>
              <w:rPr>
                <w:sz w:val="14"/>
              </w:rPr>
            </w:pPr>
            <w:r>
              <w:rPr>
                <w:sz w:val="14"/>
              </w:rPr>
              <w:t>1,500</w:t>
            </w:r>
          </w:p>
        </w:tc>
        <w:tc>
          <w:tcPr>
            <w:tcW w:w="926" w:type="dxa"/>
          </w:tcPr>
          <w:p>
            <w:pPr>
              <w:pStyle w:val="TableParagraph"/>
              <w:spacing w:before="32"/>
              <w:ind w:left="303"/>
              <w:rPr>
                <w:sz w:val="14"/>
              </w:rPr>
            </w:pPr>
            <w:r>
              <w:rPr>
                <w:sz w:val="14"/>
              </w:rPr>
              <w:t>5,000</w:t>
            </w:r>
          </w:p>
        </w:tc>
        <w:tc>
          <w:tcPr>
            <w:tcW w:w="793" w:type="dxa"/>
          </w:tcPr>
          <w:p>
            <w:pPr>
              <w:pStyle w:val="TableParagraph"/>
              <w:spacing w:before="32"/>
              <w:ind w:right="156"/>
              <w:jc w:val="right"/>
              <w:rPr>
                <w:sz w:val="14"/>
              </w:rPr>
            </w:pPr>
            <w:r>
              <w:rPr>
                <w:sz w:val="14"/>
              </w:rPr>
              <w:t>1,500</w:t>
            </w:r>
          </w:p>
        </w:tc>
        <w:tc>
          <w:tcPr>
            <w:tcW w:w="822" w:type="dxa"/>
          </w:tcPr>
          <w:p>
            <w:pPr>
              <w:pStyle w:val="TableParagraph"/>
              <w:spacing w:before="32"/>
              <w:ind w:right="34"/>
              <w:jc w:val="right"/>
              <w:rPr>
                <w:sz w:val="14"/>
              </w:rPr>
            </w:pPr>
            <w:r>
              <w:rPr>
                <w:w w:val="95"/>
                <w:sz w:val="14"/>
              </w:rPr>
              <w:t>13,398</w:t>
            </w:r>
          </w:p>
        </w:tc>
      </w:tr>
      <w:tr>
        <w:trPr>
          <w:trHeight w:val="230" w:hRule="atLeast"/>
        </w:trPr>
        <w:tc>
          <w:tcPr>
            <w:tcW w:w="470" w:type="dxa"/>
          </w:tcPr>
          <w:p>
            <w:pPr>
              <w:pStyle w:val="TableParagraph"/>
              <w:rPr>
                <w:rFonts w:ascii="Times New Roman"/>
                <w:sz w:val="14"/>
              </w:rPr>
            </w:pPr>
          </w:p>
        </w:tc>
        <w:tc>
          <w:tcPr>
            <w:tcW w:w="4713" w:type="dxa"/>
          </w:tcPr>
          <w:p>
            <w:pPr>
              <w:pStyle w:val="TableParagraph"/>
              <w:rPr>
                <w:rFonts w:ascii="Times New Roman"/>
                <w:sz w:val="14"/>
              </w:rPr>
            </w:pP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spacing w:before="32"/>
              <w:ind w:left="144"/>
              <w:rPr>
                <w:sz w:val="14"/>
              </w:rPr>
            </w:pPr>
            <w:r>
              <w:rPr>
                <w:sz w:val="14"/>
              </w:rPr>
              <w:t>Fund/ ADB</w:t>
            </w:r>
          </w:p>
        </w:tc>
        <w:tc>
          <w:tcPr>
            <w:tcW w:w="1264" w:type="dxa"/>
          </w:tcPr>
          <w:p>
            <w:pPr>
              <w:pStyle w:val="TableParagraph"/>
              <w:rPr>
                <w:rFonts w:ascii="Times New Roman"/>
                <w:sz w:val="14"/>
              </w:rPr>
            </w:pP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rPr>
                <w:rFonts w:ascii="Times New Roman"/>
                <w:sz w:val="14"/>
              </w:rPr>
            </w:pPr>
          </w:p>
        </w:tc>
        <w:tc>
          <w:tcPr>
            <w:tcW w:w="793"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spacing w:before="32"/>
              <w:ind w:right="93"/>
              <w:jc w:val="right"/>
              <w:rPr>
                <w:sz w:val="14"/>
              </w:rPr>
            </w:pPr>
            <w:r>
              <w:rPr>
                <w:w w:val="95"/>
                <w:sz w:val="14"/>
              </w:rPr>
              <w:t>404</w:t>
            </w:r>
          </w:p>
        </w:tc>
        <w:tc>
          <w:tcPr>
            <w:tcW w:w="4713" w:type="dxa"/>
          </w:tcPr>
          <w:p>
            <w:pPr>
              <w:pStyle w:val="TableParagraph"/>
              <w:spacing w:before="32"/>
              <w:ind w:left="95"/>
              <w:rPr>
                <w:b/>
                <w:sz w:val="14"/>
              </w:rPr>
            </w:pPr>
            <w:r>
              <w:rPr>
                <w:b/>
                <w:sz w:val="14"/>
              </w:rPr>
              <w:t>Ministry of Transport and Aviation (MoTA)</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spacing w:before="32"/>
              <w:ind w:right="215"/>
              <w:jc w:val="right"/>
              <w:rPr>
                <w:b/>
                <w:sz w:val="14"/>
              </w:rPr>
            </w:pPr>
            <w:r>
              <w:rPr>
                <w:b/>
                <w:w w:val="95"/>
                <w:sz w:val="14"/>
              </w:rPr>
              <w:t>35,000</w:t>
            </w:r>
          </w:p>
        </w:tc>
        <w:tc>
          <w:tcPr>
            <w:tcW w:w="918" w:type="dxa"/>
          </w:tcPr>
          <w:p>
            <w:pPr>
              <w:pStyle w:val="TableParagraph"/>
              <w:spacing w:before="32"/>
              <w:ind w:left="325"/>
              <w:rPr>
                <w:b/>
                <w:sz w:val="14"/>
              </w:rPr>
            </w:pPr>
            <w:r>
              <w:rPr>
                <w:b/>
                <w:sz w:val="14"/>
              </w:rPr>
              <w:t>7,500</w:t>
            </w:r>
          </w:p>
        </w:tc>
        <w:tc>
          <w:tcPr>
            <w:tcW w:w="862" w:type="dxa"/>
          </w:tcPr>
          <w:p>
            <w:pPr>
              <w:pStyle w:val="TableParagraph"/>
              <w:spacing w:before="32"/>
              <w:ind w:right="221"/>
              <w:jc w:val="right"/>
              <w:rPr>
                <w:b/>
                <w:sz w:val="14"/>
              </w:rPr>
            </w:pPr>
            <w:r>
              <w:rPr>
                <w:b/>
                <w:sz w:val="14"/>
              </w:rPr>
              <w:t>5,000</w:t>
            </w:r>
          </w:p>
        </w:tc>
        <w:tc>
          <w:tcPr>
            <w:tcW w:w="926" w:type="dxa"/>
          </w:tcPr>
          <w:p>
            <w:pPr>
              <w:pStyle w:val="TableParagraph"/>
              <w:spacing w:before="32"/>
              <w:ind w:left="268"/>
              <w:rPr>
                <w:b/>
                <w:sz w:val="14"/>
              </w:rPr>
            </w:pPr>
            <w:r>
              <w:rPr>
                <w:b/>
                <w:sz w:val="14"/>
              </w:rPr>
              <w:t>8,250</w:t>
            </w:r>
          </w:p>
        </w:tc>
        <w:tc>
          <w:tcPr>
            <w:tcW w:w="793" w:type="dxa"/>
          </w:tcPr>
          <w:p>
            <w:pPr>
              <w:pStyle w:val="TableParagraph"/>
              <w:spacing w:before="32"/>
              <w:ind w:right="140"/>
              <w:jc w:val="right"/>
              <w:rPr>
                <w:b/>
                <w:sz w:val="14"/>
              </w:rPr>
            </w:pPr>
            <w:r>
              <w:rPr>
                <w:b/>
                <w:w w:val="99"/>
                <w:sz w:val="14"/>
              </w:rPr>
              <w:t>-</w:t>
            </w:r>
          </w:p>
        </w:tc>
        <w:tc>
          <w:tcPr>
            <w:tcW w:w="822" w:type="dxa"/>
          </w:tcPr>
          <w:p>
            <w:pPr>
              <w:pStyle w:val="TableParagraph"/>
              <w:spacing w:before="32"/>
              <w:ind w:right="44"/>
              <w:jc w:val="right"/>
              <w:rPr>
                <w:b/>
                <w:sz w:val="14"/>
              </w:rPr>
            </w:pPr>
            <w:r>
              <w:rPr>
                <w:b/>
                <w:sz w:val="14"/>
              </w:rPr>
              <w:t>9,075</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3"/>
              <w:rPr>
                <w:sz w:val="14"/>
              </w:rPr>
            </w:pPr>
            <w:r>
              <w:rPr>
                <w:sz w:val="14"/>
              </w:rPr>
              <w:t>Institutional Support to Transport Planning, Project</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rPr>
                <w:rFonts w:ascii="Times New Roman"/>
                <w:sz w:val="14"/>
              </w:rPr>
            </w:pPr>
          </w:p>
        </w:tc>
        <w:tc>
          <w:tcPr>
            <w:tcW w:w="918" w:type="dxa"/>
          </w:tcPr>
          <w:p>
            <w:pPr>
              <w:pStyle w:val="TableParagraph"/>
              <w:rPr>
                <w:rFonts w:ascii="Times New Roman"/>
                <w:sz w:val="14"/>
              </w:rPr>
            </w:pPr>
          </w:p>
        </w:tc>
        <w:tc>
          <w:tcPr>
            <w:tcW w:w="862" w:type="dxa"/>
          </w:tcPr>
          <w:p>
            <w:pPr>
              <w:pStyle w:val="TableParagraph"/>
              <w:rPr>
                <w:rFonts w:ascii="Times New Roman"/>
                <w:sz w:val="14"/>
              </w:rPr>
            </w:pPr>
          </w:p>
        </w:tc>
        <w:tc>
          <w:tcPr>
            <w:tcW w:w="926" w:type="dxa"/>
          </w:tcPr>
          <w:p>
            <w:pPr>
              <w:pStyle w:val="TableParagraph"/>
              <w:rPr>
                <w:rFonts w:ascii="Times New Roman"/>
                <w:sz w:val="14"/>
              </w:rPr>
            </w:pPr>
          </w:p>
        </w:tc>
        <w:tc>
          <w:tcPr>
            <w:tcW w:w="793"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and Contract Management and Monitoring</w:t>
            </w:r>
          </w:p>
        </w:tc>
        <w:tc>
          <w:tcPr>
            <w:tcW w:w="906" w:type="dxa"/>
          </w:tcPr>
          <w:p>
            <w:pPr>
              <w:pStyle w:val="TableParagraph"/>
              <w:spacing w:before="32"/>
              <w:ind w:left="253"/>
              <w:rPr>
                <w:sz w:val="14"/>
              </w:rPr>
            </w:pPr>
            <w:r>
              <w:rPr>
                <w:sz w:val="14"/>
              </w:rPr>
              <w:t>New</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477"/>
              <w:rPr>
                <w:sz w:val="14"/>
              </w:rPr>
            </w:pPr>
            <w:r>
              <w:rPr>
                <w:sz w:val="14"/>
              </w:rPr>
              <w:t>300</w:t>
            </w:r>
          </w:p>
        </w:tc>
        <w:tc>
          <w:tcPr>
            <w:tcW w:w="862" w:type="dxa"/>
          </w:tcPr>
          <w:p>
            <w:pPr>
              <w:pStyle w:val="TableParagraph"/>
              <w:rPr>
                <w:rFonts w:ascii="Times New Roman"/>
                <w:sz w:val="14"/>
              </w:rPr>
            </w:pPr>
          </w:p>
        </w:tc>
        <w:tc>
          <w:tcPr>
            <w:tcW w:w="926" w:type="dxa"/>
          </w:tcPr>
          <w:p>
            <w:pPr>
              <w:pStyle w:val="TableParagraph"/>
              <w:spacing w:before="32"/>
              <w:ind w:left="434"/>
              <w:rPr>
                <w:sz w:val="14"/>
              </w:rPr>
            </w:pPr>
            <w:r>
              <w:rPr>
                <w:sz w:val="14"/>
              </w:rPr>
              <w:t>330</w:t>
            </w:r>
          </w:p>
        </w:tc>
        <w:tc>
          <w:tcPr>
            <w:tcW w:w="793" w:type="dxa"/>
          </w:tcPr>
          <w:p>
            <w:pPr>
              <w:pStyle w:val="TableParagraph"/>
              <w:rPr>
                <w:rFonts w:ascii="Times New Roman"/>
                <w:sz w:val="14"/>
              </w:rPr>
            </w:pPr>
          </w:p>
        </w:tc>
        <w:tc>
          <w:tcPr>
            <w:tcW w:w="822" w:type="dxa"/>
          </w:tcPr>
          <w:p>
            <w:pPr>
              <w:pStyle w:val="TableParagraph"/>
              <w:spacing w:before="32"/>
              <w:ind w:right="20"/>
              <w:jc w:val="right"/>
              <w:rPr>
                <w:sz w:val="14"/>
              </w:rPr>
            </w:pPr>
            <w:r>
              <w:rPr>
                <w:sz w:val="14"/>
              </w:rPr>
              <w:t>363</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3"/>
              <w:rPr>
                <w:sz w:val="14"/>
              </w:rPr>
            </w:pPr>
            <w:r>
              <w:rPr>
                <w:sz w:val="14"/>
              </w:rPr>
              <w:t>Integrated and Resilient Urban Mobility Project (IRUMP)</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5"/>
              <w:rPr>
                <w:sz w:val="14"/>
              </w:rPr>
            </w:pPr>
            <w:r>
              <w:rPr>
                <w:sz w:val="14"/>
              </w:rPr>
              <w:t>IDA/ GoSL</w:t>
            </w:r>
          </w:p>
        </w:tc>
        <w:tc>
          <w:tcPr>
            <w:tcW w:w="1264" w:type="dxa"/>
          </w:tcPr>
          <w:p>
            <w:pPr>
              <w:pStyle w:val="TableParagraph"/>
              <w:spacing w:before="32"/>
              <w:ind w:left="254"/>
              <w:rPr>
                <w:sz w:val="14"/>
              </w:rPr>
            </w:pPr>
            <w:r>
              <w:rPr>
                <w:sz w:val="14"/>
              </w:rPr>
              <w:t>Budget</w:t>
            </w:r>
          </w:p>
        </w:tc>
        <w:tc>
          <w:tcPr>
            <w:tcW w:w="918" w:type="dxa"/>
          </w:tcPr>
          <w:p>
            <w:pPr>
              <w:pStyle w:val="TableParagraph"/>
              <w:spacing w:before="32"/>
              <w:ind w:right="191"/>
              <w:jc w:val="right"/>
              <w:rPr>
                <w:sz w:val="14"/>
              </w:rPr>
            </w:pPr>
            <w:r>
              <w:rPr>
                <w:w w:val="95"/>
                <w:sz w:val="14"/>
              </w:rPr>
              <w:t>35,000</w:t>
            </w:r>
          </w:p>
        </w:tc>
        <w:tc>
          <w:tcPr>
            <w:tcW w:w="918" w:type="dxa"/>
          </w:tcPr>
          <w:p>
            <w:pPr>
              <w:pStyle w:val="TableParagraph"/>
              <w:spacing w:before="32"/>
              <w:ind w:left="346"/>
              <w:rPr>
                <w:sz w:val="14"/>
              </w:rPr>
            </w:pPr>
            <w:r>
              <w:rPr>
                <w:sz w:val="14"/>
              </w:rPr>
              <w:t>5,000</w:t>
            </w:r>
          </w:p>
        </w:tc>
        <w:tc>
          <w:tcPr>
            <w:tcW w:w="862" w:type="dxa"/>
          </w:tcPr>
          <w:p>
            <w:pPr>
              <w:pStyle w:val="TableParagraph"/>
              <w:spacing w:before="32"/>
              <w:ind w:right="209"/>
              <w:jc w:val="right"/>
              <w:rPr>
                <w:sz w:val="14"/>
              </w:rPr>
            </w:pPr>
            <w:r>
              <w:rPr>
                <w:sz w:val="14"/>
              </w:rPr>
              <w:t>5,000</w:t>
            </w:r>
          </w:p>
        </w:tc>
        <w:tc>
          <w:tcPr>
            <w:tcW w:w="926" w:type="dxa"/>
          </w:tcPr>
          <w:p>
            <w:pPr>
              <w:pStyle w:val="TableParagraph"/>
              <w:spacing w:before="32"/>
              <w:ind w:left="303"/>
              <w:rPr>
                <w:sz w:val="14"/>
              </w:rPr>
            </w:pPr>
            <w:r>
              <w:rPr>
                <w:sz w:val="14"/>
              </w:rPr>
              <w:t>5,500</w:t>
            </w:r>
          </w:p>
        </w:tc>
        <w:tc>
          <w:tcPr>
            <w:tcW w:w="793" w:type="dxa"/>
          </w:tcPr>
          <w:p>
            <w:pPr>
              <w:pStyle w:val="TableParagraph"/>
              <w:spacing w:before="32"/>
              <w:ind w:right="154"/>
              <w:jc w:val="right"/>
              <w:rPr>
                <w:sz w:val="14"/>
              </w:rPr>
            </w:pPr>
            <w:r>
              <w:rPr>
                <w:w w:val="99"/>
                <w:sz w:val="14"/>
              </w:rPr>
              <w:t>-</w:t>
            </w:r>
          </w:p>
        </w:tc>
        <w:tc>
          <w:tcPr>
            <w:tcW w:w="822" w:type="dxa"/>
          </w:tcPr>
          <w:p>
            <w:pPr>
              <w:pStyle w:val="TableParagraph"/>
              <w:spacing w:before="32"/>
              <w:ind w:right="28"/>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713" w:type="dxa"/>
          </w:tcPr>
          <w:p>
            <w:pPr>
              <w:pStyle w:val="TableParagraph"/>
              <w:spacing w:before="32"/>
              <w:ind w:left="262"/>
              <w:rPr>
                <w:sz w:val="14"/>
              </w:rPr>
            </w:pPr>
            <w:r>
              <w:rPr>
                <w:sz w:val="14"/>
              </w:rPr>
              <w:t>Feasibiity Study on Traffic Lights Project</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Nationwide</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477"/>
              <w:rPr>
                <w:sz w:val="14"/>
              </w:rPr>
            </w:pPr>
            <w:r>
              <w:rPr>
                <w:sz w:val="14"/>
              </w:rPr>
              <w:t>200</w:t>
            </w:r>
          </w:p>
        </w:tc>
        <w:tc>
          <w:tcPr>
            <w:tcW w:w="862" w:type="dxa"/>
          </w:tcPr>
          <w:p>
            <w:pPr>
              <w:pStyle w:val="TableParagraph"/>
              <w:rPr>
                <w:rFonts w:ascii="Times New Roman"/>
                <w:sz w:val="14"/>
              </w:rPr>
            </w:pPr>
          </w:p>
        </w:tc>
        <w:tc>
          <w:tcPr>
            <w:tcW w:w="926" w:type="dxa"/>
          </w:tcPr>
          <w:p>
            <w:pPr>
              <w:pStyle w:val="TableParagraph"/>
              <w:spacing w:before="32"/>
              <w:ind w:left="434"/>
              <w:rPr>
                <w:sz w:val="14"/>
              </w:rPr>
            </w:pPr>
            <w:r>
              <w:rPr>
                <w:sz w:val="14"/>
              </w:rPr>
              <w:t>220</w:t>
            </w:r>
          </w:p>
        </w:tc>
        <w:tc>
          <w:tcPr>
            <w:tcW w:w="793" w:type="dxa"/>
          </w:tcPr>
          <w:p>
            <w:pPr>
              <w:pStyle w:val="TableParagraph"/>
              <w:rPr>
                <w:rFonts w:ascii="Times New Roman"/>
                <w:sz w:val="14"/>
              </w:rPr>
            </w:pPr>
          </w:p>
        </w:tc>
        <w:tc>
          <w:tcPr>
            <w:tcW w:w="822" w:type="dxa"/>
          </w:tcPr>
          <w:p>
            <w:pPr>
              <w:pStyle w:val="TableParagraph"/>
              <w:spacing w:before="32"/>
              <w:ind w:right="20"/>
              <w:jc w:val="right"/>
              <w:rPr>
                <w:sz w:val="14"/>
              </w:rPr>
            </w:pPr>
            <w:r>
              <w:rPr>
                <w:sz w:val="14"/>
              </w:rPr>
              <w:t>242</w:t>
            </w:r>
          </w:p>
        </w:tc>
      </w:tr>
      <w:tr>
        <w:trPr>
          <w:trHeight w:val="227" w:hRule="atLeast"/>
        </w:trPr>
        <w:tc>
          <w:tcPr>
            <w:tcW w:w="470" w:type="dxa"/>
          </w:tcPr>
          <w:p>
            <w:pPr>
              <w:pStyle w:val="TableParagraph"/>
              <w:rPr>
                <w:rFonts w:ascii="Times New Roman"/>
                <w:sz w:val="14"/>
              </w:rPr>
            </w:pPr>
          </w:p>
        </w:tc>
        <w:tc>
          <w:tcPr>
            <w:tcW w:w="4713" w:type="dxa"/>
          </w:tcPr>
          <w:p>
            <w:pPr>
              <w:pStyle w:val="TableParagraph"/>
              <w:spacing w:before="32"/>
              <w:ind w:left="263"/>
              <w:rPr>
                <w:sz w:val="14"/>
              </w:rPr>
            </w:pPr>
            <w:r>
              <w:rPr>
                <w:sz w:val="14"/>
              </w:rPr>
              <w:t>Improving Kissy-Targrin Ferry Transportation</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918" w:type="dxa"/>
          </w:tcPr>
          <w:p>
            <w:pPr>
              <w:pStyle w:val="TableParagraph"/>
              <w:rPr>
                <w:rFonts w:ascii="Times New Roman"/>
                <w:sz w:val="14"/>
              </w:rPr>
            </w:pPr>
          </w:p>
        </w:tc>
        <w:tc>
          <w:tcPr>
            <w:tcW w:w="918" w:type="dxa"/>
          </w:tcPr>
          <w:p>
            <w:pPr>
              <w:pStyle w:val="TableParagraph"/>
              <w:spacing w:before="32"/>
              <w:ind w:left="346"/>
              <w:rPr>
                <w:sz w:val="14"/>
              </w:rPr>
            </w:pPr>
            <w:r>
              <w:rPr>
                <w:sz w:val="14"/>
              </w:rPr>
              <w:t>2,000</w:t>
            </w:r>
          </w:p>
        </w:tc>
        <w:tc>
          <w:tcPr>
            <w:tcW w:w="862" w:type="dxa"/>
          </w:tcPr>
          <w:p>
            <w:pPr>
              <w:pStyle w:val="TableParagraph"/>
              <w:rPr>
                <w:rFonts w:ascii="Times New Roman"/>
                <w:sz w:val="14"/>
              </w:rPr>
            </w:pPr>
          </w:p>
        </w:tc>
        <w:tc>
          <w:tcPr>
            <w:tcW w:w="926" w:type="dxa"/>
          </w:tcPr>
          <w:p>
            <w:pPr>
              <w:pStyle w:val="TableParagraph"/>
              <w:spacing w:before="32"/>
              <w:ind w:left="303"/>
              <w:rPr>
                <w:sz w:val="14"/>
              </w:rPr>
            </w:pPr>
            <w:r>
              <w:rPr>
                <w:sz w:val="14"/>
              </w:rPr>
              <w:t>2,200</w:t>
            </w:r>
          </w:p>
        </w:tc>
        <w:tc>
          <w:tcPr>
            <w:tcW w:w="793" w:type="dxa"/>
          </w:tcPr>
          <w:p>
            <w:pPr>
              <w:pStyle w:val="TableParagraph"/>
              <w:rPr>
                <w:rFonts w:ascii="Times New Roman"/>
                <w:sz w:val="14"/>
              </w:rPr>
            </w:pPr>
          </w:p>
        </w:tc>
        <w:tc>
          <w:tcPr>
            <w:tcW w:w="822" w:type="dxa"/>
          </w:tcPr>
          <w:p>
            <w:pPr>
              <w:pStyle w:val="TableParagraph"/>
              <w:spacing w:before="32"/>
              <w:ind w:right="28"/>
              <w:jc w:val="right"/>
              <w:rPr>
                <w:sz w:val="14"/>
              </w:rPr>
            </w:pPr>
            <w:r>
              <w:rPr>
                <w:sz w:val="14"/>
              </w:rPr>
              <w:t>2,420</w:t>
            </w:r>
          </w:p>
        </w:tc>
      </w:tr>
      <w:tr>
        <w:trPr>
          <w:trHeight w:val="230" w:hRule="atLeast"/>
        </w:trPr>
        <w:tc>
          <w:tcPr>
            <w:tcW w:w="470" w:type="dxa"/>
          </w:tcPr>
          <w:p>
            <w:pPr>
              <w:pStyle w:val="TableParagraph"/>
              <w:spacing w:before="34"/>
              <w:ind w:right="93"/>
              <w:jc w:val="right"/>
              <w:rPr>
                <w:sz w:val="14"/>
              </w:rPr>
            </w:pPr>
            <w:r>
              <w:rPr>
                <w:w w:val="95"/>
                <w:sz w:val="14"/>
              </w:rPr>
              <w:t>408</w:t>
            </w:r>
          </w:p>
        </w:tc>
        <w:tc>
          <w:tcPr>
            <w:tcW w:w="4713" w:type="dxa"/>
          </w:tcPr>
          <w:p>
            <w:pPr>
              <w:pStyle w:val="TableParagraph"/>
              <w:spacing w:before="34"/>
              <w:ind w:left="95"/>
              <w:rPr>
                <w:b/>
                <w:sz w:val="14"/>
              </w:rPr>
            </w:pPr>
            <w:r>
              <w:rPr>
                <w:b/>
                <w:sz w:val="14"/>
              </w:rPr>
              <w:t>Ministry of Works and Public Assets (MoWPA)</w:t>
            </w:r>
          </w:p>
        </w:tc>
        <w:tc>
          <w:tcPr>
            <w:tcW w:w="906" w:type="dxa"/>
          </w:tcPr>
          <w:p>
            <w:pPr>
              <w:pStyle w:val="TableParagraph"/>
              <w:rPr>
                <w:rFonts w:ascii="Times New Roman"/>
                <w:sz w:val="14"/>
              </w:rPr>
            </w:pPr>
          </w:p>
        </w:tc>
        <w:tc>
          <w:tcPr>
            <w:tcW w:w="1075" w:type="dxa"/>
          </w:tcPr>
          <w:p>
            <w:pPr>
              <w:pStyle w:val="TableParagraph"/>
              <w:rPr>
                <w:rFonts w:ascii="Times New Roman"/>
                <w:sz w:val="14"/>
              </w:rPr>
            </w:pPr>
          </w:p>
        </w:tc>
        <w:tc>
          <w:tcPr>
            <w:tcW w:w="1139" w:type="dxa"/>
          </w:tcPr>
          <w:p>
            <w:pPr>
              <w:pStyle w:val="TableParagraph"/>
              <w:rPr>
                <w:rFonts w:ascii="Times New Roman"/>
                <w:sz w:val="14"/>
              </w:rPr>
            </w:pPr>
          </w:p>
        </w:tc>
        <w:tc>
          <w:tcPr>
            <w:tcW w:w="1264" w:type="dxa"/>
          </w:tcPr>
          <w:p>
            <w:pPr>
              <w:pStyle w:val="TableParagraph"/>
              <w:rPr>
                <w:rFonts w:ascii="Times New Roman"/>
                <w:sz w:val="14"/>
              </w:rPr>
            </w:pPr>
          </w:p>
        </w:tc>
        <w:tc>
          <w:tcPr>
            <w:tcW w:w="918" w:type="dxa"/>
          </w:tcPr>
          <w:p>
            <w:pPr>
              <w:pStyle w:val="TableParagraph"/>
              <w:spacing w:before="34"/>
              <w:ind w:right="166"/>
              <w:jc w:val="right"/>
              <w:rPr>
                <w:b/>
                <w:sz w:val="14"/>
              </w:rPr>
            </w:pPr>
            <w:r>
              <w:rPr>
                <w:b/>
                <w:w w:val="99"/>
                <w:sz w:val="14"/>
              </w:rPr>
              <w:t>-</w:t>
            </w:r>
          </w:p>
        </w:tc>
        <w:tc>
          <w:tcPr>
            <w:tcW w:w="918" w:type="dxa"/>
          </w:tcPr>
          <w:p>
            <w:pPr>
              <w:pStyle w:val="TableParagraph"/>
              <w:spacing w:before="34"/>
              <w:ind w:left="228"/>
              <w:rPr>
                <w:b/>
                <w:sz w:val="14"/>
              </w:rPr>
            </w:pPr>
            <w:r>
              <w:rPr>
                <w:b/>
                <w:sz w:val="14"/>
              </w:rPr>
              <w:t>13,600</w:t>
            </w:r>
          </w:p>
        </w:tc>
        <w:tc>
          <w:tcPr>
            <w:tcW w:w="862" w:type="dxa"/>
          </w:tcPr>
          <w:p>
            <w:pPr>
              <w:pStyle w:val="TableParagraph"/>
              <w:spacing w:before="34"/>
              <w:ind w:right="185"/>
              <w:jc w:val="right"/>
              <w:rPr>
                <w:b/>
                <w:sz w:val="14"/>
              </w:rPr>
            </w:pPr>
            <w:r>
              <w:rPr>
                <w:b/>
                <w:w w:val="99"/>
                <w:sz w:val="14"/>
              </w:rPr>
              <w:t>-</w:t>
            </w:r>
          </w:p>
        </w:tc>
        <w:tc>
          <w:tcPr>
            <w:tcW w:w="926" w:type="dxa"/>
          </w:tcPr>
          <w:p>
            <w:pPr>
              <w:pStyle w:val="TableParagraph"/>
              <w:spacing w:before="34"/>
              <w:ind w:left="171"/>
              <w:rPr>
                <w:b/>
                <w:sz w:val="14"/>
              </w:rPr>
            </w:pPr>
            <w:r>
              <w:rPr>
                <w:b/>
                <w:sz w:val="14"/>
              </w:rPr>
              <w:t>14,960</w:t>
            </w:r>
          </w:p>
        </w:tc>
        <w:tc>
          <w:tcPr>
            <w:tcW w:w="793" w:type="dxa"/>
          </w:tcPr>
          <w:p>
            <w:pPr>
              <w:pStyle w:val="TableParagraph"/>
              <w:spacing w:before="34"/>
              <w:ind w:right="140"/>
              <w:jc w:val="right"/>
              <w:rPr>
                <w:b/>
                <w:sz w:val="14"/>
              </w:rPr>
            </w:pPr>
            <w:r>
              <w:rPr>
                <w:b/>
                <w:w w:val="99"/>
                <w:sz w:val="14"/>
              </w:rPr>
              <w:t>-</w:t>
            </w:r>
          </w:p>
        </w:tc>
        <w:tc>
          <w:tcPr>
            <w:tcW w:w="822" w:type="dxa"/>
          </w:tcPr>
          <w:p>
            <w:pPr>
              <w:pStyle w:val="TableParagraph"/>
              <w:spacing w:before="34"/>
              <w:ind w:right="52"/>
              <w:jc w:val="right"/>
              <w:rPr>
                <w:b/>
                <w:sz w:val="14"/>
              </w:rPr>
            </w:pPr>
            <w:r>
              <w:rPr>
                <w:b/>
                <w:w w:val="95"/>
                <w:sz w:val="14"/>
              </w:rPr>
              <w:t>16,456</w:t>
            </w:r>
          </w:p>
        </w:tc>
      </w:tr>
      <w:tr>
        <w:trPr>
          <w:trHeight w:val="228" w:hRule="atLeast"/>
        </w:trPr>
        <w:tc>
          <w:tcPr>
            <w:tcW w:w="5183" w:type="dxa"/>
            <w:gridSpan w:val="2"/>
          </w:tcPr>
          <w:p>
            <w:pPr>
              <w:pStyle w:val="TableParagraph"/>
              <w:spacing w:before="29"/>
              <w:ind w:left="732"/>
              <w:rPr>
                <w:sz w:val="14"/>
              </w:rPr>
            </w:pPr>
            <w:r>
              <w:rPr>
                <w:sz w:val="14"/>
              </w:rPr>
              <w:t>Rehabilitation of Government Administrative Buildings</w:t>
            </w:r>
          </w:p>
        </w:tc>
        <w:tc>
          <w:tcPr>
            <w:tcW w:w="906" w:type="dxa"/>
          </w:tcPr>
          <w:p>
            <w:pPr>
              <w:pStyle w:val="TableParagraph"/>
              <w:spacing w:before="29"/>
              <w:ind w:left="253"/>
              <w:rPr>
                <w:sz w:val="14"/>
              </w:rPr>
            </w:pPr>
            <w:r>
              <w:rPr>
                <w:sz w:val="14"/>
              </w:rPr>
              <w:t>Ongong</w:t>
            </w:r>
          </w:p>
        </w:tc>
        <w:tc>
          <w:tcPr>
            <w:tcW w:w="1075" w:type="dxa"/>
          </w:tcPr>
          <w:p>
            <w:pPr>
              <w:pStyle w:val="TableParagraph"/>
              <w:spacing w:before="29"/>
              <w:ind w:left="86"/>
              <w:rPr>
                <w:sz w:val="14"/>
              </w:rPr>
            </w:pPr>
            <w:r>
              <w:rPr>
                <w:sz w:val="14"/>
              </w:rPr>
              <w:t>Western Area</w:t>
            </w:r>
          </w:p>
        </w:tc>
        <w:tc>
          <w:tcPr>
            <w:tcW w:w="1139" w:type="dxa"/>
          </w:tcPr>
          <w:p>
            <w:pPr>
              <w:pStyle w:val="TableParagraph"/>
              <w:spacing w:before="29"/>
              <w:ind w:left="144"/>
              <w:rPr>
                <w:sz w:val="14"/>
              </w:rPr>
            </w:pPr>
            <w:r>
              <w:rPr>
                <w:sz w:val="14"/>
              </w:rPr>
              <w:t>GoSL</w:t>
            </w:r>
          </w:p>
        </w:tc>
        <w:tc>
          <w:tcPr>
            <w:tcW w:w="1264" w:type="dxa"/>
          </w:tcPr>
          <w:p>
            <w:pPr>
              <w:pStyle w:val="TableParagraph"/>
              <w:spacing w:before="29"/>
              <w:ind w:left="254"/>
              <w:rPr>
                <w:sz w:val="14"/>
              </w:rPr>
            </w:pPr>
            <w:r>
              <w:rPr>
                <w:sz w:val="14"/>
              </w:rPr>
              <w:t>Budget</w:t>
            </w:r>
          </w:p>
        </w:tc>
        <w:tc>
          <w:tcPr>
            <w:tcW w:w="1836" w:type="dxa"/>
            <w:gridSpan w:val="2"/>
          </w:tcPr>
          <w:p>
            <w:pPr>
              <w:pStyle w:val="TableParagraph"/>
              <w:spacing w:before="29"/>
              <w:ind w:right="196"/>
              <w:jc w:val="right"/>
              <w:rPr>
                <w:sz w:val="14"/>
              </w:rPr>
            </w:pPr>
            <w:r>
              <w:rPr>
                <w:sz w:val="14"/>
              </w:rPr>
              <w:t>5,000</w:t>
            </w:r>
          </w:p>
        </w:tc>
        <w:tc>
          <w:tcPr>
            <w:tcW w:w="1788" w:type="dxa"/>
            <w:gridSpan w:val="2"/>
          </w:tcPr>
          <w:p>
            <w:pPr>
              <w:pStyle w:val="TableParagraph"/>
              <w:spacing w:before="29"/>
              <w:ind w:left="1165"/>
              <w:rPr>
                <w:sz w:val="14"/>
              </w:rPr>
            </w:pPr>
            <w:r>
              <w:rPr>
                <w:sz w:val="14"/>
              </w:rPr>
              <w:t>5,500</w:t>
            </w:r>
          </w:p>
        </w:tc>
        <w:tc>
          <w:tcPr>
            <w:tcW w:w="1615" w:type="dxa"/>
            <w:gridSpan w:val="2"/>
          </w:tcPr>
          <w:p>
            <w:pPr>
              <w:pStyle w:val="TableParagraph"/>
              <w:spacing w:before="29"/>
              <w:ind w:right="28"/>
              <w:jc w:val="right"/>
              <w:rPr>
                <w:sz w:val="14"/>
              </w:rPr>
            </w:pPr>
            <w:r>
              <w:rPr>
                <w:sz w:val="14"/>
              </w:rPr>
              <w:t>6,050</w:t>
            </w:r>
          </w:p>
        </w:tc>
      </w:tr>
      <w:tr>
        <w:trPr>
          <w:trHeight w:val="227" w:hRule="atLeast"/>
        </w:trPr>
        <w:tc>
          <w:tcPr>
            <w:tcW w:w="5183" w:type="dxa"/>
            <w:gridSpan w:val="2"/>
          </w:tcPr>
          <w:p>
            <w:pPr>
              <w:pStyle w:val="TableParagraph"/>
              <w:spacing w:before="32"/>
              <w:ind w:left="732"/>
              <w:rPr>
                <w:sz w:val="14"/>
              </w:rPr>
            </w:pPr>
            <w:r>
              <w:rPr>
                <w:sz w:val="14"/>
              </w:rPr>
              <w:t>Rehabilitation of Government Residential Quarters</w:t>
            </w:r>
          </w:p>
        </w:tc>
        <w:tc>
          <w:tcPr>
            <w:tcW w:w="906" w:type="dxa"/>
          </w:tcPr>
          <w:p>
            <w:pPr>
              <w:pStyle w:val="TableParagraph"/>
              <w:spacing w:before="32"/>
              <w:ind w:left="253"/>
              <w:rPr>
                <w:sz w:val="14"/>
              </w:rPr>
            </w:pPr>
            <w:r>
              <w:rPr>
                <w:sz w:val="14"/>
              </w:rPr>
              <w:t>Ongoing</w:t>
            </w:r>
          </w:p>
        </w:tc>
        <w:tc>
          <w:tcPr>
            <w:tcW w:w="1075" w:type="dxa"/>
          </w:tcPr>
          <w:p>
            <w:pPr>
              <w:pStyle w:val="TableParagraph"/>
              <w:spacing w:before="32"/>
              <w:ind w:left="86"/>
              <w:rPr>
                <w:sz w:val="14"/>
              </w:rPr>
            </w:pPr>
            <w:r>
              <w:rPr>
                <w:sz w:val="14"/>
              </w:rPr>
              <w:t>Western Area</w:t>
            </w:r>
          </w:p>
        </w:tc>
        <w:tc>
          <w:tcPr>
            <w:tcW w:w="1139" w:type="dxa"/>
          </w:tcPr>
          <w:p>
            <w:pPr>
              <w:pStyle w:val="TableParagraph"/>
              <w:spacing w:before="32"/>
              <w:ind w:left="144"/>
              <w:rPr>
                <w:sz w:val="14"/>
              </w:rPr>
            </w:pPr>
            <w:r>
              <w:rPr>
                <w:sz w:val="14"/>
              </w:rPr>
              <w:t>GoSL</w:t>
            </w:r>
          </w:p>
        </w:tc>
        <w:tc>
          <w:tcPr>
            <w:tcW w:w="1264" w:type="dxa"/>
          </w:tcPr>
          <w:p>
            <w:pPr>
              <w:pStyle w:val="TableParagraph"/>
              <w:spacing w:before="32"/>
              <w:ind w:left="254"/>
              <w:rPr>
                <w:sz w:val="14"/>
              </w:rPr>
            </w:pPr>
            <w:r>
              <w:rPr>
                <w:sz w:val="14"/>
              </w:rPr>
              <w:t>Budget</w:t>
            </w:r>
          </w:p>
        </w:tc>
        <w:tc>
          <w:tcPr>
            <w:tcW w:w="1836" w:type="dxa"/>
            <w:gridSpan w:val="2"/>
          </w:tcPr>
          <w:p>
            <w:pPr>
              <w:pStyle w:val="TableParagraph"/>
              <w:spacing w:before="32"/>
              <w:ind w:right="196"/>
              <w:jc w:val="right"/>
              <w:rPr>
                <w:sz w:val="14"/>
              </w:rPr>
            </w:pPr>
            <w:r>
              <w:rPr>
                <w:sz w:val="14"/>
              </w:rPr>
              <w:t>2,000</w:t>
            </w:r>
          </w:p>
        </w:tc>
        <w:tc>
          <w:tcPr>
            <w:tcW w:w="1788" w:type="dxa"/>
            <w:gridSpan w:val="2"/>
          </w:tcPr>
          <w:p>
            <w:pPr>
              <w:pStyle w:val="TableParagraph"/>
              <w:spacing w:before="32"/>
              <w:ind w:left="1165"/>
              <w:rPr>
                <w:sz w:val="14"/>
              </w:rPr>
            </w:pPr>
            <w:r>
              <w:rPr>
                <w:sz w:val="14"/>
              </w:rPr>
              <w:t>2,200</w:t>
            </w:r>
          </w:p>
        </w:tc>
        <w:tc>
          <w:tcPr>
            <w:tcW w:w="1615" w:type="dxa"/>
            <w:gridSpan w:val="2"/>
          </w:tcPr>
          <w:p>
            <w:pPr>
              <w:pStyle w:val="TableParagraph"/>
              <w:spacing w:before="32"/>
              <w:ind w:right="28"/>
              <w:jc w:val="right"/>
              <w:rPr>
                <w:sz w:val="14"/>
              </w:rPr>
            </w:pPr>
            <w:r>
              <w:rPr>
                <w:sz w:val="14"/>
              </w:rPr>
              <w:t>2,420</w:t>
            </w:r>
          </w:p>
        </w:tc>
      </w:tr>
    </w:tbl>
    <w:p>
      <w:pPr>
        <w:spacing w:after="0"/>
        <w:jc w:val="right"/>
        <w:rPr>
          <w:sz w:val="14"/>
        </w:rPr>
        <w:sectPr>
          <w:pgSz w:w="16840" w:h="11900" w:orient="landscape"/>
          <w:pgMar w:header="1107" w:footer="0" w:top="2040" w:bottom="280" w:left="880" w:right="920"/>
        </w:sectPr>
      </w:pPr>
    </w:p>
    <w:p>
      <w:pPr>
        <w:pStyle w:val="BodyText"/>
        <w:spacing w:before="9"/>
        <w:rPr>
          <w:rFonts w:ascii="Times New Roman"/>
          <w:sz w:val="12"/>
        </w:rPr>
      </w:pPr>
      <w:r>
        <w:rPr/>
        <w:pict>
          <v:shape style="position:absolute;margin-left:27.140491pt;margin-top:281.309998pt;width:14.35pt;height:28.05pt;mso-position-horizontal-relative:page;mso-position-vertical-relative:page;z-index:1912" type="#_x0000_t202" filled="false" stroked="false">
            <v:textbox inset="0,0,0,0" style="layout-flow:vertical">
              <w:txbxContent>
                <w:p>
                  <w:pPr>
                    <w:spacing w:before="13"/>
                    <w:ind w:left="20" w:right="0" w:firstLine="0"/>
                    <w:jc w:val="left"/>
                    <w:rPr>
                      <w:rFonts w:ascii="Arial"/>
                      <w:sz w:val="22"/>
                    </w:rPr>
                  </w:pPr>
                  <w:r>
                    <w:rPr>
                      <w:rFonts w:ascii="Arial"/>
                      <w:sz w:val="22"/>
                    </w:rPr>
                    <w:t>xxxiii</w:t>
                  </w:r>
                </w:p>
              </w:txbxContent>
            </v:textbox>
            <w10:wrap type="none"/>
          </v:shape>
        </w:pict>
      </w:r>
    </w:p>
    <w:p>
      <w:pPr>
        <w:tabs>
          <w:tab w:pos="11610" w:val="left" w:leader="none"/>
          <w:tab w:pos="13256" w:val="left" w:leader="none"/>
        </w:tabs>
        <w:spacing w:before="0" w:after="33"/>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775"/>
        <w:gridCol w:w="842"/>
        <w:gridCol w:w="1086"/>
        <w:gridCol w:w="1126"/>
        <w:gridCol w:w="1262"/>
        <w:gridCol w:w="1107"/>
        <w:gridCol w:w="691"/>
        <w:gridCol w:w="842"/>
        <w:gridCol w:w="981"/>
        <w:gridCol w:w="792"/>
        <w:gridCol w:w="820"/>
      </w:tblGrid>
      <w:tr>
        <w:trPr>
          <w:trHeight w:val="445"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before="60"/>
              <w:ind w:left="18"/>
              <w:rPr>
                <w:sz w:val="14"/>
              </w:rPr>
            </w:pPr>
            <w:r>
              <w:rPr>
                <w:spacing w:val="2"/>
                <w:sz w:val="14"/>
              </w:rPr>
              <w:t>Code</w:t>
            </w:r>
          </w:p>
        </w:tc>
        <w:tc>
          <w:tcPr>
            <w:tcW w:w="4775" w:type="dxa"/>
            <w:tcBorders>
              <w:top w:val="single" w:sz="4" w:space="0" w:color="000000"/>
              <w:bottom w:val="single" w:sz="18" w:space="0" w:color="000000"/>
            </w:tcBorders>
          </w:tcPr>
          <w:p>
            <w:pPr>
              <w:pStyle w:val="TableParagraph"/>
              <w:spacing w:before="22"/>
              <w:ind w:left="114"/>
              <w:rPr>
                <w:sz w:val="14"/>
              </w:rPr>
            </w:pPr>
            <w:r>
              <w:rPr>
                <w:sz w:val="14"/>
              </w:rPr>
              <w:t>National Development Plan Cluster/ Ministry, Department</w:t>
            </w:r>
          </w:p>
          <w:p>
            <w:pPr>
              <w:pStyle w:val="TableParagraph"/>
              <w:spacing w:before="60"/>
              <w:ind w:left="114"/>
              <w:rPr>
                <w:sz w:val="14"/>
              </w:rPr>
            </w:pPr>
            <w:r>
              <w:rPr>
                <w:sz w:val="14"/>
              </w:rPr>
              <w:t>and Agency (MDAs)</w:t>
            </w:r>
          </w:p>
        </w:tc>
        <w:tc>
          <w:tcPr>
            <w:tcW w:w="842" w:type="dxa"/>
            <w:tcBorders>
              <w:top w:val="single" w:sz="4" w:space="0" w:color="000000"/>
              <w:bottom w:val="single" w:sz="18" w:space="0" w:color="000000"/>
            </w:tcBorders>
          </w:tcPr>
          <w:p>
            <w:pPr>
              <w:pStyle w:val="TableParagraph"/>
              <w:spacing w:before="22"/>
              <w:ind w:left="225"/>
              <w:rPr>
                <w:sz w:val="14"/>
              </w:rPr>
            </w:pPr>
            <w:r>
              <w:rPr>
                <w:sz w:val="14"/>
              </w:rPr>
              <w:t>Status</w:t>
            </w:r>
          </w:p>
        </w:tc>
        <w:tc>
          <w:tcPr>
            <w:tcW w:w="1086" w:type="dxa"/>
            <w:tcBorders>
              <w:top w:val="single" w:sz="4" w:space="0" w:color="000000"/>
              <w:bottom w:val="single" w:sz="18" w:space="0" w:color="000000"/>
            </w:tcBorders>
          </w:tcPr>
          <w:p>
            <w:pPr>
              <w:pStyle w:val="TableParagraph"/>
              <w:spacing w:before="22"/>
              <w:ind w:left="109"/>
              <w:rPr>
                <w:sz w:val="14"/>
              </w:rPr>
            </w:pPr>
            <w:r>
              <w:rPr>
                <w:sz w:val="14"/>
              </w:rPr>
              <w:t>Location</w:t>
            </w:r>
          </w:p>
        </w:tc>
        <w:tc>
          <w:tcPr>
            <w:tcW w:w="1126" w:type="dxa"/>
            <w:tcBorders>
              <w:top w:val="single" w:sz="4" w:space="0" w:color="000000"/>
              <w:bottom w:val="single" w:sz="18" w:space="0" w:color="000000"/>
            </w:tcBorders>
          </w:tcPr>
          <w:p>
            <w:pPr>
              <w:pStyle w:val="TableParagraph"/>
              <w:spacing w:before="22"/>
              <w:ind w:left="93"/>
              <w:rPr>
                <w:sz w:val="14"/>
              </w:rPr>
            </w:pPr>
            <w:r>
              <w:rPr>
                <w:spacing w:val="6"/>
                <w:sz w:val="14"/>
              </w:rPr>
              <w:t>Funding</w:t>
            </w:r>
          </w:p>
          <w:p>
            <w:pPr>
              <w:pStyle w:val="TableParagraph"/>
              <w:spacing w:before="60"/>
              <w:ind w:left="145"/>
              <w:rPr>
                <w:sz w:val="14"/>
              </w:rPr>
            </w:pPr>
            <w:r>
              <w:rPr>
                <w:spacing w:val="4"/>
                <w:sz w:val="14"/>
              </w:rPr>
              <w:t>Source</w:t>
            </w:r>
          </w:p>
        </w:tc>
        <w:tc>
          <w:tcPr>
            <w:tcW w:w="1262" w:type="dxa"/>
            <w:tcBorders>
              <w:top w:val="single" w:sz="4" w:space="0" w:color="000000"/>
              <w:bottom w:val="single" w:sz="18" w:space="0" w:color="000000"/>
            </w:tcBorders>
          </w:tcPr>
          <w:p>
            <w:pPr>
              <w:pStyle w:val="TableParagraph"/>
              <w:spacing w:before="22"/>
              <w:ind w:left="217" w:right="498"/>
              <w:jc w:val="center"/>
              <w:rPr>
                <w:sz w:val="14"/>
              </w:rPr>
            </w:pPr>
            <w:r>
              <w:rPr>
                <w:sz w:val="14"/>
              </w:rPr>
              <w:t>Funding</w:t>
            </w:r>
          </w:p>
          <w:p>
            <w:pPr>
              <w:pStyle w:val="TableParagraph"/>
              <w:spacing w:before="60"/>
              <w:ind w:left="217" w:right="438"/>
              <w:jc w:val="center"/>
              <w:rPr>
                <w:sz w:val="14"/>
              </w:rPr>
            </w:pPr>
            <w:r>
              <w:rPr>
                <w:sz w:val="14"/>
              </w:rPr>
              <w:t>Type</w:t>
            </w:r>
          </w:p>
        </w:tc>
        <w:tc>
          <w:tcPr>
            <w:tcW w:w="1798" w:type="dxa"/>
            <w:gridSpan w:val="2"/>
            <w:tcBorders>
              <w:top w:val="single" w:sz="4" w:space="0" w:color="000000"/>
              <w:bottom w:val="single" w:sz="18" w:space="0" w:color="000000"/>
            </w:tcBorders>
          </w:tcPr>
          <w:p>
            <w:pPr>
              <w:pStyle w:val="TableParagraph"/>
              <w:tabs>
                <w:tab w:pos="1084" w:val="left" w:leader="none"/>
              </w:tabs>
              <w:spacing w:before="22"/>
              <w:ind w:left="139"/>
              <w:rPr>
                <w:sz w:val="14"/>
              </w:rPr>
            </w:pPr>
            <w:r>
              <w:rPr>
                <w:spacing w:val="4"/>
                <w:sz w:val="14"/>
              </w:rPr>
              <w:t>Foreign</w:t>
              <w:tab/>
            </w:r>
            <w:r>
              <w:rPr>
                <w:spacing w:val="2"/>
                <w:sz w:val="14"/>
              </w:rPr>
              <w:t>Domestic</w:t>
            </w:r>
          </w:p>
        </w:tc>
        <w:tc>
          <w:tcPr>
            <w:tcW w:w="842" w:type="dxa"/>
            <w:tcBorders>
              <w:top w:val="single" w:sz="4" w:space="0" w:color="000000"/>
              <w:bottom w:val="single" w:sz="18" w:space="0" w:color="000000"/>
            </w:tcBorders>
          </w:tcPr>
          <w:p>
            <w:pPr>
              <w:pStyle w:val="TableParagraph"/>
              <w:spacing w:before="22"/>
              <w:ind w:right="156"/>
              <w:jc w:val="right"/>
              <w:rPr>
                <w:sz w:val="14"/>
              </w:rPr>
            </w:pPr>
            <w:r>
              <w:rPr>
                <w:w w:val="95"/>
                <w:sz w:val="14"/>
              </w:rPr>
              <w:t>Foreign</w:t>
            </w:r>
          </w:p>
        </w:tc>
        <w:tc>
          <w:tcPr>
            <w:tcW w:w="981" w:type="dxa"/>
            <w:tcBorders>
              <w:top w:val="single" w:sz="4" w:space="0" w:color="000000"/>
              <w:bottom w:val="single" w:sz="18" w:space="0" w:color="000000"/>
            </w:tcBorders>
          </w:tcPr>
          <w:p>
            <w:pPr>
              <w:pStyle w:val="TableParagraph"/>
              <w:spacing w:before="22"/>
              <w:ind w:left="259"/>
              <w:rPr>
                <w:sz w:val="14"/>
              </w:rPr>
            </w:pPr>
            <w:r>
              <w:rPr>
                <w:sz w:val="14"/>
              </w:rPr>
              <w:t>Domestic</w:t>
            </w:r>
          </w:p>
        </w:tc>
        <w:tc>
          <w:tcPr>
            <w:tcW w:w="792" w:type="dxa"/>
            <w:tcBorders>
              <w:top w:val="single" w:sz="4" w:space="0" w:color="000000"/>
              <w:bottom w:val="single" w:sz="18" w:space="0" w:color="000000"/>
            </w:tcBorders>
          </w:tcPr>
          <w:p>
            <w:pPr>
              <w:pStyle w:val="TableParagraph"/>
              <w:spacing w:before="22"/>
              <w:ind w:right="172"/>
              <w:jc w:val="right"/>
              <w:rPr>
                <w:sz w:val="14"/>
              </w:rPr>
            </w:pPr>
            <w:r>
              <w:rPr>
                <w:w w:val="95"/>
                <w:sz w:val="14"/>
              </w:rPr>
              <w:t>Foreign</w:t>
            </w:r>
          </w:p>
        </w:tc>
        <w:tc>
          <w:tcPr>
            <w:tcW w:w="820" w:type="dxa"/>
            <w:tcBorders>
              <w:top w:val="single" w:sz="4" w:space="0" w:color="000000"/>
              <w:bottom w:val="single" w:sz="18" w:space="0" w:color="000000"/>
            </w:tcBorders>
          </w:tcPr>
          <w:p>
            <w:pPr>
              <w:pStyle w:val="TableParagraph"/>
              <w:spacing w:before="22"/>
              <w:ind w:right="85"/>
              <w:jc w:val="right"/>
              <w:rPr>
                <w:sz w:val="14"/>
              </w:rPr>
            </w:pPr>
            <w:r>
              <w:rPr>
                <w:w w:val="95"/>
                <w:sz w:val="14"/>
              </w:rPr>
              <w:t>Domestic</w:t>
            </w:r>
          </w:p>
        </w:tc>
      </w:tr>
      <w:tr>
        <w:trPr>
          <w:trHeight w:val="229" w:hRule="atLeast"/>
        </w:trPr>
        <w:tc>
          <w:tcPr>
            <w:tcW w:w="470" w:type="dxa"/>
            <w:tcBorders>
              <w:top w:val="single" w:sz="18" w:space="0" w:color="000000"/>
            </w:tcBorders>
          </w:tcPr>
          <w:p>
            <w:pPr>
              <w:pStyle w:val="TableParagraph"/>
              <w:rPr>
                <w:rFonts w:ascii="Times New Roman"/>
                <w:sz w:val="14"/>
              </w:rPr>
            </w:pPr>
          </w:p>
        </w:tc>
        <w:tc>
          <w:tcPr>
            <w:tcW w:w="4775" w:type="dxa"/>
            <w:tcBorders>
              <w:top w:val="single" w:sz="18" w:space="0" w:color="000000"/>
            </w:tcBorders>
          </w:tcPr>
          <w:p>
            <w:pPr>
              <w:pStyle w:val="TableParagraph"/>
              <w:spacing w:before="31"/>
              <w:ind w:left="263"/>
              <w:rPr>
                <w:sz w:val="14"/>
              </w:rPr>
            </w:pPr>
            <w:r>
              <w:rPr>
                <w:sz w:val="14"/>
              </w:rPr>
              <w:t>Demolition of Multi-Storey Building (former UN Building)</w:t>
            </w:r>
          </w:p>
        </w:tc>
        <w:tc>
          <w:tcPr>
            <w:tcW w:w="842" w:type="dxa"/>
            <w:tcBorders>
              <w:top w:val="single" w:sz="18" w:space="0" w:color="000000"/>
            </w:tcBorders>
          </w:tcPr>
          <w:p>
            <w:pPr>
              <w:pStyle w:val="TableParagraph"/>
              <w:rPr>
                <w:rFonts w:ascii="Times New Roman"/>
                <w:sz w:val="14"/>
              </w:rPr>
            </w:pPr>
          </w:p>
        </w:tc>
        <w:tc>
          <w:tcPr>
            <w:tcW w:w="1086" w:type="dxa"/>
            <w:tcBorders>
              <w:top w:val="single" w:sz="18" w:space="0" w:color="000000"/>
            </w:tcBorders>
          </w:tcPr>
          <w:p>
            <w:pPr>
              <w:pStyle w:val="TableParagraph"/>
              <w:rPr>
                <w:rFonts w:ascii="Times New Roman"/>
                <w:sz w:val="14"/>
              </w:rPr>
            </w:pPr>
          </w:p>
        </w:tc>
        <w:tc>
          <w:tcPr>
            <w:tcW w:w="1126" w:type="dxa"/>
            <w:tcBorders>
              <w:top w:val="single" w:sz="18" w:space="0" w:color="000000"/>
            </w:tcBorders>
          </w:tcPr>
          <w:p>
            <w:pPr>
              <w:pStyle w:val="TableParagraph"/>
              <w:rPr>
                <w:rFonts w:ascii="Times New Roman"/>
                <w:sz w:val="14"/>
              </w:rPr>
            </w:pPr>
          </w:p>
        </w:tc>
        <w:tc>
          <w:tcPr>
            <w:tcW w:w="1262" w:type="dxa"/>
            <w:tcBorders>
              <w:top w:val="single" w:sz="18" w:space="0" w:color="000000"/>
            </w:tcBorders>
          </w:tcPr>
          <w:p>
            <w:pPr>
              <w:pStyle w:val="TableParagraph"/>
              <w:rPr>
                <w:rFonts w:ascii="Times New Roman"/>
                <w:sz w:val="14"/>
              </w:rPr>
            </w:pPr>
          </w:p>
        </w:tc>
        <w:tc>
          <w:tcPr>
            <w:tcW w:w="1107" w:type="dxa"/>
            <w:tcBorders>
              <w:top w:val="single" w:sz="18" w:space="0" w:color="000000"/>
            </w:tcBorders>
          </w:tcPr>
          <w:p>
            <w:pPr>
              <w:pStyle w:val="TableParagraph"/>
              <w:rPr>
                <w:rFonts w:ascii="Times New Roman"/>
                <w:sz w:val="14"/>
              </w:rPr>
            </w:pPr>
          </w:p>
        </w:tc>
        <w:tc>
          <w:tcPr>
            <w:tcW w:w="691" w:type="dxa"/>
            <w:tcBorders>
              <w:top w:val="single" w:sz="18" w:space="0" w:color="000000"/>
            </w:tcBorders>
          </w:tcPr>
          <w:p>
            <w:pPr>
              <w:pStyle w:val="TableParagraph"/>
              <w:rPr>
                <w:rFonts w:ascii="Times New Roman"/>
                <w:sz w:val="14"/>
              </w:rPr>
            </w:pPr>
          </w:p>
        </w:tc>
        <w:tc>
          <w:tcPr>
            <w:tcW w:w="842" w:type="dxa"/>
            <w:tcBorders>
              <w:top w:val="single" w:sz="18" w:space="0" w:color="000000"/>
            </w:tcBorders>
          </w:tcPr>
          <w:p>
            <w:pPr>
              <w:pStyle w:val="TableParagraph"/>
              <w:rPr>
                <w:rFonts w:ascii="Times New Roman"/>
                <w:sz w:val="14"/>
              </w:rPr>
            </w:pPr>
          </w:p>
        </w:tc>
        <w:tc>
          <w:tcPr>
            <w:tcW w:w="981" w:type="dxa"/>
            <w:tcBorders>
              <w:top w:val="single" w:sz="18" w:space="0" w:color="000000"/>
            </w:tcBorders>
          </w:tcPr>
          <w:p>
            <w:pPr>
              <w:pStyle w:val="TableParagraph"/>
              <w:rPr>
                <w:rFonts w:ascii="Times New Roman"/>
                <w:sz w:val="14"/>
              </w:rPr>
            </w:pPr>
          </w:p>
        </w:tc>
        <w:tc>
          <w:tcPr>
            <w:tcW w:w="792" w:type="dxa"/>
            <w:tcBorders>
              <w:top w:val="single" w:sz="18" w:space="0" w:color="000000"/>
            </w:tcBorders>
          </w:tcPr>
          <w:p>
            <w:pPr>
              <w:pStyle w:val="TableParagraph"/>
              <w:rPr>
                <w:rFonts w:ascii="Times New Roman"/>
                <w:sz w:val="14"/>
              </w:rPr>
            </w:pPr>
          </w:p>
        </w:tc>
        <w:tc>
          <w:tcPr>
            <w:tcW w:w="820" w:type="dxa"/>
            <w:tcBorders>
              <w:top w:val="single" w:sz="18" w:space="0" w:color="000000"/>
            </w:tcBorders>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at Siaka Steven Street</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Western Area</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spacing w:before="32"/>
              <w:ind w:right="355"/>
              <w:jc w:val="right"/>
              <w:rPr>
                <w:sz w:val="14"/>
              </w:rPr>
            </w:pPr>
            <w:r>
              <w:rPr>
                <w:w w:val="99"/>
                <w:sz w:val="14"/>
              </w:rPr>
              <w:t>-</w:t>
            </w:r>
          </w:p>
        </w:tc>
        <w:tc>
          <w:tcPr>
            <w:tcW w:w="691" w:type="dxa"/>
          </w:tcPr>
          <w:p>
            <w:pPr>
              <w:pStyle w:val="TableParagraph"/>
              <w:spacing w:before="32"/>
              <w:ind w:right="151"/>
              <w:jc w:val="right"/>
              <w:rPr>
                <w:sz w:val="14"/>
              </w:rPr>
            </w:pPr>
            <w:r>
              <w:rPr>
                <w:sz w:val="14"/>
              </w:rPr>
              <w:t>4,000</w:t>
            </w:r>
          </w:p>
        </w:tc>
        <w:tc>
          <w:tcPr>
            <w:tcW w:w="842" w:type="dxa"/>
          </w:tcPr>
          <w:p>
            <w:pPr>
              <w:pStyle w:val="TableParagraph"/>
              <w:rPr>
                <w:rFonts w:ascii="Times New Roman"/>
                <w:sz w:val="14"/>
              </w:rPr>
            </w:pPr>
          </w:p>
        </w:tc>
        <w:tc>
          <w:tcPr>
            <w:tcW w:w="981" w:type="dxa"/>
          </w:tcPr>
          <w:p>
            <w:pPr>
              <w:pStyle w:val="TableParagraph"/>
              <w:spacing w:before="32"/>
              <w:ind w:left="368"/>
              <w:rPr>
                <w:sz w:val="14"/>
              </w:rPr>
            </w:pPr>
            <w:r>
              <w:rPr>
                <w:sz w:val="14"/>
              </w:rPr>
              <w:t>4,400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4,840</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Feasibility Study for the Construction of Government</w:t>
            </w: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Administrative Buildings</w:t>
            </w:r>
          </w:p>
        </w:tc>
        <w:tc>
          <w:tcPr>
            <w:tcW w:w="842" w:type="dxa"/>
          </w:tcPr>
          <w:p>
            <w:pPr>
              <w:pStyle w:val="TableParagraph"/>
              <w:spacing w:before="32"/>
              <w:ind w:left="192"/>
              <w:rPr>
                <w:sz w:val="14"/>
              </w:rPr>
            </w:pPr>
            <w:r>
              <w:rPr>
                <w:sz w:val="14"/>
              </w:rPr>
              <w:t>New</w:t>
            </w:r>
          </w:p>
        </w:tc>
        <w:tc>
          <w:tcPr>
            <w:tcW w:w="1086" w:type="dxa"/>
          </w:tcPr>
          <w:p>
            <w:pPr>
              <w:pStyle w:val="TableParagraph"/>
              <w:spacing w:before="32"/>
              <w:ind w:left="89"/>
              <w:rPr>
                <w:sz w:val="14"/>
              </w:rPr>
            </w:pPr>
            <w:r>
              <w:rPr>
                <w:sz w:val="14"/>
              </w:rPr>
              <w:t>Nationwide</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43"/>
              <w:jc w:val="right"/>
              <w:rPr>
                <w:sz w:val="14"/>
              </w:rPr>
            </w:pPr>
            <w:r>
              <w:rPr>
                <w:sz w:val="14"/>
              </w:rPr>
              <w:t>200</w:t>
            </w:r>
          </w:p>
        </w:tc>
        <w:tc>
          <w:tcPr>
            <w:tcW w:w="842" w:type="dxa"/>
          </w:tcPr>
          <w:p>
            <w:pPr>
              <w:pStyle w:val="TableParagraph"/>
              <w:rPr>
                <w:rFonts w:ascii="Times New Roman"/>
                <w:sz w:val="14"/>
              </w:rPr>
            </w:pPr>
          </w:p>
        </w:tc>
        <w:tc>
          <w:tcPr>
            <w:tcW w:w="981" w:type="dxa"/>
          </w:tcPr>
          <w:p>
            <w:pPr>
              <w:pStyle w:val="TableParagraph"/>
              <w:spacing w:before="32"/>
              <w:ind w:left="499"/>
              <w:rPr>
                <w:sz w:val="14"/>
              </w:rPr>
            </w:pPr>
            <w:r>
              <w:rPr>
                <w:sz w:val="14"/>
              </w:rPr>
              <w:t>220</w:t>
            </w:r>
          </w:p>
        </w:tc>
        <w:tc>
          <w:tcPr>
            <w:tcW w:w="792" w:type="dxa"/>
          </w:tcPr>
          <w:p>
            <w:pPr>
              <w:pStyle w:val="TableParagraph"/>
              <w:rPr>
                <w:rFonts w:ascii="Times New Roman"/>
                <w:sz w:val="14"/>
              </w:rPr>
            </w:pPr>
          </w:p>
        </w:tc>
        <w:tc>
          <w:tcPr>
            <w:tcW w:w="820" w:type="dxa"/>
          </w:tcPr>
          <w:p>
            <w:pPr>
              <w:pStyle w:val="TableParagraph"/>
              <w:spacing w:before="32"/>
              <w:ind w:right="7"/>
              <w:jc w:val="right"/>
              <w:rPr>
                <w:sz w:val="14"/>
              </w:rPr>
            </w:pPr>
            <w:r>
              <w:rPr>
                <w:sz w:val="14"/>
              </w:rPr>
              <w:t>242</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Feasibility Study for the Construction of Local Council</w:t>
            </w: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Buildings in Port Loko, Falaba and Karene districts</w:t>
            </w:r>
          </w:p>
        </w:tc>
        <w:tc>
          <w:tcPr>
            <w:tcW w:w="842" w:type="dxa"/>
          </w:tcPr>
          <w:p>
            <w:pPr>
              <w:pStyle w:val="TableParagraph"/>
              <w:spacing w:before="32"/>
              <w:ind w:left="192"/>
              <w:rPr>
                <w:sz w:val="14"/>
              </w:rPr>
            </w:pPr>
            <w:r>
              <w:rPr>
                <w:sz w:val="14"/>
              </w:rPr>
              <w:t>New</w:t>
            </w:r>
          </w:p>
        </w:tc>
        <w:tc>
          <w:tcPr>
            <w:tcW w:w="1086" w:type="dxa"/>
          </w:tcPr>
          <w:p>
            <w:pPr>
              <w:pStyle w:val="TableParagraph"/>
              <w:spacing w:before="32"/>
              <w:ind w:left="89"/>
              <w:rPr>
                <w:sz w:val="14"/>
              </w:rPr>
            </w:pPr>
            <w:r>
              <w:rPr>
                <w:sz w:val="14"/>
              </w:rPr>
              <w:t>North and</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43"/>
              <w:jc w:val="right"/>
              <w:rPr>
                <w:sz w:val="14"/>
              </w:rPr>
            </w:pPr>
            <w:r>
              <w:rPr>
                <w:sz w:val="14"/>
              </w:rPr>
              <w:t>200</w:t>
            </w:r>
          </w:p>
        </w:tc>
        <w:tc>
          <w:tcPr>
            <w:tcW w:w="842" w:type="dxa"/>
          </w:tcPr>
          <w:p>
            <w:pPr>
              <w:pStyle w:val="TableParagraph"/>
              <w:rPr>
                <w:rFonts w:ascii="Times New Roman"/>
                <w:sz w:val="14"/>
              </w:rPr>
            </w:pPr>
          </w:p>
        </w:tc>
        <w:tc>
          <w:tcPr>
            <w:tcW w:w="981" w:type="dxa"/>
          </w:tcPr>
          <w:p>
            <w:pPr>
              <w:pStyle w:val="TableParagraph"/>
              <w:spacing w:before="32"/>
              <w:ind w:left="499"/>
              <w:rPr>
                <w:sz w:val="14"/>
              </w:rPr>
            </w:pPr>
            <w:r>
              <w:rPr>
                <w:sz w:val="14"/>
              </w:rPr>
              <w:t>220</w:t>
            </w:r>
          </w:p>
        </w:tc>
        <w:tc>
          <w:tcPr>
            <w:tcW w:w="792" w:type="dxa"/>
          </w:tcPr>
          <w:p>
            <w:pPr>
              <w:pStyle w:val="TableParagraph"/>
              <w:rPr>
                <w:rFonts w:ascii="Times New Roman"/>
                <w:sz w:val="14"/>
              </w:rPr>
            </w:pPr>
          </w:p>
        </w:tc>
        <w:tc>
          <w:tcPr>
            <w:tcW w:w="820" w:type="dxa"/>
          </w:tcPr>
          <w:p>
            <w:pPr>
              <w:pStyle w:val="TableParagraph"/>
              <w:spacing w:before="32"/>
              <w:ind w:right="7"/>
              <w:jc w:val="right"/>
              <w:rPr>
                <w:sz w:val="14"/>
              </w:rPr>
            </w:pPr>
            <w:r>
              <w:rPr>
                <w:sz w:val="14"/>
              </w:rPr>
              <w:t>242</w:t>
            </w:r>
          </w:p>
        </w:tc>
      </w:tr>
      <w:tr>
        <w:trPr>
          <w:trHeight w:val="227" w:hRule="atLeast"/>
        </w:trPr>
        <w:tc>
          <w:tcPr>
            <w:tcW w:w="470" w:type="dxa"/>
          </w:tcPr>
          <w:p>
            <w:pPr>
              <w:pStyle w:val="TableParagraph"/>
              <w:rPr>
                <w:rFonts w:ascii="Times New Roman"/>
                <w:sz w:val="14"/>
              </w:rPr>
            </w:pPr>
          </w:p>
        </w:tc>
        <w:tc>
          <w:tcPr>
            <w:tcW w:w="4775" w:type="dxa"/>
          </w:tcPr>
          <w:p>
            <w:pPr>
              <w:pStyle w:val="TableParagraph"/>
              <w:rPr>
                <w:rFonts w:ascii="Times New Roman"/>
                <w:sz w:val="14"/>
              </w:rPr>
            </w:pPr>
          </w:p>
        </w:tc>
        <w:tc>
          <w:tcPr>
            <w:tcW w:w="842" w:type="dxa"/>
          </w:tcPr>
          <w:p>
            <w:pPr>
              <w:pStyle w:val="TableParagraph"/>
              <w:rPr>
                <w:rFonts w:ascii="Times New Roman"/>
                <w:sz w:val="14"/>
              </w:rPr>
            </w:pPr>
          </w:p>
        </w:tc>
        <w:tc>
          <w:tcPr>
            <w:tcW w:w="1086" w:type="dxa"/>
          </w:tcPr>
          <w:p>
            <w:pPr>
              <w:pStyle w:val="TableParagraph"/>
              <w:spacing w:before="32"/>
              <w:ind w:left="89"/>
              <w:rPr>
                <w:sz w:val="14"/>
              </w:rPr>
            </w:pPr>
            <w:r>
              <w:rPr>
                <w:sz w:val="14"/>
              </w:rPr>
              <w:t>North West</w:t>
            </w: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28" w:hRule="atLeast"/>
        </w:trPr>
        <w:tc>
          <w:tcPr>
            <w:tcW w:w="470" w:type="dxa"/>
          </w:tcPr>
          <w:p>
            <w:pPr>
              <w:pStyle w:val="TableParagraph"/>
              <w:rPr>
                <w:rFonts w:ascii="Times New Roman"/>
                <w:sz w:val="14"/>
              </w:rPr>
            </w:pPr>
          </w:p>
        </w:tc>
        <w:tc>
          <w:tcPr>
            <w:tcW w:w="4775" w:type="dxa"/>
          </w:tcPr>
          <w:p>
            <w:pPr>
              <w:pStyle w:val="TableParagraph"/>
              <w:spacing w:before="29"/>
              <w:ind w:left="263"/>
              <w:rPr>
                <w:sz w:val="14"/>
              </w:rPr>
            </w:pPr>
            <w:r>
              <w:rPr>
                <w:sz w:val="14"/>
              </w:rPr>
              <w:t>Rehabilitation of Existing Presidential Lodge</w:t>
            </w:r>
          </w:p>
        </w:tc>
        <w:tc>
          <w:tcPr>
            <w:tcW w:w="842" w:type="dxa"/>
          </w:tcPr>
          <w:p>
            <w:pPr>
              <w:pStyle w:val="TableParagraph"/>
              <w:spacing w:before="29"/>
              <w:ind w:left="192"/>
              <w:rPr>
                <w:sz w:val="14"/>
              </w:rPr>
            </w:pPr>
            <w:r>
              <w:rPr>
                <w:sz w:val="14"/>
              </w:rPr>
              <w:t>New</w:t>
            </w:r>
          </w:p>
        </w:tc>
        <w:tc>
          <w:tcPr>
            <w:tcW w:w="1086" w:type="dxa"/>
          </w:tcPr>
          <w:p>
            <w:pPr>
              <w:pStyle w:val="TableParagraph"/>
              <w:spacing w:before="29"/>
              <w:ind w:left="89"/>
              <w:rPr>
                <w:sz w:val="14"/>
              </w:rPr>
            </w:pPr>
            <w:r>
              <w:rPr>
                <w:sz w:val="14"/>
              </w:rPr>
              <w:t>Nationwide</w:t>
            </w:r>
          </w:p>
        </w:tc>
        <w:tc>
          <w:tcPr>
            <w:tcW w:w="1126" w:type="dxa"/>
          </w:tcPr>
          <w:p>
            <w:pPr>
              <w:pStyle w:val="TableParagraph"/>
              <w:spacing w:before="29"/>
              <w:ind w:left="136"/>
              <w:rPr>
                <w:sz w:val="14"/>
              </w:rPr>
            </w:pPr>
            <w:r>
              <w:rPr>
                <w:sz w:val="14"/>
              </w:rPr>
              <w:t>GoSL</w:t>
            </w:r>
          </w:p>
        </w:tc>
        <w:tc>
          <w:tcPr>
            <w:tcW w:w="1262" w:type="dxa"/>
          </w:tcPr>
          <w:p>
            <w:pPr>
              <w:pStyle w:val="TableParagraph"/>
              <w:spacing w:before="29"/>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29"/>
              <w:ind w:right="151"/>
              <w:jc w:val="right"/>
              <w:rPr>
                <w:sz w:val="14"/>
              </w:rPr>
            </w:pPr>
            <w:r>
              <w:rPr>
                <w:sz w:val="14"/>
              </w:rPr>
              <w:t>2,000</w:t>
            </w:r>
          </w:p>
        </w:tc>
        <w:tc>
          <w:tcPr>
            <w:tcW w:w="842" w:type="dxa"/>
          </w:tcPr>
          <w:p>
            <w:pPr>
              <w:pStyle w:val="TableParagraph"/>
              <w:rPr>
                <w:rFonts w:ascii="Times New Roman"/>
                <w:sz w:val="14"/>
              </w:rPr>
            </w:pPr>
          </w:p>
        </w:tc>
        <w:tc>
          <w:tcPr>
            <w:tcW w:w="981" w:type="dxa"/>
          </w:tcPr>
          <w:p>
            <w:pPr>
              <w:pStyle w:val="TableParagraph"/>
              <w:spacing w:before="29"/>
              <w:ind w:left="368"/>
              <w:rPr>
                <w:sz w:val="14"/>
              </w:rPr>
            </w:pPr>
            <w:r>
              <w:rPr>
                <w:sz w:val="14"/>
              </w:rPr>
              <w:t>2,200</w:t>
            </w:r>
          </w:p>
        </w:tc>
        <w:tc>
          <w:tcPr>
            <w:tcW w:w="792" w:type="dxa"/>
          </w:tcPr>
          <w:p>
            <w:pPr>
              <w:pStyle w:val="TableParagraph"/>
              <w:rPr>
                <w:rFonts w:ascii="Times New Roman"/>
                <w:sz w:val="14"/>
              </w:rPr>
            </w:pPr>
          </w:p>
        </w:tc>
        <w:tc>
          <w:tcPr>
            <w:tcW w:w="820" w:type="dxa"/>
          </w:tcPr>
          <w:p>
            <w:pPr>
              <w:pStyle w:val="TableParagraph"/>
              <w:spacing w:before="29"/>
              <w:ind w:right="15"/>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Feasibility Study for the Construction of Additional</w:t>
            </w: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Presidential Lodge in District Capitals</w:t>
            </w:r>
          </w:p>
        </w:tc>
        <w:tc>
          <w:tcPr>
            <w:tcW w:w="842" w:type="dxa"/>
          </w:tcPr>
          <w:p>
            <w:pPr>
              <w:pStyle w:val="TableParagraph"/>
              <w:spacing w:before="32"/>
              <w:ind w:left="192"/>
              <w:rPr>
                <w:sz w:val="14"/>
              </w:rPr>
            </w:pPr>
            <w:r>
              <w:rPr>
                <w:sz w:val="14"/>
              </w:rPr>
              <w:t>New</w:t>
            </w:r>
          </w:p>
        </w:tc>
        <w:tc>
          <w:tcPr>
            <w:tcW w:w="1086" w:type="dxa"/>
          </w:tcPr>
          <w:p>
            <w:pPr>
              <w:pStyle w:val="TableParagraph"/>
              <w:spacing w:before="32"/>
              <w:ind w:left="89"/>
              <w:rPr>
                <w:sz w:val="14"/>
              </w:rPr>
            </w:pPr>
            <w:r>
              <w:rPr>
                <w:sz w:val="14"/>
              </w:rPr>
              <w:t>Nationwide</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43"/>
              <w:jc w:val="right"/>
              <w:rPr>
                <w:sz w:val="14"/>
              </w:rPr>
            </w:pPr>
            <w:r>
              <w:rPr>
                <w:sz w:val="14"/>
              </w:rPr>
              <w:t>200</w:t>
            </w:r>
          </w:p>
        </w:tc>
        <w:tc>
          <w:tcPr>
            <w:tcW w:w="842" w:type="dxa"/>
          </w:tcPr>
          <w:p>
            <w:pPr>
              <w:pStyle w:val="TableParagraph"/>
              <w:rPr>
                <w:rFonts w:ascii="Times New Roman"/>
                <w:sz w:val="14"/>
              </w:rPr>
            </w:pPr>
          </w:p>
        </w:tc>
        <w:tc>
          <w:tcPr>
            <w:tcW w:w="981" w:type="dxa"/>
          </w:tcPr>
          <w:p>
            <w:pPr>
              <w:pStyle w:val="TableParagraph"/>
              <w:spacing w:before="32"/>
              <w:ind w:left="499"/>
              <w:rPr>
                <w:sz w:val="14"/>
              </w:rPr>
            </w:pPr>
            <w:r>
              <w:rPr>
                <w:sz w:val="14"/>
              </w:rPr>
              <w:t>220</w:t>
            </w:r>
          </w:p>
        </w:tc>
        <w:tc>
          <w:tcPr>
            <w:tcW w:w="792" w:type="dxa"/>
          </w:tcPr>
          <w:p>
            <w:pPr>
              <w:pStyle w:val="TableParagraph"/>
              <w:rPr>
                <w:rFonts w:ascii="Times New Roman"/>
                <w:sz w:val="14"/>
              </w:rPr>
            </w:pPr>
          </w:p>
        </w:tc>
        <w:tc>
          <w:tcPr>
            <w:tcW w:w="820" w:type="dxa"/>
          </w:tcPr>
          <w:p>
            <w:pPr>
              <w:pStyle w:val="TableParagraph"/>
              <w:spacing w:before="32"/>
              <w:ind w:right="7"/>
              <w:jc w:val="right"/>
              <w:rPr>
                <w:sz w:val="14"/>
              </w:rPr>
            </w:pPr>
            <w:r>
              <w:rPr>
                <w:sz w:val="14"/>
              </w:rPr>
              <w:t>242</w:t>
            </w:r>
          </w:p>
        </w:tc>
      </w:tr>
      <w:tr>
        <w:trPr>
          <w:trHeight w:val="230" w:hRule="atLeast"/>
        </w:trPr>
        <w:tc>
          <w:tcPr>
            <w:tcW w:w="470" w:type="dxa"/>
          </w:tcPr>
          <w:p>
            <w:pPr>
              <w:pStyle w:val="TableParagraph"/>
              <w:spacing w:before="32"/>
              <w:ind w:left="124"/>
              <w:rPr>
                <w:sz w:val="14"/>
              </w:rPr>
            </w:pPr>
            <w:r>
              <w:rPr>
                <w:sz w:val="14"/>
              </w:rPr>
              <w:t>408</w:t>
            </w:r>
          </w:p>
        </w:tc>
        <w:tc>
          <w:tcPr>
            <w:tcW w:w="4775" w:type="dxa"/>
          </w:tcPr>
          <w:p>
            <w:pPr>
              <w:pStyle w:val="TableParagraph"/>
              <w:spacing w:before="32"/>
              <w:ind w:left="95"/>
              <w:rPr>
                <w:b/>
                <w:sz w:val="14"/>
              </w:rPr>
            </w:pPr>
            <w:r>
              <w:rPr>
                <w:b/>
                <w:sz w:val="14"/>
              </w:rPr>
              <w:t>Sierra Leone Roads Authority (SLRA)</w:t>
            </w: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798" w:type="dxa"/>
            <w:gridSpan w:val="2"/>
          </w:tcPr>
          <w:p>
            <w:pPr>
              <w:pStyle w:val="TableParagraph"/>
              <w:tabs>
                <w:tab w:pos="1055" w:val="left" w:leader="none"/>
              </w:tabs>
              <w:spacing w:before="32"/>
              <w:ind w:left="168"/>
              <w:rPr>
                <w:b/>
                <w:sz w:val="14"/>
              </w:rPr>
            </w:pPr>
            <w:r>
              <w:rPr>
                <w:b/>
                <w:spacing w:val="3"/>
                <w:sz w:val="14"/>
              </w:rPr>
              <w:t>236,000</w:t>
              <w:tab/>
            </w:r>
            <w:r>
              <w:rPr>
                <w:b/>
                <w:spacing w:val="7"/>
                <w:sz w:val="14"/>
              </w:rPr>
              <w:t>217,000</w:t>
            </w:r>
          </w:p>
        </w:tc>
        <w:tc>
          <w:tcPr>
            <w:tcW w:w="842" w:type="dxa"/>
          </w:tcPr>
          <w:p>
            <w:pPr>
              <w:pStyle w:val="TableParagraph"/>
              <w:spacing w:before="32"/>
              <w:ind w:right="173"/>
              <w:jc w:val="right"/>
              <w:rPr>
                <w:b/>
                <w:sz w:val="14"/>
              </w:rPr>
            </w:pPr>
            <w:r>
              <w:rPr>
                <w:b/>
                <w:sz w:val="14"/>
              </w:rPr>
              <w:t>270,020</w:t>
            </w:r>
          </w:p>
        </w:tc>
        <w:tc>
          <w:tcPr>
            <w:tcW w:w="981" w:type="dxa"/>
          </w:tcPr>
          <w:p>
            <w:pPr>
              <w:pStyle w:val="TableParagraph"/>
              <w:spacing w:before="32"/>
              <w:ind w:left="124"/>
              <w:rPr>
                <w:b/>
                <w:sz w:val="14"/>
              </w:rPr>
            </w:pPr>
            <w:r>
              <w:rPr>
                <w:b/>
                <w:sz w:val="14"/>
              </w:rPr>
              <w:t>394,282</w:t>
            </w:r>
          </w:p>
        </w:tc>
        <w:tc>
          <w:tcPr>
            <w:tcW w:w="792" w:type="dxa"/>
          </w:tcPr>
          <w:p>
            <w:pPr>
              <w:pStyle w:val="TableParagraph"/>
              <w:spacing w:before="32"/>
              <w:ind w:right="185"/>
              <w:jc w:val="right"/>
              <w:rPr>
                <w:b/>
                <w:sz w:val="14"/>
              </w:rPr>
            </w:pPr>
            <w:r>
              <w:rPr>
                <w:b/>
                <w:w w:val="95"/>
                <w:sz w:val="14"/>
              </w:rPr>
              <w:t>95,500</w:t>
            </w:r>
          </w:p>
        </w:tc>
        <w:tc>
          <w:tcPr>
            <w:tcW w:w="820" w:type="dxa"/>
          </w:tcPr>
          <w:p>
            <w:pPr>
              <w:pStyle w:val="TableParagraph"/>
              <w:spacing w:before="32"/>
              <w:ind w:right="49"/>
              <w:jc w:val="right"/>
              <w:rPr>
                <w:b/>
                <w:sz w:val="14"/>
              </w:rPr>
            </w:pPr>
            <w:r>
              <w:rPr>
                <w:b/>
                <w:w w:val="95"/>
                <w:sz w:val="14"/>
              </w:rPr>
              <w:t>631,924</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Completion of Township Roads</w:t>
            </w: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spacing w:before="32"/>
              <w:ind w:right="157"/>
              <w:jc w:val="right"/>
              <w:rPr>
                <w:sz w:val="14"/>
              </w:rPr>
            </w:pPr>
            <w:r>
              <w:rPr>
                <w:w w:val="95"/>
                <w:sz w:val="14"/>
              </w:rPr>
              <w:t>37,000</w:t>
            </w:r>
          </w:p>
        </w:tc>
        <w:tc>
          <w:tcPr>
            <w:tcW w:w="842" w:type="dxa"/>
          </w:tcPr>
          <w:p>
            <w:pPr>
              <w:pStyle w:val="TableParagraph"/>
              <w:rPr>
                <w:rFonts w:ascii="Times New Roman"/>
                <w:sz w:val="14"/>
              </w:rPr>
            </w:pPr>
          </w:p>
        </w:tc>
        <w:tc>
          <w:tcPr>
            <w:tcW w:w="981" w:type="dxa"/>
          </w:tcPr>
          <w:p>
            <w:pPr>
              <w:pStyle w:val="TableParagraph"/>
              <w:spacing w:before="32"/>
              <w:ind w:left="170"/>
              <w:rPr>
                <w:sz w:val="14"/>
              </w:rPr>
            </w:pPr>
            <w:r>
              <w:rPr>
                <w:sz w:val="14"/>
              </w:rPr>
              <w:t>157,850</w:t>
            </w:r>
          </w:p>
        </w:tc>
        <w:tc>
          <w:tcPr>
            <w:tcW w:w="792" w:type="dxa"/>
          </w:tcPr>
          <w:p>
            <w:pPr>
              <w:pStyle w:val="TableParagraph"/>
              <w:rPr>
                <w:rFonts w:ascii="Times New Roman"/>
                <w:sz w:val="14"/>
              </w:rPr>
            </w:pPr>
          </w:p>
        </w:tc>
        <w:tc>
          <w:tcPr>
            <w:tcW w:w="820" w:type="dxa"/>
          </w:tcPr>
          <w:p>
            <w:pPr>
              <w:pStyle w:val="TableParagraph"/>
              <w:spacing w:before="32"/>
              <w:ind w:right="26"/>
              <w:jc w:val="right"/>
              <w:rPr>
                <w:sz w:val="14"/>
              </w:rPr>
            </w:pPr>
            <w:r>
              <w:rPr>
                <w:sz w:val="14"/>
              </w:rPr>
              <w:t>308,485</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Feasibiity Study for the Construction of Major Highways</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Nationwide</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51"/>
              <w:jc w:val="right"/>
              <w:rPr>
                <w:sz w:val="14"/>
              </w:rPr>
            </w:pPr>
            <w:r>
              <w:rPr>
                <w:sz w:val="14"/>
              </w:rPr>
              <w:t>5,000</w:t>
            </w:r>
          </w:p>
        </w:tc>
        <w:tc>
          <w:tcPr>
            <w:tcW w:w="842" w:type="dxa"/>
          </w:tcPr>
          <w:p>
            <w:pPr>
              <w:pStyle w:val="TableParagraph"/>
              <w:rPr>
                <w:rFonts w:ascii="Times New Roman"/>
                <w:sz w:val="14"/>
              </w:rPr>
            </w:pPr>
          </w:p>
        </w:tc>
        <w:tc>
          <w:tcPr>
            <w:tcW w:w="981" w:type="dxa"/>
          </w:tcPr>
          <w:p>
            <w:pPr>
              <w:pStyle w:val="TableParagraph"/>
              <w:spacing w:before="32"/>
              <w:ind w:left="368"/>
              <w:rPr>
                <w:sz w:val="14"/>
              </w:rPr>
            </w:pPr>
            <w:r>
              <w:rPr>
                <w:sz w:val="14"/>
              </w:rPr>
              <w:t>5,500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Reconstruction of Bo-Bandajuma Road</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90"/>
              <w:rPr>
                <w:sz w:val="14"/>
              </w:rPr>
            </w:pPr>
            <w:r>
              <w:rPr>
                <w:sz w:val="14"/>
              </w:rPr>
              <w:t>Bo,</w:t>
            </w:r>
          </w:p>
        </w:tc>
        <w:tc>
          <w:tcPr>
            <w:tcW w:w="1126" w:type="dxa"/>
          </w:tcPr>
          <w:p>
            <w:pPr>
              <w:pStyle w:val="TableParagraph"/>
              <w:spacing w:before="32"/>
              <w:ind w:left="136"/>
              <w:rPr>
                <w:sz w:val="14"/>
              </w:rPr>
            </w:pPr>
            <w:r>
              <w:rPr>
                <w:sz w:val="14"/>
              </w:rPr>
              <w:t>ABD/ OFID</w:t>
            </w:r>
          </w:p>
        </w:tc>
        <w:tc>
          <w:tcPr>
            <w:tcW w:w="1262" w:type="dxa"/>
          </w:tcPr>
          <w:p>
            <w:pPr>
              <w:pStyle w:val="TableParagraph"/>
              <w:spacing w:before="32"/>
              <w:ind w:left="258"/>
              <w:rPr>
                <w:sz w:val="14"/>
              </w:rPr>
            </w:pPr>
            <w:r>
              <w:rPr>
                <w:sz w:val="14"/>
              </w:rPr>
              <w:t>Loan/ Budget</w:t>
            </w:r>
          </w:p>
        </w:tc>
        <w:tc>
          <w:tcPr>
            <w:tcW w:w="1107" w:type="dxa"/>
          </w:tcPr>
          <w:p>
            <w:pPr>
              <w:pStyle w:val="TableParagraph"/>
              <w:spacing w:before="32"/>
              <w:ind w:right="374"/>
              <w:jc w:val="right"/>
              <w:rPr>
                <w:sz w:val="14"/>
              </w:rPr>
            </w:pPr>
            <w:r>
              <w:rPr>
                <w:w w:val="95"/>
                <w:sz w:val="14"/>
              </w:rPr>
              <w:t>40,000</w:t>
            </w:r>
          </w:p>
        </w:tc>
        <w:tc>
          <w:tcPr>
            <w:tcW w:w="691" w:type="dxa"/>
          </w:tcPr>
          <w:p>
            <w:pPr>
              <w:pStyle w:val="TableParagraph"/>
              <w:spacing w:before="32"/>
              <w:ind w:right="157"/>
              <w:jc w:val="right"/>
              <w:rPr>
                <w:sz w:val="14"/>
              </w:rPr>
            </w:pPr>
            <w:r>
              <w:rPr>
                <w:w w:val="95"/>
                <w:sz w:val="14"/>
              </w:rPr>
              <w:t>10,000</w:t>
            </w:r>
          </w:p>
        </w:tc>
        <w:tc>
          <w:tcPr>
            <w:tcW w:w="842" w:type="dxa"/>
          </w:tcPr>
          <w:p>
            <w:pPr>
              <w:pStyle w:val="TableParagraph"/>
              <w:spacing w:before="32"/>
              <w:ind w:right="145"/>
              <w:jc w:val="right"/>
              <w:rPr>
                <w:sz w:val="14"/>
              </w:rPr>
            </w:pPr>
            <w:r>
              <w:rPr>
                <w:w w:val="95"/>
                <w:sz w:val="14"/>
              </w:rPr>
              <w:t>73,270</w:t>
            </w:r>
          </w:p>
        </w:tc>
        <w:tc>
          <w:tcPr>
            <w:tcW w:w="981" w:type="dxa"/>
          </w:tcPr>
          <w:p>
            <w:pPr>
              <w:pStyle w:val="TableParagraph"/>
              <w:spacing w:before="32"/>
              <w:ind w:left="368"/>
              <w:rPr>
                <w:sz w:val="14"/>
              </w:rPr>
            </w:pPr>
            <w:r>
              <w:rPr>
                <w:sz w:val="14"/>
              </w:rPr>
              <w:t>9,821</w:t>
            </w:r>
          </w:p>
        </w:tc>
        <w:tc>
          <w:tcPr>
            <w:tcW w:w="792" w:type="dxa"/>
          </w:tcPr>
          <w:p>
            <w:pPr>
              <w:pStyle w:val="TableParagraph"/>
              <w:spacing w:before="32"/>
              <w:ind w:right="151"/>
              <w:jc w:val="right"/>
              <w:rPr>
                <w:sz w:val="14"/>
              </w:rPr>
            </w:pPr>
            <w:r>
              <w:rPr>
                <w:w w:val="95"/>
                <w:sz w:val="14"/>
              </w:rPr>
              <w:t>23,000</w:t>
            </w:r>
          </w:p>
        </w:tc>
        <w:tc>
          <w:tcPr>
            <w:tcW w:w="820" w:type="dxa"/>
          </w:tcPr>
          <w:p>
            <w:pPr>
              <w:pStyle w:val="TableParagraph"/>
              <w:spacing w:before="32"/>
              <w:ind w:right="15"/>
              <w:jc w:val="right"/>
              <w:rPr>
                <w:sz w:val="14"/>
              </w:rPr>
            </w:pPr>
            <w:r>
              <w:rPr>
                <w:sz w:val="14"/>
              </w:rPr>
              <w:t>9,821</w:t>
            </w:r>
          </w:p>
        </w:tc>
      </w:tr>
      <w:tr>
        <w:trPr>
          <w:trHeight w:val="230" w:hRule="atLeast"/>
        </w:trPr>
        <w:tc>
          <w:tcPr>
            <w:tcW w:w="470" w:type="dxa"/>
          </w:tcPr>
          <w:p>
            <w:pPr>
              <w:pStyle w:val="TableParagraph"/>
              <w:rPr>
                <w:rFonts w:ascii="Times New Roman"/>
                <w:sz w:val="14"/>
              </w:rPr>
            </w:pPr>
          </w:p>
        </w:tc>
        <w:tc>
          <w:tcPr>
            <w:tcW w:w="4775" w:type="dxa"/>
          </w:tcPr>
          <w:p>
            <w:pPr>
              <w:pStyle w:val="TableParagraph"/>
              <w:rPr>
                <w:rFonts w:ascii="Times New Roman"/>
                <w:sz w:val="14"/>
              </w:rPr>
            </w:pPr>
          </w:p>
        </w:tc>
        <w:tc>
          <w:tcPr>
            <w:tcW w:w="842" w:type="dxa"/>
          </w:tcPr>
          <w:p>
            <w:pPr>
              <w:pStyle w:val="TableParagraph"/>
              <w:rPr>
                <w:rFonts w:ascii="Times New Roman"/>
                <w:sz w:val="14"/>
              </w:rPr>
            </w:pPr>
          </w:p>
        </w:tc>
        <w:tc>
          <w:tcPr>
            <w:tcW w:w="1086" w:type="dxa"/>
          </w:tcPr>
          <w:p>
            <w:pPr>
              <w:pStyle w:val="TableParagraph"/>
              <w:spacing w:before="32"/>
              <w:ind w:left="90"/>
              <w:rPr>
                <w:sz w:val="14"/>
              </w:rPr>
            </w:pPr>
            <w:r>
              <w:rPr>
                <w:sz w:val="14"/>
              </w:rPr>
              <w:t>Bandajuma</w:t>
            </w:r>
          </w:p>
        </w:tc>
        <w:tc>
          <w:tcPr>
            <w:tcW w:w="1126" w:type="dxa"/>
          </w:tcPr>
          <w:p>
            <w:pPr>
              <w:pStyle w:val="TableParagraph"/>
              <w:spacing w:before="32"/>
              <w:ind w:left="139"/>
              <w:rPr>
                <w:sz w:val="14"/>
              </w:rPr>
            </w:pPr>
            <w:r>
              <w:rPr>
                <w:sz w:val="14"/>
              </w:rPr>
              <w:t>/ GosL</w:t>
            </w: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Reconstruction of Pendembu - Kailahun Road</w:t>
            </w:r>
          </w:p>
        </w:tc>
        <w:tc>
          <w:tcPr>
            <w:tcW w:w="842" w:type="dxa"/>
          </w:tcPr>
          <w:p>
            <w:pPr>
              <w:pStyle w:val="TableParagraph"/>
              <w:spacing w:before="32"/>
              <w:ind w:left="192"/>
              <w:rPr>
                <w:sz w:val="14"/>
              </w:rPr>
            </w:pPr>
            <w:r>
              <w:rPr>
                <w:sz w:val="14"/>
              </w:rPr>
              <w:t>Ongong</w:t>
            </w:r>
          </w:p>
        </w:tc>
        <w:tc>
          <w:tcPr>
            <w:tcW w:w="1086" w:type="dxa"/>
          </w:tcPr>
          <w:p>
            <w:pPr>
              <w:pStyle w:val="TableParagraph"/>
              <w:spacing w:before="32"/>
              <w:ind w:left="89"/>
              <w:rPr>
                <w:sz w:val="14"/>
              </w:rPr>
            </w:pPr>
            <w:r>
              <w:rPr>
                <w:sz w:val="14"/>
              </w:rPr>
              <w:t>Kenema,</w:t>
            </w:r>
          </w:p>
        </w:tc>
        <w:tc>
          <w:tcPr>
            <w:tcW w:w="1126" w:type="dxa"/>
          </w:tcPr>
          <w:p>
            <w:pPr>
              <w:pStyle w:val="TableParagraph"/>
              <w:spacing w:before="32"/>
              <w:ind w:left="136"/>
              <w:rPr>
                <w:sz w:val="14"/>
              </w:rPr>
            </w:pPr>
            <w:r>
              <w:rPr>
                <w:sz w:val="14"/>
              </w:rPr>
              <w:t>IDB/ KFAED/</w:t>
            </w:r>
          </w:p>
        </w:tc>
        <w:tc>
          <w:tcPr>
            <w:tcW w:w="1262" w:type="dxa"/>
          </w:tcPr>
          <w:p>
            <w:pPr>
              <w:pStyle w:val="TableParagraph"/>
              <w:spacing w:before="32"/>
              <w:ind w:left="258"/>
              <w:rPr>
                <w:sz w:val="14"/>
              </w:rPr>
            </w:pPr>
            <w:r>
              <w:rPr>
                <w:sz w:val="14"/>
              </w:rPr>
              <w:t>Loan/ Budget</w:t>
            </w:r>
          </w:p>
        </w:tc>
        <w:tc>
          <w:tcPr>
            <w:tcW w:w="1107" w:type="dxa"/>
          </w:tcPr>
          <w:p>
            <w:pPr>
              <w:pStyle w:val="TableParagraph"/>
              <w:spacing w:before="32"/>
              <w:ind w:right="374"/>
              <w:jc w:val="right"/>
              <w:rPr>
                <w:sz w:val="14"/>
              </w:rPr>
            </w:pPr>
            <w:r>
              <w:rPr>
                <w:w w:val="95"/>
                <w:sz w:val="14"/>
              </w:rPr>
              <w:t>35,000</w:t>
            </w:r>
          </w:p>
        </w:tc>
        <w:tc>
          <w:tcPr>
            <w:tcW w:w="691" w:type="dxa"/>
          </w:tcPr>
          <w:p>
            <w:pPr>
              <w:pStyle w:val="TableParagraph"/>
              <w:spacing w:before="32"/>
              <w:ind w:right="151"/>
              <w:jc w:val="right"/>
              <w:rPr>
                <w:sz w:val="14"/>
              </w:rPr>
            </w:pPr>
            <w:r>
              <w:rPr>
                <w:sz w:val="14"/>
              </w:rPr>
              <w:t>5,000</w:t>
            </w:r>
          </w:p>
        </w:tc>
        <w:tc>
          <w:tcPr>
            <w:tcW w:w="842" w:type="dxa"/>
          </w:tcPr>
          <w:p>
            <w:pPr>
              <w:pStyle w:val="TableParagraph"/>
              <w:rPr>
                <w:rFonts w:ascii="Times New Roman"/>
                <w:sz w:val="14"/>
              </w:rPr>
            </w:pPr>
          </w:p>
        </w:tc>
        <w:tc>
          <w:tcPr>
            <w:tcW w:w="981" w:type="dxa"/>
          </w:tcPr>
          <w:p>
            <w:pPr>
              <w:pStyle w:val="TableParagraph"/>
              <w:spacing w:before="32"/>
              <w:ind w:left="276"/>
              <w:rPr>
                <w:sz w:val="14"/>
              </w:rPr>
            </w:pPr>
            <w:r>
              <w:rPr>
                <w:sz w:val="14"/>
              </w:rPr>
              <w:t>10,893</w:t>
            </w:r>
          </w:p>
        </w:tc>
        <w:tc>
          <w:tcPr>
            <w:tcW w:w="792" w:type="dxa"/>
          </w:tcPr>
          <w:p>
            <w:pPr>
              <w:pStyle w:val="TableParagraph"/>
              <w:rPr>
                <w:rFonts w:ascii="Times New Roman"/>
                <w:sz w:val="14"/>
              </w:rPr>
            </w:pPr>
          </w:p>
        </w:tc>
        <w:tc>
          <w:tcPr>
            <w:tcW w:w="820" w:type="dxa"/>
          </w:tcPr>
          <w:p>
            <w:pPr>
              <w:pStyle w:val="TableParagraph"/>
              <w:spacing w:before="32"/>
              <w:ind w:right="28"/>
              <w:jc w:val="right"/>
              <w:rPr>
                <w:sz w:val="14"/>
              </w:rPr>
            </w:pPr>
            <w:r>
              <w:rPr>
                <w:sz w:val="14"/>
              </w:rPr>
              <w:t>43 ,572</w:t>
            </w:r>
          </w:p>
        </w:tc>
      </w:tr>
      <w:tr>
        <w:trPr>
          <w:trHeight w:val="230" w:hRule="atLeast"/>
        </w:trPr>
        <w:tc>
          <w:tcPr>
            <w:tcW w:w="470" w:type="dxa"/>
          </w:tcPr>
          <w:p>
            <w:pPr>
              <w:pStyle w:val="TableParagraph"/>
              <w:rPr>
                <w:rFonts w:ascii="Times New Roman"/>
                <w:sz w:val="14"/>
              </w:rPr>
            </w:pPr>
          </w:p>
        </w:tc>
        <w:tc>
          <w:tcPr>
            <w:tcW w:w="4775" w:type="dxa"/>
          </w:tcPr>
          <w:p>
            <w:pPr>
              <w:pStyle w:val="TableParagraph"/>
              <w:rPr>
                <w:rFonts w:ascii="Times New Roman"/>
                <w:sz w:val="14"/>
              </w:rPr>
            </w:pPr>
          </w:p>
        </w:tc>
        <w:tc>
          <w:tcPr>
            <w:tcW w:w="842" w:type="dxa"/>
          </w:tcPr>
          <w:p>
            <w:pPr>
              <w:pStyle w:val="TableParagraph"/>
              <w:rPr>
                <w:rFonts w:ascii="Times New Roman"/>
                <w:sz w:val="14"/>
              </w:rPr>
            </w:pPr>
          </w:p>
        </w:tc>
        <w:tc>
          <w:tcPr>
            <w:tcW w:w="1086" w:type="dxa"/>
          </w:tcPr>
          <w:p>
            <w:pPr>
              <w:pStyle w:val="TableParagraph"/>
              <w:spacing w:before="32"/>
              <w:ind w:left="89"/>
              <w:rPr>
                <w:sz w:val="14"/>
              </w:rPr>
            </w:pPr>
            <w:r>
              <w:rPr>
                <w:sz w:val="14"/>
              </w:rPr>
              <w:t>Kailahun</w:t>
            </w:r>
          </w:p>
        </w:tc>
        <w:tc>
          <w:tcPr>
            <w:tcW w:w="1126" w:type="dxa"/>
          </w:tcPr>
          <w:p>
            <w:pPr>
              <w:pStyle w:val="TableParagraph"/>
              <w:spacing w:before="32"/>
              <w:ind w:left="136"/>
              <w:rPr>
                <w:sz w:val="14"/>
              </w:rPr>
            </w:pPr>
            <w:r>
              <w:rPr>
                <w:sz w:val="14"/>
              </w:rPr>
              <w:t>Saudi Fund</w:t>
            </w: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rPr>
                <w:rFonts w:ascii="Times New Roman"/>
                <w:sz w:val="14"/>
              </w:rPr>
            </w:pP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spacing w:before="32"/>
              <w:ind w:left="139"/>
              <w:rPr>
                <w:sz w:val="14"/>
              </w:rPr>
            </w:pPr>
            <w:r>
              <w:rPr>
                <w:sz w:val="14"/>
              </w:rPr>
              <w:t>/ GoSL</w:t>
            </w: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Reconstruction of Bandajuma - MRU Bridge</w:t>
            </w:r>
          </w:p>
        </w:tc>
        <w:tc>
          <w:tcPr>
            <w:tcW w:w="842" w:type="dxa"/>
          </w:tcPr>
          <w:p>
            <w:pPr>
              <w:pStyle w:val="TableParagraph"/>
              <w:spacing w:before="32"/>
              <w:ind w:left="192"/>
              <w:rPr>
                <w:sz w:val="14"/>
              </w:rPr>
            </w:pPr>
            <w:r>
              <w:rPr>
                <w:sz w:val="14"/>
              </w:rPr>
              <w:t>Ongong</w:t>
            </w:r>
          </w:p>
        </w:tc>
        <w:tc>
          <w:tcPr>
            <w:tcW w:w="1086" w:type="dxa"/>
          </w:tcPr>
          <w:p>
            <w:pPr>
              <w:pStyle w:val="TableParagraph"/>
              <w:spacing w:before="32"/>
              <w:ind w:left="89"/>
              <w:rPr>
                <w:sz w:val="14"/>
              </w:rPr>
            </w:pPr>
            <w:r>
              <w:rPr>
                <w:sz w:val="14"/>
              </w:rPr>
              <w:t>Pujehun</w:t>
            </w:r>
          </w:p>
        </w:tc>
        <w:tc>
          <w:tcPr>
            <w:tcW w:w="1126" w:type="dxa"/>
          </w:tcPr>
          <w:p>
            <w:pPr>
              <w:pStyle w:val="TableParagraph"/>
              <w:spacing w:before="32"/>
              <w:ind w:left="136"/>
              <w:rPr>
                <w:sz w:val="14"/>
              </w:rPr>
            </w:pPr>
            <w:r>
              <w:rPr>
                <w:sz w:val="14"/>
              </w:rPr>
              <w:t>EU/GoSL</w:t>
            </w:r>
          </w:p>
        </w:tc>
        <w:tc>
          <w:tcPr>
            <w:tcW w:w="1262" w:type="dxa"/>
          </w:tcPr>
          <w:p>
            <w:pPr>
              <w:pStyle w:val="TableParagraph"/>
              <w:spacing w:before="32"/>
              <w:ind w:left="258"/>
              <w:rPr>
                <w:sz w:val="14"/>
              </w:rPr>
            </w:pPr>
            <w:r>
              <w:rPr>
                <w:sz w:val="14"/>
              </w:rPr>
              <w:t>Loan/ Budget</w:t>
            </w:r>
          </w:p>
        </w:tc>
        <w:tc>
          <w:tcPr>
            <w:tcW w:w="1107" w:type="dxa"/>
          </w:tcPr>
          <w:p>
            <w:pPr>
              <w:pStyle w:val="TableParagraph"/>
              <w:spacing w:before="32"/>
              <w:ind w:right="374"/>
              <w:jc w:val="right"/>
              <w:rPr>
                <w:sz w:val="14"/>
              </w:rPr>
            </w:pPr>
            <w:r>
              <w:rPr>
                <w:w w:val="95"/>
                <w:sz w:val="14"/>
              </w:rPr>
              <w:t>45,000</w:t>
            </w:r>
          </w:p>
        </w:tc>
        <w:tc>
          <w:tcPr>
            <w:tcW w:w="691" w:type="dxa"/>
          </w:tcPr>
          <w:p>
            <w:pPr>
              <w:pStyle w:val="TableParagraph"/>
              <w:spacing w:before="32"/>
              <w:ind w:right="139"/>
              <w:jc w:val="right"/>
              <w:rPr>
                <w:sz w:val="14"/>
              </w:rPr>
            </w:pPr>
            <w:r>
              <w:rPr>
                <w:w w:val="99"/>
                <w:sz w:val="14"/>
              </w:rPr>
              <w:t>-</w:t>
            </w:r>
          </w:p>
        </w:tc>
        <w:tc>
          <w:tcPr>
            <w:tcW w:w="842" w:type="dxa"/>
          </w:tcPr>
          <w:p>
            <w:pPr>
              <w:pStyle w:val="TableParagraph"/>
              <w:spacing w:before="32"/>
              <w:ind w:right="145"/>
              <w:jc w:val="right"/>
              <w:rPr>
                <w:sz w:val="14"/>
              </w:rPr>
            </w:pPr>
            <w:r>
              <w:rPr>
                <w:w w:val="95"/>
                <w:sz w:val="14"/>
              </w:rPr>
              <w:t>64,250</w:t>
            </w:r>
          </w:p>
        </w:tc>
        <w:tc>
          <w:tcPr>
            <w:tcW w:w="981" w:type="dxa"/>
          </w:tcPr>
          <w:p>
            <w:pPr>
              <w:pStyle w:val="TableParagraph"/>
              <w:spacing w:before="32"/>
              <w:ind w:left="368"/>
              <w:rPr>
                <w:sz w:val="14"/>
              </w:rPr>
            </w:pPr>
            <w:r>
              <w:rPr>
                <w:sz w:val="14"/>
              </w:rPr>
              <w:t>2,242</w:t>
            </w:r>
          </w:p>
        </w:tc>
        <w:tc>
          <w:tcPr>
            <w:tcW w:w="792" w:type="dxa"/>
          </w:tcPr>
          <w:p>
            <w:pPr>
              <w:pStyle w:val="TableParagraph"/>
              <w:spacing w:before="32"/>
              <w:ind w:right="151"/>
              <w:jc w:val="right"/>
              <w:rPr>
                <w:sz w:val="14"/>
              </w:rPr>
            </w:pPr>
            <w:r>
              <w:rPr>
                <w:w w:val="95"/>
                <w:sz w:val="14"/>
              </w:rPr>
              <w:t>15,000</w:t>
            </w:r>
          </w:p>
        </w:tc>
        <w:tc>
          <w:tcPr>
            <w:tcW w:w="820" w:type="dxa"/>
          </w:tcPr>
          <w:p>
            <w:pPr>
              <w:pStyle w:val="TableParagraph"/>
              <w:spacing w:before="32"/>
              <w:ind w:right="15"/>
              <w:jc w:val="right"/>
              <w:rPr>
                <w:sz w:val="14"/>
              </w:rPr>
            </w:pPr>
            <w:r>
              <w:rPr>
                <w:sz w:val="14"/>
              </w:rPr>
              <w:t>2,466</w:t>
            </w:r>
          </w:p>
        </w:tc>
      </w:tr>
      <w:tr>
        <w:trPr>
          <w:trHeight w:val="228"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Reconstruction of 3 Bridges in Magbele, Mabang and Kpangbama</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Pujehun,</w:t>
            </w:r>
          </w:p>
        </w:tc>
        <w:tc>
          <w:tcPr>
            <w:tcW w:w="1126" w:type="dxa"/>
          </w:tcPr>
          <w:p>
            <w:pPr>
              <w:pStyle w:val="TableParagraph"/>
              <w:spacing w:before="32"/>
              <w:ind w:left="136"/>
              <w:rPr>
                <w:sz w:val="14"/>
              </w:rPr>
            </w:pPr>
            <w:r>
              <w:rPr>
                <w:sz w:val="14"/>
              </w:rPr>
              <w:t>EU/GoSL</w:t>
            </w:r>
          </w:p>
        </w:tc>
        <w:tc>
          <w:tcPr>
            <w:tcW w:w="1262" w:type="dxa"/>
          </w:tcPr>
          <w:p>
            <w:pPr>
              <w:pStyle w:val="TableParagraph"/>
              <w:spacing w:before="32"/>
              <w:ind w:left="258"/>
              <w:rPr>
                <w:sz w:val="14"/>
              </w:rPr>
            </w:pPr>
            <w:r>
              <w:rPr>
                <w:sz w:val="14"/>
              </w:rPr>
              <w:t>Loan/ Budget</w:t>
            </w:r>
          </w:p>
        </w:tc>
        <w:tc>
          <w:tcPr>
            <w:tcW w:w="1107" w:type="dxa"/>
          </w:tcPr>
          <w:p>
            <w:pPr>
              <w:pStyle w:val="TableParagraph"/>
              <w:spacing w:before="32"/>
              <w:ind w:right="374"/>
              <w:jc w:val="right"/>
              <w:rPr>
                <w:sz w:val="14"/>
              </w:rPr>
            </w:pPr>
            <w:r>
              <w:rPr>
                <w:w w:val="95"/>
                <w:sz w:val="14"/>
              </w:rPr>
              <w:t>45,000</w:t>
            </w:r>
          </w:p>
        </w:tc>
        <w:tc>
          <w:tcPr>
            <w:tcW w:w="691" w:type="dxa"/>
          </w:tcPr>
          <w:p>
            <w:pPr>
              <w:pStyle w:val="TableParagraph"/>
              <w:spacing w:before="32"/>
              <w:ind w:right="139"/>
              <w:jc w:val="right"/>
              <w:rPr>
                <w:sz w:val="14"/>
              </w:rPr>
            </w:pPr>
            <w:r>
              <w:rPr>
                <w:w w:val="99"/>
                <w:sz w:val="14"/>
              </w:rPr>
              <w:t>-</w:t>
            </w:r>
          </w:p>
        </w:tc>
        <w:tc>
          <w:tcPr>
            <w:tcW w:w="842" w:type="dxa"/>
          </w:tcPr>
          <w:p>
            <w:pPr>
              <w:pStyle w:val="TableParagraph"/>
              <w:spacing w:before="32"/>
              <w:ind w:right="145"/>
              <w:jc w:val="right"/>
              <w:rPr>
                <w:sz w:val="14"/>
              </w:rPr>
            </w:pPr>
            <w:r>
              <w:rPr>
                <w:w w:val="95"/>
                <w:sz w:val="14"/>
              </w:rPr>
              <w:t>72,500</w:t>
            </w:r>
          </w:p>
        </w:tc>
        <w:tc>
          <w:tcPr>
            <w:tcW w:w="981" w:type="dxa"/>
          </w:tcPr>
          <w:p>
            <w:pPr>
              <w:pStyle w:val="TableParagraph"/>
              <w:spacing w:before="32"/>
              <w:ind w:left="368"/>
              <w:rPr>
                <w:sz w:val="14"/>
              </w:rPr>
            </w:pPr>
            <w:r>
              <w:rPr>
                <w:sz w:val="14"/>
              </w:rPr>
              <w:t>4,822</w:t>
            </w:r>
          </w:p>
        </w:tc>
        <w:tc>
          <w:tcPr>
            <w:tcW w:w="792" w:type="dxa"/>
          </w:tcPr>
          <w:p>
            <w:pPr>
              <w:pStyle w:val="TableParagraph"/>
              <w:spacing w:before="32"/>
              <w:ind w:right="146"/>
              <w:jc w:val="right"/>
              <w:rPr>
                <w:sz w:val="14"/>
              </w:rPr>
            </w:pPr>
            <w:r>
              <w:rPr>
                <w:sz w:val="14"/>
              </w:rPr>
              <w:t>2,500</w:t>
            </w:r>
          </w:p>
        </w:tc>
        <w:tc>
          <w:tcPr>
            <w:tcW w:w="820" w:type="dxa"/>
          </w:tcPr>
          <w:p>
            <w:pPr>
              <w:pStyle w:val="TableParagraph"/>
              <w:spacing w:before="32"/>
              <w:ind w:right="15"/>
              <w:jc w:val="right"/>
              <w:rPr>
                <w:sz w:val="14"/>
              </w:rPr>
            </w:pPr>
            <w:r>
              <w:rPr>
                <w:sz w:val="14"/>
              </w:rPr>
              <w:t>5,304</w:t>
            </w:r>
          </w:p>
        </w:tc>
      </w:tr>
      <w:tr>
        <w:trPr>
          <w:trHeight w:val="228" w:hRule="atLeast"/>
        </w:trPr>
        <w:tc>
          <w:tcPr>
            <w:tcW w:w="470" w:type="dxa"/>
          </w:tcPr>
          <w:p>
            <w:pPr>
              <w:pStyle w:val="TableParagraph"/>
              <w:rPr>
                <w:rFonts w:ascii="Times New Roman"/>
                <w:sz w:val="14"/>
              </w:rPr>
            </w:pPr>
          </w:p>
        </w:tc>
        <w:tc>
          <w:tcPr>
            <w:tcW w:w="4775" w:type="dxa"/>
          </w:tcPr>
          <w:p>
            <w:pPr>
              <w:pStyle w:val="TableParagraph"/>
              <w:rPr>
                <w:rFonts w:ascii="Times New Roman"/>
                <w:sz w:val="14"/>
              </w:rPr>
            </w:pPr>
          </w:p>
        </w:tc>
        <w:tc>
          <w:tcPr>
            <w:tcW w:w="842" w:type="dxa"/>
          </w:tcPr>
          <w:p>
            <w:pPr>
              <w:pStyle w:val="TableParagraph"/>
              <w:rPr>
                <w:rFonts w:ascii="Times New Roman"/>
                <w:sz w:val="14"/>
              </w:rPr>
            </w:pPr>
          </w:p>
        </w:tc>
        <w:tc>
          <w:tcPr>
            <w:tcW w:w="1086" w:type="dxa"/>
          </w:tcPr>
          <w:p>
            <w:pPr>
              <w:pStyle w:val="TableParagraph"/>
              <w:spacing w:before="29"/>
              <w:ind w:left="90"/>
              <w:rPr>
                <w:sz w:val="14"/>
              </w:rPr>
            </w:pPr>
            <w:r>
              <w:rPr>
                <w:sz w:val="14"/>
              </w:rPr>
              <w:t>Moyamba and</w:t>
            </w: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rPr>
                <w:rFonts w:ascii="Times New Roman"/>
                <w:sz w:val="14"/>
              </w:rPr>
            </w:pPr>
          </w:p>
        </w:tc>
        <w:tc>
          <w:tcPr>
            <w:tcW w:w="842" w:type="dxa"/>
          </w:tcPr>
          <w:p>
            <w:pPr>
              <w:pStyle w:val="TableParagraph"/>
              <w:rPr>
                <w:rFonts w:ascii="Times New Roman"/>
                <w:sz w:val="14"/>
              </w:rPr>
            </w:pPr>
          </w:p>
        </w:tc>
        <w:tc>
          <w:tcPr>
            <w:tcW w:w="1086" w:type="dxa"/>
          </w:tcPr>
          <w:p>
            <w:pPr>
              <w:pStyle w:val="TableParagraph"/>
              <w:spacing w:before="32"/>
              <w:ind w:left="89"/>
              <w:rPr>
                <w:sz w:val="14"/>
              </w:rPr>
            </w:pPr>
            <w:r>
              <w:rPr>
                <w:sz w:val="14"/>
              </w:rPr>
              <w:t>Port Loko</w:t>
            </w: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Construction of Hill Side By Pass Road Phase II</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Western Area</w:t>
            </w:r>
          </w:p>
        </w:tc>
        <w:tc>
          <w:tcPr>
            <w:tcW w:w="1126" w:type="dxa"/>
          </w:tcPr>
          <w:p>
            <w:pPr>
              <w:pStyle w:val="TableParagraph"/>
              <w:spacing w:before="32"/>
              <w:ind w:left="136"/>
              <w:rPr>
                <w:sz w:val="14"/>
              </w:rPr>
            </w:pPr>
            <w:r>
              <w:rPr>
                <w:sz w:val="14"/>
              </w:rPr>
              <w:t>KF/ GoSL</w:t>
            </w:r>
          </w:p>
        </w:tc>
        <w:tc>
          <w:tcPr>
            <w:tcW w:w="1262" w:type="dxa"/>
          </w:tcPr>
          <w:p>
            <w:pPr>
              <w:pStyle w:val="TableParagraph"/>
              <w:spacing w:before="32"/>
              <w:ind w:left="258"/>
              <w:rPr>
                <w:sz w:val="14"/>
              </w:rPr>
            </w:pPr>
            <w:r>
              <w:rPr>
                <w:sz w:val="14"/>
              </w:rPr>
              <w:t>Loan/ Budget</w:t>
            </w:r>
          </w:p>
        </w:tc>
        <w:tc>
          <w:tcPr>
            <w:tcW w:w="1107" w:type="dxa"/>
          </w:tcPr>
          <w:p>
            <w:pPr>
              <w:pStyle w:val="TableParagraph"/>
              <w:rPr>
                <w:rFonts w:ascii="Times New Roman"/>
                <w:sz w:val="14"/>
              </w:rPr>
            </w:pPr>
          </w:p>
        </w:tc>
        <w:tc>
          <w:tcPr>
            <w:tcW w:w="691" w:type="dxa"/>
          </w:tcPr>
          <w:p>
            <w:pPr>
              <w:pStyle w:val="TableParagraph"/>
              <w:spacing w:before="32"/>
              <w:ind w:right="157"/>
              <w:jc w:val="right"/>
              <w:rPr>
                <w:sz w:val="14"/>
              </w:rPr>
            </w:pPr>
            <w:r>
              <w:rPr>
                <w:w w:val="95"/>
                <w:sz w:val="14"/>
              </w:rPr>
              <w:t>10,000</w:t>
            </w:r>
          </w:p>
        </w:tc>
        <w:tc>
          <w:tcPr>
            <w:tcW w:w="842" w:type="dxa"/>
          </w:tcPr>
          <w:p>
            <w:pPr>
              <w:pStyle w:val="TableParagraph"/>
              <w:rPr>
                <w:rFonts w:ascii="Times New Roman"/>
                <w:sz w:val="14"/>
              </w:rPr>
            </w:pPr>
          </w:p>
        </w:tc>
        <w:tc>
          <w:tcPr>
            <w:tcW w:w="981" w:type="dxa"/>
          </w:tcPr>
          <w:p>
            <w:pPr>
              <w:pStyle w:val="TableParagraph"/>
              <w:spacing w:before="32"/>
              <w:ind w:left="276"/>
              <w:rPr>
                <w:sz w:val="14"/>
              </w:rPr>
            </w:pPr>
            <w:r>
              <w:rPr>
                <w:sz w:val="14"/>
              </w:rPr>
              <w:t>19,154</w:t>
            </w:r>
          </w:p>
        </w:tc>
        <w:tc>
          <w:tcPr>
            <w:tcW w:w="792" w:type="dxa"/>
          </w:tcPr>
          <w:p>
            <w:pPr>
              <w:pStyle w:val="TableParagraph"/>
              <w:rPr>
                <w:rFonts w:ascii="Times New Roman"/>
                <w:sz w:val="14"/>
              </w:rPr>
            </w:pPr>
          </w:p>
        </w:tc>
        <w:tc>
          <w:tcPr>
            <w:tcW w:w="820" w:type="dxa"/>
          </w:tcPr>
          <w:p>
            <w:pPr>
              <w:pStyle w:val="TableParagraph"/>
              <w:spacing w:before="32"/>
              <w:ind w:right="21"/>
              <w:jc w:val="right"/>
              <w:rPr>
                <w:sz w:val="14"/>
              </w:rPr>
            </w:pPr>
            <w:r>
              <w:rPr>
                <w:w w:val="95"/>
                <w:sz w:val="14"/>
              </w:rPr>
              <w:t>38,307</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Reconstruction of Tokeh-Lumely (Peninsular) Road</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Western Area</w:t>
            </w:r>
          </w:p>
        </w:tc>
        <w:tc>
          <w:tcPr>
            <w:tcW w:w="1126" w:type="dxa"/>
          </w:tcPr>
          <w:p>
            <w:pPr>
              <w:pStyle w:val="TableParagraph"/>
              <w:spacing w:before="32"/>
              <w:ind w:left="136"/>
              <w:rPr>
                <w:sz w:val="14"/>
              </w:rPr>
            </w:pPr>
            <w:r>
              <w:rPr>
                <w:sz w:val="14"/>
              </w:rPr>
              <w:t>KF/ GoSL</w:t>
            </w:r>
          </w:p>
        </w:tc>
        <w:tc>
          <w:tcPr>
            <w:tcW w:w="1262" w:type="dxa"/>
          </w:tcPr>
          <w:p>
            <w:pPr>
              <w:pStyle w:val="TableParagraph"/>
              <w:spacing w:before="32"/>
              <w:ind w:left="258"/>
              <w:rPr>
                <w:sz w:val="14"/>
              </w:rPr>
            </w:pPr>
            <w:r>
              <w:rPr>
                <w:sz w:val="14"/>
              </w:rPr>
              <w:t>Loan/ Budget</w:t>
            </w:r>
          </w:p>
        </w:tc>
        <w:tc>
          <w:tcPr>
            <w:tcW w:w="1107" w:type="dxa"/>
          </w:tcPr>
          <w:p>
            <w:pPr>
              <w:pStyle w:val="TableParagraph"/>
              <w:spacing w:before="32"/>
              <w:ind w:right="374"/>
              <w:jc w:val="right"/>
              <w:rPr>
                <w:sz w:val="14"/>
              </w:rPr>
            </w:pPr>
            <w:r>
              <w:rPr>
                <w:w w:val="95"/>
                <w:sz w:val="14"/>
              </w:rPr>
              <w:t>34,000</w:t>
            </w:r>
          </w:p>
        </w:tc>
        <w:tc>
          <w:tcPr>
            <w:tcW w:w="691" w:type="dxa"/>
          </w:tcPr>
          <w:p>
            <w:pPr>
              <w:pStyle w:val="TableParagraph"/>
              <w:spacing w:before="32"/>
              <w:ind w:right="157"/>
              <w:jc w:val="right"/>
              <w:rPr>
                <w:sz w:val="14"/>
              </w:rPr>
            </w:pPr>
            <w:r>
              <w:rPr>
                <w:w w:val="95"/>
                <w:sz w:val="14"/>
              </w:rPr>
              <w:t>10,000</w:t>
            </w:r>
          </w:p>
        </w:tc>
        <w:tc>
          <w:tcPr>
            <w:tcW w:w="842" w:type="dxa"/>
          </w:tcPr>
          <w:p>
            <w:pPr>
              <w:pStyle w:val="TableParagraph"/>
              <w:spacing w:before="32"/>
              <w:ind w:right="145"/>
              <w:jc w:val="right"/>
              <w:rPr>
                <w:sz w:val="14"/>
              </w:rPr>
            </w:pPr>
            <w:r>
              <w:rPr>
                <w:w w:val="95"/>
                <w:sz w:val="14"/>
              </w:rPr>
              <w:t>60,000</w:t>
            </w:r>
          </w:p>
        </w:tc>
        <w:tc>
          <w:tcPr>
            <w:tcW w:w="981" w:type="dxa"/>
          </w:tcPr>
          <w:p>
            <w:pPr>
              <w:pStyle w:val="TableParagraph"/>
              <w:spacing w:before="32"/>
              <w:ind w:left="276"/>
              <w:rPr>
                <w:sz w:val="14"/>
              </w:rPr>
            </w:pPr>
            <w:r>
              <w:rPr>
                <w:sz w:val="14"/>
              </w:rPr>
              <w:t>27,150</w:t>
            </w:r>
          </w:p>
        </w:tc>
        <w:tc>
          <w:tcPr>
            <w:tcW w:w="792" w:type="dxa"/>
          </w:tcPr>
          <w:p>
            <w:pPr>
              <w:pStyle w:val="TableParagraph"/>
              <w:spacing w:before="32"/>
              <w:ind w:right="151"/>
              <w:jc w:val="right"/>
              <w:rPr>
                <w:sz w:val="14"/>
              </w:rPr>
            </w:pPr>
            <w:r>
              <w:rPr>
                <w:w w:val="95"/>
                <w:sz w:val="14"/>
              </w:rPr>
              <w:t>55,000</w:t>
            </w:r>
          </w:p>
        </w:tc>
        <w:tc>
          <w:tcPr>
            <w:tcW w:w="820" w:type="dxa"/>
          </w:tcPr>
          <w:p>
            <w:pPr>
              <w:pStyle w:val="TableParagraph"/>
              <w:spacing w:before="32"/>
              <w:jc w:val="right"/>
              <w:rPr>
                <w:sz w:val="14"/>
              </w:rPr>
            </w:pPr>
            <w:r>
              <w:rPr>
                <w:w w:val="99"/>
                <w:sz w:val="14"/>
              </w:rPr>
              <w:t>-</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Rehabilitation of Limkokwing University - Regent Road Project</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Western Area</w:t>
            </w:r>
          </w:p>
        </w:tc>
        <w:tc>
          <w:tcPr>
            <w:tcW w:w="1126" w:type="dxa"/>
          </w:tcPr>
          <w:p>
            <w:pPr>
              <w:pStyle w:val="TableParagraph"/>
              <w:spacing w:before="32"/>
              <w:ind w:left="136"/>
              <w:rPr>
                <w:sz w:val="14"/>
              </w:rPr>
            </w:pPr>
            <w:r>
              <w:rPr>
                <w:sz w:val="14"/>
              </w:rPr>
              <w:t>PRC/ GoSL</w:t>
            </w:r>
          </w:p>
        </w:tc>
        <w:tc>
          <w:tcPr>
            <w:tcW w:w="1262" w:type="dxa"/>
          </w:tcPr>
          <w:p>
            <w:pPr>
              <w:pStyle w:val="TableParagraph"/>
              <w:spacing w:before="32"/>
              <w:ind w:left="258"/>
              <w:rPr>
                <w:sz w:val="14"/>
              </w:rPr>
            </w:pPr>
            <w:r>
              <w:rPr>
                <w:sz w:val="14"/>
              </w:rPr>
              <w:t>Grant/ Budget</w:t>
            </w:r>
          </w:p>
        </w:tc>
        <w:tc>
          <w:tcPr>
            <w:tcW w:w="1107" w:type="dxa"/>
          </w:tcPr>
          <w:p>
            <w:pPr>
              <w:pStyle w:val="TableParagraph"/>
              <w:spacing w:before="32"/>
              <w:ind w:right="359"/>
              <w:jc w:val="right"/>
              <w:rPr>
                <w:sz w:val="14"/>
              </w:rPr>
            </w:pPr>
            <w:r>
              <w:rPr>
                <w:w w:val="95"/>
                <w:sz w:val="14"/>
              </w:rPr>
              <w:t>37,000</w:t>
            </w:r>
          </w:p>
        </w:tc>
        <w:tc>
          <w:tcPr>
            <w:tcW w:w="691" w:type="dxa"/>
          </w:tcPr>
          <w:p>
            <w:pPr>
              <w:pStyle w:val="TableParagraph"/>
              <w:spacing w:before="32"/>
              <w:ind w:right="157"/>
              <w:jc w:val="right"/>
              <w:rPr>
                <w:sz w:val="14"/>
              </w:rPr>
            </w:pPr>
            <w:r>
              <w:rPr>
                <w:w w:val="95"/>
                <w:sz w:val="14"/>
              </w:rPr>
              <w:t>10,000</w:t>
            </w:r>
          </w:p>
        </w:tc>
        <w:tc>
          <w:tcPr>
            <w:tcW w:w="842" w:type="dxa"/>
          </w:tcPr>
          <w:p>
            <w:pPr>
              <w:pStyle w:val="TableParagraph"/>
              <w:rPr>
                <w:rFonts w:ascii="Times New Roman"/>
                <w:sz w:val="14"/>
              </w:rPr>
            </w:pPr>
          </w:p>
        </w:tc>
        <w:tc>
          <w:tcPr>
            <w:tcW w:w="981" w:type="dxa"/>
          </w:tcPr>
          <w:p>
            <w:pPr>
              <w:pStyle w:val="TableParagraph"/>
              <w:spacing w:before="32"/>
              <w:ind w:left="368"/>
              <w:rPr>
                <w:sz w:val="14"/>
              </w:rPr>
            </w:pPr>
            <w:r>
              <w:rPr>
                <w:sz w:val="14"/>
              </w:rPr>
              <w:t>1,850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2,467</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Spots Improvement on Highways</w:t>
            </w:r>
          </w:p>
        </w:tc>
        <w:tc>
          <w:tcPr>
            <w:tcW w:w="842" w:type="dxa"/>
          </w:tcPr>
          <w:p>
            <w:pPr>
              <w:pStyle w:val="TableParagraph"/>
              <w:spacing w:before="32"/>
              <w:ind w:left="192"/>
              <w:rPr>
                <w:sz w:val="14"/>
              </w:rPr>
            </w:pPr>
            <w:r>
              <w:rPr>
                <w:sz w:val="14"/>
              </w:rPr>
              <w:t>New</w:t>
            </w:r>
          </w:p>
        </w:tc>
        <w:tc>
          <w:tcPr>
            <w:tcW w:w="1086" w:type="dxa"/>
          </w:tcPr>
          <w:p>
            <w:pPr>
              <w:pStyle w:val="TableParagraph"/>
              <w:spacing w:before="32"/>
              <w:ind w:left="89"/>
              <w:rPr>
                <w:sz w:val="14"/>
              </w:rPr>
            </w:pPr>
            <w:r>
              <w:rPr>
                <w:sz w:val="14"/>
              </w:rPr>
              <w:t>Nationwide</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57"/>
              <w:jc w:val="right"/>
              <w:rPr>
                <w:sz w:val="14"/>
              </w:rPr>
            </w:pPr>
            <w:r>
              <w:rPr>
                <w:w w:val="95"/>
                <w:sz w:val="14"/>
              </w:rPr>
              <w:t>40,000</w:t>
            </w:r>
          </w:p>
        </w:tc>
        <w:tc>
          <w:tcPr>
            <w:tcW w:w="842" w:type="dxa"/>
          </w:tcPr>
          <w:p>
            <w:pPr>
              <w:pStyle w:val="TableParagraph"/>
              <w:rPr>
                <w:rFonts w:ascii="Times New Roman"/>
                <w:sz w:val="14"/>
              </w:rPr>
            </w:pPr>
          </w:p>
        </w:tc>
        <w:tc>
          <w:tcPr>
            <w:tcW w:w="981" w:type="dxa"/>
          </w:tcPr>
          <w:p>
            <w:pPr>
              <w:pStyle w:val="TableParagraph"/>
              <w:spacing w:before="32"/>
              <w:ind w:left="276"/>
              <w:rPr>
                <w:sz w:val="14"/>
              </w:rPr>
            </w:pPr>
            <w:r>
              <w:rPr>
                <w:sz w:val="14"/>
              </w:rPr>
              <w:t>50,000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2,150</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Completion of Bandajuma-Pujehun-Gbondappi</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South</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57"/>
              <w:jc w:val="right"/>
              <w:rPr>
                <w:sz w:val="14"/>
              </w:rPr>
            </w:pPr>
            <w:r>
              <w:rPr>
                <w:w w:val="95"/>
                <w:sz w:val="14"/>
              </w:rPr>
              <w:t>20,000</w:t>
            </w:r>
          </w:p>
        </w:tc>
        <w:tc>
          <w:tcPr>
            <w:tcW w:w="842" w:type="dxa"/>
          </w:tcPr>
          <w:p>
            <w:pPr>
              <w:pStyle w:val="TableParagraph"/>
              <w:rPr>
                <w:rFonts w:ascii="Times New Roman"/>
                <w:sz w:val="14"/>
              </w:rPr>
            </w:pPr>
          </w:p>
        </w:tc>
        <w:tc>
          <w:tcPr>
            <w:tcW w:w="981" w:type="dxa"/>
          </w:tcPr>
          <w:p>
            <w:pPr>
              <w:pStyle w:val="TableParagraph"/>
              <w:spacing w:before="32"/>
              <w:ind w:left="276"/>
              <w:rPr>
                <w:sz w:val="14"/>
              </w:rPr>
            </w:pPr>
            <w:r>
              <w:rPr>
                <w:sz w:val="14"/>
              </w:rPr>
              <w:t>22,000</w:t>
            </w:r>
          </w:p>
        </w:tc>
        <w:tc>
          <w:tcPr>
            <w:tcW w:w="792" w:type="dxa"/>
          </w:tcPr>
          <w:p>
            <w:pPr>
              <w:pStyle w:val="TableParagraph"/>
              <w:rPr>
                <w:rFonts w:ascii="Times New Roman"/>
                <w:sz w:val="14"/>
              </w:rPr>
            </w:pPr>
          </w:p>
        </w:tc>
        <w:tc>
          <w:tcPr>
            <w:tcW w:w="820" w:type="dxa"/>
          </w:tcPr>
          <w:p>
            <w:pPr>
              <w:pStyle w:val="TableParagraph"/>
              <w:spacing w:before="32"/>
              <w:ind w:right="21"/>
              <w:jc w:val="right"/>
              <w:rPr>
                <w:sz w:val="14"/>
              </w:rPr>
            </w:pPr>
            <w:r>
              <w:rPr>
                <w:w w:val="95"/>
                <w:sz w:val="14"/>
              </w:rPr>
              <w:t>24,200</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Construction of Bo-Mattru Road Project</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South</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57"/>
              <w:jc w:val="right"/>
              <w:rPr>
                <w:sz w:val="14"/>
              </w:rPr>
            </w:pPr>
            <w:r>
              <w:rPr>
                <w:w w:val="95"/>
                <w:sz w:val="14"/>
              </w:rPr>
              <w:t>30,000</w:t>
            </w:r>
          </w:p>
        </w:tc>
        <w:tc>
          <w:tcPr>
            <w:tcW w:w="842" w:type="dxa"/>
          </w:tcPr>
          <w:p>
            <w:pPr>
              <w:pStyle w:val="TableParagraph"/>
              <w:rPr>
                <w:rFonts w:ascii="Times New Roman"/>
                <w:sz w:val="14"/>
              </w:rPr>
            </w:pPr>
          </w:p>
        </w:tc>
        <w:tc>
          <w:tcPr>
            <w:tcW w:w="981" w:type="dxa"/>
          </w:tcPr>
          <w:p>
            <w:pPr>
              <w:pStyle w:val="TableParagraph"/>
              <w:spacing w:before="32"/>
              <w:ind w:left="276"/>
              <w:rPr>
                <w:sz w:val="14"/>
              </w:rPr>
            </w:pPr>
            <w:r>
              <w:rPr>
                <w:sz w:val="14"/>
              </w:rPr>
              <w:t>33,000</w:t>
            </w:r>
          </w:p>
        </w:tc>
        <w:tc>
          <w:tcPr>
            <w:tcW w:w="792" w:type="dxa"/>
          </w:tcPr>
          <w:p>
            <w:pPr>
              <w:pStyle w:val="TableParagraph"/>
              <w:rPr>
                <w:rFonts w:ascii="Times New Roman"/>
                <w:sz w:val="14"/>
              </w:rPr>
            </w:pPr>
          </w:p>
        </w:tc>
        <w:tc>
          <w:tcPr>
            <w:tcW w:w="820" w:type="dxa"/>
          </w:tcPr>
          <w:p>
            <w:pPr>
              <w:pStyle w:val="TableParagraph"/>
              <w:spacing w:before="32"/>
              <w:ind w:right="26"/>
              <w:jc w:val="right"/>
              <w:rPr>
                <w:sz w:val="14"/>
              </w:rPr>
            </w:pPr>
            <w:r>
              <w:rPr>
                <w:sz w:val="14"/>
              </w:rPr>
              <w:t>134,101</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Labour Based Public Works</w:t>
            </w:r>
          </w:p>
        </w:tc>
        <w:tc>
          <w:tcPr>
            <w:tcW w:w="842" w:type="dxa"/>
          </w:tcPr>
          <w:p>
            <w:pPr>
              <w:pStyle w:val="TableParagraph"/>
              <w:spacing w:before="32"/>
              <w:ind w:left="192"/>
              <w:rPr>
                <w:sz w:val="14"/>
              </w:rPr>
            </w:pPr>
            <w:r>
              <w:rPr>
                <w:sz w:val="14"/>
              </w:rPr>
              <w:t>New</w:t>
            </w:r>
          </w:p>
        </w:tc>
        <w:tc>
          <w:tcPr>
            <w:tcW w:w="1086" w:type="dxa"/>
          </w:tcPr>
          <w:p>
            <w:pPr>
              <w:pStyle w:val="TableParagraph"/>
              <w:spacing w:before="32"/>
              <w:ind w:left="89"/>
              <w:rPr>
                <w:sz w:val="14"/>
              </w:rPr>
            </w:pPr>
            <w:r>
              <w:rPr>
                <w:sz w:val="14"/>
              </w:rPr>
              <w:t>Nationwide</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32"/>
              <w:ind w:right="157"/>
              <w:jc w:val="right"/>
              <w:rPr>
                <w:sz w:val="14"/>
              </w:rPr>
            </w:pPr>
            <w:r>
              <w:rPr>
                <w:w w:val="95"/>
                <w:sz w:val="14"/>
              </w:rPr>
              <w:t>40,000</w:t>
            </w:r>
          </w:p>
        </w:tc>
        <w:tc>
          <w:tcPr>
            <w:tcW w:w="842" w:type="dxa"/>
          </w:tcPr>
          <w:p>
            <w:pPr>
              <w:pStyle w:val="TableParagraph"/>
              <w:rPr>
                <w:rFonts w:ascii="Times New Roman"/>
                <w:sz w:val="14"/>
              </w:rPr>
            </w:pPr>
          </w:p>
        </w:tc>
        <w:tc>
          <w:tcPr>
            <w:tcW w:w="981" w:type="dxa"/>
          </w:tcPr>
          <w:p>
            <w:pPr>
              <w:pStyle w:val="TableParagraph"/>
              <w:spacing w:before="32"/>
              <w:ind w:left="276"/>
              <w:rPr>
                <w:sz w:val="14"/>
              </w:rPr>
            </w:pPr>
            <w:r>
              <w:rPr>
                <w:sz w:val="14"/>
              </w:rPr>
              <w:t>50,000</w:t>
            </w:r>
          </w:p>
        </w:tc>
        <w:tc>
          <w:tcPr>
            <w:tcW w:w="792" w:type="dxa"/>
          </w:tcPr>
          <w:p>
            <w:pPr>
              <w:pStyle w:val="TableParagraph"/>
              <w:rPr>
                <w:rFonts w:ascii="Times New Roman"/>
                <w:sz w:val="14"/>
              </w:rPr>
            </w:pPr>
          </w:p>
        </w:tc>
        <w:tc>
          <w:tcPr>
            <w:tcW w:w="820" w:type="dxa"/>
          </w:tcPr>
          <w:p>
            <w:pPr>
              <w:pStyle w:val="TableParagraph"/>
              <w:spacing w:before="32"/>
              <w:ind w:right="21"/>
              <w:jc w:val="right"/>
              <w:rPr>
                <w:sz w:val="14"/>
              </w:rPr>
            </w:pPr>
            <w:r>
              <w:rPr>
                <w:w w:val="95"/>
                <w:sz w:val="14"/>
              </w:rPr>
              <w:t>55,000</w:t>
            </w:r>
          </w:p>
        </w:tc>
      </w:tr>
      <w:tr>
        <w:trPr>
          <w:trHeight w:val="230" w:hRule="atLeast"/>
        </w:trPr>
        <w:tc>
          <w:tcPr>
            <w:tcW w:w="470" w:type="dxa"/>
          </w:tcPr>
          <w:p>
            <w:pPr>
              <w:pStyle w:val="TableParagraph"/>
              <w:spacing w:before="32"/>
              <w:ind w:left="124"/>
              <w:rPr>
                <w:sz w:val="14"/>
              </w:rPr>
            </w:pPr>
            <w:r>
              <w:rPr>
                <w:sz w:val="14"/>
              </w:rPr>
              <w:t>409</w:t>
            </w:r>
          </w:p>
        </w:tc>
        <w:tc>
          <w:tcPr>
            <w:tcW w:w="4775" w:type="dxa"/>
          </w:tcPr>
          <w:p>
            <w:pPr>
              <w:pStyle w:val="TableParagraph"/>
              <w:spacing w:before="32"/>
              <w:ind w:left="96"/>
              <w:rPr>
                <w:b/>
                <w:sz w:val="14"/>
              </w:rPr>
            </w:pPr>
            <w:r>
              <w:rPr>
                <w:b/>
                <w:sz w:val="14"/>
              </w:rPr>
              <w:t>Ministry of Trade and Industry (MoTI)</w:t>
            </w: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spacing w:before="32"/>
              <w:ind w:right="389"/>
              <w:jc w:val="right"/>
              <w:rPr>
                <w:b/>
                <w:sz w:val="14"/>
              </w:rPr>
            </w:pPr>
            <w:r>
              <w:rPr>
                <w:b/>
                <w:sz w:val="14"/>
              </w:rPr>
              <w:t>4,500</w:t>
            </w:r>
          </w:p>
        </w:tc>
        <w:tc>
          <w:tcPr>
            <w:tcW w:w="691" w:type="dxa"/>
          </w:tcPr>
          <w:p>
            <w:pPr>
              <w:pStyle w:val="TableParagraph"/>
              <w:spacing w:before="32"/>
              <w:ind w:right="176"/>
              <w:jc w:val="right"/>
              <w:rPr>
                <w:b/>
                <w:sz w:val="14"/>
              </w:rPr>
            </w:pPr>
            <w:r>
              <w:rPr>
                <w:b/>
                <w:w w:val="95"/>
                <w:sz w:val="14"/>
              </w:rPr>
              <w:t>22,000</w:t>
            </w:r>
          </w:p>
        </w:tc>
        <w:tc>
          <w:tcPr>
            <w:tcW w:w="842" w:type="dxa"/>
          </w:tcPr>
          <w:p>
            <w:pPr>
              <w:pStyle w:val="TableParagraph"/>
              <w:spacing w:before="32"/>
              <w:ind w:right="120"/>
              <w:jc w:val="right"/>
              <w:rPr>
                <w:b/>
                <w:sz w:val="14"/>
              </w:rPr>
            </w:pPr>
            <w:r>
              <w:rPr>
                <w:b/>
                <w:w w:val="99"/>
                <w:sz w:val="14"/>
              </w:rPr>
              <w:t>-</w:t>
            </w:r>
          </w:p>
        </w:tc>
        <w:tc>
          <w:tcPr>
            <w:tcW w:w="981" w:type="dxa"/>
          </w:tcPr>
          <w:p>
            <w:pPr>
              <w:pStyle w:val="TableParagraph"/>
              <w:spacing w:before="32"/>
              <w:ind w:left="236"/>
              <w:rPr>
                <w:b/>
                <w:sz w:val="14"/>
              </w:rPr>
            </w:pPr>
            <w:r>
              <w:rPr>
                <w:b/>
                <w:sz w:val="14"/>
              </w:rPr>
              <w:t>24,200</w:t>
            </w:r>
          </w:p>
        </w:tc>
        <w:tc>
          <w:tcPr>
            <w:tcW w:w="792" w:type="dxa"/>
          </w:tcPr>
          <w:p>
            <w:pPr>
              <w:pStyle w:val="TableParagraph"/>
              <w:spacing w:before="32"/>
              <w:ind w:right="130"/>
              <w:jc w:val="right"/>
              <w:rPr>
                <w:b/>
                <w:sz w:val="14"/>
              </w:rPr>
            </w:pPr>
            <w:r>
              <w:rPr>
                <w:b/>
                <w:w w:val="99"/>
                <w:sz w:val="14"/>
              </w:rPr>
              <w:t>-</w:t>
            </w:r>
          </w:p>
        </w:tc>
        <w:tc>
          <w:tcPr>
            <w:tcW w:w="820" w:type="dxa"/>
          </w:tcPr>
          <w:p>
            <w:pPr>
              <w:pStyle w:val="TableParagraph"/>
              <w:spacing w:before="32"/>
              <w:ind w:right="40"/>
              <w:jc w:val="right"/>
              <w:rPr>
                <w:b/>
                <w:sz w:val="14"/>
              </w:rPr>
            </w:pPr>
            <w:r>
              <w:rPr>
                <w:b/>
                <w:w w:val="95"/>
                <w:sz w:val="14"/>
              </w:rPr>
              <w:t>26,620</w:t>
            </w:r>
          </w:p>
        </w:tc>
      </w:tr>
      <w:tr>
        <w:trPr>
          <w:trHeight w:val="230"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Preparatory Activities Towards the Establishment of</w:t>
            </w:r>
          </w:p>
        </w:tc>
        <w:tc>
          <w:tcPr>
            <w:tcW w:w="842" w:type="dxa"/>
          </w:tcPr>
          <w:p>
            <w:pPr>
              <w:pStyle w:val="TableParagraph"/>
              <w:rPr>
                <w:rFonts w:ascii="Times New Roman"/>
                <w:sz w:val="14"/>
              </w:rPr>
            </w:pPr>
          </w:p>
        </w:tc>
        <w:tc>
          <w:tcPr>
            <w:tcW w:w="1086" w:type="dxa"/>
          </w:tcPr>
          <w:p>
            <w:pPr>
              <w:pStyle w:val="TableParagraph"/>
              <w:rPr>
                <w:rFonts w:ascii="Times New Roman"/>
                <w:sz w:val="14"/>
              </w:rPr>
            </w:pPr>
          </w:p>
        </w:tc>
        <w:tc>
          <w:tcPr>
            <w:tcW w:w="1126" w:type="dxa"/>
          </w:tcPr>
          <w:p>
            <w:pPr>
              <w:pStyle w:val="TableParagraph"/>
              <w:rPr>
                <w:rFonts w:ascii="Times New Roman"/>
                <w:sz w:val="14"/>
              </w:rPr>
            </w:pPr>
          </w:p>
        </w:tc>
        <w:tc>
          <w:tcPr>
            <w:tcW w:w="1262" w:type="dxa"/>
          </w:tcPr>
          <w:p>
            <w:pPr>
              <w:pStyle w:val="TableParagraph"/>
              <w:rPr>
                <w:rFonts w:ascii="Times New Roman"/>
                <w:sz w:val="14"/>
              </w:rPr>
            </w:pPr>
          </w:p>
        </w:tc>
        <w:tc>
          <w:tcPr>
            <w:tcW w:w="1107" w:type="dxa"/>
          </w:tcPr>
          <w:p>
            <w:pPr>
              <w:pStyle w:val="TableParagraph"/>
              <w:rPr>
                <w:rFonts w:ascii="Times New Roman"/>
                <w:sz w:val="14"/>
              </w:rPr>
            </w:pPr>
          </w:p>
        </w:tc>
        <w:tc>
          <w:tcPr>
            <w:tcW w:w="691" w:type="dxa"/>
          </w:tcPr>
          <w:p>
            <w:pPr>
              <w:pStyle w:val="TableParagraph"/>
              <w:rPr>
                <w:rFonts w:ascii="Times New Roman"/>
                <w:sz w:val="14"/>
              </w:rPr>
            </w:pPr>
          </w:p>
        </w:tc>
        <w:tc>
          <w:tcPr>
            <w:tcW w:w="842"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27"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Special Economic Zones</w:t>
            </w:r>
          </w:p>
        </w:tc>
        <w:tc>
          <w:tcPr>
            <w:tcW w:w="842" w:type="dxa"/>
          </w:tcPr>
          <w:p>
            <w:pPr>
              <w:pStyle w:val="TableParagraph"/>
              <w:spacing w:before="32"/>
              <w:ind w:left="192"/>
              <w:rPr>
                <w:sz w:val="14"/>
              </w:rPr>
            </w:pPr>
            <w:r>
              <w:rPr>
                <w:sz w:val="14"/>
              </w:rPr>
              <w:t>New</w:t>
            </w:r>
          </w:p>
        </w:tc>
        <w:tc>
          <w:tcPr>
            <w:tcW w:w="1086" w:type="dxa"/>
          </w:tcPr>
          <w:p>
            <w:pPr>
              <w:pStyle w:val="TableParagraph"/>
              <w:spacing w:before="32"/>
              <w:ind w:left="89"/>
              <w:rPr>
                <w:sz w:val="14"/>
              </w:rPr>
            </w:pPr>
            <w:r>
              <w:rPr>
                <w:sz w:val="14"/>
              </w:rPr>
              <w:t>Nationwide</w:t>
            </w:r>
          </w:p>
        </w:tc>
        <w:tc>
          <w:tcPr>
            <w:tcW w:w="1126" w:type="dxa"/>
          </w:tcPr>
          <w:p>
            <w:pPr>
              <w:pStyle w:val="TableParagraph"/>
              <w:spacing w:before="32"/>
              <w:ind w:left="136"/>
              <w:rPr>
                <w:sz w:val="14"/>
              </w:rPr>
            </w:pPr>
            <w:r>
              <w:rPr>
                <w:sz w:val="14"/>
              </w:rPr>
              <w:t>IDB/ GoSL</w:t>
            </w:r>
          </w:p>
        </w:tc>
        <w:tc>
          <w:tcPr>
            <w:tcW w:w="1262" w:type="dxa"/>
          </w:tcPr>
          <w:p>
            <w:pPr>
              <w:pStyle w:val="TableParagraph"/>
              <w:spacing w:before="32"/>
              <w:ind w:left="258"/>
              <w:rPr>
                <w:sz w:val="14"/>
              </w:rPr>
            </w:pPr>
            <w:r>
              <w:rPr>
                <w:sz w:val="14"/>
              </w:rPr>
              <w:t>Budget</w:t>
            </w:r>
          </w:p>
        </w:tc>
        <w:tc>
          <w:tcPr>
            <w:tcW w:w="1107" w:type="dxa"/>
          </w:tcPr>
          <w:p>
            <w:pPr>
              <w:pStyle w:val="TableParagraph"/>
              <w:spacing w:before="32"/>
              <w:ind w:right="368"/>
              <w:jc w:val="right"/>
              <w:rPr>
                <w:sz w:val="14"/>
              </w:rPr>
            </w:pPr>
            <w:r>
              <w:rPr>
                <w:sz w:val="14"/>
              </w:rPr>
              <w:t>4,500</w:t>
            </w:r>
          </w:p>
        </w:tc>
        <w:tc>
          <w:tcPr>
            <w:tcW w:w="691" w:type="dxa"/>
          </w:tcPr>
          <w:p>
            <w:pPr>
              <w:pStyle w:val="TableParagraph"/>
              <w:spacing w:before="32"/>
              <w:ind w:right="143"/>
              <w:jc w:val="right"/>
              <w:rPr>
                <w:sz w:val="14"/>
              </w:rPr>
            </w:pPr>
            <w:r>
              <w:rPr>
                <w:sz w:val="14"/>
              </w:rPr>
              <w:t>500</w:t>
            </w:r>
          </w:p>
        </w:tc>
        <w:tc>
          <w:tcPr>
            <w:tcW w:w="842" w:type="dxa"/>
          </w:tcPr>
          <w:p>
            <w:pPr>
              <w:pStyle w:val="TableParagraph"/>
              <w:rPr>
                <w:rFonts w:ascii="Times New Roman"/>
                <w:sz w:val="14"/>
              </w:rPr>
            </w:pPr>
          </w:p>
        </w:tc>
        <w:tc>
          <w:tcPr>
            <w:tcW w:w="981" w:type="dxa"/>
          </w:tcPr>
          <w:p>
            <w:pPr>
              <w:pStyle w:val="TableParagraph"/>
              <w:spacing w:before="32"/>
              <w:ind w:left="499"/>
              <w:rPr>
                <w:sz w:val="14"/>
              </w:rPr>
            </w:pPr>
            <w:r>
              <w:rPr>
                <w:sz w:val="14"/>
              </w:rPr>
              <w:t>550</w:t>
            </w:r>
          </w:p>
        </w:tc>
        <w:tc>
          <w:tcPr>
            <w:tcW w:w="792" w:type="dxa"/>
          </w:tcPr>
          <w:p>
            <w:pPr>
              <w:pStyle w:val="TableParagraph"/>
              <w:rPr>
                <w:rFonts w:ascii="Times New Roman"/>
                <w:sz w:val="14"/>
              </w:rPr>
            </w:pPr>
          </w:p>
        </w:tc>
        <w:tc>
          <w:tcPr>
            <w:tcW w:w="820" w:type="dxa"/>
          </w:tcPr>
          <w:p>
            <w:pPr>
              <w:pStyle w:val="TableParagraph"/>
              <w:spacing w:before="32"/>
              <w:ind w:right="7"/>
              <w:jc w:val="right"/>
              <w:rPr>
                <w:sz w:val="14"/>
              </w:rPr>
            </w:pPr>
            <w:r>
              <w:rPr>
                <w:sz w:val="14"/>
              </w:rPr>
              <w:t>605</w:t>
            </w:r>
          </w:p>
        </w:tc>
      </w:tr>
      <w:tr>
        <w:trPr>
          <w:trHeight w:val="228" w:hRule="atLeast"/>
        </w:trPr>
        <w:tc>
          <w:tcPr>
            <w:tcW w:w="470" w:type="dxa"/>
          </w:tcPr>
          <w:p>
            <w:pPr>
              <w:pStyle w:val="TableParagraph"/>
              <w:rPr>
                <w:rFonts w:ascii="Times New Roman"/>
                <w:sz w:val="14"/>
              </w:rPr>
            </w:pPr>
          </w:p>
        </w:tc>
        <w:tc>
          <w:tcPr>
            <w:tcW w:w="4775" w:type="dxa"/>
          </w:tcPr>
          <w:p>
            <w:pPr>
              <w:pStyle w:val="TableParagraph"/>
              <w:spacing w:before="29"/>
              <w:ind w:left="263"/>
              <w:rPr>
                <w:sz w:val="14"/>
              </w:rPr>
            </w:pPr>
            <w:r>
              <w:rPr>
                <w:sz w:val="14"/>
              </w:rPr>
              <w:t>Support to Micro-Small and Medium Enterprises</w:t>
            </w:r>
          </w:p>
        </w:tc>
        <w:tc>
          <w:tcPr>
            <w:tcW w:w="842" w:type="dxa"/>
          </w:tcPr>
          <w:p>
            <w:pPr>
              <w:pStyle w:val="TableParagraph"/>
              <w:spacing w:before="29"/>
              <w:ind w:left="192"/>
              <w:rPr>
                <w:sz w:val="14"/>
              </w:rPr>
            </w:pPr>
            <w:r>
              <w:rPr>
                <w:sz w:val="14"/>
              </w:rPr>
              <w:t>New</w:t>
            </w:r>
          </w:p>
        </w:tc>
        <w:tc>
          <w:tcPr>
            <w:tcW w:w="1086" w:type="dxa"/>
          </w:tcPr>
          <w:p>
            <w:pPr>
              <w:pStyle w:val="TableParagraph"/>
              <w:spacing w:before="29"/>
              <w:ind w:left="89"/>
              <w:rPr>
                <w:sz w:val="14"/>
              </w:rPr>
            </w:pPr>
            <w:r>
              <w:rPr>
                <w:sz w:val="14"/>
              </w:rPr>
              <w:t>Nationwide</w:t>
            </w:r>
          </w:p>
        </w:tc>
        <w:tc>
          <w:tcPr>
            <w:tcW w:w="1126" w:type="dxa"/>
          </w:tcPr>
          <w:p>
            <w:pPr>
              <w:pStyle w:val="TableParagraph"/>
              <w:spacing w:before="29"/>
              <w:ind w:left="136"/>
              <w:rPr>
                <w:sz w:val="14"/>
              </w:rPr>
            </w:pPr>
            <w:r>
              <w:rPr>
                <w:sz w:val="14"/>
              </w:rPr>
              <w:t>GoSL</w:t>
            </w:r>
          </w:p>
        </w:tc>
        <w:tc>
          <w:tcPr>
            <w:tcW w:w="1262" w:type="dxa"/>
          </w:tcPr>
          <w:p>
            <w:pPr>
              <w:pStyle w:val="TableParagraph"/>
              <w:spacing w:before="29"/>
              <w:ind w:left="258"/>
              <w:rPr>
                <w:sz w:val="14"/>
              </w:rPr>
            </w:pPr>
            <w:r>
              <w:rPr>
                <w:sz w:val="14"/>
              </w:rPr>
              <w:t>Budget</w:t>
            </w:r>
          </w:p>
        </w:tc>
        <w:tc>
          <w:tcPr>
            <w:tcW w:w="1107" w:type="dxa"/>
          </w:tcPr>
          <w:p>
            <w:pPr>
              <w:pStyle w:val="TableParagraph"/>
              <w:rPr>
                <w:rFonts w:ascii="Times New Roman"/>
                <w:sz w:val="14"/>
              </w:rPr>
            </w:pPr>
          </w:p>
        </w:tc>
        <w:tc>
          <w:tcPr>
            <w:tcW w:w="691" w:type="dxa"/>
          </w:tcPr>
          <w:p>
            <w:pPr>
              <w:pStyle w:val="TableParagraph"/>
              <w:spacing w:before="29"/>
              <w:ind w:right="157"/>
              <w:jc w:val="right"/>
              <w:rPr>
                <w:sz w:val="14"/>
              </w:rPr>
            </w:pPr>
            <w:r>
              <w:rPr>
                <w:w w:val="95"/>
                <w:sz w:val="14"/>
              </w:rPr>
              <w:t>21,000</w:t>
            </w:r>
          </w:p>
        </w:tc>
        <w:tc>
          <w:tcPr>
            <w:tcW w:w="842" w:type="dxa"/>
          </w:tcPr>
          <w:p>
            <w:pPr>
              <w:pStyle w:val="TableParagraph"/>
              <w:rPr>
                <w:rFonts w:ascii="Times New Roman"/>
                <w:sz w:val="14"/>
              </w:rPr>
            </w:pPr>
          </w:p>
        </w:tc>
        <w:tc>
          <w:tcPr>
            <w:tcW w:w="981" w:type="dxa"/>
          </w:tcPr>
          <w:p>
            <w:pPr>
              <w:pStyle w:val="TableParagraph"/>
              <w:spacing w:before="29"/>
              <w:ind w:left="276"/>
              <w:rPr>
                <w:sz w:val="14"/>
              </w:rPr>
            </w:pPr>
            <w:r>
              <w:rPr>
                <w:sz w:val="14"/>
              </w:rPr>
              <w:t>23,100</w:t>
            </w:r>
          </w:p>
        </w:tc>
        <w:tc>
          <w:tcPr>
            <w:tcW w:w="792" w:type="dxa"/>
          </w:tcPr>
          <w:p>
            <w:pPr>
              <w:pStyle w:val="TableParagraph"/>
              <w:rPr>
                <w:rFonts w:ascii="Times New Roman"/>
                <w:sz w:val="14"/>
              </w:rPr>
            </w:pPr>
          </w:p>
        </w:tc>
        <w:tc>
          <w:tcPr>
            <w:tcW w:w="820" w:type="dxa"/>
          </w:tcPr>
          <w:p>
            <w:pPr>
              <w:pStyle w:val="TableParagraph"/>
              <w:spacing w:before="29"/>
              <w:ind w:right="21"/>
              <w:jc w:val="right"/>
              <w:rPr>
                <w:sz w:val="14"/>
              </w:rPr>
            </w:pPr>
            <w:r>
              <w:rPr>
                <w:w w:val="95"/>
                <w:sz w:val="14"/>
              </w:rPr>
              <w:t>25,410</w:t>
            </w:r>
          </w:p>
        </w:tc>
      </w:tr>
      <w:tr>
        <w:trPr>
          <w:trHeight w:val="227" w:hRule="atLeast"/>
        </w:trPr>
        <w:tc>
          <w:tcPr>
            <w:tcW w:w="470" w:type="dxa"/>
          </w:tcPr>
          <w:p>
            <w:pPr>
              <w:pStyle w:val="TableParagraph"/>
              <w:rPr>
                <w:rFonts w:ascii="Times New Roman"/>
                <w:sz w:val="14"/>
              </w:rPr>
            </w:pPr>
          </w:p>
        </w:tc>
        <w:tc>
          <w:tcPr>
            <w:tcW w:w="4775" w:type="dxa"/>
          </w:tcPr>
          <w:p>
            <w:pPr>
              <w:pStyle w:val="TableParagraph"/>
              <w:spacing w:before="32"/>
              <w:ind w:left="263"/>
              <w:rPr>
                <w:sz w:val="14"/>
              </w:rPr>
            </w:pPr>
            <w:r>
              <w:rPr>
                <w:sz w:val="14"/>
              </w:rPr>
              <w:t>Institutional Support to Ministry of Trade and Industry</w:t>
            </w:r>
          </w:p>
        </w:tc>
        <w:tc>
          <w:tcPr>
            <w:tcW w:w="842" w:type="dxa"/>
          </w:tcPr>
          <w:p>
            <w:pPr>
              <w:pStyle w:val="TableParagraph"/>
              <w:spacing w:before="32"/>
              <w:ind w:left="192"/>
              <w:rPr>
                <w:sz w:val="14"/>
              </w:rPr>
            </w:pPr>
            <w:r>
              <w:rPr>
                <w:sz w:val="14"/>
              </w:rPr>
              <w:t>Ongoing</w:t>
            </w:r>
          </w:p>
        </w:tc>
        <w:tc>
          <w:tcPr>
            <w:tcW w:w="1086" w:type="dxa"/>
          </w:tcPr>
          <w:p>
            <w:pPr>
              <w:pStyle w:val="TableParagraph"/>
              <w:spacing w:before="32"/>
              <w:ind w:left="89"/>
              <w:rPr>
                <w:sz w:val="14"/>
              </w:rPr>
            </w:pPr>
            <w:r>
              <w:rPr>
                <w:sz w:val="14"/>
              </w:rPr>
              <w:t>Nationwide</w:t>
            </w:r>
          </w:p>
        </w:tc>
        <w:tc>
          <w:tcPr>
            <w:tcW w:w="1126" w:type="dxa"/>
          </w:tcPr>
          <w:p>
            <w:pPr>
              <w:pStyle w:val="TableParagraph"/>
              <w:spacing w:before="32"/>
              <w:ind w:left="136"/>
              <w:rPr>
                <w:sz w:val="14"/>
              </w:rPr>
            </w:pPr>
            <w:r>
              <w:rPr>
                <w:sz w:val="14"/>
              </w:rPr>
              <w:t>GoSL</w:t>
            </w:r>
          </w:p>
        </w:tc>
        <w:tc>
          <w:tcPr>
            <w:tcW w:w="1262" w:type="dxa"/>
          </w:tcPr>
          <w:p>
            <w:pPr>
              <w:pStyle w:val="TableParagraph"/>
              <w:spacing w:before="32"/>
              <w:ind w:left="258"/>
              <w:rPr>
                <w:sz w:val="14"/>
              </w:rPr>
            </w:pPr>
            <w:r>
              <w:rPr>
                <w:sz w:val="14"/>
              </w:rPr>
              <w:t>Budget</w:t>
            </w:r>
          </w:p>
        </w:tc>
        <w:tc>
          <w:tcPr>
            <w:tcW w:w="1107" w:type="dxa"/>
          </w:tcPr>
          <w:p>
            <w:pPr>
              <w:pStyle w:val="TableParagraph"/>
              <w:spacing w:before="32"/>
              <w:ind w:right="355"/>
              <w:jc w:val="right"/>
              <w:rPr>
                <w:sz w:val="14"/>
              </w:rPr>
            </w:pPr>
            <w:r>
              <w:rPr>
                <w:w w:val="99"/>
                <w:sz w:val="14"/>
              </w:rPr>
              <w:t>-</w:t>
            </w:r>
          </w:p>
        </w:tc>
        <w:tc>
          <w:tcPr>
            <w:tcW w:w="691" w:type="dxa"/>
          </w:tcPr>
          <w:p>
            <w:pPr>
              <w:pStyle w:val="TableParagraph"/>
              <w:spacing w:before="32"/>
              <w:ind w:right="143"/>
              <w:jc w:val="right"/>
              <w:rPr>
                <w:sz w:val="14"/>
              </w:rPr>
            </w:pPr>
            <w:r>
              <w:rPr>
                <w:sz w:val="14"/>
              </w:rPr>
              <w:t>500</w:t>
            </w:r>
          </w:p>
        </w:tc>
        <w:tc>
          <w:tcPr>
            <w:tcW w:w="842" w:type="dxa"/>
          </w:tcPr>
          <w:p>
            <w:pPr>
              <w:pStyle w:val="TableParagraph"/>
              <w:rPr>
                <w:rFonts w:ascii="Times New Roman"/>
                <w:sz w:val="14"/>
              </w:rPr>
            </w:pPr>
          </w:p>
        </w:tc>
        <w:tc>
          <w:tcPr>
            <w:tcW w:w="981" w:type="dxa"/>
          </w:tcPr>
          <w:p>
            <w:pPr>
              <w:pStyle w:val="TableParagraph"/>
              <w:spacing w:before="32"/>
              <w:ind w:left="499"/>
              <w:rPr>
                <w:sz w:val="14"/>
              </w:rPr>
            </w:pPr>
            <w:r>
              <w:rPr>
                <w:sz w:val="14"/>
              </w:rPr>
              <w:t>550</w:t>
            </w:r>
          </w:p>
        </w:tc>
        <w:tc>
          <w:tcPr>
            <w:tcW w:w="792" w:type="dxa"/>
          </w:tcPr>
          <w:p>
            <w:pPr>
              <w:pStyle w:val="TableParagraph"/>
              <w:rPr>
                <w:rFonts w:ascii="Times New Roman"/>
                <w:sz w:val="14"/>
              </w:rPr>
            </w:pPr>
          </w:p>
        </w:tc>
        <w:tc>
          <w:tcPr>
            <w:tcW w:w="820" w:type="dxa"/>
          </w:tcPr>
          <w:p>
            <w:pPr>
              <w:pStyle w:val="TableParagraph"/>
              <w:spacing w:before="32"/>
              <w:ind w:right="7"/>
              <w:jc w:val="right"/>
              <w:rPr>
                <w:sz w:val="14"/>
              </w:rPr>
            </w:pPr>
            <w:r>
              <w:rPr>
                <w:sz w:val="14"/>
              </w:rPr>
              <w:t>605</w:t>
            </w:r>
          </w:p>
        </w:tc>
      </w:tr>
    </w:tbl>
    <w:p>
      <w:pPr>
        <w:spacing w:after="0"/>
        <w:jc w:val="right"/>
        <w:rPr>
          <w:sz w:val="14"/>
        </w:rPr>
        <w:sectPr>
          <w:pgSz w:w="16840" w:h="11900" w:orient="landscape"/>
          <w:pgMar w:header="1107" w:footer="0" w:top="2040" w:bottom="280" w:left="880" w:right="920"/>
        </w:sectPr>
      </w:pPr>
    </w:p>
    <w:p>
      <w:pPr>
        <w:pStyle w:val="BodyText"/>
        <w:spacing w:before="2" w:after="1"/>
        <w:rPr>
          <w:rFonts w:ascii="Times New Roman"/>
          <w:sz w:val="13"/>
        </w:rPr>
      </w:pPr>
      <w:r>
        <w:rPr/>
        <w:pict>
          <v:shape style="position:absolute;margin-left:27.140491pt;margin-top:281.790009pt;width:14.35pt;height:28.15pt;mso-position-horizontal-relative:page;mso-position-vertical-relative:page;z-index:1936" type="#_x0000_t202" filled="false" stroked="false">
            <v:textbox inset="0,0,0,0" style="layout-flow:vertical">
              <w:txbxContent>
                <w:p>
                  <w:pPr>
                    <w:spacing w:before="13"/>
                    <w:ind w:left="20" w:right="0" w:firstLine="0"/>
                    <w:jc w:val="left"/>
                    <w:rPr>
                      <w:rFonts w:ascii="Arial"/>
                      <w:sz w:val="22"/>
                    </w:rPr>
                  </w:pPr>
                  <w:r>
                    <w:rPr>
                      <w:rFonts w:ascii="Arial"/>
                      <w:sz w:val="22"/>
                    </w:rPr>
                    <w:t>xxxiv</w:t>
                  </w:r>
                </w:p>
              </w:txbxContent>
            </v:textbox>
            <w10:wrap type="none"/>
          </v:shape>
        </w:pic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763"/>
        <w:gridCol w:w="855"/>
        <w:gridCol w:w="1074"/>
        <w:gridCol w:w="1095"/>
        <w:gridCol w:w="1305"/>
        <w:gridCol w:w="719"/>
        <w:gridCol w:w="1115"/>
        <w:gridCol w:w="805"/>
        <w:gridCol w:w="981"/>
        <w:gridCol w:w="792"/>
        <w:gridCol w:w="820"/>
      </w:tblGrid>
      <w:tr>
        <w:trPr>
          <w:trHeight w:val="183" w:hRule="atLeast"/>
        </w:trPr>
        <w:tc>
          <w:tcPr>
            <w:tcW w:w="14794" w:type="dxa"/>
            <w:gridSpan w:val="12"/>
            <w:tcBorders>
              <w:bottom w:val="single" w:sz="4" w:space="0" w:color="000000"/>
            </w:tcBorders>
          </w:tcPr>
          <w:p>
            <w:pPr>
              <w:pStyle w:val="TableParagraph"/>
              <w:tabs>
                <w:tab w:pos="11471" w:val="left" w:leader="none"/>
                <w:tab w:pos="13117" w:val="left" w:leader="none"/>
              </w:tabs>
              <w:spacing w:line="156" w:lineRule="exact"/>
              <w:ind w:left="9829"/>
              <w:rPr>
                <w:b/>
                <w:sz w:val="14"/>
              </w:rPr>
            </w:pPr>
            <w:r>
              <w:rPr>
                <w:b/>
                <w:spacing w:val="2"/>
                <w:sz w:val="14"/>
              </w:rPr>
              <w:t>FY</w:t>
            </w:r>
            <w:r>
              <w:rPr>
                <w:b/>
                <w:spacing w:val="1"/>
                <w:sz w:val="14"/>
              </w:rPr>
              <w:t> </w:t>
            </w:r>
            <w:r>
              <w:rPr>
                <w:b/>
                <w:spacing w:val="4"/>
                <w:sz w:val="14"/>
              </w:rPr>
              <w:t>2020</w:t>
            </w:r>
            <w:r>
              <w:rPr>
                <w:b/>
                <w:spacing w:val="6"/>
                <w:sz w:val="14"/>
              </w:rPr>
              <w:t> </w:t>
            </w:r>
            <w:r>
              <w:rPr>
                <w:b/>
                <w:sz w:val="14"/>
              </w:rPr>
              <w:t>Budget</w:t>
              <w:tab/>
            </w:r>
            <w:r>
              <w:rPr>
                <w:b/>
                <w:spacing w:val="2"/>
                <w:sz w:val="14"/>
              </w:rPr>
              <w:t>FY</w:t>
            </w:r>
            <w:r>
              <w:rPr>
                <w:b/>
                <w:spacing w:val="12"/>
                <w:sz w:val="14"/>
              </w:rPr>
              <w:t> </w:t>
            </w:r>
            <w:r>
              <w:rPr>
                <w:b/>
                <w:spacing w:val="4"/>
                <w:sz w:val="14"/>
              </w:rPr>
              <w:t>2021</w:t>
            </w:r>
            <w:r>
              <w:rPr>
                <w:b/>
                <w:spacing w:val="17"/>
                <w:sz w:val="14"/>
              </w:rPr>
              <w:t> </w:t>
            </w:r>
            <w:r>
              <w:rPr>
                <w:b/>
                <w:spacing w:val="3"/>
                <w:sz w:val="14"/>
              </w:rPr>
              <w:t>Indicative</w:t>
              <w:tab/>
            </w:r>
            <w:r>
              <w:rPr>
                <w:b/>
                <w:spacing w:val="2"/>
                <w:sz w:val="14"/>
              </w:rPr>
              <w:t>FY </w:t>
            </w:r>
            <w:r>
              <w:rPr>
                <w:b/>
                <w:spacing w:val="4"/>
                <w:sz w:val="14"/>
              </w:rPr>
              <w:t>2022</w:t>
            </w:r>
            <w:r>
              <w:rPr>
                <w:b/>
                <w:spacing w:val="25"/>
                <w:sz w:val="14"/>
              </w:rPr>
              <w:t> </w:t>
            </w:r>
            <w:r>
              <w:rPr>
                <w:b/>
                <w:spacing w:val="3"/>
                <w:sz w:val="14"/>
              </w:rPr>
              <w:t>Indicative</w:t>
            </w:r>
          </w:p>
        </w:tc>
      </w:tr>
      <w:tr>
        <w:trPr>
          <w:trHeight w:val="445"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before="60"/>
              <w:ind w:left="18"/>
              <w:rPr>
                <w:sz w:val="14"/>
              </w:rPr>
            </w:pPr>
            <w:r>
              <w:rPr>
                <w:spacing w:val="2"/>
                <w:sz w:val="14"/>
              </w:rPr>
              <w:t>Code</w:t>
            </w:r>
          </w:p>
        </w:tc>
        <w:tc>
          <w:tcPr>
            <w:tcW w:w="4763" w:type="dxa"/>
            <w:tcBorders>
              <w:top w:val="single" w:sz="4" w:space="0" w:color="000000"/>
              <w:bottom w:val="single" w:sz="18" w:space="0" w:color="000000"/>
            </w:tcBorders>
          </w:tcPr>
          <w:p>
            <w:pPr>
              <w:pStyle w:val="TableParagraph"/>
              <w:spacing w:before="22"/>
              <w:ind w:left="114"/>
              <w:rPr>
                <w:sz w:val="14"/>
              </w:rPr>
            </w:pPr>
            <w:r>
              <w:rPr>
                <w:sz w:val="14"/>
              </w:rPr>
              <w:t>National Development Plan Cluster/ Ministry, Department</w:t>
            </w:r>
          </w:p>
          <w:p>
            <w:pPr>
              <w:pStyle w:val="TableParagraph"/>
              <w:spacing w:before="60"/>
              <w:ind w:left="114"/>
              <w:rPr>
                <w:sz w:val="14"/>
              </w:rPr>
            </w:pPr>
            <w:r>
              <w:rPr>
                <w:sz w:val="14"/>
              </w:rPr>
              <w:t>and Agency (MDAs)</w:t>
            </w:r>
          </w:p>
        </w:tc>
        <w:tc>
          <w:tcPr>
            <w:tcW w:w="855" w:type="dxa"/>
            <w:tcBorders>
              <w:top w:val="single" w:sz="4" w:space="0" w:color="000000"/>
              <w:bottom w:val="single" w:sz="18" w:space="0" w:color="000000"/>
            </w:tcBorders>
          </w:tcPr>
          <w:p>
            <w:pPr>
              <w:pStyle w:val="TableParagraph"/>
              <w:spacing w:before="22"/>
              <w:ind w:left="237"/>
              <w:rPr>
                <w:sz w:val="14"/>
              </w:rPr>
            </w:pPr>
            <w:r>
              <w:rPr>
                <w:sz w:val="14"/>
              </w:rPr>
              <w:t>Status</w:t>
            </w:r>
          </w:p>
        </w:tc>
        <w:tc>
          <w:tcPr>
            <w:tcW w:w="1074" w:type="dxa"/>
            <w:tcBorders>
              <w:top w:val="single" w:sz="4" w:space="0" w:color="000000"/>
              <w:bottom w:val="single" w:sz="18" w:space="0" w:color="000000"/>
            </w:tcBorders>
          </w:tcPr>
          <w:p>
            <w:pPr>
              <w:pStyle w:val="TableParagraph"/>
              <w:spacing w:before="22"/>
              <w:ind w:left="108"/>
              <w:rPr>
                <w:sz w:val="14"/>
              </w:rPr>
            </w:pPr>
            <w:r>
              <w:rPr>
                <w:sz w:val="14"/>
              </w:rPr>
              <w:t>Location</w:t>
            </w:r>
          </w:p>
        </w:tc>
        <w:tc>
          <w:tcPr>
            <w:tcW w:w="1095" w:type="dxa"/>
            <w:tcBorders>
              <w:top w:val="single" w:sz="4" w:space="0" w:color="000000"/>
              <w:bottom w:val="single" w:sz="18" w:space="0" w:color="000000"/>
            </w:tcBorders>
          </w:tcPr>
          <w:p>
            <w:pPr>
              <w:pStyle w:val="TableParagraph"/>
              <w:spacing w:before="22"/>
              <w:ind w:left="104"/>
              <w:rPr>
                <w:sz w:val="14"/>
              </w:rPr>
            </w:pPr>
            <w:r>
              <w:rPr>
                <w:spacing w:val="6"/>
                <w:sz w:val="14"/>
              </w:rPr>
              <w:t>Funding</w:t>
            </w:r>
          </w:p>
          <w:p>
            <w:pPr>
              <w:pStyle w:val="TableParagraph"/>
              <w:spacing w:before="60"/>
              <w:ind w:left="156"/>
              <w:rPr>
                <w:sz w:val="14"/>
              </w:rPr>
            </w:pPr>
            <w:r>
              <w:rPr>
                <w:spacing w:val="4"/>
                <w:sz w:val="14"/>
              </w:rPr>
              <w:t>Source</w:t>
            </w:r>
          </w:p>
        </w:tc>
        <w:tc>
          <w:tcPr>
            <w:tcW w:w="1305" w:type="dxa"/>
            <w:tcBorders>
              <w:top w:val="single" w:sz="4" w:space="0" w:color="000000"/>
              <w:bottom w:val="single" w:sz="18" w:space="0" w:color="000000"/>
            </w:tcBorders>
          </w:tcPr>
          <w:p>
            <w:pPr>
              <w:pStyle w:val="TableParagraph"/>
              <w:spacing w:before="22"/>
              <w:ind w:left="259" w:right="499"/>
              <w:jc w:val="center"/>
              <w:rPr>
                <w:sz w:val="14"/>
              </w:rPr>
            </w:pPr>
            <w:r>
              <w:rPr>
                <w:sz w:val="14"/>
              </w:rPr>
              <w:t>Funding</w:t>
            </w:r>
          </w:p>
          <w:p>
            <w:pPr>
              <w:pStyle w:val="TableParagraph"/>
              <w:spacing w:before="60"/>
              <w:ind w:left="259" w:right="439"/>
              <w:jc w:val="center"/>
              <w:rPr>
                <w:sz w:val="14"/>
              </w:rPr>
            </w:pPr>
            <w:r>
              <w:rPr>
                <w:sz w:val="14"/>
              </w:rPr>
              <w:t>Type</w:t>
            </w:r>
          </w:p>
        </w:tc>
        <w:tc>
          <w:tcPr>
            <w:tcW w:w="719" w:type="dxa"/>
            <w:tcBorders>
              <w:top w:val="single" w:sz="4" w:space="0" w:color="000000"/>
              <w:bottom w:val="single" w:sz="18" w:space="0" w:color="000000"/>
            </w:tcBorders>
          </w:tcPr>
          <w:p>
            <w:pPr>
              <w:pStyle w:val="TableParagraph"/>
              <w:spacing w:before="22"/>
              <w:ind w:left="138"/>
              <w:rPr>
                <w:sz w:val="14"/>
              </w:rPr>
            </w:pPr>
            <w:r>
              <w:rPr>
                <w:sz w:val="14"/>
              </w:rPr>
              <w:t>Foreign</w:t>
            </w:r>
          </w:p>
        </w:tc>
        <w:tc>
          <w:tcPr>
            <w:tcW w:w="1115" w:type="dxa"/>
            <w:tcBorders>
              <w:top w:val="single" w:sz="4" w:space="0" w:color="000000"/>
              <w:bottom w:val="single" w:sz="18" w:space="0" w:color="000000"/>
            </w:tcBorders>
          </w:tcPr>
          <w:p>
            <w:pPr>
              <w:pStyle w:val="TableParagraph"/>
              <w:spacing w:before="22"/>
              <w:ind w:left="-15" w:right="148"/>
              <w:jc w:val="right"/>
              <w:rPr>
                <w:sz w:val="14"/>
              </w:rPr>
            </w:pPr>
            <w:r>
              <w:rPr>
                <w:w w:val="95"/>
                <w:sz w:val="14"/>
              </w:rPr>
              <w:t>Domestic</w:t>
            </w:r>
          </w:p>
        </w:tc>
        <w:tc>
          <w:tcPr>
            <w:tcW w:w="805" w:type="dxa"/>
            <w:tcBorders>
              <w:top w:val="single" w:sz="4" w:space="0" w:color="000000"/>
              <w:bottom w:val="single" w:sz="18" w:space="0" w:color="000000"/>
            </w:tcBorders>
          </w:tcPr>
          <w:p>
            <w:pPr>
              <w:pStyle w:val="TableParagraph"/>
              <w:spacing w:before="22"/>
              <w:ind w:right="156"/>
              <w:jc w:val="right"/>
              <w:rPr>
                <w:sz w:val="14"/>
              </w:rPr>
            </w:pPr>
            <w:r>
              <w:rPr>
                <w:w w:val="95"/>
                <w:sz w:val="14"/>
              </w:rPr>
              <w:t>Foreign</w:t>
            </w:r>
          </w:p>
        </w:tc>
        <w:tc>
          <w:tcPr>
            <w:tcW w:w="981" w:type="dxa"/>
            <w:tcBorders>
              <w:top w:val="single" w:sz="4" w:space="0" w:color="000000"/>
              <w:bottom w:val="single" w:sz="18" w:space="0" w:color="000000"/>
            </w:tcBorders>
          </w:tcPr>
          <w:p>
            <w:pPr>
              <w:pStyle w:val="TableParagraph"/>
              <w:spacing w:before="22"/>
              <w:ind w:left="259"/>
              <w:rPr>
                <w:sz w:val="14"/>
              </w:rPr>
            </w:pPr>
            <w:r>
              <w:rPr>
                <w:sz w:val="14"/>
              </w:rPr>
              <w:t>Domestic</w:t>
            </w:r>
          </w:p>
        </w:tc>
        <w:tc>
          <w:tcPr>
            <w:tcW w:w="792" w:type="dxa"/>
            <w:tcBorders>
              <w:top w:val="single" w:sz="4" w:space="0" w:color="000000"/>
              <w:bottom w:val="single" w:sz="18" w:space="0" w:color="000000"/>
            </w:tcBorders>
          </w:tcPr>
          <w:p>
            <w:pPr>
              <w:pStyle w:val="TableParagraph"/>
              <w:spacing w:before="22"/>
              <w:ind w:right="172"/>
              <w:jc w:val="right"/>
              <w:rPr>
                <w:sz w:val="14"/>
              </w:rPr>
            </w:pPr>
            <w:r>
              <w:rPr>
                <w:w w:val="95"/>
                <w:sz w:val="14"/>
              </w:rPr>
              <w:t>Foreign</w:t>
            </w:r>
          </w:p>
        </w:tc>
        <w:tc>
          <w:tcPr>
            <w:tcW w:w="820" w:type="dxa"/>
            <w:tcBorders>
              <w:top w:val="single" w:sz="4" w:space="0" w:color="000000"/>
              <w:bottom w:val="single" w:sz="18" w:space="0" w:color="000000"/>
            </w:tcBorders>
          </w:tcPr>
          <w:p>
            <w:pPr>
              <w:pStyle w:val="TableParagraph"/>
              <w:spacing w:before="22"/>
              <w:ind w:right="85"/>
              <w:jc w:val="right"/>
              <w:rPr>
                <w:sz w:val="14"/>
              </w:rPr>
            </w:pPr>
            <w:r>
              <w:rPr>
                <w:w w:val="95"/>
                <w:sz w:val="14"/>
              </w:rPr>
              <w:t>Domestic</w:t>
            </w:r>
          </w:p>
        </w:tc>
      </w:tr>
      <w:tr>
        <w:trPr>
          <w:trHeight w:val="229" w:hRule="atLeast"/>
        </w:trPr>
        <w:tc>
          <w:tcPr>
            <w:tcW w:w="470" w:type="dxa"/>
            <w:tcBorders>
              <w:top w:val="single" w:sz="18" w:space="0" w:color="000000"/>
            </w:tcBorders>
          </w:tcPr>
          <w:p>
            <w:pPr>
              <w:pStyle w:val="TableParagraph"/>
              <w:spacing w:before="31"/>
              <w:ind w:left="124"/>
              <w:rPr>
                <w:sz w:val="14"/>
              </w:rPr>
            </w:pPr>
            <w:r>
              <w:rPr>
                <w:sz w:val="14"/>
              </w:rPr>
              <w:t>409</w:t>
            </w:r>
          </w:p>
        </w:tc>
        <w:tc>
          <w:tcPr>
            <w:tcW w:w="4763" w:type="dxa"/>
            <w:tcBorders>
              <w:top w:val="single" w:sz="18" w:space="0" w:color="000000"/>
            </w:tcBorders>
          </w:tcPr>
          <w:p>
            <w:pPr>
              <w:pStyle w:val="TableParagraph"/>
              <w:spacing w:before="31"/>
              <w:ind w:left="95"/>
              <w:rPr>
                <w:b/>
                <w:sz w:val="14"/>
              </w:rPr>
            </w:pPr>
            <w:r>
              <w:rPr>
                <w:b/>
                <w:sz w:val="14"/>
              </w:rPr>
              <w:t>Sierra Leone Investment and Export Promotion Agency (SLIEPA)</w:t>
            </w:r>
          </w:p>
        </w:tc>
        <w:tc>
          <w:tcPr>
            <w:tcW w:w="855" w:type="dxa"/>
            <w:tcBorders>
              <w:top w:val="single" w:sz="18" w:space="0" w:color="000000"/>
            </w:tcBorders>
          </w:tcPr>
          <w:p>
            <w:pPr>
              <w:pStyle w:val="TableParagraph"/>
              <w:rPr>
                <w:rFonts w:ascii="Times New Roman"/>
                <w:sz w:val="14"/>
              </w:rPr>
            </w:pPr>
          </w:p>
        </w:tc>
        <w:tc>
          <w:tcPr>
            <w:tcW w:w="1074" w:type="dxa"/>
            <w:tcBorders>
              <w:top w:val="single" w:sz="18" w:space="0" w:color="000000"/>
            </w:tcBorders>
          </w:tcPr>
          <w:p>
            <w:pPr>
              <w:pStyle w:val="TableParagraph"/>
              <w:rPr>
                <w:rFonts w:ascii="Times New Roman"/>
                <w:sz w:val="14"/>
              </w:rPr>
            </w:pPr>
          </w:p>
        </w:tc>
        <w:tc>
          <w:tcPr>
            <w:tcW w:w="1095" w:type="dxa"/>
            <w:tcBorders>
              <w:top w:val="single" w:sz="18" w:space="0" w:color="000000"/>
            </w:tcBorders>
          </w:tcPr>
          <w:p>
            <w:pPr>
              <w:pStyle w:val="TableParagraph"/>
              <w:rPr>
                <w:rFonts w:ascii="Times New Roman"/>
                <w:sz w:val="14"/>
              </w:rPr>
            </w:pPr>
          </w:p>
        </w:tc>
        <w:tc>
          <w:tcPr>
            <w:tcW w:w="1305" w:type="dxa"/>
            <w:tcBorders>
              <w:top w:val="single" w:sz="18" w:space="0" w:color="000000"/>
            </w:tcBorders>
          </w:tcPr>
          <w:p>
            <w:pPr>
              <w:pStyle w:val="TableParagraph"/>
              <w:rPr>
                <w:rFonts w:ascii="Times New Roman"/>
                <w:sz w:val="14"/>
              </w:rPr>
            </w:pPr>
          </w:p>
        </w:tc>
        <w:tc>
          <w:tcPr>
            <w:tcW w:w="719" w:type="dxa"/>
            <w:tcBorders>
              <w:top w:val="single" w:sz="18" w:space="0" w:color="000000"/>
            </w:tcBorders>
          </w:tcPr>
          <w:p>
            <w:pPr>
              <w:pStyle w:val="TableParagraph"/>
              <w:rPr>
                <w:rFonts w:ascii="Times New Roman"/>
                <w:sz w:val="14"/>
              </w:rPr>
            </w:pPr>
          </w:p>
        </w:tc>
        <w:tc>
          <w:tcPr>
            <w:tcW w:w="1115" w:type="dxa"/>
            <w:tcBorders>
              <w:top w:val="single" w:sz="18" w:space="0" w:color="000000"/>
            </w:tcBorders>
          </w:tcPr>
          <w:p>
            <w:pPr>
              <w:pStyle w:val="TableParagraph"/>
              <w:tabs>
                <w:tab w:pos="671" w:val="left" w:leader="none"/>
              </w:tabs>
              <w:spacing w:before="31"/>
              <w:ind w:left="-15" w:right="191"/>
              <w:jc w:val="right"/>
              <w:rPr>
                <w:b/>
                <w:sz w:val="14"/>
              </w:rPr>
            </w:pPr>
            <w:r>
              <w:rPr>
                <w:b/>
                <w:sz w:val="14"/>
              </w:rPr>
              <w:t>-</w:t>
              <w:tab/>
            </w:r>
            <w:r>
              <w:rPr>
                <w:b/>
                <w:spacing w:val="-2"/>
                <w:sz w:val="14"/>
              </w:rPr>
              <w:t>300</w:t>
            </w:r>
          </w:p>
        </w:tc>
        <w:tc>
          <w:tcPr>
            <w:tcW w:w="805" w:type="dxa"/>
            <w:tcBorders>
              <w:top w:val="single" w:sz="18" w:space="0" w:color="000000"/>
            </w:tcBorders>
          </w:tcPr>
          <w:p>
            <w:pPr>
              <w:pStyle w:val="TableParagraph"/>
              <w:spacing w:before="31"/>
              <w:ind w:right="120"/>
              <w:jc w:val="right"/>
              <w:rPr>
                <w:b/>
                <w:sz w:val="14"/>
              </w:rPr>
            </w:pPr>
            <w:r>
              <w:rPr>
                <w:b/>
                <w:w w:val="99"/>
                <w:sz w:val="14"/>
              </w:rPr>
              <w:t>-</w:t>
            </w:r>
          </w:p>
        </w:tc>
        <w:tc>
          <w:tcPr>
            <w:tcW w:w="981" w:type="dxa"/>
            <w:tcBorders>
              <w:top w:val="single" w:sz="18" w:space="0" w:color="000000"/>
            </w:tcBorders>
          </w:tcPr>
          <w:p>
            <w:pPr>
              <w:pStyle w:val="TableParagraph"/>
              <w:spacing w:before="31"/>
              <w:ind w:left="488"/>
              <w:rPr>
                <w:b/>
                <w:sz w:val="14"/>
              </w:rPr>
            </w:pPr>
            <w:r>
              <w:rPr>
                <w:b/>
                <w:sz w:val="14"/>
              </w:rPr>
              <w:t>330</w:t>
            </w:r>
          </w:p>
        </w:tc>
        <w:tc>
          <w:tcPr>
            <w:tcW w:w="792" w:type="dxa"/>
            <w:tcBorders>
              <w:top w:val="single" w:sz="18" w:space="0" w:color="000000"/>
            </w:tcBorders>
          </w:tcPr>
          <w:p>
            <w:pPr>
              <w:pStyle w:val="TableParagraph"/>
              <w:spacing w:before="31"/>
              <w:ind w:right="130"/>
              <w:jc w:val="right"/>
              <w:rPr>
                <w:b/>
                <w:sz w:val="14"/>
              </w:rPr>
            </w:pPr>
            <w:r>
              <w:rPr>
                <w:b/>
                <w:w w:val="99"/>
                <w:sz w:val="14"/>
              </w:rPr>
              <w:t>-</w:t>
            </w:r>
          </w:p>
        </w:tc>
        <w:tc>
          <w:tcPr>
            <w:tcW w:w="820" w:type="dxa"/>
            <w:tcBorders>
              <w:top w:val="single" w:sz="18" w:space="0" w:color="000000"/>
            </w:tcBorders>
          </w:tcPr>
          <w:p>
            <w:pPr>
              <w:pStyle w:val="TableParagraph"/>
              <w:spacing w:before="31"/>
              <w:ind w:right="18"/>
              <w:jc w:val="right"/>
              <w:rPr>
                <w:b/>
                <w:sz w:val="14"/>
              </w:rPr>
            </w:pPr>
            <w:r>
              <w:rPr>
                <w:b/>
                <w:sz w:val="14"/>
              </w:rPr>
              <w:t>363</w:t>
            </w:r>
          </w:p>
        </w:tc>
      </w:tr>
      <w:tr>
        <w:trPr>
          <w:trHeight w:val="345"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Institutional support to SLEIPA</w:t>
            </w:r>
          </w:p>
        </w:tc>
        <w:tc>
          <w:tcPr>
            <w:tcW w:w="855" w:type="dxa"/>
          </w:tcPr>
          <w:p>
            <w:pPr>
              <w:pStyle w:val="TableParagraph"/>
              <w:spacing w:before="32"/>
              <w:ind w:left="204"/>
              <w:rPr>
                <w:sz w:val="14"/>
              </w:rPr>
            </w:pPr>
            <w:r>
              <w:rPr>
                <w:sz w:val="14"/>
              </w:rPr>
              <w:t>Ongoing</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719" w:type="dxa"/>
          </w:tcPr>
          <w:p>
            <w:pPr>
              <w:pStyle w:val="TableParagraph"/>
              <w:rPr>
                <w:rFonts w:ascii="Times New Roman"/>
                <w:sz w:val="14"/>
              </w:rPr>
            </w:pPr>
          </w:p>
        </w:tc>
        <w:tc>
          <w:tcPr>
            <w:tcW w:w="1115" w:type="dxa"/>
          </w:tcPr>
          <w:p>
            <w:pPr>
              <w:pStyle w:val="TableParagraph"/>
              <w:spacing w:before="32"/>
              <w:ind w:left="-15" w:right="180"/>
              <w:jc w:val="right"/>
              <w:rPr>
                <w:sz w:val="14"/>
              </w:rPr>
            </w:pPr>
            <w:r>
              <w:rPr>
                <w:sz w:val="14"/>
              </w:rPr>
              <w:t>300</w:t>
            </w:r>
          </w:p>
        </w:tc>
        <w:tc>
          <w:tcPr>
            <w:tcW w:w="805" w:type="dxa"/>
          </w:tcPr>
          <w:p>
            <w:pPr>
              <w:pStyle w:val="TableParagraph"/>
              <w:rPr>
                <w:rFonts w:ascii="Times New Roman"/>
                <w:sz w:val="14"/>
              </w:rPr>
            </w:pPr>
          </w:p>
        </w:tc>
        <w:tc>
          <w:tcPr>
            <w:tcW w:w="981" w:type="dxa"/>
          </w:tcPr>
          <w:p>
            <w:pPr>
              <w:pStyle w:val="TableParagraph"/>
              <w:spacing w:before="32"/>
              <w:ind w:left="499"/>
              <w:rPr>
                <w:sz w:val="14"/>
              </w:rPr>
            </w:pPr>
            <w:r>
              <w:rPr>
                <w:sz w:val="14"/>
              </w:rPr>
              <w:t>330</w:t>
            </w:r>
          </w:p>
        </w:tc>
        <w:tc>
          <w:tcPr>
            <w:tcW w:w="792" w:type="dxa"/>
          </w:tcPr>
          <w:p>
            <w:pPr>
              <w:pStyle w:val="TableParagraph"/>
              <w:rPr>
                <w:rFonts w:ascii="Times New Roman"/>
                <w:sz w:val="14"/>
              </w:rPr>
            </w:pPr>
          </w:p>
        </w:tc>
        <w:tc>
          <w:tcPr>
            <w:tcW w:w="820" w:type="dxa"/>
          </w:tcPr>
          <w:p>
            <w:pPr>
              <w:pStyle w:val="TableParagraph"/>
              <w:spacing w:before="32"/>
              <w:ind w:right="7"/>
              <w:jc w:val="right"/>
              <w:rPr>
                <w:sz w:val="14"/>
              </w:rPr>
            </w:pPr>
            <w:r>
              <w:rPr>
                <w:sz w:val="14"/>
              </w:rPr>
              <w:t>363</w:t>
            </w:r>
          </w:p>
        </w:tc>
      </w:tr>
      <w:tr>
        <w:trPr>
          <w:trHeight w:val="345" w:hRule="atLeast"/>
        </w:trPr>
        <w:tc>
          <w:tcPr>
            <w:tcW w:w="470" w:type="dxa"/>
          </w:tcPr>
          <w:p>
            <w:pPr>
              <w:pStyle w:val="TableParagraph"/>
              <w:rPr>
                <w:rFonts w:ascii="Times New Roman"/>
                <w:sz w:val="14"/>
              </w:rPr>
            </w:pPr>
          </w:p>
        </w:tc>
        <w:tc>
          <w:tcPr>
            <w:tcW w:w="4763" w:type="dxa"/>
          </w:tcPr>
          <w:p>
            <w:pPr>
              <w:pStyle w:val="TableParagraph"/>
              <w:spacing w:before="9"/>
              <w:rPr>
                <w:rFonts w:ascii="Times New Roman"/>
                <w:sz w:val="12"/>
              </w:rPr>
            </w:pPr>
          </w:p>
          <w:p>
            <w:pPr>
              <w:pStyle w:val="TableParagraph"/>
              <w:ind w:left="95"/>
              <w:rPr>
                <w:b/>
                <w:sz w:val="14"/>
              </w:rPr>
            </w:pPr>
            <w:r>
              <w:rPr>
                <w:b/>
                <w:sz w:val="14"/>
              </w:rPr>
              <w:t>Cluster Four: Governance and Accountability for Results</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spacing w:before="9"/>
              <w:rPr>
                <w:rFonts w:ascii="Times New Roman"/>
                <w:sz w:val="12"/>
              </w:rPr>
            </w:pPr>
          </w:p>
          <w:p>
            <w:pPr>
              <w:pStyle w:val="TableParagraph"/>
              <w:tabs>
                <w:tab w:pos="1151" w:val="left" w:leader="none"/>
              </w:tabs>
              <w:ind w:left="167"/>
              <w:rPr>
                <w:b/>
                <w:sz w:val="14"/>
              </w:rPr>
            </w:pPr>
            <w:r>
              <w:rPr>
                <w:b/>
                <w:spacing w:val="3"/>
                <w:sz w:val="14"/>
              </w:rPr>
              <w:t>126,666</w:t>
              <w:tab/>
            </w:r>
            <w:r>
              <w:rPr>
                <w:b/>
                <w:spacing w:val="6"/>
                <w:sz w:val="14"/>
              </w:rPr>
              <w:t>89,627</w:t>
            </w:r>
          </w:p>
        </w:tc>
        <w:tc>
          <w:tcPr>
            <w:tcW w:w="805" w:type="dxa"/>
          </w:tcPr>
          <w:p>
            <w:pPr>
              <w:pStyle w:val="TableParagraph"/>
              <w:spacing w:before="9"/>
              <w:rPr>
                <w:rFonts w:ascii="Times New Roman"/>
                <w:sz w:val="12"/>
              </w:rPr>
            </w:pPr>
          </w:p>
          <w:p>
            <w:pPr>
              <w:pStyle w:val="TableParagraph"/>
              <w:ind w:right="164"/>
              <w:jc w:val="right"/>
              <w:rPr>
                <w:b/>
                <w:sz w:val="14"/>
              </w:rPr>
            </w:pPr>
            <w:r>
              <w:rPr>
                <w:b/>
                <w:w w:val="95"/>
                <w:sz w:val="14"/>
              </w:rPr>
              <w:t>11,166</w:t>
            </w:r>
          </w:p>
        </w:tc>
        <w:tc>
          <w:tcPr>
            <w:tcW w:w="981" w:type="dxa"/>
          </w:tcPr>
          <w:p>
            <w:pPr>
              <w:pStyle w:val="TableParagraph"/>
              <w:spacing w:before="9"/>
              <w:rPr>
                <w:rFonts w:ascii="Times New Roman"/>
                <w:sz w:val="12"/>
              </w:rPr>
            </w:pPr>
          </w:p>
          <w:p>
            <w:pPr>
              <w:pStyle w:val="TableParagraph"/>
              <w:ind w:left="124"/>
              <w:rPr>
                <w:b/>
                <w:sz w:val="14"/>
              </w:rPr>
            </w:pPr>
            <w:r>
              <w:rPr>
                <w:b/>
                <w:sz w:val="14"/>
              </w:rPr>
              <w:t>103,138</w:t>
            </w:r>
          </w:p>
        </w:tc>
        <w:tc>
          <w:tcPr>
            <w:tcW w:w="792" w:type="dxa"/>
          </w:tcPr>
          <w:p>
            <w:pPr>
              <w:pStyle w:val="TableParagraph"/>
              <w:spacing w:before="9"/>
              <w:rPr>
                <w:rFonts w:ascii="Times New Roman"/>
                <w:sz w:val="12"/>
              </w:rPr>
            </w:pPr>
          </w:p>
          <w:p>
            <w:pPr>
              <w:pStyle w:val="TableParagraph"/>
              <w:ind w:right="185"/>
              <w:jc w:val="right"/>
              <w:rPr>
                <w:b/>
                <w:sz w:val="14"/>
              </w:rPr>
            </w:pPr>
            <w:r>
              <w:rPr>
                <w:b/>
                <w:w w:val="95"/>
                <w:sz w:val="14"/>
              </w:rPr>
              <w:t>35,200</w:t>
            </w:r>
          </w:p>
        </w:tc>
        <w:tc>
          <w:tcPr>
            <w:tcW w:w="820" w:type="dxa"/>
          </w:tcPr>
          <w:p>
            <w:pPr>
              <w:pStyle w:val="TableParagraph"/>
              <w:spacing w:before="9"/>
              <w:rPr>
                <w:rFonts w:ascii="Times New Roman"/>
                <w:sz w:val="12"/>
              </w:rPr>
            </w:pPr>
          </w:p>
          <w:p>
            <w:pPr>
              <w:pStyle w:val="TableParagraph"/>
              <w:ind w:right="49"/>
              <w:jc w:val="right"/>
              <w:rPr>
                <w:b/>
                <w:sz w:val="14"/>
              </w:rPr>
            </w:pPr>
            <w:r>
              <w:rPr>
                <w:b/>
                <w:w w:val="95"/>
                <w:sz w:val="14"/>
              </w:rPr>
              <w:t>113,451</w:t>
            </w:r>
          </w:p>
        </w:tc>
      </w:tr>
      <w:tr>
        <w:trPr>
          <w:trHeight w:val="230" w:hRule="atLeast"/>
        </w:trPr>
        <w:tc>
          <w:tcPr>
            <w:tcW w:w="470" w:type="dxa"/>
          </w:tcPr>
          <w:p>
            <w:pPr>
              <w:pStyle w:val="TableParagraph"/>
              <w:spacing w:before="32"/>
              <w:ind w:left="124"/>
              <w:rPr>
                <w:sz w:val="14"/>
              </w:rPr>
            </w:pPr>
            <w:r>
              <w:rPr>
                <w:sz w:val="14"/>
              </w:rPr>
              <w:t>106</w:t>
            </w:r>
          </w:p>
        </w:tc>
        <w:tc>
          <w:tcPr>
            <w:tcW w:w="4763" w:type="dxa"/>
          </w:tcPr>
          <w:p>
            <w:pPr>
              <w:pStyle w:val="TableParagraph"/>
              <w:spacing w:before="32"/>
              <w:ind w:left="95"/>
              <w:rPr>
                <w:b/>
                <w:sz w:val="14"/>
              </w:rPr>
            </w:pPr>
            <w:r>
              <w:rPr>
                <w:b/>
                <w:sz w:val="14"/>
              </w:rPr>
              <w:t>Office of the Chief Minister</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tabs>
                <w:tab w:pos="1248" w:val="left" w:leader="none"/>
              </w:tabs>
              <w:spacing w:before="32"/>
              <w:ind w:left="704"/>
              <w:rPr>
                <w:b/>
                <w:sz w:val="14"/>
              </w:rPr>
            </w:pPr>
            <w:r>
              <w:rPr>
                <w:b/>
                <w:sz w:val="14"/>
              </w:rPr>
              <w:t>-</w:t>
              <w:tab/>
            </w:r>
            <w:r>
              <w:rPr>
                <w:b/>
                <w:spacing w:val="5"/>
                <w:sz w:val="14"/>
              </w:rPr>
              <w:t>6,000</w:t>
            </w:r>
          </w:p>
        </w:tc>
        <w:tc>
          <w:tcPr>
            <w:tcW w:w="805" w:type="dxa"/>
          </w:tcPr>
          <w:p>
            <w:pPr>
              <w:pStyle w:val="TableParagraph"/>
              <w:spacing w:before="32"/>
              <w:ind w:right="120"/>
              <w:jc w:val="right"/>
              <w:rPr>
                <w:b/>
                <w:sz w:val="14"/>
              </w:rPr>
            </w:pPr>
            <w:r>
              <w:rPr>
                <w:b/>
                <w:w w:val="99"/>
                <w:sz w:val="14"/>
              </w:rPr>
              <w:t>-</w:t>
            </w:r>
          </w:p>
        </w:tc>
        <w:tc>
          <w:tcPr>
            <w:tcW w:w="981" w:type="dxa"/>
          </w:tcPr>
          <w:p>
            <w:pPr>
              <w:pStyle w:val="TableParagraph"/>
              <w:spacing w:before="32"/>
              <w:ind w:left="333"/>
              <w:rPr>
                <w:b/>
                <w:sz w:val="14"/>
              </w:rPr>
            </w:pPr>
            <w:r>
              <w:rPr>
                <w:b/>
                <w:sz w:val="14"/>
              </w:rPr>
              <w:t>6,600</w:t>
            </w:r>
          </w:p>
        </w:tc>
        <w:tc>
          <w:tcPr>
            <w:tcW w:w="792" w:type="dxa"/>
          </w:tcPr>
          <w:p>
            <w:pPr>
              <w:pStyle w:val="TableParagraph"/>
              <w:spacing w:before="32"/>
              <w:ind w:right="130"/>
              <w:jc w:val="right"/>
              <w:rPr>
                <w:b/>
                <w:sz w:val="14"/>
              </w:rPr>
            </w:pPr>
            <w:r>
              <w:rPr>
                <w:b/>
                <w:w w:val="99"/>
                <w:sz w:val="14"/>
              </w:rPr>
              <w:t>-</w:t>
            </w:r>
          </w:p>
        </w:tc>
        <w:tc>
          <w:tcPr>
            <w:tcW w:w="820" w:type="dxa"/>
          </w:tcPr>
          <w:p>
            <w:pPr>
              <w:pStyle w:val="TableParagraph"/>
              <w:spacing w:before="32"/>
              <w:ind w:right="31"/>
              <w:jc w:val="right"/>
              <w:rPr>
                <w:b/>
                <w:sz w:val="14"/>
              </w:rPr>
            </w:pPr>
            <w:r>
              <w:rPr>
                <w:b/>
                <w:sz w:val="14"/>
              </w:rPr>
              <w:t>7,260</w:t>
            </w:r>
          </w:p>
        </w:tc>
      </w:tr>
      <w:tr>
        <w:trPr>
          <w:trHeight w:val="230" w:hRule="atLeast"/>
        </w:trPr>
        <w:tc>
          <w:tcPr>
            <w:tcW w:w="470" w:type="dxa"/>
          </w:tcPr>
          <w:p>
            <w:pPr>
              <w:pStyle w:val="TableParagraph"/>
              <w:spacing w:before="32"/>
              <w:ind w:left="124"/>
              <w:rPr>
                <w:sz w:val="14"/>
              </w:rPr>
            </w:pPr>
            <w:r>
              <w:rPr>
                <w:sz w:val="14"/>
              </w:rPr>
              <w:t>106</w:t>
            </w:r>
          </w:p>
        </w:tc>
        <w:tc>
          <w:tcPr>
            <w:tcW w:w="4763" w:type="dxa"/>
          </w:tcPr>
          <w:p>
            <w:pPr>
              <w:pStyle w:val="TableParagraph"/>
              <w:spacing w:before="32"/>
              <w:ind w:left="95"/>
              <w:rPr>
                <w:b/>
                <w:sz w:val="14"/>
              </w:rPr>
            </w:pPr>
            <w:r>
              <w:rPr>
                <w:b/>
                <w:sz w:val="14"/>
              </w:rPr>
              <w:t>Directorate of Science, Technology and Innovation</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tabs>
                <w:tab w:pos="1248" w:val="left" w:leader="none"/>
              </w:tabs>
              <w:spacing w:before="32"/>
              <w:ind w:left="704"/>
              <w:rPr>
                <w:b/>
                <w:sz w:val="14"/>
              </w:rPr>
            </w:pPr>
            <w:r>
              <w:rPr>
                <w:b/>
                <w:sz w:val="14"/>
              </w:rPr>
              <w:t>-</w:t>
              <w:tab/>
            </w:r>
            <w:r>
              <w:rPr>
                <w:b/>
                <w:spacing w:val="5"/>
                <w:sz w:val="14"/>
              </w:rPr>
              <w:t>6,000</w:t>
            </w:r>
          </w:p>
        </w:tc>
        <w:tc>
          <w:tcPr>
            <w:tcW w:w="805" w:type="dxa"/>
          </w:tcPr>
          <w:p>
            <w:pPr>
              <w:pStyle w:val="TableParagraph"/>
              <w:spacing w:before="32"/>
              <w:ind w:right="120"/>
              <w:jc w:val="right"/>
              <w:rPr>
                <w:b/>
                <w:sz w:val="14"/>
              </w:rPr>
            </w:pPr>
            <w:r>
              <w:rPr>
                <w:b/>
                <w:w w:val="99"/>
                <w:sz w:val="14"/>
              </w:rPr>
              <w:t>-</w:t>
            </w:r>
          </w:p>
        </w:tc>
        <w:tc>
          <w:tcPr>
            <w:tcW w:w="981" w:type="dxa"/>
          </w:tcPr>
          <w:p>
            <w:pPr>
              <w:pStyle w:val="TableParagraph"/>
              <w:spacing w:before="32"/>
              <w:ind w:left="333"/>
              <w:rPr>
                <w:b/>
                <w:sz w:val="14"/>
              </w:rPr>
            </w:pPr>
            <w:r>
              <w:rPr>
                <w:b/>
                <w:sz w:val="14"/>
              </w:rPr>
              <w:t>6,600</w:t>
            </w:r>
          </w:p>
        </w:tc>
        <w:tc>
          <w:tcPr>
            <w:tcW w:w="792" w:type="dxa"/>
          </w:tcPr>
          <w:p>
            <w:pPr>
              <w:pStyle w:val="TableParagraph"/>
              <w:spacing w:before="32"/>
              <w:ind w:right="130"/>
              <w:jc w:val="right"/>
              <w:rPr>
                <w:b/>
                <w:sz w:val="14"/>
              </w:rPr>
            </w:pPr>
            <w:r>
              <w:rPr>
                <w:b/>
                <w:w w:val="99"/>
                <w:sz w:val="14"/>
              </w:rPr>
              <w:t>-</w:t>
            </w:r>
          </w:p>
        </w:tc>
        <w:tc>
          <w:tcPr>
            <w:tcW w:w="820" w:type="dxa"/>
          </w:tcPr>
          <w:p>
            <w:pPr>
              <w:pStyle w:val="TableParagraph"/>
              <w:spacing w:before="32"/>
              <w:ind w:right="31"/>
              <w:jc w:val="right"/>
              <w:rPr>
                <w:b/>
                <w:sz w:val="14"/>
              </w:rPr>
            </w:pPr>
            <w:r>
              <w:rPr>
                <w:b/>
                <w:sz w:val="14"/>
              </w:rPr>
              <w:t>7,260</w:t>
            </w:r>
          </w:p>
        </w:tc>
      </w:tr>
      <w:tr>
        <w:trPr>
          <w:trHeight w:val="227"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Support to E-governance Project</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8"/>
              <w:jc w:val="right"/>
              <w:rPr>
                <w:sz w:val="14"/>
              </w:rPr>
            </w:pPr>
            <w:r>
              <w:rPr>
                <w:sz w:val="14"/>
              </w:rPr>
              <w:t>3,000</w:t>
            </w:r>
          </w:p>
        </w:tc>
        <w:tc>
          <w:tcPr>
            <w:tcW w:w="805" w:type="dxa"/>
          </w:tcPr>
          <w:p>
            <w:pPr>
              <w:pStyle w:val="TableParagraph"/>
              <w:rPr>
                <w:rFonts w:ascii="Times New Roman"/>
                <w:sz w:val="14"/>
              </w:rPr>
            </w:pPr>
          </w:p>
        </w:tc>
        <w:tc>
          <w:tcPr>
            <w:tcW w:w="981" w:type="dxa"/>
          </w:tcPr>
          <w:p>
            <w:pPr>
              <w:pStyle w:val="TableParagraph"/>
              <w:spacing w:before="32"/>
              <w:ind w:left="368"/>
              <w:rPr>
                <w:sz w:val="14"/>
              </w:rPr>
            </w:pPr>
            <w:r>
              <w:rPr>
                <w:sz w:val="14"/>
              </w:rPr>
              <w:t>3,300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3,630</w:t>
            </w:r>
          </w:p>
        </w:tc>
      </w:tr>
      <w:tr>
        <w:trPr>
          <w:trHeight w:val="228" w:hRule="atLeast"/>
        </w:trPr>
        <w:tc>
          <w:tcPr>
            <w:tcW w:w="470" w:type="dxa"/>
          </w:tcPr>
          <w:p>
            <w:pPr>
              <w:pStyle w:val="TableParagraph"/>
              <w:rPr>
                <w:rFonts w:ascii="Times New Roman"/>
                <w:sz w:val="14"/>
              </w:rPr>
            </w:pPr>
          </w:p>
        </w:tc>
        <w:tc>
          <w:tcPr>
            <w:tcW w:w="4763" w:type="dxa"/>
          </w:tcPr>
          <w:p>
            <w:pPr>
              <w:pStyle w:val="TableParagraph"/>
              <w:spacing w:before="29"/>
              <w:ind w:left="263"/>
              <w:rPr>
                <w:sz w:val="14"/>
              </w:rPr>
            </w:pPr>
            <w:r>
              <w:rPr>
                <w:sz w:val="14"/>
              </w:rPr>
              <w:t>Institutional Support for Capacity Building</w:t>
            </w:r>
          </w:p>
        </w:tc>
        <w:tc>
          <w:tcPr>
            <w:tcW w:w="855" w:type="dxa"/>
          </w:tcPr>
          <w:p>
            <w:pPr>
              <w:pStyle w:val="TableParagraph"/>
              <w:spacing w:before="29"/>
              <w:ind w:left="204"/>
              <w:rPr>
                <w:sz w:val="14"/>
              </w:rPr>
            </w:pPr>
            <w:r>
              <w:rPr>
                <w:sz w:val="14"/>
              </w:rPr>
              <w:t>New</w:t>
            </w:r>
          </w:p>
        </w:tc>
        <w:tc>
          <w:tcPr>
            <w:tcW w:w="1074" w:type="dxa"/>
          </w:tcPr>
          <w:p>
            <w:pPr>
              <w:pStyle w:val="TableParagraph"/>
              <w:spacing w:before="29"/>
              <w:ind w:left="88"/>
              <w:rPr>
                <w:sz w:val="14"/>
              </w:rPr>
            </w:pPr>
            <w:r>
              <w:rPr>
                <w:sz w:val="14"/>
              </w:rPr>
              <w:t>Nationwide</w:t>
            </w:r>
          </w:p>
        </w:tc>
        <w:tc>
          <w:tcPr>
            <w:tcW w:w="1095" w:type="dxa"/>
          </w:tcPr>
          <w:p>
            <w:pPr>
              <w:pStyle w:val="TableParagraph"/>
              <w:spacing w:before="29"/>
              <w:ind w:left="147"/>
              <w:rPr>
                <w:sz w:val="14"/>
              </w:rPr>
            </w:pPr>
            <w:r>
              <w:rPr>
                <w:sz w:val="14"/>
              </w:rPr>
              <w:t>GoSL</w:t>
            </w:r>
          </w:p>
        </w:tc>
        <w:tc>
          <w:tcPr>
            <w:tcW w:w="1305" w:type="dxa"/>
          </w:tcPr>
          <w:p>
            <w:pPr>
              <w:pStyle w:val="TableParagraph"/>
              <w:spacing w:before="29"/>
              <w:ind w:left="300"/>
              <w:rPr>
                <w:sz w:val="14"/>
              </w:rPr>
            </w:pPr>
            <w:r>
              <w:rPr>
                <w:sz w:val="14"/>
              </w:rPr>
              <w:t>Budget</w:t>
            </w:r>
          </w:p>
        </w:tc>
        <w:tc>
          <w:tcPr>
            <w:tcW w:w="1834" w:type="dxa"/>
            <w:gridSpan w:val="2"/>
          </w:tcPr>
          <w:p>
            <w:pPr>
              <w:pStyle w:val="TableParagraph"/>
              <w:spacing w:before="29"/>
              <w:ind w:right="188"/>
              <w:jc w:val="right"/>
              <w:rPr>
                <w:sz w:val="14"/>
              </w:rPr>
            </w:pPr>
            <w:r>
              <w:rPr>
                <w:sz w:val="14"/>
              </w:rPr>
              <w:t>3,000</w:t>
            </w:r>
          </w:p>
        </w:tc>
        <w:tc>
          <w:tcPr>
            <w:tcW w:w="805" w:type="dxa"/>
          </w:tcPr>
          <w:p>
            <w:pPr>
              <w:pStyle w:val="TableParagraph"/>
              <w:rPr>
                <w:rFonts w:ascii="Times New Roman"/>
                <w:sz w:val="14"/>
              </w:rPr>
            </w:pPr>
          </w:p>
        </w:tc>
        <w:tc>
          <w:tcPr>
            <w:tcW w:w="981" w:type="dxa"/>
          </w:tcPr>
          <w:p>
            <w:pPr>
              <w:pStyle w:val="TableParagraph"/>
              <w:spacing w:before="29"/>
              <w:ind w:left="368"/>
              <w:rPr>
                <w:sz w:val="14"/>
              </w:rPr>
            </w:pPr>
            <w:r>
              <w:rPr>
                <w:sz w:val="14"/>
              </w:rPr>
              <w:t>3,300</w:t>
            </w:r>
          </w:p>
        </w:tc>
        <w:tc>
          <w:tcPr>
            <w:tcW w:w="792" w:type="dxa"/>
          </w:tcPr>
          <w:p>
            <w:pPr>
              <w:pStyle w:val="TableParagraph"/>
              <w:rPr>
                <w:rFonts w:ascii="Times New Roman"/>
                <w:sz w:val="14"/>
              </w:rPr>
            </w:pPr>
          </w:p>
        </w:tc>
        <w:tc>
          <w:tcPr>
            <w:tcW w:w="820" w:type="dxa"/>
          </w:tcPr>
          <w:p>
            <w:pPr>
              <w:pStyle w:val="TableParagraph"/>
              <w:spacing w:before="29"/>
              <w:ind w:right="15"/>
              <w:jc w:val="right"/>
              <w:rPr>
                <w:sz w:val="14"/>
              </w:rPr>
            </w:pPr>
            <w:r>
              <w:rPr>
                <w:sz w:val="14"/>
              </w:rPr>
              <w:t>3,630</w:t>
            </w:r>
          </w:p>
        </w:tc>
      </w:tr>
      <w:tr>
        <w:trPr>
          <w:trHeight w:val="230" w:hRule="atLeast"/>
        </w:trPr>
        <w:tc>
          <w:tcPr>
            <w:tcW w:w="470" w:type="dxa"/>
          </w:tcPr>
          <w:p>
            <w:pPr>
              <w:pStyle w:val="TableParagraph"/>
              <w:spacing w:before="32"/>
              <w:ind w:left="124"/>
              <w:rPr>
                <w:sz w:val="14"/>
              </w:rPr>
            </w:pPr>
            <w:r>
              <w:rPr>
                <w:sz w:val="14"/>
              </w:rPr>
              <w:t>128</w:t>
            </w:r>
          </w:p>
        </w:tc>
        <w:tc>
          <w:tcPr>
            <w:tcW w:w="4763" w:type="dxa"/>
          </w:tcPr>
          <w:p>
            <w:pPr>
              <w:pStyle w:val="TableParagraph"/>
              <w:spacing w:before="32"/>
              <w:ind w:left="96"/>
              <w:rPr>
                <w:b/>
                <w:sz w:val="14"/>
              </w:rPr>
            </w:pPr>
            <w:r>
              <w:rPr>
                <w:b/>
                <w:sz w:val="14"/>
              </w:rPr>
              <w:t>Ministry of Foreign Affairs and International</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rPr>
                <w:rFonts w:ascii="Times New Roman"/>
                <w:sz w:val="14"/>
              </w:rPr>
            </w:pPr>
          </w:p>
        </w:tc>
        <w:tc>
          <w:tcPr>
            <w:tcW w:w="805" w:type="dxa"/>
          </w:tcPr>
          <w:p>
            <w:pPr>
              <w:pStyle w:val="TableParagraph"/>
              <w:rPr>
                <w:rFonts w:ascii="Times New Roman"/>
                <w:sz w:val="14"/>
              </w:rPr>
            </w:pPr>
          </w:p>
        </w:tc>
        <w:tc>
          <w:tcPr>
            <w:tcW w:w="981" w:type="dxa"/>
          </w:tcPr>
          <w:p>
            <w:pPr>
              <w:pStyle w:val="TableParagraph"/>
              <w:rPr>
                <w:rFonts w:ascii="Times New Roman"/>
                <w:sz w:val="14"/>
              </w:rPr>
            </w:pPr>
          </w:p>
        </w:tc>
        <w:tc>
          <w:tcPr>
            <w:tcW w:w="792" w:type="dxa"/>
          </w:tcPr>
          <w:p>
            <w:pPr>
              <w:pStyle w:val="TableParagraph"/>
              <w:rPr>
                <w:rFonts w:ascii="Times New Roman"/>
                <w:sz w:val="14"/>
              </w:rPr>
            </w:pPr>
          </w:p>
        </w:tc>
        <w:tc>
          <w:tcPr>
            <w:tcW w:w="820"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95"/>
              <w:rPr>
                <w:b/>
                <w:sz w:val="14"/>
              </w:rPr>
            </w:pPr>
            <w:r>
              <w:rPr>
                <w:b/>
                <w:sz w:val="14"/>
              </w:rPr>
              <w:t>Cooperation (MoFAIC)</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tabs>
                <w:tab w:pos="1151" w:val="left" w:leader="none"/>
              </w:tabs>
              <w:spacing w:before="32"/>
              <w:ind w:left="364"/>
              <w:rPr>
                <w:b/>
                <w:sz w:val="14"/>
              </w:rPr>
            </w:pPr>
            <w:r>
              <w:rPr>
                <w:b/>
                <w:sz w:val="14"/>
              </w:rPr>
              <w:t>5,000</w:t>
              <w:tab/>
            </w:r>
            <w:r>
              <w:rPr>
                <w:b/>
                <w:spacing w:val="6"/>
                <w:sz w:val="14"/>
              </w:rPr>
              <w:t>21,570</w:t>
            </w:r>
          </w:p>
        </w:tc>
        <w:tc>
          <w:tcPr>
            <w:tcW w:w="805" w:type="dxa"/>
          </w:tcPr>
          <w:p>
            <w:pPr>
              <w:pStyle w:val="TableParagraph"/>
              <w:spacing w:before="32"/>
              <w:ind w:right="120"/>
              <w:jc w:val="right"/>
              <w:rPr>
                <w:b/>
                <w:sz w:val="14"/>
              </w:rPr>
            </w:pPr>
            <w:r>
              <w:rPr>
                <w:b/>
                <w:w w:val="99"/>
                <w:sz w:val="14"/>
              </w:rPr>
              <w:t>-</w:t>
            </w:r>
          </w:p>
        </w:tc>
        <w:tc>
          <w:tcPr>
            <w:tcW w:w="981" w:type="dxa"/>
          </w:tcPr>
          <w:p>
            <w:pPr>
              <w:pStyle w:val="TableParagraph"/>
              <w:spacing w:before="32"/>
              <w:ind w:left="236"/>
              <w:rPr>
                <w:b/>
                <w:sz w:val="14"/>
              </w:rPr>
            </w:pPr>
            <w:r>
              <w:rPr>
                <w:b/>
                <w:sz w:val="14"/>
              </w:rPr>
              <w:t>21,570</w:t>
            </w:r>
          </w:p>
        </w:tc>
        <w:tc>
          <w:tcPr>
            <w:tcW w:w="792" w:type="dxa"/>
          </w:tcPr>
          <w:p>
            <w:pPr>
              <w:pStyle w:val="TableParagraph"/>
              <w:spacing w:before="32"/>
              <w:ind w:right="130"/>
              <w:jc w:val="right"/>
              <w:rPr>
                <w:b/>
                <w:sz w:val="14"/>
              </w:rPr>
            </w:pPr>
            <w:r>
              <w:rPr>
                <w:b/>
                <w:w w:val="99"/>
                <w:sz w:val="14"/>
              </w:rPr>
              <w:t>-</w:t>
            </w:r>
          </w:p>
        </w:tc>
        <w:tc>
          <w:tcPr>
            <w:tcW w:w="820" w:type="dxa"/>
          </w:tcPr>
          <w:p>
            <w:pPr>
              <w:pStyle w:val="TableParagraph"/>
              <w:spacing w:before="32"/>
              <w:ind w:right="40"/>
              <w:jc w:val="right"/>
              <w:rPr>
                <w:b/>
                <w:sz w:val="14"/>
              </w:rPr>
            </w:pPr>
            <w:r>
              <w:rPr>
                <w:b/>
                <w:w w:val="95"/>
                <w:sz w:val="14"/>
              </w:rPr>
              <w:t>23,727</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Rehabilitation of Foreign Missions</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tabs>
                <w:tab w:pos="1177" w:val="left" w:leader="none"/>
              </w:tabs>
              <w:spacing w:before="32"/>
              <w:ind w:left="702"/>
              <w:rPr>
                <w:sz w:val="14"/>
              </w:rPr>
            </w:pPr>
            <w:r>
              <w:rPr>
                <w:sz w:val="14"/>
              </w:rPr>
              <w:t>-</w:t>
              <w:tab/>
            </w:r>
            <w:r>
              <w:rPr>
                <w:spacing w:val="5"/>
                <w:sz w:val="14"/>
              </w:rPr>
              <w:t>19,570</w:t>
            </w:r>
          </w:p>
        </w:tc>
        <w:tc>
          <w:tcPr>
            <w:tcW w:w="805" w:type="dxa"/>
          </w:tcPr>
          <w:p>
            <w:pPr>
              <w:pStyle w:val="TableParagraph"/>
              <w:spacing w:before="32"/>
              <w:ind w:right="131"/>
              <w:jc w:val="right"/>
              <w:rPr>
                <w:sz w:val="14"/>
              </w:rPr>
            </w:pPr>
            <w:r>
              <w:rPr>
                <w:w w:val="99"/>
                <w:sz w:val="14"/>
              </w:rPr>
              <w:t>-</w:t>
            </w:r>
          </w:p>
        </w:tc>
        <w:tc>
          <w:tcPr>
            <w:tcW w:w="981" w:type="dxa"/>
          </w:tcPr>
          <w:p>
            <w:pPr>
              <w:pStyle w:val="TableParagraph"/>
              <w:spacing w:before="32"/>
              <w:ind w:left="276"/>
              <w:rPr>
                <w:sz w:val="14"/>
              </w:rPr>
            </w:pPr>
            <w:r>
              <w:rPr>
                <w:sz w:val="14"/>
              </w:rPr>
              <w:t>19,570</w:t>
            </w:r>
          </w:p>
        </w:tc>
        <w:tc>
          <w:tcPr>
            <w:tcW w:w="792" w:type="dxa"/>
          </w:tcPr>
          <w:p>
            <w:pPr>
              <w:pStyle w:val="TableParagraph"/>
              <w:spacing w:before="32"/>
              <w:ind w:right="143"/>
              <w:jc w:val="right"/>
              <w:rPr>
                <w:sz w:val="14"/>
              </w:rPr>
            </w:pPr>
            <w:r>
              <w:rPr>
                <w:w w:val="99"/>
                <w:sz w:val="14"/>
              </w:rPr>
              <w:t>-</w:t>
            </w:r>
          </w:p>
        </w:tc>
        <w:tc>
          <w:tcPr>
            <w:tcW w:w="820" w:type="dxa"/>
          </w:tcPr>
          <w:p>
            <w:pPr>
              <w:pStyle w:val="TableParagraph"/>
              <w:spacing w:before="32"/>
              <w:ind w:right="21"/>
              <w:jc w:val="right"/>
              <w:rPr>
                <w:sz w:val="14"/>
              </w:rPr>
            </w:pPr>
            <w:r>
              <w:rPr>
                <w:w w:val="95"/>
                <w:sz w:val="14"/>
              </w:rPr>
              <w:t>21,527</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Chancery Building and Ambassador’s Residence in Addis Ababa</w:t>
            </w:r>
          </w:p>
        </w:tc>
        <w:tc>
          <w:tcPr>
            <w:tcW w:w="855" w:type="dxa"/>
          </w:tcPr>
          <w:p>
            <w:pPr>
              <w:pStyle w:val="TableParagraph"/>
              <w:spacing w:before="32"/>
              <w:ind w:left="204"/>
              <w:rPr>
                <w:sz w:val="14"/>
              </w:rPr>
            </w:pPr>
            <w:r>
              <w:rPr>
                <w:sz w:val="14"/>
              </w:rPr>
              <w:t>Ongoing</w:t>
            </w:r>
          </w:p>
        </w:tc>
        <w:tc>
          <w:tcPr>
            <w:tcW w:w="1074" w:type="dxa"/>
          </w:tcPr>
          <w:p>
            <w:pPr>
              <w:pStyle w:val="TableParagraph"/>
              <w:spacing w:before="32"/>
              <w:ind w:left="89"/>
              <w:rPr>
                <w:sz w:val="14"/>
              </w:rPr>
            </w:pPr>
            <w:r>
              <w:rPr>
                <w:sz w:val="14"/>
              </w:rPr>
              <w:t>International</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8"/>
              <w:jc w:val="right"/>
              <w:rPr>
                <w:sz w:val="14"/>
              </w:rPr>
            </w:pPr>
            <w:r>
              <w:rPr>
                <w:sz w:val="14"/>
              </w:rPr>
              <w:t>5,000</w:t>
            </w:r>
          </w:p>
        </w:tc>
        <w:tc>
          <w:tcPr>
            <w:tcW w:w="805" w:type="dxa"/>
          </w:tcPr>
          <w:p>
            <w:pPr>
              <w:pStyle w:val="TableParagraph"/>
              <w:rPr>
                <w:rFonts w:ascii="Times New Roman"/>
                <w:sz w:val="14"/>
              </w:rPr>
            </w:pPr>
          </w:p>
        </w:tc>
        <w:tc>
          <w:tcPr>
            <w:tcW w:w="981" w:type="dxa"/>
          </w:tcPr>
          <w:p>
            <w:pPr>
              <w:pStyle w:val="TableParagraph"/>
              <w:spacing w:before="32"/>
              <w:ind w:left="368"/>
              <w:rPr>
                <w:sz w:val="14"/>
              </w:rPr>
            </w:pPr>
            <w:r>
              <w:rPr>
                <w:sz w:val="14"/>
              </w:rPr>
              <w:t>5,000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Construction Works at the Permanent Mission in New York</w:t>
            </w:r>
          </w:p>
        </w:tc>
        <w:tc>
          <w:tcPr>
            <w:tcW w:w="855" w:type="dxa"/>
          </w:tcPr>
          <w:p>
            <w:pPr>
              <w:pStyle w:val="TableParagraph"/>
              <w:spacing w:before="32"/>
              <w:ind w:left="204"/>
              <w:rPr>
                <w:sz w:val="14"/>
              </w:rPr>
            </w:pPr>
            <w:r>
              <w:rPr>
                <w:sz w:val="14"/>
              </w:rPr>
              <w:t>Ongoing</w:t>
            </w:r>
          </w:p>
        </w:tc>
        <w:tc>
          <w:tcPr>
            <w:tcW w:w="1074" w:type="dxa"/>
          </w:tcPr>
          <w:p>
            <w:pPr>
              <w:pStyle w:val="TableParagraph"/>
              <w:spacing w:before="32"/>
              <w:ind w:left="89"/>
              <w:rPr>
                <w:sz w:val="14"/>
              </w:rPr>
            </w:pPr>
            <w:r>
              <w:rPr>
                <w:sz w:val="14"/>
              </w:rPr>
              <w:t>International</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8"/>
              <w:jc w:val="right"/>
              <w:rPr>
                <w:sz w:val="14"/>
              </w:rPr>
            </w:pPr>
            <w:r>
              <w:rPr>
                <w:sz w:val="14"/>
              </w:rPr>
              <w:t>5,000</w:t>
            </w:r>
          </w:p>
        </w:tc>
        <w:tc>
          <w:tcPr>
            <w:tcW w:w="805" w:type="dxa"/>
          </w:tcPr>
          <w:p>
            <w:pPr>
              <w:pStyle w:val="TableParagraph"/>
              <w:rPr>
                <w:rFonts w:ascii="Times New Roman"/>
                <w:sz w:val="14"/>
              </w:rPr>
            </w:pPr>
          </w:p>
        </w:tc>
        <w:tc>
          <w:tcPr>
            <w:tcW w:w="981" w:type="dxa"/>
          </w:tcPr>
          <w:p>
            <w:pPr>
              <w:pStyle w:val="TableParagraph"/>
              <w:spacing w:before="32"/>
              <w:ind w:left="368"/>
              <w:rPr>
                <w:sz w:val="14"/>
              </w:rPr>
            </w:pPr>
            <w:r>
              <w:rPr>
                <w:sz w:val="14"/>
              </w:rPr>
              <w:t>5,000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Feasibility Study for the Construction of Chancery Buildings</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9"/>
              <w:rPr>
                <w:sz w:val="14"/>
              </w:rPr>
            </w:pPr>
            <w:r>
              <w:rPr>
                <w:sz w:val="14"/>
              </w:rPr>
              <w:t>International</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8"/>
              <w:jc w:val="right"/>
              <w:rPr>
                <w:sz w:val="14"/>
              </w:rPr>
            </w:pPr>
            <w:r>
              <w:rPr>
                <w:sz w:val="14"/>
              </w:rPr>
              <w:t>9,570</w:t>
            </w:r>
          </w:p>
        </w:tc>
        <w:tc>
          <w:tcPr>
            <w:tcW w:w="805" w:type="dxa"/>
          </w:tcPr>
          <w:p>
            <w:pPr>
              <w:pStyle w:val="TableParagraph"/>
              <w:rPr>
                <w:rFonts w:ascii="Times New Roman"/>
                <w:sz w:val="14"/>
              </w:rPr>
            </w:pPr>
          </w:p>
        </w:tc>
        <w:tc>
          <w:tcPr>
            <w:tcW w:w="981" w:type="dxa"/>
          </w:tcPr>
          <w:p>
            <w:pPr>
              <w:pStyle w:val="TableParagraph"/>
              <w:spacing w:before="32"/>
              <w:ind w:left="368"/>
              <w:rPr>
                <w:sz w:val="14"/>
              </w:rPr>
            </w:pPr>
            <w:r>
              <w:rPr>
                <w:sz w:val="14"/>
              </w:rPr>
              <w:t>9,570</w:t>
            </w:r>
          </w:p>
        </w:tc>
        <w:tc>
          <w:tcPr>
            <w:tcW w:w="792" w:type="dxa"/>
          </w:tcPr>
          <w:p>
            <w:pPr>
              <w:pStyle w:val="TableParagraph"/>
              <w:rPr>
                <w:rFonts w:ascii="Times New Roman"/>
                <w:sz w:val="14"/>
              </w:rPr>
            </w:pPr>
          </w:p>
        </w:tc>
        <w:tc>
          <w:tcPr>
            <w:tcW w:w="820" w:type="dxa"/>
          </w:tcPr>
          <w:p>
            <w:pPr>
              <w:pStyle w:val="TableParagraph"/>
              <w:spacing w:before="32"/>
              <w:ind w:right="21"/>
              <w:jc w:val="right"/>
              <w:rPr>
                <w:sz w:val="14"/>
              </w:rPr>
            </w:pPr>
            <w:r>
              <w:rPr>
                <w:w w:val="95"/>
                <w:sz w:val="14"/>
              </w:rPr>
              <w:t>10,527</w:t>
            </w:r>
          </w:p>
        </w:tc>
      </w:tr>
      <w:tr>
        <w:trPr>
          <w:trHeight w:val="227"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Construction of Sierra Leone Diplomatic Academy</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Western Area</w:t>
            </w:r>
          </w:p>
        </w:tc>
        <w:tc>
          <w:tcPr>
            <w:tcW w:w="1095" w:type="dxa"/>
          </w:tcPr>
          <w:p>
            <w:pPr>
              <w:pStyle w:val="TableParagraph"/>
              <w:spacing w:before="32"/>
              <w:ind w:left="147"/>
              <w:rPr>
                <w:sz w:val="14"/>
              </w:rPr>
            </w:pPr>
            <w:r>
              <w:rPr>
                <w:sz w:val="14"/>
              </w:rPr>
              <w:t>PRC/ GoSL</w:t>
            </w:r>
          </w:p>
        </w:tc>
        <w:tc>
          <w:tcPr>
            <w:tcW w:w="1305" w:type="dxa"/>
          </w:tcPr>
          <w:p>
            <w:pPr>
              <w:pStyle w:val="TableParagraph"/>
              <w:spacing w:before="32"/>
              <w:ind w:left="300"/>
              <w:rPr>
                <w:sz w:val="14"/>
              </w:rPr>
            </w:pPr>
            <w:r>
              <w:rPr>
                <w:sz w:val="14"/>
              </w:rPr>
              <w:t>Grant/ Budget</w:t>
            </w:r>
          </w:p>
        </w:tc>
        <w:tc>
          <w:tcPr>
            <w:tcW w:w="1834" w:type="dxa"/>
            <w:gridSpan w:val="2"/>
          </w:tcPr>
          <w:p>
            <w:pPr>
              <w:pStyle w:val="TableParagraph"/>
              <w:tabs>
                <w:tab w:pos="1274" w:val="left" w:leader="none"/>
              </w:tabs>
              <w:spacing w:before="32"/>
              <w:ind w:left="386"/>
              <w:rPr>
                <w:sz w:val="14"/>
              </w:rPr>
            </w:pPr>
            <w:r>
              <w:rPr>
                <w:spacing w:val="4"/>
                <w:sz w:val="14"/>
              </w:rPr>
              <w:t>5,000</w:t>
              <w:tab/>
              <w:t>2,000</w:t>
            </w:r>
          </w:p>
        </w:tc>
        <w:tc>
          <w:tcPr>
            <w:tcW w:w="805" w:type="dxa"/>
          </w:tcPr>
          <w:p>
            <w:pPr>
              <w:pStyle w:val="TableParagraph"/>
              <w:rPr>
                <w:rFonts w:ascii="Times New Roman"/>
                <w:sz w:val="14"/>
              </w:rPr>
            </w:pPr>
          </w:p>
        </w:tc>
        <w:tc>
          <w:tcPr>
            <w:tcW w:w="981" w:type="dxa"/>
          </w:tcPr>
          <w:p>
            <w:pPr>
              <w:pStyle w:val="TableParagraph"/>
              <w:spacing w:before="32"/>
              <w:ind w:left="368"/>
              <w:rPr>
                <w:sz w:val="14"/>
              </w:rPr>
            </w:pPr>
            <w:r>
              <w:rPr>
                <w:sz w:val="14"/>
              </w:rPr>
              <w:t>2,000</w:t>
            </w:r>
          </w:p>
        </w:tc>
        <w:tc>
          <w:tcPr>
            <w:tcW w:w="792" w:type="dxa"/>
          </w:tcPr>
          <w:p>
            <w:pPr>
              <w:pStyle w:val="TableParagraph"/>
              <w:rPr>
                <w:rFonts w:ascii="Times New Roman"/>
                <w:sz w:val="14"/>
              </w:rPr>
            </w:pPr>
          </w:p>
        </w:tc>
        <w:tc>
          <w:tcPr>
            <w:tcW w:w="820" w:type="dxa"/>
          </w:tcPr>
          <w:p>
            <w:pPr>
              <w:pStyle w:val="TableParagraph"/>
              <w:spacing w:before="32"/>
              <w:ind w:right="15"/>
              <w:jc w:val="right"/>
              <w:rPr>
                <w:sz w:val="14"/>
              </w:rPr>
            </w:pPr>
            <w:r>
              <w:rPr>
                <w:sz w:val="14"/>
              </w:rPr>
              <w:t>2,200</w:t>
            </w:r>
          </w:p>
        </w:tc>
      </w:tr>
      <w:tr>
        <w:trPr>
          <w:trHeight w:val="233" w:hRule="atLeast"/>
        </w:trPr>
        <w:tc>
          <w:tcPr>
            <w:tcW w:w="470" w:type="dxa"/>
          </w:tcPr>
          <w:p>
            <w:pPr>
              <w:pStyle w:val="TableParagraph"/>
              <w:spacing w:before="34"/>
              <w:ind w:left="124"/>
              <w:rPr>
                <w:sz w:val="14"/>
              </w:rPr>
            </w:pPr>
            <w:r>
              <w:rPr>
                <w:sz w:val="14"/>
              </w:rPr>
              <w:t>124</w:t>
            </w:r>
          </w:p>
        </w:tc>
        <w:tc>
          <w:tcPr>
            <w:tcW w:w="4763" w:type="dxa"/>
          </w:tcPr>
          <w:p>
            <w:pPr>
              <w:pStyle w:val="TableParagraph"/>
              <w:spacing w:before="34"/>
              <w:ind w:left="95"/>
              <w:rPr>
                <w:b/>
                <w:sz w:val="14"/>
              </w:rPr>
            </w:pPr>
            <w:r>
              <w:rPr>
                <w:b/>
                <w:sz w:val="14"/>
              </w:rPr>
              <w:t>Attorney General and Ministry of Justice (AG&amp;MoJ)</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719" w:type="dxa"/>
          </w:tcPr>
          <w:p>
            <w:pPr>
              <w:pStyle w:val="TableParagraph"/>
              <w:rPr>
                <w:rFonts w:ascii="Times New Roman"/>
                <w:sz w:val="14"/>
              </w:rPr>
            </w:pPr>
          </w:p>
        </w:tc>
        <w:tc>
          <w:tcPr>
            <w:tcW w:w="1115" w:type="dxa"/>
          </w:tcPr>
          <w:p>
            <w:pPr>
              <w:pStyle w:val="TableParagraph"/>
              <w:tabs>
                <w:tab w:pos="529" w:val="left" w:leader="none"/>
              </w:tabs>
              <w:spacing w:before="34"/>
              <w:ind w:left="-14" w:right="205"/>
              <w:jc w:val="right"/>
              <w:rPr>
                <w:b/>
                <w:sz w:val="14"/>
              </w:rPr>
            </w:pPr>
            <w:r>
              <w:rPr>
                <w:b/>
                <w:sz w:val="14"/>
              </w:rPr>
              <w:t>-</w:t>
              <w:tab/>
              <w:t>1,000</w:t>
            </w:r>
          </w:p>
        </w:tc>
        <w:tc>
          <w:tcPr>
            <w:tcW w:w="805" w:type="dxa"/>
          </w:tcPr>
          <w:p>
            <w:pPr>
              <w:pStyle w:val="TableParagraph"/>
              <w:spacing w:before="34"/>
              <w:ind w:right="120"/>
              <w:jc w:val="right"/>
              <w:rPr>
                <w:b/>
                <w:sz w:val="14"/>
              </w:rPr>
            </w:pPr>
            <w:r>
              <w:rPr>
                <w:b/>
                <w:w w:val="99"/>
                <w:sz w:val="14"/>
              </w:rPr>
              <w:t>-</w:t>
            </w:r>
          </w:p>
        </w:tc>
        <w:tc>
          <w:tcPr>
            <w:tcW w:w="981" w:type="dxa"/>
          </w:tcPr>
          <w:p>
            <w:pPr>
              <w:pStyle w:val="TableParagraph"/>
              <w:spacing w:before="34"/>
              <w:ind w:left="333"/>
              <w:rPr>
                <w:b/>
                <w:sz w:val="14"/>
              </w:rPr>
            </w:pPr>
            <w:r>
              <w:rPr>
                <w:b/>
                <w:sz w:val="14"/>
              </w:rPr>
              <w:t>1,100</w:t>
            </w:r>
          </w:p>
        </w:tc>
        <w:tc>
          <w:tcPr>
            <w:tcW w:w="792" w:type="dxa"/>
          </w:tcPr>
          <w:p>
            <w:pPr>
              <w:pStyle w:val="TableParagraph"/>
              <w:spacing w:before="34"/>
              <w:ind w:right="130"/>
              <w:jc w:val="right"/>
              <w:rPr>
                <w:b/>
                <w:sz w:val="14"/>
              </w:rPr>
            </w:pPr>
            <w:r>
              <w:rPr>
                <w:b/>
                <w:w w:val="99"/>
                <w:sz w:val="14"/>
              </w:rPr>
              <w:t>-</w:t>
            </w:r>
          </w:p>
        </w:tc>
        <w:tc>
          <w:tcPr>
            <w:tcW w:w="820" w:type="dxa"/>
          </w:tcPr>
          <w:p>
            <w:pPr>
              <w:pStyle w:val="TableParagraph"/>
              <w:spacing w:before="34"/>
              <w:ind w:right="31"/>
              <w:jc w:val="right"/>
              <w:rPr>
                <w:b/>
                <w:sz w:val="14"/>
              </w:rPr>
            </w:pPr>
            <w:r>
              <w:rPr>
                <w:b/>
                <w:sz w:val="14"/>
              </w:rPr>
              <w:t>1,210</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Feasibility Study for the Construction of Justice Sector Complex</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Western Area</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0"/>
              <w:jc w:val="right"/>
              <w:rPr>
                <w:sz w:val="14"/>
              </w:rPr>
            </w:pPr>
            <w:r>
              <w:rPr>
                <w:sz w:val="14"/>
              </w:rPr>
              <w:t>200</w:t>
            </w:r>
          </w:p>
        </w:tc>
        <w:tc>
          <w:tcPr>
            <w:tcW w:w="1786" w:type="dxa"/>
            <w:gridSpan w:val="2"/>
          </w:tcPr>
          <w:p>
            <w:pPr>
              <w:pStyle w:val="TableParagraph"/>
              <w:spacing w:before="32"/>
              <w:ind w:right="229"/>
              <w:jc w:val="right"/>
              <w:rPr>
                <w:sz w:val="14"/>
              </w:rPr>
            </w:pPr>
            <w:r>
              <w:rPr>
                <w:sz w:val="14"/>
              </w:rPr>
              <w:t>220</w:t>
            </w:r>
          </w:p>
        </w:tc>
        <w:tc>
          <w:tcPr>
            <w:tcW w:w="1612" w:type="dxa"/>
            <w:gridSpan w:val="2"/>
          </w:tcPr>
          <w:p>
            <w:pPr>
              <w:pStyle w:val="TableParagraph"/>
              <w:spacing w:before="32"/>
              <w:ind w:right="7"/>
              <w:jc w:val="right"/>
              <w:rPr>
                <w:sz w:val="14"/>
              </w:rPr>
            </w:pPr>
            <w:r>
              <w:rPr>
                <w:sz w:val="14"/>
              </w:rPr>
              <w:t>242</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Increasing Access to Justice</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0"/>
              <w:jc w:val="right"/>
              <w:rPr>
                <w:sz w:val="14"/>
              </w:rPr>
            </w:pPr>
            <w:r>
              <w:rPr>
                <w:sz w:val="14"/>
              </w:rPr>
              <w:t>500</w:t>
            </w:r>
          </w:p>
        </w:tc>
        <w:tc>
          <w:tcPr>
            <w:tcW w:w="1786" w:type="dxa"/>
            <w:gridSpan w:val="2"/>
          </w:tcPr>
          <w:p>
            <w:pPr>
              <w:pStyle w:val="TableParagraph"/>
              <w:spacing w:before="32"/>
              <w:ind w:right="229"/>
              <w:jc w:val="right"/>
              <w:rPr>
                <w:sz w:val="14"/>
              </w:rPr>
            </w:pPr>
            <w:r>
              <w:rPr>
                <w:sz w:val="14"/>
              </w:rPr>
              <w:t>550</w:t>
            </w:r>
          </w:p>
        </w:tc>
        <w:tc>
          <w:tcPr>
            <w:tcW w:w="1612" w:type="dxa"/>
            <w:gridSpan w:val="2"/>
          </w:tcPr>
          <w:p>
            <w:pPr>
              <w:pStyle w:val="TableParagraph"/>
              <w:spacing w:before="32"/>
              <w:ind w:right="7"/>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Institutional Capacity Building</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0"/>
              <w:jc w:val="right"/>
              <w:rPr>
                <w:sz w:val="14"/>
              </w:rPr>
            </w:pPr>
            <w:r>
              <w:rPr>
                <w:sz w:val="14"/>
              </w:rPr>
              <w:t>300</w:t>
            </w:r>
          </w:p>
        </w:tc>
        <w:tc>
          <w:tcPr>
            <w:tcW w:w="1786" w:type="dxa"/>
            <w:gridSpan w:val="2"/>
          </w:tcPr>
          <w:p>
            <w:pPr>
              <w:pStyle w:val="TableParagraph"/>
              <w:spacing w:before="32"/>
              <w:ind w:right="229"/>
              <w:jc w:val="right"/>
              <w:rPr>
                <w:sz w:val="14"/>
              </w:rPr>
            </w:pPr>
            <w:r>
              <w:rPr>
                <w:sz w:val="14"/>
              </w:rPr>
              <w:t>330</w:t>
            </w:r>
          </w:p>
        </w:tc>
        <w:tc>
          <w:tcPr>
            <w:tcW w:w="1612" w:type="dxa"/>
            <w:gridSpan w:val="2"/>
          </w:tcPr>
          <w:p>
            <w:pPr>
              <w:pStyle w:val="TableParagraph"/>
              <w:spacing w:before="32"/>
              <w:ind w:right="7"/>
              <w:jc w:val="right"/>
              <w:rPr>
                <w:sz w:val="14"/>
              </w:rPr>
            </w:pPr>
            <w:r>
              <w:rPr>
                <w:sz w:val="14"/>
              </w:rPr>
              <w:t>363</w:t>
            </w:r>
          </w:p>
        </w:tc>
      </w:tr>
      <w:tr>
        <w:trPr>
          <w:trHeight w:val="228" w:hRule="atLeast"/>
        </w:trPr>
        <w:tc>
          <w:tcPr>
            <w:tcW w:w="470" w:type="dxa"/>
          </w:tcPr>
          <w:p>
            <w:pPr>
              <w:pStyle w:val="TableParagraph"/>
              <w:spacing w:before="32"/>
              <w:ind w:left="124"/>
              <w:rPr>
                <w:sz w:val="14"/>
              </w:rPr>
            </w:pPr>
            <w:r>
              <w:rPr>
                <w:sz w:val="14"/>
              </w:rPr>
              <w:t>118</w:t>
            </w:r>
          </w:p>
        </w:tc>
        <w:tc>
          <w:tcPr>
            <w:tcW w:w="4763" w:type="dxa"/>
          </w:tcPr>
          <w:p>
            <w:pPr>
              <w:pStyle w:val="TableParagraph"/>
              <w:spacing w:before="32"/>
              <w:ind w:left="96"/>
              <w:rPr>
                <w:b/>
                <w:sz w:val="14"/>
              </w:rPr>
            </w:pPr>
            <w:r>
              <w:rPr>
                <w:b/>
                <w:sz w:val="14"/>
              </w:rPr>
              <w:t>Judiciary</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tabs>
                <w:tab w:pos="1390" w:val="left" w:leader="none"/>
              </w:tabs>
              <w:spacing w:before="32"/>
              <w:ind w:left="709"/>
              <w:rPr>
                <w:b/>
                <w:sz w:val="14"/>
              </w:rPr>
            </w:pPr>
            <w:r>
              <w:rPr>
                <w:b/>
                <w:sz w:val="14"/>
              </w:rPr>
              <w:t>-</w:t>
              <w:tab/>
            </w:r>
            <w:r>
              <w:rPr>
                <w:b/>
                <w:spacing w:val="5"/>
                <w:sz w:val="14"/>
              </w:rPr>
              <w:t>900</w:t>
            </w:r>
          </w:p>
        </w:tc>
        <w:tc>
          <w:tcPr>
            <w:tcW w:w="1786" w:type="dxa"/>
            <w:gridSpan w:val="2"/>
          </w:tcPr>
          <w:p>
            <w:pPr>
              <w:pStyle w:val="TableParagraph"/>
              <w:tabs>
                <w:tab w:pos="1293" w:val="left" w:leader="none"/>
              </w:tabs>
              <w:spacing w:before="32"/>
              <w:ind w:left="636"/>
              <w:rPr>
                <w:b/>
                <w:sz w:val="14"/>
              </w:rPr>
            </w:pPr>
            <w:r>
              <w:rPr>
                <w:b/>
                <w:sz w:val="14"/>
              </w:rPr>
              <w:t>-</w:t>
              <w:tab/>
            </w:r>
            <w:r>
              <w:rPr>
                <w:b/>
                <w:spacing w:val="5"/>
                <w:sz w:val="14"/>
              </w:rPr>
              <w:t>990</w:t>
            </w:r>
          </w:p>
        </w:tc>
        <w:tc>
          <w:tcPr>
            <w:tcW w:w="1612" w:type="dxa"/>
            <w:gridSpan w:val="2"/>
          </w:tcPr>
          <w:p>
            <w:pPr>
              <w:pStyle w:val="TableParagraph"/>
              <w:tabs>
                <w:tab w:pos="1200" w:val="left" w:leader="none"/>
              </w:tabs>
              <w:spacing w:before="32"/>
              <w:ind w:left="613"/>
              <w:rPr>
                <w:b/>
                <w:sz w:val="14"/>
              </w:rPr>
            </w:pPr>
            <w:r>
              <w:rPr>
                <w:b/>
                <w:sz w:val="14"/>
              </w:rPr>
              <w:t>-</w:t>
              <w:tab/>
            </w:r>
            <w:r>
              <w:rPr>
                <w:b/>
                <w:spacing w:val="5"/>
                <w:sz w:val="14"/>
              </w:rPr>
              <w:t>1,089</w:t>
            </w:r>
          </w:p>
        </w:tc>
      </w:tr>
      <w:tr>
        <w:trPr>
          <w:trHeight w:val="228" w:hRule="atLeast"/>
        </w:trPr>
        <w:tc>
          <w:tcPr>
            <w:tcW w:w="470" w:type="dxa"/>
          </w:tcPr>
          <w:p>
            <w:pPr>
              <w:pStyle w:val="TableParagraph"/>
              <w:rPr>
                <w:rFonts w:ascii="Times New Roman"/>
                <w:sz w:val="14"/>
              </w:rPr>
            </w:pPr>
          </w:p>
        </w:tc>
        <w:tc>
          <w:tcPr>
            <w:tcW w:w="4763" w:type="dxa"/>
          </w:tcPr>
          <w:p>
            <w:pPr>
              <w:pStyle w:val="TableParagraph"/>
              <w:spacing w:before="29"/>
              <w:ind w:left="263"/>
              <w:rPr>
                <w:sz w:val="14"/>
              </w:rPr>
            </w:pPr>
            <w:r>
              <w:rPr>
                <w:sz w:val="14"/>
              </w:rPr>
              <w:t>Feasibility Study for Administrative Building and Courtrooms</w:t>
            </w:r>
          </w:p>
        </w:tc>
        <w:tc>
          <w:tcPr>
            <w:tcW w:w="855" w:type="dxa"/>
          </w:tcPr>
          <w:p>
            <w:pPr>
              <w:pStyle w:val="TableParagraph"/>
              <w:spacing w:before="29"/>
              <w:ind w:left="204"/>
              <w:rPr>
                <w:sz w:val="14"/>
              </w:rPr>
            </w:pPr>
            <w:r>
              <w:rPr>
                <w:sz w:val="14"/>
              </w:rPr>
              <w:t>New</w:t>
            </w:r>
          </w:p>
        </w:tc>
        <w:tc>
          <w:tcPr>
            <w:tcW w:w="1074" w:type="dxa"/>
          </w:tcPr>
          <w:p>
            <w:pPr>
              <w:pStyle w:val="TableParagraph"/>
              <w:spacing w:before="29"/>
              <w:ind w:left="88"/>
              <w:rPr>
                <w:sz w:val="14"/>
              </w:rPr>
            </w:pPr>
            <w:r>
              <w:rPr>
                <w:sz w:val="14"/>
              </w:rPr>
              <w:t>Nationwide</w:t>
            </w:r>
          </w:p>
        </w:tc>
        <w:tc>
          <w:tcPr>
            <w:tcW w:w="1095" w:type="dxa"/>
          </w:tcPr>
          <w:p>
            <w:pPr>
              <w:pStyle w:val="TableParagraph"/>
              <w:spacing w:before="29"/>
              <w:ind w:left="147"/>
              <w:rPr>
                <w:sz w:val="14"/>
              </w:rPr>
            </w:pPr>
            <w:r>
              <w:rPr>
                <w:sz w:val="14"/>
              </w:rPr>
              <w:t>GoSL</w:t>
            </w:r>
          </w:p>
        </w:tc>
        <w:tc>
          <w:tcPr>
            <w:tcW w:w="1305" w:type="dxa"/>
          </w:tcPr>
          <w:p>
            <w:pPr>
              <w:pStyle w:val="TableParagraph"/>
              <w:spacing w:before="29"/>
              <w:ind w:left="300"/>
              <w:rPr>
                <w:sz w:val="14"/>
              </w:rPr>
            </w:pPr>
            <w:r>
              <w:rPr>
                <w:sz w:val="14"/>
              </w:rPr>
              <w:t>Budget</w:t>
            </w:r>
          </w:p>
        </w:tc>
        <w:tc>
          <w:tcPr>
            <w:tcW w:w="1834" w:type="dxa"/>
            <w:gridSpan w:val="2"/>
          </w:tcPr>
          <w:p>
            <w:pPr>
              <w:pStyle w:val="TableParagraph"/>
              <w:spacing w:before="29"/>
              <w:ind w:right="180"/>
              <w:jc w:val="right"/>
              <w:rPr>
                <w:sz w:val="14"/>
              </w:rPr>
            </w:pPr>
            <w:r>
              <w:rPr>
                <w:sz w:val="14"/>
              </w:rPr>
              <w:t>100</w:t>
            </w:r>
          </w:p>
        </w:tc>
        <w:tc>
          <w:tcPr>
            <w:tcW w:w="1786" w:type="dxa"/>
            <w:gridSpan w:val="2"/>
          </w:tcPr>
          <w:p>
            <w:pPr>
              <w:pStyle w:val="TableParagraph"/>
              <w:spacing w:before="29"/>
              <w:ind w:right="229"/>
              <w:jc w:val="right"/>
              <w:rPr>
                <w:sz w:val="14"/>
              </w:rPr>
            </w:pPr>
            <w:r>
              <w:rPr>
                <w:sz w:val="14"/>
              </w:rPr>
              <w:t>110</w:t>
            </w:r>
          </w:p>
        </w:tc>
        <w:tc>
          <w:tcPr>
            <w:tcW w:w="1612" w:type="dxa"/>
            <w:gridSpan w:val="2"/>
          </w:tcPr>
          <w:p>
            <w:pPr>
              <w:pStyle w:val="TableParagraph"/>
              <w:spacing w:before="29"/>
              <w:ind w:right="7"/>
              <w:jc w:val="right"/>
              <w:rPr>
                <w:sz w:val="14"/>
              </w:rPr>
            </w:pPr>
            <w:r>
              <w:rPr>
                <w:sz w:val="14"/>
              </w:rPr>
              <w:t>121</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Rehabilitation/ Construction of Courtrooms in District Capitals</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0"/>
              <w:jc w:val="right"/>
              <w:rPr>
                <w:sz w:val="14"/>
              </w:rPr>
            </w:pPr>
            <w:r>
              <w:rPr>
                <w:sz w:val="14"/>
              </w:rPr>
              <w:t>700</w:t>
            </w:r>
          </w:p>
        </w:tc>
        <w:tc>
          <w:tcPr>
            <w:tcW w:w="1786" w:type="dxa"/>
            <w:gridSpan w:val="2"/>
          </w:tcPr>
          <w:p>
            <w:pPr>
              <w:pStyle w:val="TableParagraph"/>
              <w:spacing w:before="32"/>
              <w:ind w:right="229"/>
              <w:jc w:val="right"/>
              <w:rPr>
                <w:sz w:val="14"/>
              </w:rPr>
            </w:pPr>
            <w:r>
              <w:rPr>
                <w:sz w:val="14"/>
              </w:rPr>
              <w:t>770</w:t>
            </w:r>
          </w:p>
        </w:tc>
        <w:tc>
          <w:tcPr>
            <w:tcW w:w="1612" w:type="dxa"/>
            <w:gridSpan w:val="2"/>
          </w:tcPr>
          <w:p>
            <w:pPr>
              <w:pStyle w:val="TableParagraph"/>
              <w:spacing w:before="32"/>
              <w:ind w:right="7"/>
              <w:jc w:val="right"/>
              <w:rPr>
                <w:sz w:val="14"/>
              </w:rPr>
            </w:pPr>
            <w:r>
              <w:rPr>
                <w:sz w:val="14"/>
              </w:rPr>
              <w:t>847</w:t>
            </w:r>
          </w:p>
        </w:tc>
      </w:tr>
      <w:tr>
        <w:trPr>
          <w:trHeight w:val="227"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Institutional Capacity Building</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0"/>
              <w:jc w:val="right"/>
              <w:rPr>
                <w:sz w:val="14"/>
              </w:rPr>
            </w:pPr>
            <w:r>
              <w:rPr>
                <w:sz w:val="14"/>
              </w:rPr>
              <w:t>100</w:t>
            </w:r>
          </w:p>
        </w:tc>
        <w:tc>
          <w:tcPr>
            <w:tcW w:w="1786" w:type="dxa"/>
            <w:gridSpan w:val="2"/>
          </w:tcPr>
          <w:p>
            <w:pPr>
              <w:pStyle w:val="TableParagraph"/>
              <w:spacing w:before="32"/>
              <w:ind w:right="229"/>
              <w:jc w:val="right"/>
              <w:rPr>
                <w:sz w:val="14"/>
              </w:rPr>
            </w:pPr>
            <w:r>
              <w:rPr>
                <w:sz w:val="14"/>
              </w:rPr>
              <w:t>110</w:t>
            </w:r>
          </w:p>
        </w:tc>
        <w:tc>
          <w:tcPr>
            <w:tcW w:w="1612" w:type="dxa"/>
            <w:gridSpan w:val="2"/>
          </w:tcPr>
          <w:p>
            <w:pPr>
              <w:pStyle w:val="TableParagraph"/>
              <w:spacing w:before="32"/>
              <w:ind w:right="7"/>
              <w:jc w:val="right"/>
              <w:rPr>
                <w:sz w:val="14"/>
              </w:rPr>
            </w:pPr>
            <w:r>
              <w:rPr>
                <w:sz w:val="14"/>
              </w:rPr>
              <w:t>121</w:t>
            </w:r>
          </w:p>
        </w:tc>
      </w:tr>
      <w:tr>
        <w:trPr>
          <w:trHeight w:val="233" w:hRule="atLeast"/>
        </w:trPr>
        <w:tc>
          <w:tcPr>
            <w:tcW w:w="470" w:type="dxa"/>
          </w:tcPr>
          <w:p>
            <w:pPr>
              <w:pStyle w:val="TableParagraph"/>
              <w:spacing w:before="34"/>
              <w:ind w:left="124"/>
              <w:rPr>
                <w:sz w:val="14"/>
              </w:rPr>
            </w:pPr>
            <w:r>
              <w:rPr>
                <w:sz w:val="14"/>
              </w:rPr>
              <w:t>124</w:t>
            </w:r>
          </w:p>
        </w:tc>
        <w:tc>
          <w:tcPr>
            <w:tcW w:w="4763" w:type="dxa"/>
          </w:tcPr>
          <w:p>
            <w:pPr>
              <w:pStyle w:val="TableParagraph"/>
              <w:spacing w:before="34"/>
              <w:ind w:left="95"/>
              <w:rPr>
                <w:b/>
                <w:sz w:val="14"/>
              </w:rPr>
            </w:pPr>
            <w:r>
              <w:rPr>
                <w:b/>
                <w:sz w:val="14"/>
              </w:rPr>
              <w:t>Law Officers Department (LOD)</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719" w:type="dxa"/>
          </w:tcPr>
          <w:p>
            <w:pPr>
              <w:pStyle w:val="TableParagraph"/>
              <w:rPr>
                <w:rFonts w:ascii="Times New Roman"/>
                <w:sz w:val="14"/>
              </w:rPr>
            </w:pPr>
          </w:p>
        </w:tc>
        <w:tc>
          <w:tcPr>
            <w:tcW w:w="1115" w:type="dxa"/>
          </w:tcPr>
          <w:p>
            <w:pPr>
              <w:pStyle w:val="TableParagraph"/>
              <w:tabs>
                <w:tab w:pos="671" w:val="left" w:leader="none"/>
              </w:tabs>
              <w:spacing w:before="34"/>
              <w:ind w:left="-10" w:right="191"/>
              <w:jc w:val="right"/>
              <w:rPr>
                <w:b/>
                <w:sz w:val="14"/>
              </w:rPr>
            </w:pPr>
            <w:r>
              <w:rPr>
                <w:b/>
                <w:sz w:val="14"/>
              </w:rPr>
              <w:t>-</w:t>
              <w:tab/>
            </w:r>
            <w:r>
              <w:rPr>
                <w:b/>
                <w:spacing w:val="-2"/>
                <w:sz w:val="14"/>
              </w:rPr>
              <w:t>600</w:t>
            </w:r>
          </w:p>
        </w:tc>
        <w:tc>
          <w:tcPr>
            <w:tcW w:w="805" w:type="dxa"/>
          </w:tcPr>
          <w:p>
            <w:pPr>
              <w:pStyle w:val="TableParagraph"/>
              <w:spacing w:before="34"/>
              <w:ind w:right="120"/>
              <w:jc w:val="right"/>
              <w:rPr>
                <w:b/>
                <w:sz w:val="14"/>
              </w:rPr>
            </w:pPr>
            <w:r>
              <w:rPr>
                <w:b/>
                <w:w w:val="99"/>
                <w:sz w:val="14"/>
              </w:rPr>
              <w:t>-</w:t>
            </w:r>
          </w:p>
        </w:tc>
        <w:tc>
          <w:tcPr>
            <w:tcW w:w="981" w:type="dxa"/>
          </w:tcPr>
          <w:p>
            <w:pPr>
              <w:pStyle w:val="TableParagraph"/>
              <w:spacing w:before="34"/>
              <w:ind w:left="488"/>
              <w:rPr>
                <w:b/>
                <w:sz w:val="14"/>
              </w:rPr>
            </w:pPr>
            <w:r>
              <w:rPr>
                <w:b/>
                <w:sz w:val="14"/>
              </w:rPr>
              <w:t>660</w:t>
            </w:r>
          </w:p>
        </w:tc>
        <w:tc>
          <w:tcPr>
            <w:tcW w:w="792" w:type="dxa"/>
          </w:tcPr>
          <w:p>
            <w:pPr>
              <w:pStyle w:val="TableParagraph"/>
              <w:spacing w:before="34"/>
              <w:ind w:right="130"/>
              <w:jc w:val="right"/>
              <w:rPr>
                <w:b/>
                <w:sz w:val="14"/>
              </w:rPr>
            </w:pPr>
            <w:r>
              <w:rPr>
                <w:b/>
                <w:w w:val="99"/>
                <w:sz w:val="14"/>
              </w:rPr>
              <w:t>-</w:t>
            </w:r>
          </w:p>
        </w:tc>
        <w:tc>
          <w:tcPr>
            <w:tcW w:w="820" w:type="dxa"/>
          </w:tcPr>
          <w:p>
            <w:pPr>
              <w:pStyle w:val="TableParagraph"/>
              <w:spacing w:before="34"/>
              <w:ind w:right="18"/>
              <w:jc w:val="right"/>
              <w:rPr>
                <w:b/>
                <w:sz w:val="14"/>
              </w:rPr>
            </w:pPr>
            <w:r>
              <w:rPr>
                <w:b/>
                <w:sz w:val="14"/>
              </w:rPr>
              <w:t>726</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Rehabilitation/ Construction of Law Officers</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719" w:type="dxa"/>
          </w:tcPr>
          <w:p>
            <w:pPr>
              <w:pStyle w:val="TableParagraph"/>
              <w:rPr>
                <w:rFonts w:ascii="Times New Roman"/>
                <w:sz w:val="14"/>
              </w:rPr>
            </w:pPr>
          </w:p>
        </w:tc>
        <w:tc>
          <w:tcPr>
            <w:tcW w:w="1115" w:type="dxa"/>
          </w:tcPr>
          <w:p>
            <w:pPr>
              <w:pStyle w:val="TableParagraph"/>
              <w:rPr>
                <w:rFonts w:ascii="Times New Roman"/>
                <w:sz w:val="14"/>
              </w:rPr>
            </w:pPr>
          </w:p>
        </w:tc>
        <w:tc>
          <w:tcPr>
            <w:tcW w:w="805" w:type="dxa"/>
          </w:tcPr>
          <w:p>
            <w:pPr>
              <w:pStyle w:val="TableParagraph"/>
              <w:rPr>
                <w:rFonts w:ascii="Times New Roman"/>
                <w:sz w:val="14"/>
              </w:rPr>
            </w:pPr>
          </w:p>
        </w:tc>
        <w:tc>
          <w:tcPr>
            <w:tcW w:w="981" w:type="dxa"/>
          </w:tcPr>
          <w:p>
            <w:pPr>
              <w:pStyle w:val="TableParagraph"/>
              <w:rPr>
                <w:rFonts w:ascii="Times New Roman"/>
                <w:sz w:val="14"/>
              </w:rPr>
            </w:pPr>
          </w:p>
        </w:tc>
        <w:tc>
          <w:tcPr>
            <w:tcW w:w="1612" w:type="dxa"/>
            <w:gridSpan w:val="2"/>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Buildings in the Districts</w:t>
            </w:r>
          </w:p>
        </w:tc>
        <w:tc>
          <w:tcPr>
            <w:tcW w:w="855" w:type="dxa"/>
          </w:tcPr>
          <w:p>
            <w:pPr>
              <w:pStyle w:val="TableParagraph"/>
              <w:spacing w:before="32"/>
              <w:ind w:left="204"/>
              <w:rPr>
                <w:sz w:val="14"/>
              </w:rPr>
            </w:pPr>
            <w:r>
              <w:rPr>
                <w:sz w:val="14"/>
              </w:rPr>
              <w:t>Ongoing</w:t>
            </w:r>
          </w:p>
        </w:tc>
        <w:tc>
          <w:tcPr>
            <w:tcW w:w="1074" w:type="dxa"/>
          </w:tcPr>
          <w:p>
            <w:pPr>
              <w:pStyle w:val="TableParagraph"/>
              <w:spacing w:before="32"/>
              <w:ind w:left="88"/>
              <w:rPr>
                <w:sz w:val="14"/>
              </w:rPr>
            </w:pPr>
            <w:r>
              <w:rPr>
                <w:sz w:val="14"/>
              </w:rPr>
              <w:t>Western Area</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719" w:type="dxa"/>
          </w:tcPr>
          <w:p>
            <w:pPr>
              <w:pStyle w:val="TableParagraph"/>
              <w:rPr>
                <w:rFonts w:ascii="Times New Roman"/>
                <w:sz w:val="14"/>
              </w:rPr>
            </w:pPr>
          </w:p>
        </w:tc>
        <w:tc>
          <w:tcPr>
            <w:tcW w:w="1115" w:type="dxa"/>
          </w:tcPr>
          <w:p>
            <w:pPr>
              <w:pStyle w:val="TableParagraph"/>
              <w:spacing w:before="32"/>
              <w:ind w:left="-15" w:right="180"/>
              <w:jc w:val="right"/>
              <w:rPr>
                <w:sz w:val="14"/>
              </w:rPr>
            </w:pPr>
            <w:r>
              <w:rPr>
                <w:sz w:val="14"/>
              </w:rPr>
              <w:t>600</w:t>
            </w:r>
          </w:p>
        </w:tc>
        <w:tc>
          <w:tcPr>
            <w:tcW w:w="805" w:type="dxa"/>
          </w:tcPr>
          <w:p>
            <w:pPr>
              <w:pStyle w:val="TableParagraph"/>
              <w:rPr>
                <w:rFonts w:ascii="Times New Roman"/>
                <w:sz w:val="14"/>
              </w:rPr>
            </w:pPr>
          </w:p>
        </w:tc>
        <w:tc>
          <w:tcPr>
            <w:tcW w:w="981" w:type="dxa"/>
          </w:tcPr>
          <w:p>
            <w:pPr>
              <w:pStyle w:val="TableParagraph"/>
              <w:spacing w:before="32"/>
              <w:ind w:left="499"/>
              <w:rPr>
                <w:sz w:val="14"/>
              </w:rPr>
            </w:pPr>
            <w:r>
              <w:rPr>
                <w:sz w:val="14"/>
              </w:rPr>
              <w:t>660</w:t>
            </w:r>
          </w:p>
        </w:tc>
        <w:tc>
          <w:tcPr>
            <w:tcW w:w="1612" w:type="dxa"/>
            <w:gridSpan w:val="2"/>
          </w:tcPr>
          <w:p>
            <w:pPr>
              <w:pStyle w:val="TableParagraph"/>
              <w:spacing w:before="32"/>
              <w:ind w:right="7"/>
              <w:jc w:val="right"/>
              <w:rPr>
                <w:sz w:val="14"/>
              </w:rPr>
            </w:pPr>
            <w:r>
              <w:rPr>
                <w:sz w:val="14"/>
              </w:rPr>
              <w:t>726</w:t>
            </w:r>
          </w:p>
        </w:tc>
      </w:tr>
      <w:tr>
        <w:trPr>
          <w:trHeight w:val="230" w:hRule="atLeast"/>
        </w:trPr>
        <w:tc>
          <w:tcPr>
            <w:tcW w:w="470" w:type="dxa"/>
          </w:tcPr>
          <w:p>
            <w:pPr>
              <w:pStyle w:val="TableParagraph"/>
              <w:spacing w:before="32"/>
              <w:ind w:left="124"/>
              <w:rPr>
                <w:sz w:val="14"/>
              </w:rPr>
            </w:pPr>
            <w:r>
              <w:rPr>
                <w:sz w:val="14"/>
              </w:rPr>
              <w:t>110</w:t>
            </w:r>
          </w:p>
        </w:tc>
        <w:tc>
          <w:tcPr>
            <w:tcW w:w="4763" w:type="dxa"/>
          </w:tcPr>
          <w:p>
            <w:pPr>
              <w:pStyle w:val="TableParagraph"/>
              <w:spacing w:before="32"/>
              <w:ind w:left="95"/>
              <w:rPr>
                <w:b/>
                <w:sz w:val="14"/>
              </w:rPr>
            </w:pPr>
            <w:r>
              <w:rPr>
                <w:b/>
                <w:sz w:val="14"/>
              </w:rPr>
              <w:t>Law Reform Commission (LRC)</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719" w:type="dxa"/>
          </w:tcPr>
          <w:p>
            <w:pPr>
              <w:pStyle w:val="TableParagraph"/>
              <w:spacing w:before="32"/>
              <w:ind w:right="3"/>
              <w:jc w:val="right"/>
              <w:rPr>
                <w:b/>
                <w:sz w:val="14"/>
              </w:rPr>
            </w:pPr>
            <w:r>
              <w:rPr>
                <w:b/>
                <w:sz w:val="14"/>
              </w:rPr>
              <w:t>1,666</w:t>
            </w:r>
          </w:p>
        </w:tc>
        <w:tc>
          <w:tcPr>
            <w:tcW w:w="1115" w:type="dxa"/>
          </w:tcPr>
          <w:p>
            <w:pPr>
              <w:pStyle w:val="TableParagraph"/>
              <w:spacing w:before="32"/>
              <w:ind w:left="-15" w:right="191"/>
              <w:jc w:val="right"/>
              <w:rPr>
                <w:b/>
                <w:sz w:val="14"/>
              </w:rPr>
            </w:pPr>
            <w:r>
              <w:rPr>
                <w:b/>
                <w:sz w:val="14"/>
              </w:rPr>
              <w:t>200</w:t>
            </w:r>
          </w:p>
        </w:tc>
        <w:tc>
          <w:tcPr>
            <w:tcW w:w="805" w:type="dxa"/>
          </w:tcPr>
          <w:p>
            <w:pPr>
              <w:pStyle w:val="TableParagraph"/>
              <w:spacing w:before="32"/>
              <w:ind w:right="148"/>
              <w:jc w:val="right"/>
              <w:rPr>
                <w:b/>
                <w:sz w:val="14"/>
              </w:rPr>
            </w:pPr>
            <w:r>
              <w:rPr>
                <w:b/>
                <w:sz w:val="14"/>
              </w:rPr>
              <w:t>666</w:t>
            </w:r>
          </w:p>
        </w:tc>
        <w:tc>
          <w:tcPr>
            <w:tcW w:w="981" w:type="dxa"/>
          </w:tcPr>
          <w:p>
            <w:pPr>
              <w:pStyle w:val="TableParagraph"/>
              <w:spacing w:before="32"/>
              <w:ind w:left="488"/>
              <w:rPr>
                <w:b/>
                <w:sz w:val="14"/>
              </w:rPr>
            </w:pPr>
            <w:r>
              <w:rPr>
                <w:b/>
                <w:sz w:val="14"/>
              </w:rPr>
              <w:t>220</w:t>
            </w:r>
          </w:p>
        </w:tc>
        <w:tc>
          <w:tcPr>
            <w:tcW w:w="1612" w:type="dxa"/>
            <w:gridSpan w:val="2"/>
          </w:tcPr>
          <w:p>
            <w:pPr>
              <w:pStyle w:val="TableParagraph"/>
              <w:tabs>
                <w:tab w:pos="1341" w:val="left" w:leader="none"/>
              </w:tabs>
              <w:spacing w:before="32"/>
              <w:ind w:left="613"/>
              <w:rPr>
                <w:b/>
                <w:sz w:val="14"/>
              </w:rPr>
            </w:pPr>
            <w:r>
              <w:rPr>
                <w:b/>
                <w:sz w:val="14"/>
              </w:rPr>
              <w:t>-</w:t>
              <w:tab/>
            </w:r>
            <w:r>
              <w:rPr>
                <w:b/>
                <w:spacing w:val="5"/>
                <w:sz w:val="14"/>
              </w:rPr>
              <w:t>242</w:t>
            </w:r>
          </w:p>
        </w:tc>
      </w:tr>
      <w:tr>
        <w:trPr>
          <w:trHeight w:val="230"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Support for Institutional Capacity Building</w:t>
            </w:r>
          </w:p>
        </w:tc>
        <w:tc>
          <w:tcPr>
            <w:tcW w:w="855" w:type="dxa"/>
          </w:tcPr>
          <w:p>
            <w:pPr>
              <w:pStyle w:val="TableParagraph"/>
              <w:spacing w:before="32"/>
              <w:ind w:left="204"/>
              <w:rPr>
                <w:sz w:val="14"/>
              </w:rPr>
            </w:pPr>
            <w:r>
              <w:rPr>
                <w:sz w:val="14"/>
              </w:rPr>
              <w:t>Ongoing</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719" w:type="dxa"/>
          </w:tcPr>
          <w:p>
            <w:pPr>
              <w:pStyle w:val="TableParagraph"/>
              <w:rPr>
                <w:rFonts w:ascii="Times New Roman"/>
                <w:sz w:val="14"/>
              </w:rPr>
            </w:pPr>
          </w:p>
        </w:tc>
        <w:tc>
          <w:tcPr>
            <w:tcW w:w="1115" w:type="dxa"/>
          </w:tcPr>
          <w:p>
            <w:pPr>
              <w:pStyle w:val="TableParagraph"/>
              <w:spacing w:before="32"/>
              <w:ind w:left="-15" w:right="180"/>
              <w:jc w:val="right"/>
              <w:rPr>
                <w:sz w:val="14"/>
              </w:rPr>
            </w:pPr>
            <w:r>
              <w:rPr>
                <w:sz w:val="14"/>
              </w:rPr>
              <w:t>100</w:t>
            </w:r>
          </w:p>
        </w:tc>
        <w:tc>
          <w:tcPr>
            <w:tcW w:w="805" w:type="dxa"/>
          </w:tcPr>
          <w:p>
            <w:pPr>
              <w:pStyle w:val="TableParagraph"/>
              <w:rPr>
                <w:rFonts w:ascii="Times New Roman"/>
                <w:sz w:val="14"/>
              </w:rPr>
            </w:pPr>
          </w:p>
        </w:tc>
        <w:tc>
          <w:tcPr>
            <w:tcW w:w="981" w:type="dxa"/>
          </w:tcPr>
          <w:p>
            <w:pPr>
              <w:pStyle w:val="TableParagraph"/>
              <w:spacing w:before="32"/>
              <w:ind w:left="499"/>
              <w:rPr>
                <w:sz w:val="14"/>
              </w:rPr>
            </w:pPr>
            <w:r>
              <w:rPr>
                <w:sz w:val="14"/>
              </w:rPr>
              <w:t>110</w:t>
            </w:r>
          </w:p>
        </w:tc>
        <w:tc>
          <w:tcPr>
            <w:tcW w:w="1612" w:type="dxa"/>
            <w:gridSpan w:val="2"/>
          </w:tcPr>
          <w:p>
            <w:pPr>
              <w:pStyle w:val="TableParagraph"/>
              <w:spacing w:before="32"/>
              <w:ind w:right="7"/>
              <w:jc w:val="right"/>
              <w:rPr>
                <w:sz w:val="14"/>
              </w:rPr>
            </w:pPr>
            <w:r>
              <w:rPr>
                <w:sz w:val="14"/>
              </w:rPr>
              <w:t>121</w:t>
            </w:r>
          </w:p>
        </w:tc>
      </w:tr>
      <w:tr>
        <w:trPr>
          <w:trHeight w:val="227" w:hRule="atLeast"/>
        </w:trPr>
        <w:tc>
          <w:tcPr>
            <w:tcW w:w="470" w:type="dxa"/>
          </w:tcPr>
          <w:p>
            <w:pPr>
              <w:pStyle w:val="TableParagraph"/>
              <w:rPr>
                <w:rFonts w:ascii="Times New Roman"/>
                <w:sz w:val="14"/>
              </w:rPr>
            </w:pPr>
          </w:p>
        </w:tc>
        <w:tc>
          <w:tcPr>
            <w:tcW w:w="4763" w:type="dxa"/>
          </w:tcPr>
          <w:p>
            <w:pPr>
              <w:pStyle w:val="TableParagraph"/>
              <w:spacing w:before="32"/>
              <w:ind w:left="263"/>
              <w:rPr>
                <w:sz w:val="14"/>
              </w:rPr>
            </w:pPr>
            <w:r>
              <w:rPr>
                <w:sz w:val="14"/>
              </w:rPr>
              <w:t>Establishment for Alternative Dispute Resolution Project</w:t>
            </w:r>
          </w:p>
        </w:tc>
        <w:tc>
          <w:tcPr>
            <w:tcW w:w="855" w:type="dxa"/>
          </w:tcPr>
          <w:p>
            <w:pPr>
              <w:pStyle w:val="TableParagraph"/>
              <w:spacing w:before="32"/>
              <w:ind w:left="204"/>
              <w:rPr>
                <w:sz w:val="14"/>
              </w:rPr>
            </w:pPr>
            <w:r>
              <w:rPr>
                <w:sz w:val="14"/>
              </w:rPr>
              <w:t>Ongoing</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IDB/ GoSL</w:t>
            </w:r>
          </w:p>
        </w:tc>
        <w:tc>
          <w:tcPr>
            <w:tcW w:w="1305" w:type="dxa"/>
          </w:tcPr>
          <w:p>
            <w:pPr>
              <w:pStyle w:val="TableParagraph"/>
              <w:rPr>
                <w:rFonts w:ascii="Times New Roman"/>
                <w:sz w:val="14"/>
              </w:rPr>
            </w:pPr>
          </w:p>
        </w:tc>
        <w:tc>
          <w:tcPr>
            <w:tcW w:w="719" w:type="dxa"/>
          </w:tcPr>
          <w:p>
            <w:pPr>
              <w:pStyle w:val="TableParagraph"/>
              <w:spacing w:before="32"/>
              <w:ind w:right="-29"/>
              <w:jc w:val="right"/>
              <w:rPr>
                <w:sz w:val="14"/>
              </w:rPr>
            </w:pPr>
            <w:r>
              <w:rPr>
                <w:sz w:val="14"/>
              </w:rPr>
              <w:t>1,666</w:t>
            </w:r>
          </w:p>
        </w:tc>
        <w:tc>
          <w:tcPr>
            <w:tcW w:w="1115" w:type="dxa"/>
          </w:tcPr>
          <w:p>
            <w:pPr>
              <w:pStyle w:val="TableParagraph"/>
              <w:spacing w:before="32"/>
              <w:ind w:left="-15" w:right="180"/>
              <w:jc w:val="right"/>
              <w:rPr>
                <w:sz w:val="14"/>
              </w:rPr>
            </w:pPr>
            <w:r>
              <w:rPr>
                <w:sz w:val="14"/>
              </w:rPr>
              <w:t>100</w:t>
            </w:r>
          </w:p>
        </w:tc>
        <w:tc>
          <w:tcPr>
            <w:tcW w:w="805" w:type="dxa"/>
          </w:tcPr>
          <w:p>
            <w:pPr>
              <w:pStyle w:val="TableParagraph"/>
              <w:spacing w:before="32"/>
              <w:ind w:right="137"/>
              <w:jc w:val="right"/>
              <w:rPr>
                <w:sz w:val="14"/>
              </w:rPr>
            </w:pPr>
            <w:r>
              <w:rPr>
                <w:sz w:val="14"/>
              </w:rPr>
              <w:t>666</w:t>
            </w:r>
          </w:p>
        </w:tc>
        <w:tc>
          <w:tcPr>
            <w:tcW w:w="981" w:type="dxa"/>
          </w:tcPr>
          <w:p>
            <w:pPr>
              <w:pStyle w:val="TableParagraph"/>
              <w:spacing w:before="32"/>
              <w:ind w:left="499"/>
              <w:rPr>
                <w:sz w:val="14"/>
              </w:rPr>
            </w:pPr>
            <w:r>
              <w:rPr>
                <w:sz w:val="14"/>
              </w:rPr>
              <w:t>110</w:t>
            </w:r>
          </w:p>
        </w:tc>
        <w:tc>
          <w:tcPr>
            <w:tcW w:w="1612" w:type="dxa"/>
            <w:gridSpan w:val="2"/>
          </w:tcPr>
          <w:p>
            <w:pPr>
              <w:pStyle w:val="TableParagraph"/>
              <w:spacing w:before="32"/>
              <w:ind w:right="7"/>
              <w:jc w:val="right"/>
              <w:rPr>
                <w:sz w:val="14"/>
              </w:rPr>
            </w:pPr>
            <w:r>
              <w:rPr>
                <w:sz w:val="14"/>
              </w:rPr>
              <w:t>121</w:t>
            </w:r>
          </w:p>
        </w:tc>
      </w:tr>
      <w:tr>
        <w:trPr>
          <w:trHeight w:val="233" w:hRule="atLeast"/>
        </w:trPr>
        <w:tc>
          <w:tcPr>
            <w:tcW w:w="470" w:type="dxa"/>
          </w:tcPr>
          <w:p>
            <w:pPr>
              <w:pStyle w:val="TableParagraph"/>
              <w:spacing w:before="34"/>
              <w:ind w:left="124"/>
              <w:rPr>
                <w:sz w:val="14"/>
              </w:rPr>
            </w:pPr>
            <w:r>
              <w:rPr>
                <w:sz w:val="14"/>
              </w:rPr>
              <w:t>124</w:t>
            </w:r>
          </w:p>
        </w:tc>
        <w:tc>
          <w:tcPr>
            <w:tcW w:w="4763" w:type="dxa"/>
          </w:tcPr>
          <w:p>
            <w:pPr>
              <w:pStyle w:val="TableParagraph"/>
              <w:spacing w:before="34"/>
              <w:ind w:left="95"/>
              <w:rPr>
                <w:b/>
                <w:sz w:val="14"/>
              </w:rPr>
            </w:pPr>
            <w:r>
              <w:rPr>
                <w:b/>
                <w:sz w:val="14"/>
              </w:rPr>
              <w:t>Office of the Administrator and Registrar General (OARG)</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719" w:type="dxa"/>
          </w:tcPr>
          <w:p>
            <w:pPr>
              <w:pStyle w:val="TableParagraph"/>
              <w:rPr>
                <w:rFonts w:ascii="Times New Roman"/>
                <w:sz w:val="14"/>
              </w:rPr>
            </w:pPr>
          </w:p>
        </w:tc>
        <w:tc>
          <w:tcPr>
            <w:tcW w:w="1115" w:type="dxa"/>
          </w:tcPr>
          <w:p>
            <w:pPr>
              <w:pStyle w:val="TableParagraph"/>
              <w:tabs>
                <w:tab w:pos="671" w:val="left" w:leader="none"/>
              </w:tabs>
              <w:spacing w:before="34"/>
              <w:ind w:left="-15" w:right="191"/>
              <w:jc w:val="right"/>
              <w:rPr>
                <w:b/>
                <w:sz w:val="14"/>
              </w:rPr>
            </w:pPr>
            <w:r>
              <w:rPr>
                <w:b/>
                <w:sz w:val="14"/>
              </w:rPr>
              <w:t>-</w:t>
              <w:tab/>
            </w:r>
            <w:r>
              <w:rPr>
                <w:b/>
                <w:spacing w:val="-2"/>
                <w:sz w:val="14"/>
              </w:rPr>
              <w:t>800</w:t>
            </w:r>
          </w:p>
        </w:tc>
        <w:tc>
          <w:tcPr>
            <w:tcW w:w="805" w:type="dxa"/>
          </w:tcPr>
          <w:p>
            <w:pPr>
              <w:pStyle w:val="TableParagraph"/>
              <w:spacing w:before="34"/>
              <w:ind w:right="120"/>
              <w:jc w:val="right"/>
              <w:rPr>
                <w:b/>
                <w:sz w:val="14"/>
              </w:rPr>
            </w:pPr>
            <w:r>
              <w:rPr>
                <w:b/>
                <w:w w:val="99"/>
                <w:sz w:val="14"/>
              </w:rPr>
              <w:t>-</w:t>
            </w:r>
          </w:p>
        </w:tc>
        <w:tc>
          <w:tcPr>
            <w:tcW w:w="981" w:type="dxa"/>
          </w:tcPr>
          <w:p>
            <w:pPr>
              <w:pStyle w:val="TableParagraph"/>
              <w:spacing w:before="34"/>
              <w:ind w:left="488"/>
              <w:rPr>
                <w:b/>
                <w:sz w:val="14"/>
              </w:rPr>
            </w:pPr>
            <w:r>
              <w:rPr>
                <w:b/>
                <w:sz w:val="14"/>
              </w:rPr>
              <w:t>880</w:t>
            </w:r>
          </w:p>
        </w:tc>
        <w:tc>
          <w:tcPr>
            <w:tcW w:w="792" w:type="dxa"/>
          </w:tcPr>
          <w:p>
            <w:pPr>
              <w:pStyle w:val="TableParagraph"/>
              <w:spacing w:before="34"/>
              <w:ind w:right="130"/>
              <w:jc w:val="right"/>
              <w:rPr>
                <w:b/>
                <w:sz w:val="14"/>
              </w:rPr>
            </w:pPr>
            <w:r>
              <w:rPr>
                <w:b/>
                <w:w w:val="99"/>
                <w:sz w:val="14"/>
              </w:rPr>
              <w:t>-</w:t>
            </w:r>
          </w:p>
        </w:tc>
        <w:tc>
          <w:tcPr>
            <w:tcW w:w="820" w:type="dxa"/>
          </w:tcPr>
          <w:p>
            <w:pPr>
              <w:pStyle w:val="TableParagraph"/>
              <w:spacing w:before="34"/>
              <w:ind w:right="18"/>
              <w:jc w:val="right"/>
              <w:rPr>
                <w:b/>
                <w:sz w:val="14"/>
              </w:rPr>
            </w:pPr>
            <w:r>
              <w:rPr>
                <w:b/>
                <w:sz w:val="14"/>
              </w:rPr>
              <w:t>968</w:t>
            </w:r>
          </w:p>
        </w:tc>
      </w:tr>
      <w:tr>
        <w:trPr>
          <w:trHeight w:val="227" w:hRule="atLeast"/>
        </w:trPr>
        <w:tc>
          <w:tcPr>
            <w:tcW w:w="5233" w:type="dxa"/>
            <w:gridSpan w:val="2"/>
          </w:tcPr>
          <w:p>
            <w:pPr>
              <w:pStyle w:val="TableParagraph"/>
              <w:spacing w:before="32"/>
              <w:ind w:left="733"/>
              <w:rPr>
                <w:sz w:val="14"/>
              </w:rPr>
            </w:pPr>
            <w:r>
              <w:rPr>
                <w:sz w:val="14"/>
              </w:rPr>
              <w:t>Automation of Registrar General’s Records</w:t>
            </w:r>
          </w:p>
        </w:tc>
        <w:tc>
          <w:tcPr>
            <w:tcW w:w="855" w:type="dxa"/>
          </w:tcPr>
          <w:p>
            <w:pPr>
              <w:pStyle w:val="TableParagraph"/>
              <w:spacing w:before="32"/>
              <w:ind w:left="204"/>
              <w:rPr>
                <w:sz w:val="14"/>
              </w:rPr>
            </w:pPr>
            <w:r>
              <w:rPr>
                <w:sz w:val="14"/>
              </w:rPr>
              <w:t>Ongoing</w:t>
            </w:r>
          </w:p>
        </w:tc>
        <w:tc>
          <w:tcPr>
            <w:tcW w:w="1074" w:type="dxa"/>
          </w:tcPr>
          <w:p>
            <w:pPr>
              <w:pStyle w:val="TableParagraph"/>
              <w:spacing w:before="32"/>
              <w:ind w:left="88"/>
              <w:rPr>
                <w:sz w:val="14"/>
              </w:rPr>
            </w:pPr>
            <w:r>
              <w:rPr>
                <w:sz w:val="14"/>
              </w:rPr>
              <w:t>Nationwide</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0"/>
              <w:jc w:val="right"/>
              <w:rPr>
                <w:sz w:val="14"/>
              </w:rPr>
            </w:pPr>
            <w:r>
              <w:rPr>
                <w:sz w:val="14"/>
              </w:rPr>
              <w:t>800</w:t>
            </w:r>
          </w:p>
        </w:tc>
        <w:tc>
          <w:tcPr>
            <w:tcW w:w="1786" w:type="dxa"/>
            <w:gridSpan w:val="2"/>
          </w:tcPr>
          <w:p>
            <w:pPr>
              <w:pStyle w:val="TableParagraph"/>
              <w:spacing w:before="32"/>
              <w:ind w:right="229"/>
              <w:jc w:val="right"/>
              <w:rPr>
                <w:sz w:val="14"/>
              </w:rPr>
            </w:pPr>
            <w:r>
              <w:rPr>
                <w:sz w:val="14"/>
              </w:rPr>
              <w:t>880</w:t>
            </w:r>
          </w:p>
        </w:tc>
        <w:tc>
          <w:tcPr>
            <w:tcW w:w="1612" w:type="dxa"/>
            <w:gridSpan w:val="2"/>
          </w:tcPr>
          <w:p>
            <w:pPr>
              <w:pStyle w:val="TableParagraph"/>
              <w:spacing w:before="32"/>
              <w:ind w:right="7"/>
              <w:jc w:val="right"/>
              <w:rPr>
                <w:sz w:val="14"/>
              </w:rPr>
            </w:pPr>
            <w:r>
              <w:rPr>
                <w:sz w:val="14"/>
              </w:rPr>
              <w:t>968</w:t>
            </w:r>
          </w:p>
        </w:tc>
      </w:tr>
      <w:tr>
        <w:trPr>
          <w:trHeight w:val="230" w:hRule="atLeast"/>
        </w:trPr>
        <w:tc>
          <w:tcPr>
            <w:tcW w:w="470" w:type="dxa"/>
          </w:tcPr>
          <w:p>
            <w:pPr>
              <w:pStyle w:val="TableParagraph"/>
              <w:spacing w:before="34"/>
              <w:ind w:left="124"/>
              <w:rPr>
                <w:sz w:val="14"/>
              </w:rPr>
            </w:pPr>
            <w:r>
              <w:rPr>
                <w:sz w:val="14"/>
              </w:rPr>
              <w:t>124</w:t>
            </w:r>
          </w:p>
        </w:tc>
        <w:tc>
          <w:tcPr>
            <w:tcW w:w="4763" w:type="dxa"/>
          </w:tcPr>
          <w:p>
            <w:pPr>
              <w:pStyle w:val="TableParagraph"/>
              <w:spacing w:before="34"/>
              <w:ind w:left="95"/>
              <w:rPr>
                <w:b/>
                <w:sz w:val="14"/>
              </w:rPr>
            </w:pPr>
            <w:r>
              <w:rPr>
                <w:b/>
                <w:sz w:val="14"/>
              </w:rPr>
              <w:t>Council of Legal Education: Sierra Leone Law School</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719" w:type="dxa"/>
          </w:tcPr>
          <w:p>
            <w:pPr>
              <w:pStyle w:val="TableParagraph"/>
              <w:rPr>
                <w:rFonts w:ascii="Times New Roman"/>
                <w:sz w:val="14"/>
              </w:rPr>
            </w:pPr>
          </w:p>
        </w:tc>
        <w:tc>
          <w:tcPr>
            <w:tcW w:w="1115" w:type="dxa"/>
          </w:tcPr>
          <w:p>
            <w:pPr>
              <w:pStyle w:val="TableParagraph"/>
              <w:tabs>
                <w:tab w:pos="671" w:val="left" w:leader="none"/>
              </w:tabs>
              <w:spacing w:before="34"/>
              <w:ind w:left="-15" w:right="191"/>
              <w:jc w:val="right"/>
              <w:rPr>
                <w:b/>
                <w:sz w:val="14"/>
              </w:rPr>
            </w:pPr>
            <w:r>
              <w:rPr>
                <w:b/>
                <w:sz w:val="14"/>
              </w:rPr>
              <w:t>-</w:t>
              <w:tab/>
            </w:r>
            <w:r>
              <w:rPr>
                <w:b/>
                <w:spacing w:val="-2"/>
                <w:sz w:val="14"/>
              </w:rPr>
              <w:t>250</w:t>
            </w:r>
          </w:p>
        </w:tc>
        <w:tc>
          <w:tcPr>
            <w:tcW w:w="805" w:type="dxa"/>
          </w:tcPr>
          <w:p>
            <w:pPr>
              <w:pStyle w:val="TableParagraph"/>
              <w:spacing w:before="34"/>
              <w:ind w:right="120"/>
              <w:jc w:val="right"/>
              <w:rPr>
                <w:b/>
                <w:sz w:val="14"/>
              </w:rPr>
            </w:pPr>
            <w:r>
              <w:rPr>
                <w:b/>
                <w:w w:val="99"/>
                <w:sz w:val="14"/>
              </w:rPr>
              <w:t>-</w:t>
            </w:r>
          </w:p>
        </w:tc>
        <w:tc>
          <w:tcPr>
            <w:tcW w:w="981" w:type="dxa"/>
          </w:tcPr>
          <w:p>
            <w:pPr>
              <w:pStyle w:val="TableParagraph"/>
              <w:spacing w:before="34"/>
              <w:ind w:left="488"/>
              <w:rPr>
                <w:b/>
                <w:sz w:val="14"/>
              </w:rPr>
            </w:pPr>
            <w:r>
              <w:rPr>
                <w:b/>
                <w:sz w:val="14"/>
              </w:rPr>
              <w:t>275</w:t>
            </w:r>
          </w:p>
        </w:tc>
        <w:tc>
          <w:tcPr>
            <w:tcW w:w="792" w:type="dxa"/>
          </w:tcPr>
          <w:p>
            <w:pPr>
              <w:pStyle w:val="TableParagraph"/>
              <w:spacing w:before="34"/>
              <w:ind w:right="130"/>
              <w:jc w:val="right"/>
              <w:rPr>
                <w:b/>
                <w:sz w:val="14"/>
              </w:rPr>
            </w:pPr>
            <w:r>
              <w:rPr>
                <w:b/>
                <w:w w:val="99"/>
                <w:sz w:val="14"/>
              </w:rPr>
              <w:t>-</w:t>
            </w:r>
          </w:p>
        </w:tc>
        <w:tc>
          <w:tcPr>
            <w:tcW w:w="820" w:type="dxa"/>
          </w:tcPr>
          <w:p>
            <w:pPr>
              <w:pStyle w:val="TableParagraph"/>
              <w:spacing w:before="34"/>
              <w:ind w:right="18"/>
              <w:jc w:val="right"/>
              <w:rPr>
                <w:b/>
                <w:sz w:val="14"/>
              </w:rPr>
            </w:pPr>
            <w:r>
              <w:rPr>
                <w:b/>
                <w:sz w:val="14"/>
              </w:rPr>
              <w:t>303</w:t>
            </w:r>
          </w:p>
        </w:tc>
      </w:tr>
      <w:tr>
        <w:trPr>
          <w:trHeight w:val="228" w:hRule="atLeast"/>
        </w:trPr>
        <w:tc>
          <w:tcPr>
            <w:tcW w:w="5233" w:type="dxa"/>
            <w:gridSpan w:val="2"/>
          </w:tcPr>
          <w:p>
            <w:pPr>
              <w:pStyle w:val="TableParagraph"/>
              <w:spacing w:before="29"/>
              <w:ind w:left="733"/>
              <w:rPr>
                <w:sz w:val="14"/>
              </w:rPr>
            </w:pPr>
            <w:r>
              <w:rPr>
                <w:sz w:val="14"/>
              </w:rPr>
              <w:t>Feasibility Study for the Construction of Sierra Leone</w:t>
            </w:r>
          </w:p>
        </w:tc>
        <w:tc>
          <w:tcPr>
            <w:tcW w:w="855" w:type="dxa"/>
          </w:tcPr>
          <w:p>
            <w:pPr>
              <w:pStyle w:val="TableParagraph"/>
              <w:rPr>
                <w:rFonts w:ascii="Times New Roman"/>
                <w:sz w:val="14"/>
              </w:rPr>
            </w:pPr>
          </w:p>
        </w:tc>
        <w:tc>
          <w:tcPr>
            <w:tcW w:w="1074" w:type="dxa"/>
          </w:tcPr>
          <w:p>
            <w:pPr>
              <w:pStyle w:val="TableParagraph"/>
              <w:rPr>
                <w:rFonts w:ascii="Times New Roman"/>
                <w:sz w:val="14"/>
              </w:rPr>
            </w:pPr>
          </w:p>
        </w:tc>
        <w:tc>
          <w:tcPr>
            <w:tcW w:w="1095" w:type="dxa"/>
          </w:tcPr>
          <w:p>
            <w:pPr>
              <w:pStyle w:val="TableParagraph"/>
              <w:rPr>
                <w:rFonts w:ascii="Times New Roman"/>
                <w:sz w:val="14"/>
              </w:rPr>
            </w:pPr>
          </w:p>
        </w:tc>
        <w:tc>
          <w:tcPr>
            <w:tcW w:w="1305" w:type="dxa"/>
          </w:tcPr>
          <w:p>
            <w:pPr>
              <w:pStyle w:val="TableParagraph"/>
              <w:rPr>
                <w:rFonts w:ascii="Times New Roman"/>
                <w:sz w:val="14"/>
              </w:rPr>
            </w:pPr>
          </w:p>
        </w:tc>
        <w:tc>
          <w:tcPr>
            <w:tcW w:w="1834" w:type="dxa"/>
            <w:gridSpan w:val="2"/>
          </w:tcPr>
          <w:p>
            <w:pPr>
              <w:pStyle w:val="TableParagraph"/>
              <w:rPr>
                <w:rFonts w:ascii="Times New Roman"/>
                <w:sz w:val="14"/>
              </w:rPr>
            </w:pPr>
          </w:p>
        </w:tc>
        <w:tc>
          <w:tcPr>
            <w:tcW w:w="1786" w:type="dxa"/>
            <w:gridSpan w:val="2"/>
          </w:tcPr>
          <w:p>
            <w:pPr>
              <w:pStyle w:val="TableParagraph"/>
              <w:rPr>
                <w:rFonts w:ascii="Times New Roman"/>
                <w:sz w:val="14"/>
              </w:rPr>
            </w:pPr>
          </w:p>
        </w:tc>
        <w:tc>
          <w:tcPr>
            <w:tcW w:w="1612" w:type="dxa"/>
            <w:gridSpan w:val="2"/>
          </w:tcPr>
          <w:p>
            <w:pPr>
              <w:pStyle w:val="TableParagraph"/>
              <w:rPr>
                <w:rFonts w:ascii="Times New Roman"/>
                <w:sz w:val="14"/>
              </w:rPr>
            </w:pPr>
          </w:p>
        </w:tc>
      </w:tr>
      <w:tr>
        <w:trPr>
          <w:trHeight w:val="227" w:hRule="atLeast"/>
        </w:trPr>
        <w:tc>
          <w:tcPr>
            <w:tcW w:w="5233" w:type="dxa"/>
            <w:gridSpan w:val="2"/>
          </w:tcPr>
          <w:p>
            <w:pPr>
              <w:pStyle w:val="TableParagraph"/>
              <w:spacing w:before="32"/>
              <w:ind w:left="733"/>
              <w:rPr>
                <w:sz w:val="14"/>
              </w:rPr>
            </w:pPr>
            <w:r>
              <w:rPr>
                <w:sz w:val="14"/>
              </w:rPr>
              <w:t>Law School Building</w:t>
            </w:r>
          </w:p>
        </w:tc>
        <w:tc>
          <w:tcPr>
            <w:tcW w:w="855" w:type="dxa"/>
          </w:tcPr>
          <w:p>
            <w:pPr>
              <w:pStyle w:val="TableParagraph"/>
              <w:spacing w:before="32"/>
              <w:ind w:left="204"/>
              <w:rPr>
                <w:sz w:val="14"/>
              </w:rPr>
            </w:pPr>
            <w:r>
              <w:rPr>
                <w:sz w:val="14"/>
              </w:rPr>
              <w:t>New</w:t>
            </w:r>
          </w:p>
        </w:tc>
        <w:tc>
          <w:tcPr>
            <w:tcW w:w="1074" w:type="dxa"/>
          </w:tcPr>
          <w:p>
            <w:pPr>
              <w:pStyle w:val="TableParagraph"/>
              <w:spacing w:before="32"/>
              <w:ind w:left="88"/>
              <w:rPr>
                <w:sz w:val="14"/>
              </w:rPr>
            </w:pPr>
            <w:r>
              <w:rPr>
                <w:sz w:val="14"/>
              </w:rPr>
              <w:t>Western Area</w:t>
            </w:r>
          </w:p>
        </w:tc>
        <w:tc>
          <w:tcPr>
            <w:tcW w:w="1095" w:type="dxa"/>
          </w:tcPr>
          <w:p>
            <w:pPr>
              <w:pStyle w:val="TableParagraph"/>
              <w:spacing w:before="32"/>
              <w:ind w:left="147"/>
              <w:rPr>
                <w:sz w:val="14"/>
              </w:rPr>
            </w:pPr>
            <w:r>
              <w:rPr>
                <w:sz w:val="14"/>
              </w:rPr>
              <w:t>GoSL</w:t>
            </w:r>
          </w:p>
        </w:tc>
        <w:tc>
          <w:tcPr>
            <w:tcW w:w="1305" w:type="dxa"/>
          </w:tcPr>
          <w:p>
            <w:pPr>
              <w:pStyle w:val="TableParagraph"/>
              <w:spacing w:before="32"/>
              <w:ind w:left="300"/>
              <w:rPr>
                <w:sz w:val="14"/>
              </w:rPr>
            </w:pPr>
            <w:r>
              <w:rPr>
                <w:sz w:val="14"/>
              </w:rPr>
              <w:t>Budget</w:t>
            </w:r>
          </w:p>
        </w:tc>
        <w:tc>
          <w:tcPr>
            <w:tcW w:w="1834" w:type="dxa"/>
            <w:gridSpan w:val="2"/>
          </w:tcPr>
          <w:p>
            <w:pPr>
              <w:pStyle w:val="TableParagraph"/>
              <w:spacing w:before="32"/>
              <w:ind w:right="180"/>
              <w:jc w:val="right"/>
              <w:rPr>
                <w:sz w:val="14"/>
              </w:rPr>
            </w:pPr>
            <w:r>
              <w:rPr>
                <w:sz w:val="14"/>
              </w:rPr>
              <w:t>250</w:t>
            </w:r>
          </w:p>
        </w:tc>
        <w:tc>
          <w:tcPr>
            <w:tcW w:w="1786" w:type="dxa"/>
            <w:gridSpan w:val="2"/>
          </w:tcPr>
          <w:p>
            <w:pPr>
              <w:pStyle w:val="TableParagraph"/>
              <w:spacing w:before="32"/>
              <w:ind w:right="229"/>
              <w:jc w:val="right"/>
              <w:rPr>
                <w:sz w:val="14"/>
              </w:rPr>
            </w:pPr>
            <w:r>
              <w:rPr>
                <w:sz w:val="14"/>
              </w:rPr>
              <w:t>275</w:t>
            </w:r>
          </w:p>
        </w:tc>
        <w:tc>
          <w:tcPr>
            <w:tcW w:w="1612" w:type="dxa"/>
            <w:gridSpan w:val="2"/>
          </w:tcPr>
          <w:p>
            <w:pPr>
              <w:pStyle w:val="TableParagraph"/>
              <w:spacing w:before="32"/>
              <w:ind w:right="7"/>
              <w:jc w:val="right"/>
              <w:rPr>
                <w:sz w:val="14"/>
              </w:rPr>
            </w:pPr>
            <w:r>
              <w:rPr>
                <w:sz w:val="14"/>
              </w:rPr>
              <w:t>303</w:t>
            </w:r>
          </w:p>
        </w:tc>
      </w:tr>
    </w:tbl>
    <w:p>
      <w:pPr>
        <w:spacing w:after="0"/>
        <w:jc w:val="right"/>
        <w:rPr>
          <w:sz w:val="14"/>
        </w:rPr>
        <w:sectPr>
          <w:pgSz w:w="16840" w:h="11900" w:orient="landscape"/>
          <w:pgMar w:header="1107" w:footer="0" w:top="2040" w:bottom="280" w:left="880" w:right="920"/>
        </w:sectPr>
      </w:pPr>
    </w:p>
    <w:p>
      <w:pPr>
        <w:pStyle w:val="BodyText"/>
        <w:spacing w:before="9"/>
        <w:rPr>
          <w:rFonts w:ascii="Times New Roman"/>
          <w:sz w:val="12"/>
        </w:rPr>
      </w:pPr>
      <w:r>
        <w:rPr/>
        <w:pict>
          <v:shape style="position:absolute;margin-left:27.140491pt;margin-top:283.470001pt;width:14.35pt;height:25.25pt;mso-position-horizontal-relative:page;mso-position-vertical-relative:page;z-index:1960" type="#_x0000_t202" filled="false" stroked="false">
            <v:textbox inset="0,0,0,0" style="layout-flow:vertical">
              <w:txbxContent>
                <w:p>
                  <w:pPr>
                    <w:spacing w:before="13"/>
                    <w:ind w:left="20" w:right="0" w:firstLine="0"/>
                    <w:jc w:val="left"/>
                    <w:rPr>
                      <w:rFonts w:ascii="Arial"/>
                      <w:sz w:val="22"/>
                    </w:rPr>
                  </w:pPr>
                  <w:r>
                    <w:rPr>
                      <w:rFonts w:ascii="Arial"/>
                      <w:sz w:val="22"/>
                    </w:rPr>
                    <w:t>xxxv</w:t>
                  </w:r>
                </w:p>
              </w:txbxContent>
            </v:textbox>
            <w10:wrap type="none"/>
          </v:shape>
        </w:pict>
      </w:r>
    </w:p>
    <w:p>
      <w:pPr>
        <w:tabs>
          <w:tab w:pos="11610" w:val="left" w:leader="none"/>
          <w:tab w:pos="13256" w:val="left" w:leader="none"/>
        </w:tabs>
        <w:spacing w:before="0" w:after="33"/>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747"/>
        <w:gridCol w:w="872"/>
        <w:gridCol w:w="1075"/>
        <w:gridCol w:w="1117"/>
        <w:gridCol w:w="1284"/>
        <w:gridCol w:w="919"/>
        <w:gridCol w:w="915"/>
        <w:gridCol w:w="861"/>
        <w:gridCol w:w="925"/>
        <w:gridCol w:w="792"/>
        <w:gridCol w:w="822"/>
      </w:tblGrid>
      <w:tr>
        <w:trPr>
          <w:trHeight w:val="445"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before="60"/>
              <w:ind w:left="17"/>
              <w:rPr>
                <w:sz w:val="14"/>
              </w:rPr>
            </w:pPr>
            <w:r>
              <w:rPr>
                <w:spacing w:val="2"/>
                <w:sz w:val="14"/>
              </w:rPr>
              <w:t>Code</w:t>
            </w:r>
          </w:p>
        </w:tc>
        <w:tc>
          <w:tcPr>
            <w:tcW w:w="4747" w:type="dxa"/>
            <w:tcBorders>
              <w:top w:val="single" w:sz="4" w:space="0" w:color="000000"/>
              <w:bottom w:val="single" w:sz="18" w:space="0" w:color="000000"/>
            </w:tcBorders>
          </w:tcPr>
          <w:p>
            <w:pPr>
              <w:pStyle w:val="TableParagraph"/>
              <w:spacing w:before="22"/>
              <w:ind w:left="113"/>
              <w:rPr>
                <w:sz w:val="14"/>
              </w:rPr>
            </w:pPr>
            <w:r>
              <w:rPr>
                <w:sz w:val="14"/>
              </w:rPr>
              <w:t>National Development Plan Cluster/ Ministry, Department</w:t>
            </w:r>
          </w:p>
          <w:p>
            <w:pPr>
              <w:pStyle w:val="TableParagraph"/>
              <w:spacing w:before="60"/>
              <w:ind w:left="114"/>
              <w:rPr>
                <w:sz w:val="14"/>
              </w:rPr>
            </w:pPr>
            <w:r>
              <w:rPr>
                <w:sz w:val="14"/>
              </w:rPr>
              <w:t>and Agency (MDAs)</w:t>
            </w:r>
          </w:p>
        </w:tc>
        <w:tc>
          <w:tcPr>
            <w:tcW w:w="872" w:type="dxa"/>
            <w:tcBorders>
              <w:top w:val="single" w:sz="4" w:space="0" w:color="000000"/>
              <w:bottom w:val="single" w:sz="18" w:space="0" w:color="000000"/>
            </w:tcBorders>
          </w:tcPr>
          <w:p>
            <w:pPr>
              <w:pStyle w:val="TableParagraph"/>
              <w:spacing w:before="22"/>
              <w:ind w:left="253"/>
              <w:rPr>
                <w:sz w:val="14"/>
              </w:rPr>
            </w:pPr>
            <w:r>
              <w:rPr>
                <w:sz w:val="14"/>
              </w:rPr>
              <w:t>Status</w:t>
            </w:r>
          </w:p>
        </w:tc>
        <w:tc>
          <w:tcPr>
            <w:tcW w:w="1075" w:type="dxa"/>
            <w:tcBorders>
              <w:top w:val="single" w:sz="4" w:space="0" w:color="000000"/>
              <w:bottom w:val="single" w:sz="18" w:space="0" w:color="000000"/>
            </w:tcBorders>
          </w:tcPr>
          <w:p>
            <w:pPr>
              <w:pStyle w:val="TableParagraph"/>
              <w:spacing w:before="22"/>
              <w:ind w:left="106"/>
              <w:rPr>
                <w:sz w:val="14"/>
              </w:rPr>
            </w:pPr>
            <w:r>
              <w:rPr>
                <w:sz w:val="14"/>
              </w:rPr>
              <w:t>Location</w:t>
            </w:r>
          </w:p>
        </w:tc>
        <w:tc>
          <w:tcPr>
            <w:tcW w:w="1117" w:type="dxa"/>
            <w:tcBorders>
              <w:top w:val="single" w:sz="4" w:space="0" w:color="000000"/>
              <w:bottom w:val="single" w:sz="18" w:space="0" w:color="000000"/>
            </w:tcBorders>
          </w:tcPr>
          <w:p>
            <w:pPr>
              <w:pStyle w:val="TableParagraph"/>
              <w:spacing w:before="22"/>
              <w:ind w:left="101"/>
              <w:rPr>
                <w:sz w:val="14"/>
              </w:rPr>
            </w:pPr>
            <w:r>
              <w:rPr>
                <w:spacing w:val="6"/>
                <w:sz w:val="14"/>
              </w:rPr>
              <w:t>Funding</w:t>
            </w:r>
          </w:p>
          <w:p>
            <w:pPr>
              <w:pStyle w:val="TableParagraph"/>
              <w:spacing w:before="60"/>
              <w:ind w:left="154"/>
              <w:rPr>
                <w:sz w:val="14"/>
              </w:rPr>
            </w:pPr>
            <w:r>
              <w:rPr>
                <w:spacing w:val="4"/>
                <w:sz w:val="14"/>
              </w:rPr>
              <w:t>Source</w:t>
            </w:r>
          </w:p>
        </w:tc>
        <w:tc>
          <w:tcPr>
            <w:tcW w:w="1284" w:type="dxa"/>
            <w:tcBorders>
              <w:top w:val="single" w:sz="4" w:space="0" w:color="000000"/>
              <w:bottom w:val="single" w:sz="18" w:space="0" w:color="000000"/>
            </w:tcBorders>
          </w:tcPr>
          <w:p>
            <w:pPr>
              <w:pStyle w:val="TableParagraph"/>
              <w:spacing w:before="22"/>
              <w:ind w:left="235" w:right="503"/>
              <w:jc w:val="center"/>
              <w:rPr>
                <w:sz w:val="14"/>
              </w:rPr>
            </w:pPr>
            <w:r>
              <w:rPr>
                <w:sz w:val="14"/>
              </w:rPr>
              <w:t>Funding</w:t>
            </w:r>
          </w:p>
          <w:p>
            <w:pPr>
              <w:pStyle w:val="TableParagraph"/>
              <w:spacing w:before="60"/>
              <w:ind w:left="235" w:right="443"/>
              <w:jc w:val="center"/>
              <w:rPr>
                <w:sz w:val="14"/>
              </w:rPr>
            </w:pPr>
            <w:r>
              <w:rPr>
                <w:sz w:val="14"/>
              </w:rPr>
              <w:t>Type</w:t>
            </w:r>
          </w:p>
        </w:tc>
        <w:tc>
          <w:tcPr>
            <w:tcW w:w="919" w:type="dxa"/>
            <w:tcBorders>
              <w:top w:val="single" w:sz="4" w:space="0" w:color="000000"/>
              <w:bottom w:val="single" w:sz="18" w:space="0" w:color="000000"/>
            </w:tcBorders>
          </w:tcPr>
          <w:p>
            <w:pPr>
              <w:pStyle w:val="TableParagraph"/>
              <w:spacing w:before="22"/>
              <w:ind w:left="134"/>
              <w:rPr>
                <w:sz w:val="14"/>
              </w:rPr>
            </w:pPr>
            <w:r>
              <w:rPr>
                <w:sz w:val="14"/>
              </w:rPr>
              <w:t>Foreign</w:t>
            </w:r>
          </w:p>
        </w:tc>
        <w:tc>
          <w:tcPr>
            <w:tcW w:w="915" w:type="dxa"/>
            <w:tcBorders>
              <w:top w:val="single" w:sz="4" w:space="0" w:color="000000"/>
              <w:bottom w:val="single" w:sz="18" w:space="0" w:color="000000"/>
            </w:tcBorders>
          </w:tcPr>
          <w:p>
            <w:pPr>
              <w:pStyle w:val="TableParagraph"/>
              <w:spacing w:before="22"/>
              <w:ind w:right="151"/>
              <w:jc w:val="right"/>
              <w:rPr>
                <w:sz w:val="14"/>
              </w:rPr>
            </w:pPr>
            <w:r>
              <w:rPr>
                <w:w w:val="95"/>
                <w:sz w:val="14"/>
              </w:rPr>
              <w:t>Domestic</w:t>
            </w:r>
          </w:p>
        </w:tc>
        <w:tc>
          <w:tcPr>
            <w:tcW w:w="861" w:type="dxa"/>
            <w:tcBorders>
              <w:top w:val="single" w:sz="4" w:space="0" w:color="000000"/>
              <w:bottom w:val="single" w:sz="18" w:space="0" w:color="000000"/>
            </w:tcBorders>
          </w:tcPr>
          <w:p>
            <w:pPr>
              <w:pStyle w:val="TableParagraph"/>
              <w:spacing w:before="22"/>
              <w:ind w:right="215"/>
              <w:jc w:val="right"/>
              <w:rPr>
                <w:sz w:val="14"/>
              </w:rPr>
            </w:pPr>
            <w:r>
              <w:rPr>
                <w:w w:val="95"/>
                <w:sz w:val="14"/>
              </w:rPr>
              <w:t>Foreign</w:t>
            </w:r>
          </w:p>
        </w:tc>
        <w:tc>
          <w:tcPr>
            <w:tcW w:w="925" w:type="dxa"/>
            <w:tcBorders>
              <w:top w:val="single" w:sz="4" w:space="0" w:color="000000"/>
              <w:bottom w:val="single" w:sz="18" w:space="0" w:color="000000"/>
            </w:tcBorders>
          </w:tcPr>
          <w:p>
            <w:pPr>
              <w:pStyle w:val="TableParagraph"/>
              <w:spacing w:before="22"/>
              <w:ind w:left="199"/>
              <w:rPr>
                <w:sz w:val="14"/>
              </w:rPr>
            </w:pPr>
            <w:r>
              <w:rPr>
                <w:sz w:val="14"/>
              </w:rPr>
              <w:t>Domestic</w:t>
            </w:r>
          </w:p>
        </w:tc>
        <w:tc>
          <w:tcPr>
            <w:tcW w:w="792" w:type="dxa"/>
            <w:tcBorders>
              <w:top w:val="single" w:sz="4" w:space="0" w:color="000000"/>
              <w:bottom w:val="single" w:sz="18" w:space="0" w:color="000000"/>
            </w:tcBorders>
          </w:tcPr>
          <w:p>
            <w:pPr>
              <w:pStyle w:val="TableParagraph"/>
              <w:spacing w:before="22"/>
              <w:ind w:right="176"/>
              <w:jc w:val="right"/>
              <w:rPr>
                <w:sz w:val="14"/>
              </w:rPr>
            </w:pPr>
            <w:r>
              <w:rPr>
                <w:w w:val="95"/>
                <w:sz w:val="14"/>
              </w:rPr>
              <w:t>Foreign</w:t>
            </w:r>
          </w:p>
        </w:tc>
        <w:tc>
          <w:tcPr>
            <w:tcW w:w="822" w:type="dxa"/>
            <w:tcBorders>
              <w:top w:val="single" w:sz="4" w:space="0" w:color="000000"/>
              <w:bottom w:val="single" w:sz="18" w:space="0" w:color="000000"/>
            </w:tcBorders>
          </w:tcPr>
          <w:p>
            <w:pPr>
              <w:pStyle w:val="TableParagraph"/>
              <w:spacing w:before="22"/>
              <w:ind w:right="90"/>
              <w:jc w:val="right"/>
              <w:rPr>
                <w:sz w:val="14"/>
              </w:rPr>
            </w:pPr>
            <w:r>
              <w:rPr>
                <w:w w:val="95"/>
                <w:sz w:val="14"/>
              </w:rPr>
              <w:t>Domestic</w:t>
            </w:r>
          </w:p>
        </w:tc>
      </w:tr>
      <w:tr>
        <w:trPr>
          <w:trHeight w:val="229" w:hRule="atLeast"/>
        </w:trPr>
        <w:tc>
          <w:tcPr>
            <w:tcW w:w="470" w:type="dxa"/>
            <w:tcBorders>
              <w:top w:val="single" w:sz="18" w:space="0" w:color="000000"/>
            </w:tcBorders>
          </w:tcPr>
          <w:p>
            <w:pPr>
              <w:pStyle w:val="TableParagraph"/>
              <w:spacing w:before="31"/>
              <w:ind w:left="123"/>
              <w:rPr>
                <w:sz w:val="14"/>
              </w:rPr>
            </w:pPr>
            <w:r>
              <w:rPr>
                <w:sz w:val="14"/>
              </w:rPr>
              <w:t>133</w:t>
            </w:r>
          </w:p>
        </w:tc>
        <w:tc>
          <w:tcPr>
            <w:tcW w:w="4747" w:type="dxa"/>
            <w:tcBorders>
              <w:top w:val="single" w:sz="18" w:space="0" w:color="000000"/>
            </w:tcBorders>
          </w:tcPr>
          <w:p>
            <w:pPr>
              <w:pStyle w:val="TableParagraph"/>
              <w:spacing w:before="31"/>
              <w:ind w:left="95"/>
              <w:rPr>
                <w:b/>
                <w:sz w:val="14"/>
              </w:rPr>
            </w:pPr>
            <w:r>
              <w:rPr>
                <w:b/>
                <w:sz w:val="14"/>
              </w:rPr>
              <w:t>Ministry of Information and Communications (MoIC)</w:t>
            </w:r>
          </w:p>
        </w:tc>
        <w:tc>
          <w:tcPr>
            <w:tcW w:w="872" w:type="dxa"/>
            <w:tcBorders>
              <w:top w:val="single" w:sz="18" w:space="0" w:color="000000"/>
            </w:tcBorders>
          </w:tcPr>
          <w:p>
            <w:pPr>
              <w:pStyle w:val="TableParagraph"/>
              <w:rPr>
                <w:rFonts w:ascii="Times New Roman"/>
                <w:sz w:val="14"/>
              </w:rPr>
            </w:pPr>
          </w:p>
        </w:tc>
        <w:tc>
          <w:tcPr>
            <w:tcW w:w="1075" w:type="dxa"/>
            <w:tcBorders>
              <w:top w:val="single" w:sz="18" w:space="0" w:color="000000"/>
            </w:tcBorders>
          </w:tcPr>
          <w:p>
            <w:pPr>
              <w:pStyle w:val="TableParagraph"/>
              <w:rPr>
                <w:rFonts w:ascii="Times New Roman"/>
                <w:sz w:val="14"/>
              </w:rPr>
            </w:pPr>
          </w:p>
        </w:tc>
        <w:tc>
          <w:tcPr>
            <w:tcW w:w="1117" w:type="dxa"/>
            <w:tcBorders>
              <w:top w:val="single" w:sz="18" w:space="0" w:color="000000"/>
            </w:tcBorders>
          </w:tcPr>
          <w:p>
            <w:pPr>
              <w:pStyle w:val="TableParagraph"/>
              <w:rPr>
                <w:rFonts w:ascii="Times New Roman"/>
                <w:sz w:val="14"/>
              </w:rPr>
            </w:pPr>
          </w:p>
        </w:tc>
        <w:tc>
          <w:tcPr>
            <w:tcW w:w="1284" w:type="dxa"/>
            <w:tcBorders>
              <w:top w:val="single" w:sz="18" w:space="0" w:color="000000"/>
            </w:tcBorders>
          </w:tcPr>
          <w:p>
            <w:pPr>
              <w:pStyle w:val="TableParagraph"/>
              <w:rPr>
                <w:rFonts w:ascii="Times New Roman"/>
                <w:sz w:val="14"/>
              </w:rPr>
            </w:pPr>
          </w:p>
        </w:tc>
        <w:tc>
          <w:tcPr>
            <w:tcW w:w="919" w:type="dxa"/>
            <w:tcBorders>
              <w:top w:val="single" w:sz="18" w:space="0" w:color="000000"/>
            </w:tcBorders>
          </w:tcPr>
          <w:p>
            <w:pPr>
              <w:pStyle w:val="TableParagraph"/>
              <w:spacing w:before="31"/>
              <w:ind w:right="207"/>
              <w:jc w:val="right"/>
              <w:rPr>
                <w:b/>
                <w:sz w:val="14"/>
              </w:rPr>
            </w:pPr>
            <w:r>
              <w:rPr>
                <w:b/>
                <w:sz w:val="14"/>
              </w:rPr>
              <w:t>5,000</w:t>
            </w:r>
          </w:p>
        </w:tc>
        <w:tc>
          <w:tcPr>
            <w:tcW w:w="915" w:type="dxa"/>
            <w:tcBorders>
              <w:top w:val="single" w:sz="18" w:space="0" w:color="000000"/>
            </w:tcBorders>
          </w:tcPr>
          <w:p>
            <w:pPr>
              <w:pStyle w:val="TableParagraph"/>
              <w:spacing w:before="31"/>
              <w:ind w:right="208"/>
              <w:jc w:val="right"/>
              <w:rPr>
                <w:b/>
                <w:sz w:val="14"/>
              </w:rPr>
            </w:pPr>
            <w:r>
              <w:rPr>
                <w:b/>
                <w:sz w:val="14"/>
              </w:rPr>
              <w:t>2,000</w:t>
            </w:r>
          </w:p>
        </w:tc>
        <w:tc>
          <w:tcPr>
            <w:tcW w:w="861" w:type="dxa"/>
            <w:tcBorders>
              <w:top w:val="single" w:sz="18" w:space="0" w:color="000000"/>
            </w:tcBorders>
          </w:tcPr>
          <w:p>
            <w:pPr>
              <w:pStyle w:val="TableParagraph"/>
              <w:spacing w:before="31"/>
              <w:ind w:right="180"/>
              <w:jc w:val="right"/>
              <w:rPr>
                <w:b/>
                <w:sz w:val="14"/>
              </w:rPr>
            </w:pPr>
            <w:r>
              <w:rPr>
                <w:b/>
                <w:w w:val="99"/>
                <w:sz w:val="14"/>
              </w:rPr>
              <w:t>-</w:t>
            </w:r>
          </w:p>
        </w:tc>
        <w:tc>
          <w:tcPr>
            <w:tcW w:w="925" w:type="dxa"/>
            <w:tcBorders>
              <w:top w:val="single" w:sz="18" w:space="0" w:color="000000"/>
            </w:tcBorders>
          </w:tcPr>
          <w:p>
            <w:pPr>
              <w:pStyle w:val="TableParagraph"/>
              <w:spacing w:before="31"/>
              <w:ind w:left="273"/>
              <w:rPr>
                <w:b/>
                <w:sz w:val="14"/>
              </w:rPr>
            </w:pPr>
            <w:r>
              <w:rPr>
                <w:b/>
                <w:sz w:val="14"/>
              </w:rPr>
              <w:t>2,200</w:t>
            </w:r>
          </w:p>
        </w:tc>
        <w:tc>
          <w:tcPr>
            <w:tcW w:w="792" w:type="dxa"/>
            <w:tcBorders>
              <w:top w:val="single" w:sz="18" w:space="0" w:color="000000"/>
            </w:tcBorders>
          </w:tcPr>
          <w:p>
            <w:pPr>
              <w:pStyle w:val="TableParagraph"/>
              <w:spacing w:before="31"/>
              <w:ind w:right="133"/>
              <w:jc w:val="right"/>
              <w:rPr>
                <w:b/>
                <w:sz w:val="14"/>
              </w:rPr>
            </w:pPr>
            <w:r>
              <w:rPr>
                <w:b/>
                <w:w w:val="99"/>
                <w:sz w:val="14"/>
              </w:rPr>
              <w:t>-</w:t>
            </w:r>
          </w:p>
        </w:tc>
        <w:tc>
          <w:tcPr>
            <w:tcW w:w="822" w:type="dxa"/>
            <w:tcBorders>
              <w:top w:val="single" w:sz="18" w:space="0" w:color="000000"/>
            </w:tcBorders>
          </w:tcPr>
          <w:p>
            <w:pPr>
              <w:pStyle w:val="TableParagraph"/>
              <w:spacing w:before="31"/>
              <w:ind w:right="37"/>
              <w:jc w:val="right"/>
              <w:rPr>
                <w:b/>
                <w:sz w:val="14"/>
              </w:rPr>
            </w:pPr>
            <w:r>
              <w:rPr>
                <w:b/>
                <w:sz w:val="14"/>
              </w:rPr>
              <w:t>2,420</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right="231"/>
              <w:jc w:val="right"/>
              <w:rPr>
                <w:sz w:val="14"/>
              </w:rPr>
            </w:pPr>
            <w:r>
              <w:rPr>
                <w:sz w:val="14"/>
              </w:rPr>
              <w:t>West Africa Regional Communications Infrastructural Programme</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300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330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363</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Enhancing the Dedicated Information Security System</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500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550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Government Intergrated Messaging System (GIMS)</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200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220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242</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Operationalization and Expansion of eGovernment Platform</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700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770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847</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National Fibre Optic Backbone Phase II</w:t>
            </w:r>
          </w:p>
        </w:tc>
        <w:tc>
          <w:tcPr>
            <w:tcW w:w="872" w:type="dxa"/>
          </w:tcPr>
          <w:p>
            <w:pPr>
              <w:pStyle w:val="TableParagraph"/>
              <w:spacing w:before="32"/>
              <w:ind w:left="219"/>
              <w:rPr>
                <w:sz w:val="14"/>
              </w:rPr>
            </w:pPr>
            <w:r>
              <w:rPr>
                <w:sz w:val="14"/>
              </w:rPr>
              <w:t>New</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China Exim</w:t>
            </w:r>
          </w:p>
        </w:tc>
        <w:tc>
          <w:tcPr>
            <w:tcW w:w="1284" w:type="dxa"/>
          </w:tcPr>
          <w:p>
            <w:pPr>
              <w:pStyle w:val="TableParagraph"/>
              <w:spacing w:before="32"/>
              <w:ind w:left="276"/>
              <w:rPr>
                <w:sz w:val="14"/>
              </w:rPr>
            </w:pPr>
            <w:r>
              <w:rPr>
                <w:sz w:val="14"/>
              </w:rPr>
              <w:t>Loan/ Budget</w:t>
            </w:r>
          </w:p>
        </w:tc>
        <w:tc>
          <w:tcPr>
            <w:tcW w:w="919" w:type="dxa"/>
          </w:tcPr>
          <w:p>
            <w:pPr>
              <w:pStyle w:val="TableParagraph"/>
              <w:spacing w:before="32"/>
              <w:ind w:right="185"/>
              <w:jc w:val="right"/>
              <w:rPr>
                <w:sz w:val="14"/>
              </w:rPr>
            </w:pPr>
            <w:r>
              <w:rPr>
                <w:sz w:val="14"/>
              </w:rPr>
              <w:t>5,000</w:t>
            </w:r>
          </w:p>
        </w:tc>
        <w:tc>
          <w:tcPr>
            <w:tcW w:w="915" w:type="dxa"/>
          </w:tcPr>
          <w:p>
            <w:pPr>
              <w:pStyle w:val="TableParagraph"/>
              <w:spacing w:before="32"/>
              <w:ind w:right="184"/>
              <w:jc w:val="right"/>
              <w:rPr>
                <w:sz w:val="14"/>
              </w:rPr>
            </w:pPr>
            <w:r>
              <w:rPr>
                <w:sz w:val="14"/>
              </w:rPr>
              <w:t>300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330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363</w:t>
            </w:r>
          </w:p>
        </w:tc>
      </w:tr>
      <w:tr>
        <w:trPr>
          <w:trHeight w:val="227" w:hRule="atLeast"/>
        </w:trPr>
        <w:tc>
          <w:tcPr>
            <w:tcW w:w="470" w:type="dxa"/>
          </w:tcPr>
          <w:p>
            <w:pPr>
              <w:pStyle w:val="TableParagraph"/>
              <w:rPr>
                <w:rFonts w:ascii="Times New Roman"/>
                <w:sz w:val="14"/>
              </w:rPr>
            </w:pPr>
          </w:p>
        </w:tc>
        <w:tc>
          <w:tcPr>
            <w:tcW w:w="4747" w:type="dxa"/>
          </w:tcPr>
          <w:p>
            <w:pPr>
              <w:pStyle w:val="TableParagraph"/>
              <w:rPr>
                <w:rFonts w:ascii="Times New Roman"/>
                <w:sz w:val="14"/>
              </w:rPr>
            </w:pP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spacing w:before="32"/>
              <w:ind w:left="147"/>
              <w:rPr>
                <w:sz w:val="14"/>
              </w:rPr>
            </w:pPr>
            <w:r>
              <w:rPr>
                <w:sz w:val="14"/>
              </w:rPr>
              <w:t>/ GoSL</w:t>
            </w:r>
          </w:p>
        </w:tc>
        <w:tc>
          <w:tcPr>
            <w:tcW w:w="1284" w:type="dxa"/>
          </w:tcPr>
          <w:p>
            <w:pPr>
              <w:pStyle w:val="TableParagraph"/>
              <w:rPr>
                <w:rFonts w:ascii="Times New Roman"/>
                <w:sz w:val="14"/>
              </w:rPr>
            </w:pPr>
          </w:p>
        </w:tc>
        <w:tc>
          <w:tcPr>
            <w:tcW w:w="919" w:type="dxa"/>
          </w:tcPr>
          <w:p>
            <w:pPr>
              <w:pStyle w:val="TableParagraph"/>
              <w:rPr>
                <w:rFonts w:ascii="Times New Roman"/>
                <w:sz w:val="14"/>
              </w:rPr>
            </w:pPr>
          </w:p>
        </w:tc>
        <w:tc>
          <w:tcPr>
            <w:tcW w:w="915" w:type="dxa"/>
          </w:tcPr>
          <w:p>
            <w:pPr>
              <w:pStyle w:val="TableParagraph"/>
              <w:rPr>
                <w:rFonts w:ascii="Times New Roman"/>
                <w:sz w:val="14"/>
              </w:rPr>
            </w:pPr>
          </w:p>
        </w:tc>
        <w:tc>
          <w:tcPr>
            <w:tcW w:w="861" w:type="dxa"/>
          </w:tcPr>
          <w:p>
            <w:pPr>
              <w:pStyle w:val="TableParagraph"/>
              <w:rPr>
                <w:rFonts w:ascii="Times New Roman"/>
                <w:sz w:val="14"/>
              </w:rPr>
            </w:pPr>
          </w:p>
        </w:tc>
        <w:tc>
          <w:tcPr>
            <w:tcW w:w="925" w:type="dxa"/>
          </w:tcPr>
          <w:p>
            <w:pPr>
              <w:pStyle w:val="TableParagraph"/>
              <w:rPr>
                <w:rFonts w:ascii="Times New Roman"/>
                <w:sz w:val="14"/>
              </w:rPr>
            </w:pPr>
          </w:p>
        </w:tc>
        <w:tc>
          <w:tcPr>
            <w:tcW w:w="792" w:type="dxa"/>
          </w:tcPr>
          <w:p>
            <w:pPr>
              <w:pStyle w:val="TableParagraph"/>
              <w:rPr>
                <w:rFonts w:ascii="Times New Roman"/>
                <w:sz w:val="14"/>
              </w:rPr>
            </w:pPr>
          </w:p>
        </w:tc>
        <w:tc>
          <w:tcPr>
            <w:tcW w:w="822" w:type="dxa"/>
          </w:tcPr>
          <w:p>
            <w:pPr>
              <w:pStyle w:val="TableParagraph"/>
              <w:rPr>
                <w:rFonts w:ascii="Times New Roman"/>
                <w:sz w:val="14"/>
              </w:rPr>
            </w:pPr>
          </w:p>
        </w:tc>
      </w:tr>
      <w:tr>
        <w:trPr>
          <w:trHeight w:val="228" w:hRule="atLeast"/>
        </w:trPr>
        <w:tc>
          <w:tcPr>
            <w:tcW w:w="470" w:type="dxa"/>
          </w:tcPr>
          <w:p>
            <w:pPr>
              <w:pStyle w:val="TableParagraph"/>
              <w:spacing w:before="29"/>
              <w:ind w:left="123"/>
              <w:rPr>
                <w:sz w:val="14"/>
              </w:rPr>
            </w:pPr>
            <w:r>
              <w:rPr>
                <w:sz w:val="14"/>
              </w:rPr>
              <w:t>205</w:t>
            </w:r>
          </w:p>
        </w:tc>
        <w:tc>
          <w:tcPr>
            <w:tcW w:w="4747" w:type="dxa"/>
          </w:tcPr>
          <w:p>
            <w:pPr>
              <w:pStyle w:val="TableParagraph"/>
              <w:spacing w:before="29"/>
              <w:ind w:left="95"/>
              <w:rPr>
                <w:b/>
                <w:sz w:val="14"/>
              </w:rPr>
            </w:pPr>
            <w:r>
              <w:rPr>
                <w:b/>
                <w:sz w:val="14"/>
              </w:rPr>
              <w:t>Ministry of Internal Affairs (MoIA)</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29"/>
              <w:ind w:right="169"/>
              <w:jc w:val="right"/>
              <w:rPr>
                <w:b/>
                <w:sz w:val="14"/>
              </w:rPr>
            </w:pPr>
            <w:r>
              <w:rPr>
                <w:b/>
                <w:w w:val="99"/>
                <w:sz w:val="14"/>
              </w:rPr>
              <w:t>-</w:t>
            </w:r>
          </w:p>
        </w:tc>
        <w:tc>
          <w:tcPr>
            <w:tcW w:w="915" w:type="dxa"/>
          </w:tcPr>
          <w:p>
            <w:pPr>
              <w:pStyle w:val="TableParagraph"/>
              <w:spacing w:before="29"/>
              <w:ind w:right="208"/>
              <w:jc w:val="right"/>
              <w:rPr>
                <w:b/>
                <w:sz w:val="14"/>
              </w:rPr>
            </w:pPr>
            <w:r>
              <w:rPr>
                <w:b/>
                <w:sz w:val="14"/>
              </w:rPr>
              <w:t>1,400</w:t>
            </w:r>
          </w:p>
        </w:tc>
        <w:tc>
          <w:tcPr>
            <w:tcW w:w="861" w:type="dxa"/>
          </w:tcPr>
          <w:p>
            <w:pPr>
              <w:pStyle w:val="TableParagraph"/>
              <w:spacing w:before="29"/>
              <w:ind w:right="180"/>
              <w:jc w:val="right"/>
              <w:rPr>
                <w:b/>
                <w:sz w:val="14"/>
              </w:rPr>
            </w:pPr>
            <w:r>
              <w:rPr>
                <w:b/>
                <w:w w:val="99"/>
                <w:sz w:val="14"/>
              </w:rPr>
              <w:t>-</w:t>
            </w:r>
          </w:p>
        </w:tc>
        <w:tc>
          <w:tcPr>
            <w:tcW w:w="925" w:type="dxa"/>
          </w:tcPr>
          <w:p>
            <w:pPr>
              <w:pStyle w:val="TableParagraph"/>
              <w:spacing w:before="29"/>
              <w:ind w:left="273"/>
              <w:rPr>
                <w:b/>
                <w:sz w:val="14"/>
              </w:rPr>
            </w:pPr>
            <w:r>
              <w:rPr>
                <w:b/>
                <w:sz w:val="14"/>
              </w:rPr>
              <w:t>1,540</w:t>
            </w:r>
          </w:p>
        </w:tc>
        <w:tc>
          <w:tcPr>
            <w:tcW w:w="792" w:type="dxa"/>
          </w:tcPr>
          <w:p>
            <w:pPr>
              <w:pStyle w:val="TableParagraph"/>
              <w:spacing w:before="29"/>
              <w:ind w:right="133"/>
              <w:jc w:val="right"/>
              <w:rPr>
                <w:b/>
                <w:sz w:val="14"/>
              </w:rPr>
            </w:pPr>
            <w:r>
              <w:rPr>
                <w:b/>
                <w:w w:val="99"/>
                <w:sz w:val="14"/>
              </w:rPr>
              <w:t>-</w:t>
            </w:r>
          </w:p>
        </w:tc>
        <w:tc>
          <w:tcPr>
            <w:tcW w:w="822" w:type="dxa"/>
          </w:tcPr>
          <w:p>
            <w:pPr>
              <w:pStyle w:val="TableParagraph"/>
              <w:spacing w:before="29"/>
              <w:ind w:right="37"/>
              <w:jc w:val="right"/>
              <w:rPr>
                <w:b/>
                <w:sz w:val="14"/>
              </w:rPr>
            </w:pPr>
            <w:r>
              <w:rPr>
                <w:b/>
                <w:sz w:val="14"/>
              </w:rPr>
              <w:t>1,694</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Establishment of an Integrated Immigration Control System</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92"/>
              <w:jc w:val="right"/>
              <w:rPr>
                <w:sz w:val="14"/>
              </w:rPr>
            </w:pPr>
            <w:r>
              <w:rPr>
                <w:sz w:val="14"/>
              </w:rPr>
              <w:t>1,000</w:t>
            </w:r>
          </w:p>
        </w:tc>
        <w:tc>
          <w:tcPr>
            <w:tcW w:w="861" w:type="dxa"/>
          </w:tcPr>
          <w:p>
            <w:pPr>
              <w:pStyle w:val="TableParagraph"/>
              <w:rPr>
                <w:rFonts w:ascii="Times New Roman"/>
                <w:sz w:val="14"/>
              </w:rPr>
            </w:pPr>
          </w:p>
        </w:tc>
        <w:tc>
          <w:tcPr>
            <w:tcW w:w="925" w:type="dxa"/>
          </w:tcPr>
          <w:p>
            <w:pPr>
              <w:pStyle w:val="TableParagraph"/>
              <w:spacing w:before="32"/>
              <w:ind w:left="308"/>
              <w:rPr>
                <w:sz w:val="14"/>
              </w:rPr>
            </w:pPr>
            <w:r>
              <w:rPr>
                <w:sz w:val="14"/>
              </w:rPr>
              <w:t>1,100</w:t>
            </w:r>
          </w:p>
        </w:tc>
        <w:tc>
          <w:tcPr>
            <w:tcW w:w="792" w:type="dxa"/>
          </w:tcPr>
          <w:p>
            <w:pPr>
              <w:pStyle w:val="TableParagraph"/>
              <w:rPr>
                <w:rFonts w:ascii="Times New Roman"/>
                <w:sz w:val="14"/>
              </w:rPr>
            </w:pPr>
          </w:p>
        </w:tc>
        <w:tc>
          <w:tcPr>
            <w:tcW w:w="822" w:type="dxa"/>
          </w:tcPr>
          <w:p>
            <w:pPr>
              <w:pStyle w:val="TableParagraph"/>
              <w:spacing w:before="32"/>
              <w:ind w:right="21"/>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Strengthening Boarder Security</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400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440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484</w:t>
            </w:r>
          </w:p>
        </w:tc>
      </w:tr>
      <w:tr>
        <w:trPr>
          <w:trHeight w:val="230" w:hRule="atLeast"/>
        </w:trPr>
        <w:tc>
          <w:tcPr>
            <w:tcW w:w="470" w:type="dxa"/>
          </w:tcPr>
          <w:p>
            <w:pPr>
              <w:pStyle w:val="TableParagraph"/>
              <w:spacing w:before="32"/>
              <w:ind w:left="123"/>
              <w:rPr>
                <w:sz w:val="14"/>
              </w:rPr>
            </w:pPr>
            <w:r>
              <w:rPr>
                <w:sz w:val="14"/>
              </w:rPr>
              <w:t>203</w:t>
            </w:r>
          </w:p>
        </w:tc>
        <w:tc>
          <w:tcPr>
            <w:tcW w:w="4747" w:type="dxa"/>
          </w:tcPr>
          <w:p>
            <w:pPr>
              <w:pStyle w:val="TableParagraph"/>
              <w:spacing w:before="32"/>
              <w:ind w:left="94"/>
              <w:rPr>
                <w:b/>
                <w:sz w:val="14"/>
              </w:rPr>
            </w:pPr>
            <w:r>
              <w:rPr>
                <w:b/>
                <w:sz w:val="14"/>
              </w:rPr>
              <w:t>National Civil Registration Commission (NCRA)</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32"/>
              <w:ind w:left="163"/>
              <w:rPr>
                <w:b/>
                <w:sz w:val="14"/>
              </w:rPr>
            </w:pPr>
            <w:r>
              <w:rPr>
                <w:b/>
                <w:sz w:val="14"/>
              </w:rPr>
              <w:t>103,000</w:t>
            </w:r>
          </w:p>
        </w:tc>
        <w:tc>
          <w:tcPr>
            <w:tcW w:w="915" w:type="dxa"/>
          </w:tcPr>
          <w:p>
            <w:pPr>
              <w:pStyle w:val="TableParagraph"/>
              <w:spacing w:before="32"/>
              <w:ind w:right="208"/>
              <w:jc w:val="right"/>
              <w:rPr>
                <w:b/>
                <w:sz w:val="14"/>
              </w:rPr>
            </w:pPr>
            <w:r>
              <w:rPr>
                <w:b/>
                <w:sz w:val="14"/>
              </w:rPr>
              <w:t>8,000</w:t>
            </w:r>
          </w:p>
        </w:tc>
        <w:tc>
          <w:tcPr>
            <w:tcW w:w="861" w:type="dxa"/>
          </w:tcPr>
          <w:p>
            <w:pPr>
              <w:pStyle w:val="TableParagraph"/>
              <w:spacing w:before="32"/>
              <w:ind w:right="216"/>
              <w:jc w:val="right"/>
              <w:rPr>
                <w:b/>
                <w:sz w:val="14"/>
              </w:rPr>
            </w:pPr>
            <w:r>
              <w:rPr>
                <w:b/>
                <w:sz w:val="14"/>
              </w:rPr>
              <w:t>5,500</w:t>
            </w:r>
          </w:p>
        </w:tc>
        <w:tc>
          <w:tcPr>
            <w:tcW w:w="925" w:type="dxa"/>
          </w:tcPr>
          <w:p>
            <w:pPr>
              <w:pStyle w:val="TableParagraph"/>
              <w:spacing w:before="32"/>
              <w:ind w:left="176"/>
              <w:rPr>
                <w:b/>
                <w:sz w:val="14"/>
              </w:rPr>
            </w:pPr>
            <w:r>
              <w:rPr>
                <w:b/>
                <w:sz w:val="14"/>
              </w:rPr>
              <w:t>12,500</w:t>
            </w:r>
          </w:p>
        </w:tc>
        <w:tc>
          <w:tcPr>
            <w:tcW w:w="792" w:type="dxa"/>
          </w:tcPr>
          <w:p>
            <w:pPr>
              <w:pStyle w:val="TableParagraph"/>
              <w:spacing w:before="32"/>
              <w:ind w:right="188"/>
              <w:jc w:val="right"/>
              <w:rPr>
                <w:b/>
                <w:sz w:val="14"/>
              </w:rPr>
            </w:pPr>
            <w:r>
              <w:rPr>
                <w:b/>
                <w:w w:val="95"/>
                <w:sz w:val="14"/>
              </w:rPr>
              <w:t>34,000</w:t>
            </w:r>
          </w:p>
        </w:tc>
        <w:tc>
          <w:tcPr>
            <w:tcW w:w="822" w:type="dxa"/>
          </w:tcPr>
          <w:p>
            <w:pPr>
              <w:pStyle w:val="TableParagraph"/>
              <w:spacing w:before="32"/>
              <w:ind w:right="45"/>
              <w:jc w:val="right"/>
              <w:rPr>
                <w:b/>
                <w:sz w:val="14"/>
              </w:rPr>
            </w:pPr>
            <w:r>
              <w:rPr>
                <w:b/>
                <w:w w:val="95"/>
                <w:sz w:val="14"/>
              </w:rPr>
              <w:t>13,750</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Integrated Civil Registration and Vital Statistics and</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rPr>
                <w:rFonts w:ascii="Times New Roman"/>
                <w:sz w:val="14"/>
              </w:rPr>
            </w:pPr>
          </w:p>
        </w:tc>
        <w:tc>
          <w:tcPr>
            <w:tcW w:w="915" w:type="dxa"/>
          </w:tcPr>
          <w:p>
            <w:pPr>
              <w:pStyle w:val="TableParagraph"/>
              <w:rPr>
                <w:rFonts w:ascii="Times New Roman"/>
                <w:sz w:val="14"/>
              </w:rPr>
            </w:pPr>
          </w:p>
        </w:tc>
        <w:tc>
          <w:tcPr>
            <w:tcW w:w="861" w:type="dxa"/>
          </w:tcPr>
          <w:p>
            <w:pPr>
              <w:pStyle w:val="TableParagraph"/>
              <w:rPr>
                <w:rFonts w:ascii="Times New Roman"/>
                <w:sz w:val="14"/>
              </w:rPr>
            </w:pPr>
          </w:p>
        </w:tc>
        <w:tc>
          <w:tcPr>
            <w:tcW w:w="925" w:type="dxa"/>
          </w:tcPr>
          <w:p>
            <w:pPr>
              <w:pStyle w:val="TableParagraph"/>
              <w:rPr>
                <w:rFonts w:ascii="Times New Roman"/>
                <w:sz w:val="14"/>
              </w:rPr>
            </w:pPr>
          </w:p>
        </w:tc>
        <w:tc>
          <w:tcPr>
            <w:tcW w:w="792"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ID Management System</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32"/>
              <w:ind w:right="172"/>
              <w:jc w:val="right"/>
              <w:rPr>
                <w:sz w:val="14"/>
              </w:rPr>
            </w:pPr>
            <w:r>
              <w:rPr>
                <w:w w:val="99"/>
                <w:sz w:val="14"/>
              </w:rPr>
              <w:t>-</w:t>
            </w:r>
          </w:p>
        </w:tc>
        <w:tc>
          <w:tcPr>
            <w:tcW w:w="915" w:type="dxa"/>
          </w:tcPr>
          <w:p>
            <w:pPr>
              <w:pStyle w:val="TableParagraph"/>
              <w:spacing w:before="32"/>
              <w:ind w:right="192"/>
              <w:jc w:val="right"/>
              <w:rPr>
                <w:sz w:val="14"/>
              </w:rPr>
            </w:pPr>
            <w:r>
              <w:rPr>
                <w:sz w:val="14"/>
              </w:rPr>
              <w:t>6,000</w:t>
            </w:r>
          </w:p>
        </w:tc>
        <w:tc>
          <w:tcPr>
            <w:tcW w:w="861" w:type="dxa"/>
          </w:tcPr>
          <w:p>
            <w:pPr>
              <w:pStyle w:val="TableParagraph"/>
              <w:spacing w:before="32"/>
              <w:ind w:right="191"/>
              <w:jc w:val="right"/>
              <w:rPr>
                <w:sz w:val="14"/>
              </w:rPr>
            </w:pPr>
            <w:r>
              <w:rPr>
                <w:w w:val="99"/>
                <w:sz w:val="14"/>
              </w:rPr>
              <w:t>-</w:t>
            </w:r>
          </w:p>
        </w:tc>
        <w:tc>
          <w:tcPr>
            <w:tcW w:w="925" w:type="dxa"/>
          </w:tcPr>
          <w:p>
            <w:pPr>
              <w:pStyle w:val="TableParagraph"/>
              <w:spacing w:before="32"/>
              <w:ind w:left="216"/>
              <w:rPr>
                <w:sz w:val="14"/>
              </w:rPr>
            </w:pPr>
            <w:r>
              <w:rPr>
                <w:sz w:val="14"/>
              </w:rPr>
              <w:t>10,500</w:t>
            </w:r>
          </w:p>
        </w:tc>
        <w:tc>
          <w:tcPr>
            <w:tcW w:w="792" w:type="dxa"/>
          </w:tcPr>
          <w:p>
            <w:pPr>
              <w:pStyle w:val="TableParagraph"/>
              <w:spacing w:before="32"/>
              <w:ind w:right="147"/>
              <w:jc w:val="right"/>
              <w:rPr>
                <w:sz w:val="14"/>
              </w:rPr>
            </w:pPr>
            <w:r>
              <w:rPr>
                <w:w w:val="99"/>
                <w:sz w:val="14"/>
              </w:rPr>
              <w:t>-</w:t>
            </w:r>
          </w:p>
        </w:tc>
        <w:tc>
          <w:tcPr>
            <w:tcW w:w="822" w:type="dxa"/>
          </w:tcPr>
          <w:p>
            <w:pPr>
              <w:pStyle w:val="TableParagraph"/>
              <w:spacing w:before="32"/>
              <w:ind w:right="27"/>
              <w:jc w:val="right"/>
              <w:rPr>
                <w:sz w:val="14"/>
              </w:rPr>
            </w:pPr>
            <w:r>
              <w:rPr>
                <w:w w:val="95"/>
                <w:sz w:val="14"/>
              </w:rPr>
              <w:t>11,550</w:t>
            </w:r>
          </w:p>
        </w:tc>
      </w:tr>
      <w:tr>
        <w:trPr>
          <w:trHeight w:val="230" w:hRule="atLeast"/>
        </w:trPr>
        <w:tc>
          <w:tcPr>
            <w:tcW w:w="470" w:type="dxa"/>
          </w:tcPr>
          <w:p>
            <w:pPr>
              <w:pStyle w:val="TableParagraph"/>
              <w:rPr>
                <w:rFonts w:ascii="Times New Roman"/>
                <w:sz w:val="14"/>
              </w:rPr>
            </w:pPr>
          </w:p>
        </w:tc>
        <w:tc>
          <w:tcPr>
            <w:tcW w:w="4747" w:type="dxa"/>
          </w:tcPr>
          <w:p>
            <w:pPr>
              <w:pStyle w:val="TableParagraph"/>
              <w:tabs>
                <w:tab w:pos="718" w:val="left" w:leader="none"/>
              </w:tabs>
              <w:spacing w:before="32"/>
              <w:ind w:left="262"/>
              <w:rPr>
                <w:sz w:val="14"/>
              </w:rPr>
            </w:pPr>
            <w:r>
              <w:rPr>
                <w:sz w:val="14"/>
              </w:rPr>
              <w:t>o/</w:t>
            </w:r>
            <w:r>
              <w:rPr>
                <w:spacing w:val="-17"/>
                <w:sz w:val="14"/>
              </w:rPr>
              <w:t> </w:t>
            </w:r>
            <w:r>
              <w:rPr>
                <w:sz w:val="14"/>
              </w:rPr>
              <w:t>w</w:t>
              <w:tab/>
            </w:r>
            <w:r>
              <w:rPr>
                <w:spacing w:val="5"/>
                <w:sz w:val="14"/>
              </w:rPr>
              <w:t>Exhibition </w:t>
            </w:r>
            <w:r>
              <w:rPr>
                <w:spacing w:val="4"/>
                <w:sz w:val="14"/>
              </w:rPr>
              <w:t>and </w:t>
            </w:r>
            <w:r>
              <w:rPr>
                <w:spacing w:val="5"/>
                <w:sz w:val="14"/>
              </w:rPr>
              <w:t>Update </w:t>
            </w:r>
            <w:r>
              <w:rPr>
                <w:sz w:val="14"/>
              </w:rPr>
              <w:t>of </w:t>
            </w:r>
            <w:r>
              <w:rPr>
                <w:spacing w:val="4"/>
                <w:sz w:val="14"/>
              </w:rPr>
              <w:t>the </w:t>
            </w:r>
            <w:r>
              <w:rPr>
                <w:spacing w:val="5"/>
                <w:sz w:val="14"/>
              </w:rPr>
              <w:t>Civil</w:t>
            </w:r>
            <w:r>
              <w:rPr>
                <w:spacing w:val="15"/>
                <w:sz w:val="14"/>
              </w:rPr>
              <w:t> </w:t>
            </w:r>
            <w:r>
              <w:rPr>
                <w:spacing w:val="3"/>
                <w:sz w:val="14"/>
              </w:rPr>
              <w:t>Register</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92"/>
              <w:jc w:val="right"/>
              <w:rPr>
                <w:sz w:val="14"/>
              </w:rPr>
            </w:pPr>
            <w:r>
              <w:rPr>
                <w:sz w:val="14"/>
              </w:rPr>
              <w:t>5,000</w:t>
            </w:r>
          </w:p>
        </w:tc>
        <w:tc>
          <w:tcPr>
            <w:tcW w:w="861" w:type="dxa"/>
          </w:tcPr>
          <w:p>
            <w:pPr>
              <w:pStyle w:val="TableParagraph"/>
              <w:rPr>
                <w:rFonts w:ascii="Times New Roman"/>
                <w:sz w:val="14"/>
              </w:rPr>
            </w:pPr>
          </w:p>
        </w:tc>
        <w:tc>
          <w:tcPr>
            <w:tcW w:w="925" w:type="dxa"/>
          </w:tcPr>
          <w:p>
            <w:pPr>
              <w:pStyle w:val="TableParagraph"/>
              <w:spacing w:before="32"/>
              <w:ind w:left="308"/>
              <w:rPr>
                <w:sz w:val="14"/>
              </w:rPr>
            </w:pPr>
            <w:r>
              <w:rPr>
                <w:sz w:val="14"/>
              </w:rPr>
              <w:t>5,500</w:t>
            </w:r>
          </w:p>
        </w:tc>
        <w:tc>
          <w:tcPr>
            <w:tcW w:w="792" w:type="dxa"/>
          </w:tcPr>
          <w:p>
            <w:pPr>
              <w:pStyle w:val="TableParagraph"/>
              <w:rPr>
                <w:rFonts w:ascii="Times New Roman"/>
                <w:sz w:val="14"/>
              </w:rPr>
            </w:pPr>
          </w:p>
        </w:tc>
        <w:tc>
          <w:tcPr>
            <w:tcW w:w="822" w:type="dxa"/>
          </w:tcPr>
          <w:p>
            <w:pPr>
              <w:pStyle w:val="TableParagraph"/>
              <w:spacing w:before="32"/>
              <w:ind w:right="21"/>
              <w:jc w:val="right"/>
              <w:rPr>
                <w:sz w:val="14"/>
              </w:rPr>
            </w:pPr>
            <w:r>
              <w:rPr>
                <w:sz w:val="14"/>
              </w:rPr>
              <w:t>6,050</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771"/>
              <w:rPr>
                <w:sz w:val="14"/>
              </w:rPr>
            </w:pPr>
            <w:r>
              <w:rPr>
                <w:sz w:val="14"/>
              </w:rPr>
              <w:t>Prinitng and Distribution of ECOWAS/ ICAO Compliant</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rPr>
                <w:rFonts w:ascii="Times New Roman"/>
                <w:sz w:val="14"/>
              </w:rPr>
            </w:pPr>
          </w:p>
        </w:tc>
        <w:tc>
          <w:tcPr>
            <w:tcW w:w="915" w:type="dxa"/>
          </w:tcPr>
          <w:p>
            <w:pPr>
              <w:pStyle w:val="TableParagraph"/>
              <w:rPr>
                <w:rFonts w:ascii="Times New Roman"/>
                <w:sz w:val="14"/>
              </w:rPr>
            </w:pPr>
          </w:p>
        </w:tc>
        <w:tc>
          <w:tcPr>
            <w:tcW w:w="861" w:type="dxa"/>
          </w:tcPr>
          <w:p>
            <w:pPr>
              <w:pStyle w:val="TableParagraph"/>
              <w:rPr>
                <w:rFonts w:ascii="Times New Roman"/>
                <w:sz w:val="14"/>
              </w:rPr>
            </w:pPr>
          </w:p>
        </w:tc>
        <w:tc>
          <w:tcPr>
            <w:tcW w:w="925" w:type="dxa"/>
          </w:tcPr>
          <w:p>
            <w:pPr>
              <w:pStyle w:val="TableParagraph"/>
              <w:rPr>
                <w:rFonts w:ascii="Times New Roman"/>
                <w:sz w:val="14"/>
              </w:rPr>
            </w:pPr>
          </w:p>
        </w:tc>
        <w:tc>
          <w:tcPr>
            <w:tcW w:w="792"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772"/>
              <w:rPr>
                <w:sz w:val="14"/>
              </w:rPr>
            </w:pPr>
            <w:r>
              <w:rPr>
                <w:sz w:val="14"/>
              </w:rPr>
              <w:t>Multi-purpose ID Cards and other Certificates</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92"/>
              <w:jc w:val="right"/>
              <w:rPr>
                <w:sz w:val="14"/>
              </w:rPr>
            </w:pPr>
            <w:r>
              <w:rPr>
                <w:sz w:val="14"/>
              </w:rPr>
              <w:t>5,000</w:t>
            </w:r>
          </w:p>
        </w:tc>
        <w:tc>
          <w:tcPr>
            <w:tcW w:w="861" w:type="dxa"/>
          </w:tcPr>
          <w:p>
            <w:pPr>
              <w:pStyle w:val="TableParagraph"/>
              <w:rPr>
                <w:rFonts w:ascii="Times New Roman"/>
                <w:sz w:val="14"/>
              </w:rPr>
            </w:pPr>
          </w:p>
        </w:tc>
        <w:tc>
          <w:tcPr>
            <w:tcW w:w="925" w:type="dxa"/>
          </w:tcPr>
          <w:p>
            <w:pPr>
              <w:pStyle w:val="TableParagraph"/>
              <w:spacing w:before="32"/>
              <w:ind w:left="308"/>
              <w:rPr>
                <w:sz w:val="14"/>
              </w:rPr>
            </w:pPr>
            <w:r>
              <w:rPr>
                <w:sz w:val="14"/>
              </w:rPr>
              <w:t>5,000</w:t>
            </w:r>
          </w:p>
        </w:tc>
        <w:tc>
          <w:tcPr>
            <w:tcW w:w="792" w:type="dxa"/>
          </w:tcPr>
          <w:p>
            <w:pPr>
              <w:pStyle w:val="TableParagraph"/>
              <w:rPr>
                <w:rFonts w:ascii="Times New Roman"/>
                <w:sz w:val="14"/>
              </w:rPr>
            </w:pPr>
          </w:p>
        </w:tc>
        <w:tc>
          <w:tcPr>
            <w:tcW w:w="822" w:type="dxa"/>
          </w:tcPr>
          <w:p>
            <w:pPr>
              <w:pStyle w:val="TableParagraph"/>
              <w:spacing w:before="32"/>
              <w:ind w:right="21"/>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Rehabilitation of National Civil Registration Authority</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rPr>
                <w:rFonts w:ascii="Times New Roman"/>
                <w:sz w:val="14"/>
              </w:rPr>
            </w:pPr>
          </w:p>
        </w:tc>
        <w:tc>
          <w:tcPr>
            <w:tcW w:w="915" w:type="dxa"/>
          </w:tcPr>
          <w:p>
            <w:pPr>
              <w:pStyle w:val="TableParagraph"/>
              <w:rPr>
                <w:rFonts w:ascii="Times New Roman"/>
                <w:sz w:val="14"/>
              </w:rPr>
            </w:pPr>
          </w:p>
        </w:tc>
        <w:tc>
          <w:tcPr>
            <w:tcW w:w="861" w:type="dxa"/>
          </w:tcPr>
          <w:p>
            <w:pPr>
              <w:pStyle w:val="TableParagraph"/>
              <w:rPr>
                <w:rFonts w:ascii="Times New Roman"/>
                <w:sz w:val="14"/>
              </w:rPr>
            </w:pPr>
          </w:p>
        </w:tc>
        <w:tc>
          <w:tcPr>
            <w:tcW w:w="925" w:type="dxa"/>
          </w:tcPr>
          <w:p>
            <w:pPr>
              <w:pStyle w:val="TableParagraph"/>
              <w:rPr>
                <w:rFonts w:ascii="Times New Roman"/>
                <w:sz w:val="14"/>
              </w:rPr>
            </w:pPr>
          </w:p>
        </w:tc>
        <w:tc>
          <w:tcPr>
            <w:tcW w:w="792"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New Complex</w:t>
            </w:r>
          </w:p>
        </w:tc>
        <w:tc>
          <w:tcPr>
            <w:tcW w:w="872" w:type="dxa"/>
          </w:tcPr>
          <w:p>
            <w:pPr>
              <w:pStyle w:val="TableParagraph"/>
              <w:spacing w:before="32"/>
              <w:ind w:left="219"/>
              <w:rPr>
                <w:sz w:val="14"/>
              </w:rPr>
            </w:pPr>
            <w:r>
              <w:rPr>
                <w:sz w:val="14"/>
              </w:rPr>
              <w:t>New</w:t>
            </w:r>
          </w:p>
        </w:tc>
        <w:tc>
          <w:tcPr>
            <w:tcW w:w="1075" w:type="dxa"/>
          </w:tcPr>
          <w:p>
            <w:pPr>
              <w:pStyle w:val="TableParagraph"/>
              <w:spacing w:before="32"/>
              <w:ind w:left="86"/>
              <w:rPr>
                <w:sz w:val="14"/>
              </w:rPr>
            </w:pPr>
            <w:r>
              <w:rPr>
                <w:sz w:val="14"/>
              </w:rPr>
              <w:t>Western Area</w:t>
            </w:r>
          </w:p>
        </w:tc>
        <w:tc>
          <w:tcPr>
            <w:tcW w:w="1117" w:type="dxa"/>
          </w:tcPr>
          <w:p>
            <w:pPr>
              <w:pStyle w:val="TableParagraph"/>
              <w:spacing w:before="32"/>
              <w:ind w:left="145"/>
              <w:rPr>
                <w:sz w:val="14"/>
              </w:rPr>
            </w:pPr>
            <w:r>
              <w:rPr>
                <w:sz w:val="14"/>
              </w:rPr>
              <w:t>EU/GoSL</w:t>
            </w:r>
          </w:p>
        </w:tc>
        <w:tc>
          <w:tcPr>
            <w:tcW w:w="1284" w:type="dxa"/>
          </w:tcPr>
          <w:p>
            <w:pPr>
              <w:pStyle w:val="TableParagraph"/>
              <w:spacing w:before="32"/>
              <w:ind w:left="275"/>
              <w:rPr>
                <w:sz w:val="14"/>
              </w:rPr>
            </w:pPr>
            <w:r>
              <w:rPr>
                <w:sz w:val="14"/>
              </w:rPr>
              <w:t>Grant/ Budget</w:t>
            </w:r>
          </w:p>
        </w:tc>
        <w:tc>
          <w:tcPr>
            <w:tcW w:w="919" w:type="dxa"/>
          </w:tcPr>
          <w:p>
            <w:pPr>
              <w:pStyle w:val="TableParagraph"/>
              <w:spacing w:before="32"/>
              <w:ind w:right="176"/>
              <w:jc w:val="right"/>
              <w:rPr>
                <w:sz w:val="14"/>
              </w:rPr>
            </w:pPr>
            <w:r>
              <w:rPr>
                <w:w w:val="95"/>
                <w:sz w:val="14"/>
              </w:rPr>
              <w:t>70,000</w:t>
            </w:r>
          </w:p>
        </w:tc>
        <w:tc>
          <w:tcPr>
            <w:tcW w:w="915" w:type="dxa"/>
          </w:tcPr>
          <w:p>
            <w:pPr>
              <w:pStyle w:val="TableParagraph"/>
              <w:spacing w:before="32"/>
              <w:ind w:right="192"/>
              <w:jc w:val="right"/>
              <w:rPr>
                <w:sz w:val="14"/>
              </w:rPr>
            </w:pPr>
            <w:r>
              <w:rPr>
                <w:sz w:val="14"/>
              </w:rPr>
              <w:t>2,000</w:t>
            </w:r>
          </w:p>
        </w:tc>
        <w:tc>
          <w:tcPr>
            <w:tcW w:w="861" w:type="dxa"/>
          </w:tcPr>
          <w:p>
            <w:pPr>
              <w:pStyle w:val="TableParagraph"/>
              <w:spacing w:before="32"/>
              <w:ind w:right="204"/>
              <w:jc w:val="right"/>
              <w:rPr>
                <w:sz w:val="14"/>
              </w:rPr>
            </w:pPr>
            <w:r>
              <w:rPr>
                <w:sz w:val="14"/>
              </w:rPr>
              <w:t>2,500</w:t>
            </w:r>
          </w:p>
        </w:tc>
        <w:tc>
          <w:tcPr>
            <w:tcW w:w="925" w:type="dxa"/>
          </w:tcPr>
          <w:p>
            <w:pPr>
              <w:pStyle w:val="TableParagraph"/>
              <w:spacing w:before="32"/>
              <w:ind w:left="308"/>
              <w:rPr>
                <w:sz w:val="14"/>
              </w:rPr>
            </w:pPr>
            <w:r>
              <w:rPr>
                <w:sz w:val="14"/>
              </w:rPr>
              <w:t>2,000</w:t>
            </w:r>
          </w:p>
        </w:tc>
        <w:tc>
          <w:tcPr>
            <w:tcW w:w="792" w:type="dxa"/>
          </w:tcPr>
          <w:p>
            <w:pPr>
              <w:pStyle w:val="TableParagraph"/>
              <w:spacing w:before="32"/>
              <w:ind w:right="149"/>
              <w:jc w:val="right"/>
              <w:rPr>
                <w:sz w:val="14"/>
              </w:rPr>
            </w:pPr>
            <w:r>
              <w:rPr>
                <w:sz w:val="14"/>
              </w:rPr>
              <w:t>9,000</w:t>
            </w:r>
          </w:p>
        </w:tc>
        <w:tc>
          <w:tcPr>
            <w:tcW w:w="822" w:type="dxa"/>
          </w:tcPr>
          <w:p>
            <w:pPr>
              <w:pStyle w:val="TableParagraph"/>
              <w:spacing w:before="32"/>
              <w:ind w:right="21"/>
              <w:jc w:val="right"/>
              <w:rPr>
                <w:sz w:val="14"/>
              </w:rPr>
            </w:pPr>
            <w:r>
              <w:rPr>
                <w:sz w:val="14"/>
              </w:rPr>
              <w:t>2,200</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EU Technical Support to the Governance Sector in</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rPr>
                <w:rFonts w:ascii="Times New Roman"/>
                <w:sz w:val="14"/>
              </w:rPr>
            </w:pPr>
          </w:p>
        </w:tc>
        <w:tc>
          <w:tcPr>
            <w:tcW w:w="915" w:type="dxa"/>
          </w:tcPr>
          <w:p>
            <w:pPr>
              <w:pStyle w:val="TableParagraph"/>
              <w:rPr>
                <w:rFonts w:ascii="Times New Roman"/>
                <w:sz w:val="14"/>
              </w:rPr>
            </w:pPr>
          </w:p>
        </w:tc>
        <w:tc>
          <w:tcPr>
            <w:tcW w:w="861" w:type="dxa"/>
          </w:tcPr>
          <w:p>
            <w:pPr>
              <w:pStyle w:val="TableParagraph"/>
              <w:rPr>
                <w:rFonts w:ascii="Times New Roman"/>
                <w:sz w:val="14"/>
              </w:rPr>
            </w:pPr>
          </w:p>
        </w:tc>
        <w:tc>
          <w:tcPr>
            <w:tcW w:w="925" w:type="dxa"/>
          </w:tcPr>
          <w:p>
            <w:pPr>
              <w:pStyle w:val="TableParagraph"/>
              <w:rPr>
                <w:rFonts w:ascii="Times New Roman"/>
                <w:sz w:val="14"/>
              </w:rPr>
            </w:pPr>
          </w:p>
        </w:tc>
        <w:tc>
          <w:tcPr>
            <w:tcW w:w="792" w:type="dxa"/>
          </w:tcPr>
          <w:p>
            <w:pPr>
              <w:pStyle w:val="TableParagraph"/>
              <w:rPr>
                <w:rFonts w:ascii="Times New Roman"/>
                <w:sz w:val="14"/>
              </w:rPr>
            </w:pPr>
          </w:p>
        </w:tc>
        <w:tc>
          <w:tcPr>
            <w:tcW w:w="822" w:type="dxa"/>
          </w:tcPr>
          <w:p>
            <w:pPr>
              <w:pStyle w:val="TableParagraph"/>
              <w:rPr>
                <w:rFonts w:ascii="Times New Roman"/>
                <w:sz w:val="14"/>
              </w:rPr>
            </w:pPr>
          </w:p>
        </w:tc>
      </w:tr>
      <w:tr>
        <w:trPr>
          <w:trHeight w:val="228"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the Area of Civil Registration</w:t>
            </w:r>
          </w:p>
        </w:tc>
        <w:tc>
          <w:tcPr>
            <w:tcW w:w="872" w:type="dxa"/>
          </w:tcPr>
          <w:p>
            <w:pPr>
              <w:pStyle w:val="TableParagraph"/>
              <w:spacing w:before="32"/>
              <w:ind w:left="219"/>
              <w:rPr>
                <w:sz w:val="14"/>
              </w:rPr>
            </w:pPr>
            <w:r>
              <w:rPr>
                <w:sz w:val="14"/>
              </w:rPr>
              <w:t>New</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5"/>
              <w:rPr>
                <w:sz w:val="14"/>
              </w:rPr>
            </w:pPr>
            <w:r>
              <w:rPr>
                <w:sz w:val="14"/>
              </w:rPr>
              <w:t>EU/GoSL</w:t>
            </w:r>
          </w:p>
        </w:tc>
        <w:tc>
          <w:tcPr>
            <w:tcW w:w="1284" w:type="dxa"/>
          </w:tcPr>
          <w:p>
            <w:pPr>
              <w:pStyle w:val="TableParagraph"/>
              <w:spacing w:before="32"/>
              <w:ind w:left="275"/>
              <w:rPr>
                <w:sz w:val="14"/>
              </w:rPr>
            </w:pPr>
            <w:r>
              <w:rPr>
                <w:sz w:val="14"/>
              </w:rPr>
              <w:t>Grant/ Budget</w:t>
            </w:r>
          </w:p>
        </w:tc>
        <w:tc>
          <w:tcPr>
            <w:tcW w:w="919" w:type="dxa"/>
          </w:tcPr>
          <w:p>
            <w:pPr>
              <w:pStyle w:val="TableParagraph"/>
              <w:spacing w:before="32"/>
              <w:ind w:right="176"/>
              <w:jc w:val="right"/>
              <w:rPr>
                <w:sz w:val="14"/>
              </w:rPr>
            </w:pPr>
            <w:r>
              <w:rPr>
                <w:w w:val="95"/>
                <w:sz w:val="14"/>
              </w:rPr>
              <w:t>33,000</w:t>
            </w:r>
          </w:p>
        </w:tc>
        <w:tc>
          <w:tcPr>
            <w:tcW w:w="915" w:type="dxa"/>
          </w:tcPr>
          <w:p>
            <w:pPr>
              <w:pStyle w:val="TableParagraph"/>
              <w:spacing w:before="32"/>
              <w:ind w:right="180"/>
              <w:jc w:val="right"/>
              <w:rPr>
                <w:sz w:val="14"/>
              </w:rPr>
            </w:pPr>
            <w:r>
              <w:rPr>
                <w:w w:val="99"/>
                <w:sz w:val="14"/>
              </w:rPr>
              <w:t>-</w:t>
            </w:r>
          </w:p>
        </w:tc>
        <w:tc>
          <w:tcPr>
            <w:tcW w:w="861" w:type="dxa"/>
          </w:tcPr>
          <w:p>
            <w:pPr>
              <w:pStyle w:val="TableParagraph"/>
              <w:spacing w:before="32"/>
              <w:ind w:right="204"/>
              <w:jc w:val="right"/>
              <w:rPr>
                <w:sz w:val="14"/>
              </w:rPr>
            </w:pPr>
            <w:r>
              <w:rPr>
                <w:sz w:val="14"/>
              </w:rPr>
              <w:t>3,000</w:t>
            </w:r>
          </w:p>
        </w:tc>
        <w:tc>
          <w:tcPr>
            <w:tcW w:w="925" w:type="dxa"/>
          </w:tcPr>
          <w:p>
            <w:pPr>
              <w:pStyle w:val="TableParagraph"/>
              <w:spacing w:before="32"/>
              <w:ind w:left="609"/>
              <w:rPr>
                <w:sz w:val="14"/>
              </w:rPr>
            </w:pPr>
            <w:r>
              <w:rPr>
                <w:w w:val="99"/>
                <w:sz w:val="14"/>
              </w:rPr>
              <w:t>-</w:t>
            </w:r>
          </w:p>
        </w:tc>
        <w:tc>
          <w:tcPr>
            <w:tcW w:w="792" w:type="dxa"/>
          </w:tcPr>
          <w:p>
            <w:pPr>
              <w:pStyle w:val="TableParagraph"/>
              <w:spacing w:before="32"/>
              <w:ind w:right="169"/>
              <w:jc w:val="right"/>
              <w:rPr>
                <w:sz w:val="14"/>
              </w:rPr>
            </w:pPr>
            <w:r>
              <w:rPr>
                <w:w w:val="95"/>
                <w:sz w:val="14"/>
              </w:rPr>
              <w:t>25,000</w:t>
            </w:r>
          </w:p>
        </w:tc>
        <w:tc>
          <w:tcPr>
            <w:tcW w:w="822" w:type="dxa"/>
          </w:tcPr>
          <w:p>
            <w:pPr>
              <w:pStyle w:val="TableParagraph"/>
              <w:spacing w:before="32"/>
              <w:ind w:right="4"/>
              <w:jc w:val="right"/>
              <w:rPr>
                <w:sz w:val="14"/>
              </w:rPr>
            </w:pPr>
            <w:r>
              <w:rPr>
                <w:w w:val="99"/>
                <w:sz w:val="14"/>
              </w:rPr>
              <w:t>-</w:t>
            </w:r>
          </w:p>
        </w:tc>
      </w:tr>
      <w:tr>
        <w:trPr>
          <w:trHeight w:val="228" w:hRule="atLeast"/>
        </w:trPr>
        <w:tc>
          <w:tcPr>
            <w:tcW w:w="470" w:type="dxa"/>
          </w:tcPr>
          <w:p>
            <w:pPr>
              <w:pStyle w:val="TableParagraph"/>
              <w:spacing w:before="29"/>
              <w:ind w:left="123"/>
              <w:rPr>
                <w:sz w:val="14"/>
              </w:rPr>
            </w:pPr>
            <w:r>
              <w:rPr>
                <w:sz w:val="14"/>
              </w:rPr>
              <w:t>107</w:t>
            </w:r>
          </w:p>
        </w:tc>
        <w:tc>
          <w:tcPr>
            <w:tcW w:w="4747" w:type="dxa"/>
          </w:tcPr>
          <w:p>
            <w:pPr>
              <w:pStyle w:val="TableParagraph"/>
              <w:spacing w:before="29"/>
              <w:ind w:left="95"/>
              <w:rPr>
                <w:b/>
                <w:sz w:val="14"/>
              </w:rPr>
            </w:pPr>
            <w:r>
              <w:rPr>
                <w:b/>
                <w:sz w:val="14"/>
              </w:rPr>
              <w:t>Ministry of Local Government (MoLG)</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29"/>
              <w:ind w:right="165"/>
              <w:jc w:val="right"/>
              <w:rPr>
                <w:b/>
                <w:sz w:val="14"/>
              </w:rPr>
            </w:pPr>
            <w:r>
              <w:rPr>
                <w:b/>
                <w:w w:val="99"/>
                <w:sz w:val="14"/>
              </w:rPr>
              <w:t>-</w:t>
            </w:r>
          </w:p>
        </w:tc>
        <w:tc>
          <w:tcPr>
            <w:tcW w:w="915" w:type="dxa"/>
          </w:tcPr>
          <w:p>
            <w:pPr>
              <w:pStyle w:val="TableParagraph"/>
              <w:spacing w:before="29"/>
              <w:ind w:right="195"/>
              <w:jc w:val="right"/>
              <w:rPr>
                <w:b/>
                <w:sz w:val="14"/>
              </w:rPr>
            </w:pPr>
            <w:r>
              <w:rPr>
                <w:b/>
                <w:sz w:val="14"/>
              </w:rPr>
              <w:t>900</w:t>
            </w:r>
          </w:p>
        </w:tc>
        <w:tc>
          <w:tcPr>
            <w:tcW w:w="861" w:type="dxa"/>
          </w:tcPr>
          <w:p>
            <w:pPr>
              <w:pStyle w:val="TableParagraph"/>
              <w:spacing w:before="29"/>
              <w:ind w:right="180"/>
              <w:jc w:val="right"/>
              <w:rPr>
                <w:b/>
                <w:sz w:val="14"/>
              </w:rPr>
            </w:pPr>
            <w:r>
              <w:rPr>
                <w:b/>
                <w:w w:val="99"/>
                <w:sz w:val="14"/>
              </w:rPr>
              <w:t>-</w:t>
            </w:r>
          </w:p>
        </w:tc>
        <w:tc>
          <w:tcPr>
            <w:tcW w:w="925" w:type="dxa"/>
          </w:tcPr>
          <w:p>
            <w:pPr>
              <w:pStyle w:val="TableParagraph"/>
              <w:spacing w:before="29"/>
              <w:ind w:left="429"/>
              <w:rPr>
                <w:b/>
                <w:sz w:val="14"/>
              </w:rPr>
            </w:pPr>
            <w:r>
              <w:rPr>
                <w:b/>
                <w:sz w:val="14"/>
              </w:rPr>
              <w:t>990</w:t>
            </w:r>
          </w:p>
        </w:tc>
        <w:tc>
          <w:tcPr>
            <w:tcW w:w="792" w:type="dxa"/>
          </w:tcPr>
          <w:p>
            <w:pPr>
              <w:pStyle w:val="TableParagraph"/>
              <w:spacing w:before="29"/>
              <w:ind w:right="133"/>
              <w:jc w:val="right"/>
              <w:rPr>
                <w:b/>
                <w:sz w:val="14"/>
              </w:rPr>
            </w:pPr>
            <w:r>
              <w:rPr>
                <w:b/>
                <w:w w:val="99"/>
                <w:sz w:val="14"/>
              </w:rPr>
              <w:t>-</w:t>
            </w:r>
          </w:p>
        </w:tc>
        <w:tc>
          <w:tcPr>
            <w:tcW w:w="822" w:type="dxa"/>
          </w:tcPr>
          <w:p>
            <w:pPr>
              <w:pStyle w:val="TableParagraph"/>
              <w:spacing w:before="29"/>
              <w:ind w:right="37"/>
              <w:jc w:val="right"/>
              <w:rPr>
                <w:b/>
                <w:sz w:val="14"/>
              </w:rPr>
            </w:pPr>
            <w:r>
              <w:rPr>
                <w:b/>
                <w:sz w:val="14"/>
              </w:rPr>
              <w:t>1,089</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Social Capital Approaches to Rural Development</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rPr>
                <w:rFonts w:ascii="Times New Roman"/>
                <w:sz w:val="14"/>
              </w:rPr>
            </w:pPr>
          </w:p>
        </w:tc>
        <w:tc>
          <w:tcPr>
            <w:tcW w:w="915" w:type="dxa"/>
          </w:tcPr>
          <w:p>
            <w:pPr>
              <w:pStyle w:val="TableParagraph"/>
              <w:rPr>
                <w:rFonts w:ascii="Times New Roman"/>
                <w:sz w:val="14"/>
              </w:rPr>
            </w:pPr>
          </w:p>
        </w:tc>
        <w:tc>
          <w:tcPr>
            <w:tcW w:w="861" w:type="dxa"/>
          </w:tcPr>
          <w:p>
            <w:pPr>
              <w:pStyle w:val="TableParagraph"/>
              <w:rPr>
                <w:rFonts w:ascii="Times New Roman"/>
                <w:sz w:val="14"/>
              </w:rPr>
            </w:pPr>
          </w:p>
        </w:tc>
        <w:tc>
          <w:tcPr>
            <w:tcW w:w="925" w:type="dxa"/>
          </w:tcPr>
          <w:p>
            <w:pPr>
              <w:pStyle w:val="TableParagraph"/>
              <w:rPr>
                <w:rFonts w:ascii="Times New Roman"/>
                <w:sz w:val="14"/>
              </w:rPr>
            </w:pPr>
          </w:p>
        </w:tc>
        <w:tc>
          <w:tcPr>
            <w:tcW w:w="792" w:type="dxa"/>
          </w:tcPr>
          <w:p>
            <w:pPr>
              <w:pStyle w:val="TableParagraph"/>
              <w:rPr>
                <w:rFonts w:ascii="Times New Roman"/>
                <w:sz w:val="14"/>
              </w:rPr>
            </w:pPr>
          </w:p>
        </w:tc>
        <w:tc>
          <w:tcPr>
            <w:tcW w:w="822" w:type="dxa"/>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in Sierra Leone (SCARDSiL)</w:t>
            </w:r>
          </w:p>
        </w:tc>
        <w:tc>
          <w:tcPr>
            <w:tcW w:w="872" w:type="dxa"/>
          </w:tcPr>
          <w:p>
            <w:pPr>
              <w:pStyle w:val="TableParagraph"/>
              <w:spacing w:before="32"/>
              <w:ind w:left="219"/>
              <w:rPr>
                <w:sz w:val="14"/>
              </w:rPr>
            </w:pPr>
            <w:r>
              <w:rPr>
                <w:sz w:val="14"/>
              </w:rPr>
              <w:t>New</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400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440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484</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Support for Institutional Capacity Building</w:t>
            </w:r>
          </w:p>
        </w:tc>
        <w:tc>
          <w:tcPr>
            <w:tcW w:w="872" w:type="dxa"/>
          </w:tcPr>
          <w:p>
            <w:pPr>
              <w:pStyle w:val="TableParagraph"/>
              <w:spacing w:before="32"/>
              <w:ind w:left="219"/>
              <w:rPr>
                <w:sz w:val="14"/>
              </w:rPr>
            </w:pPr>
            <w:r>
              <w:rPr>
                <w:sz w:val="14"/>
              </w:rPr>
              <w:t>New</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300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330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363</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94"/>
              <w:rPr>
                <w:sz w:val="14"/>
              </w:rPr>
            </w:pPr>
            <w:r>
              <w:rPr>
                <w:sz w:val="14"/>
              </w:rPr>
              <w:t>Rehabilitation/ Reconstruction of Court Barrays</w:t>
            </w:r>
          </w:p>
        </w:tc>
        <w:tc>
          <w:tcPr>
            <w:tcW w:w="872" w:type="dxa"/>
          </w:tcPr>
          <w:p>
            <w:pPr>
              <w:pStyle w:val="TableParagraph"/>
              <w:spacing w:before="32"/>
              <w:ind w:left="219"/>
              <w:rPr>
                <w:sz w:val="14"/>
              </w:rPr>
            </w:pPr>
            <w:r>
              <w:rPr>
                <w:sz w:val="14"/>
              </w:rPr>
              <w:t>New</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200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220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242</w:t>
            </w:r>
          </w:p>
        </w:tc>
      </w:tr>
      <w:tr>
        <w:trPr>
          <w:trHeight w:val="230" w:hRule="atLeast"/>
        </w:trPr>
        <w:tc>
          <w:tcPr>
            <w:tcW w:w="470" w:type="dxa"/>
          </w:tcPr>
          <w:p>
            <w:pPr>
              <w:pStyle w:val="TableParagraph"/>
              <w:spacing w:before="32"/>
              <w:ind w:left="123"/>
              <w:rPr>
                <w:sz w:val="14"/>
              </w:rPr>
            </w:pPr>
            <w:r>
              <w:rPr>
                <w:sz w:val="14"/>
              </w:rPr>
              <w:t>117</w:t>
            </w:r>
          </w:p>
        </w:tc>
        <w:tc>
          <w:tcPr>
            <w:tcW w:w="4747" w:type="dxa"/>
          </w:tcPr>
          <w:p>
            <w:pPr>
              <w:pStyle w:val="TableParagraph"/>
              <w:spacing w:before="32"/>
              <w:ind w:left="94"/>
              <w:rPr>
                <w:b/>
                <w:sz w:val="14"/>
              </w:rPr>
            </w:pPr>
            <w:r>
              <w:rPr>
                <w:b/>
                <w:sz w:val="14"/>
              </w:rPr>
              <w:t>Cabinet Secretariat and Head of the Civil Services (CS&amp;HOCS)</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32"/>
              <w:ind w:right="169"/>
              <w:jc w:val="right"/>
              <w:rPr>
                <w:b/>
                <w:sz w:val="14"/>
              </w:rPr>
            </w:pPr>
            <w:r>
              <w:rPr>
                <w:b/>
                <w:w w:val="99"/>
                <w:sz w:val="14"/>
              </w:rPr>
              <w:t>-</w:t>
            </w:r>
          </w:p>
        </w:tc>
        <w:tc>
          <w:tcPr>
            <w:tcW w:w="915" w:type="dxa"/>
          </w:tcPr>
          <w:p>
            <w:pPr>
              <w:pStyle w:val="TableParagraph"/>
              <w:spacing w:before="32"/>
              <w:ind w:right="195"/>
              <w:jc w:val="right"/>
              <w:rPr>
                <w:b/>
                <w:sz w:val="14"/>
              </w:rPr>
            </w:pPr>
            <w:r>
              <w:rPr>
                <w:b/>
                <w:sz w:val="14"/>
              </w:rPr>
              <w:t>700</w:t>
            </w:r>
          </w:p>
        </w:tc>
        <w:tc>
          <w:tcPr>
            <w:tcW w:w="861" w:type="dxa"/>
          </w:tcPr>
          <w:p>
            <w:pPr>
              <w:pStyle w:val="TableParagraph"/>
              <w:spacing w:before="32"/>
              <w:ind w:right="180"/>
              <w:jc w:val="right"/>
              <w:rPr>
                <w:b/>
                <w:sz w:val="14"/>
              </w:rPr>
            </w:pPr>
            <w:r>
              <w:rPr>
                <w:b/>
                <w:w w:val="99"/>
                <w:sz w:val="14"/>
              </w:rPr>
              <w:t>-</w:t>
            </w:r>
          </w:p>
        </w:tc>
        <w:tc>
          <w:tcPr>
            <w:tcW w:w="925" w:type="dxa"/>
          </w:tcPr>
          <w:p>
            <w:pPr>
              <w:pStyle w:val="TableParagraph"/>
              <w:spacing w:before="32"/>
              <w:ind w:left="429"/>
              <w:rPr>
                <w:b/>
                <w:sz w:val="14"/>
              </w:rPr>
            </w:pPr>
            <w:r>
              <w:rPr>
                <w:b/>
                <w:sz w:val="14"/>
              </w:rPr>
              <w:t>770</w:t>
            </w:r>
          </w:p>
        </w:tc>
        <w:tc>
          <w:tcPr>
            <w:tcW w:w="792" w:type="dxa"/>
          </w:tcPr>
          <w:p>
            <w:pPr>
              <w:pStyle w:val="TableParagraph"/>
              <w:spacing w:before="32"/>
              <w:ind w:right="133"/>
              <w:jc w:val="right"/>
              <w:rPr>
                <w:b/>
                <w:sz w:val="14"/>
              </w:rPr>
            </w:pPr>
            <w:r>
              <w:rPr>
                <w:b/>
                <w:w w:val="99"/>
                <w:sz w:val="14"/>
              </w:rPr>
              <w:t>-</w:t>
            </w:r>
          </w:p>
        </w:tc>
        <w:tc>
          <w:tcPr>
            <w:tcW w:w="822" w:type="dxa"/>
          </w:tcPr>
          <w:p>
            <w:pPr>
              <w:pStyle w:val="TableParagraph"/>
              <w:spacing w:before="32"/>
              <w:ind w:right="25"/>
              <w:jc w:val="right"/>
              <w:rPr>
                <w:b/>
                <w:sz w:val="14"/>
              </w:rPr>
            </w:pPr>
            <w:r>
              <w:rPr>
                <w:b/>
                <w:sz w:val="14"/>
              </w:rPr>
              <w:t>847</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3"/>
              <w:rPr>
                <w:sz w:val="14"/>
              </w:rPr>
            </w:pPr>
            <w:r>
              <w:rPr>
                <w:sz w:val="14"/>
              </w:rPr>
              <w:t>Establishment of Wages and Compensation Commission</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500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550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605</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right="219"/>
              <w:jc w:val="right"/>
              <w:rPr>
                <w:sz w:val="14"/>
              </w:rPr>
            </w:pPr>
            <w:r>
              <w:rPr>
                <w:sz w:val="14"/>
              </w:rPr>
              <w:t>Feasibility Study for the Construction of Public Service Academy</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Western Area</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200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220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242</w:t>
            </w:r>
          </w:p>
        </w:tc>
      </w:tr>
      <w:tr>
        <w:trPr>
          <w:trHeight w:val="230" w:hRule="atLeast"/>
        </w:trPr>
        <w:tc>
          <w:tcPr>
            <w:tcW w:w="470" w:type="dxa"/>
          </w:tcPr>
          <w:p>
            <w:pPr>
              <w:pStyle w:val="TableParagraph"/>
              <w:spacing w:before="32"/>
              <w:ind w:left="123"/>
              <w:rPr>
                <w:sz w:val="14"/>
              </w:rPr>
            </w:pPr>
            <w:r>
              <w:rPr>
                <w:sz w:val="14"/>
              </w:rPr>
              <w:t>122</w:t>
            </w:r>
          </w:p>
        </w:tc>
        <w:tc>
          <w:tcPr>
            <w:tcW w:w="4747" w:type="dxa"/>
          </w:tcPr>
          <w:p>
            <w:pPr>
              <w:pStyle w:val="TableParagraph"/>
              <w:spacing w:before="32"/>
              <w:ind w:left="95"/>
              <w:rPr>
                <w:b/>
                <w:sz w:val="14"/>
              </w:rPr>
            </w:pPr>
            <w:r>
              <w:rPr>
                <w:b/>
                <w:sz w:val="14"/>
              </w:rPr>
              <w:t>Human Resource Management Office (HRMO)</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32"/>
              <w:ind w:right="165"/>
              <w:jc w:val="right"/>
              <w:rPr>
                <w:b/>
                <w:sz w:val="14"/>
              </w:rPr>
            </w:pPr>
            <w:r>
              <w:rPr>
                <w:b/>
                <w:w w:val="99"/>
                <w:sz w:val="14"/>
              </w:rPr>
              <w:t>-</w:t>
            </w:r>
          </w:p>
        </w:tc>
        <w:tc>
          <w:tcPr>
            <w:tcW w:w="915" w:type="dxa"/>
          </w:tcPr>
          <w:p>
            <w:pPr>
              <w:pStyle w:val="TableParagraph"/>
              <w:spacing w:before="32"/>
              <w:ind w:right="195"/>
              <w:jc w:val="right"/>
              <w:rPr>
                <w:b/>
                <w:sz w:val="14"/>
              </w:rPr>
            </w:pPr>
            <w:r>
              <w:rPr>
                <w:b/>
                <w:sz w:val="14"/>
              </w:rPr>
              <w:t>200</w:t>
            </w:r>
          </w:p>
        </w:tc>
        <w:tc>
          <w:tcPr>
            <w:tcW w:w="861" w:type="dxa"/>
          </w:tcPr>
          <w:p>
            <w:pPr>
              <w:pStyle w:val="TableParagraph"/>
              <w:spacing w:before="32"/>
              <w:ind w:right="180"/>
              <w:jc w:val="right"/>
              <w:rPr>
                <w:b/>
                <w:sz w:val="14"/>
              </w:rPr>
            </w:pPr>
            <w:r>
              <w:rPr>
                <w:b/>
                <w:w w:val="99"/>
                <w:sz w:val="14"/>
              </w:rPr>
              <w:t>-</w:t>
            </w:r>
          </w:p>
        </w:tc>
        <w:tc>
          <w:tcPr>
            <w:tcW w:w="925" w:type="dxa"/>
          </w:tcPr>
          <w:p>
            <w:pPr>
              <w:pStyle w:val="TableParagraph"/>
              <w:spacing w:before="32"/>
              <w:ind w:left="429"/>
              <w:rPr>
                <w:b/>
                <w:sz w:val="14"/>
              </w:rPr>
            </w:pPr>
            <w:r>
              <w:rPr>
                <w:b/>
                <w:sz w:val="14"/>
              </w:rPr>
              <w:t>220</w:t>
            </w:r>
          </w:p>
        </w:tc>
        <w:tc>
          <w:tcPr>
            <w:tcW w:w="792" w:type="dxa"/>
          </w:tcPr>
          <w:p>
            <w:pPr>
              <w:pStyle w:val="TableParagraph"/>
              <w:spacing w:before="32"/>
              <w:ind w:right="133"/>
              <w:jc w:val="right"/>
              <w:rPr>
                <w:b/>
                <w:sz w:val="14"/>
              </w:rPr>
            </w:pPr>
            <w:r>
              <w:rPr>
                <w:b/>
                <w:w w:val="99"/>
                <w:sz w:val="14"/>
              </w:rPr>
              <w:t>-</w:t>
            </w:r>
          </w:p>
        </w:tc>
        <w:tc>
          <w:tcPr>
            <w:tcW w:w="822" w:type="dxa"/>
          </w:tcPr>
          <w:p>
            <w:pPr>
              <w:pStyle w:val="TableParagraph"/>
              <w:spacing w:before="32"/>
              <w:ind w:right="25"/>
              <w:jc w:val="right"/>
              <w:rPr>
                <w:b/>
                <w:sz w:val="14"/>
              </w:rPr>
            </w:pPr>
            <w:r>
              <w:rPr>
                <w:b/>
                <w:sz w:val="14"/>
              </w:rPr>
              <w:t>242</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Civil Service Reform Project</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200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220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242</w:t>
            </w:r>
          </w:p>
        </w:tc>
      </w:tr>
      <w:tr>
        <w:trPr>
          <w:trHeight w:val="230" w:hRule="atLeast"/>
        </w:trPr>
        <w:tc>
          <w:tcPr>
            <w:tcW w:w="470" w:type="dxa"/>
          </w:tcPr>
          <w:p>
            <w:pPr>
              <w:pStyle w:val="TableParagraph"/>
              <w:spacing w:before="32"/>
              <w:ind w:left="123"/>
              <w:rPr>
                <w:sz w:val="14"/>
              </w:rPr>
            </w:pPr>
            <w:r>
              <w:rPr>
                <w:sz w:val="14"/>
              </w:rPr>
              <w:t>116</w:t>
            </w:r>
          </w:p>
        </w:tc>
        <w:tc>
          <w:tcPr>
            <w:tcW w:w="4747" w:type="dxa"/>
          </w:tcPr>
          <w:p>
            <w:pPr>
              <w:pStyle w:val="TableParagraph"/>
              <w:spacing w:before="32"/>
              <w:ind w:left="94"/>
              <w:rPr>
                <w:b/>
                <w:sz w:val="14"/>
              </w:rPr>
            </w:pPr>
            <w:r>
              <w:rPr>
                <w:b/>
                <w:sz w:val="14"/>
              </w:rPr>
              <w:t>Parliamentary Service Commission (PSC)</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32"/>
              <w:ind w:right="165"/>
              <w:jc w:val="right"/>
              <w:rPr>
                <w:b/>
                <w:sz w:val="14"/>
              </w:rPr>
            </w:pPr>
            <w:r>
              <w:rPr>
                <w:b/>
                <w:w w:val="99"/>
                <w:sz w:val="14"/>
              </w:rPr>
              <w:t>-</w:t>
            </w:r>
          </w:p>
        </w:tc>
        <w:tc>
          <w:tcPr>
            <w:tcW w:w="915" w:type="dxa"/>
          </w:tcPr>
          <w:p>
            <w:pPr>
              <w:pStyle w:val="TableParagraph"/>
              <w:spacing w:before="32"/>
              <w:ind w:right="195"/>
              <w:jc w:val="right"/>
              <w:rPr>
                <w:b/>
                <w:sz w:val="14"/>
              </w:rPr>
            </w:pPr>
            <w:r>
              <w:rPr>
                <w:b/>
                <w:sz w:val="14"/>
              </w:rPr>
              <w:t>200</w:t>
            </w:r>
          </w:p>
        </w:tc>
        <w:tc>
          <w:tcPr>
            <w:tcW w:w="861" w:type="dxa"/>
          </w:tcPr>
          <w:p>
            <w:pPr>
              <w:pStyle w:val="TableParagraph"/>
              <w:spacing w:before="32"/>
              <w:ind w:right="180"/>
              <w:jc w:val="right"/>
              <w:rPr>
                <w:b/>
                <w:sz w:val="14"/>
              </w:rPr>
            </w:pPr>
            <w:r>
              <w:rPr>
                <w:b/>
                <w:w w:val="99"/>
                <w:sz w:val="14"/>
              </w:rPr>
              <w:t>-</w:t>
            </w:r>
          </w:p>
        </w:tc>
        <w:tc>
          <w:tcPr>
            <w:tcW w:w="925" w:type="dxa"/>
          </w:tcPr>
          <w:p>
            <w:pPr>
              <w:pStyle w:val="TableParagraph"/>
              <w:spacing w:before="32"/>
              <w:ind w:left="429"/>
              <w:rPr>
                <w:b/>
                <w:sz w:val="14"/>
              </w:rPr>
            </w:pPr>
            <w:r>
              <w:rPr>
                <w:b/>
                <w:sz w:val="14"/>
              </w:rPr>
              <w:t>220</w:t>
            </w:r>
          </w:p>
        </w:tc>
        <w:tc>
          <w:tcPr>
            <w:tcW w:w="792" w:type="dxa"/>
          </w:tcPr>
          <w:p>
            <w:pPr>
              <w:pStyle w:val="TableParagraph"/>
              <w:spacing w:before="32"/>
              <w:ind w:right="133"/>
              <w:jc w:val="right"/>
              <w:rPr>
                <w:b/>
                <w:sz w:val="14"/>
              </w:rPr>
            </w:pPr>
            <w:r>
              <w:rPr>
                <w:b/>
                <w:w w:val="99"/>
                <w:sz w:val="14"/>
              </w:rPr>
              <w:t>-</w:t>
            </w:r>
          </w:p>
        </w:tc>
        <w:tc>
          <w:tcPr>
            <w:tcW w:w="822" w:type="dxa"/>
          </w:tcPr>
          <w:p>
            <w:pPr>
              <w:pStyle w:val="TableParagraph"/>
              <w:spacing w:before="32"/>
              <w:ind w:right="25"/>
              <w:jc w:val="right"/>
              <w:rPr>
                <w:b/>
                <w:sz w:val="14"/>
              </w:rPr>
            </w:pPr>
            <w:r>
              <w:rPr>
                <w:b/>
                <w:sz w:val="14"/>
              </w:rPr>
              <w:t>242</w:t>
            </w:r>
          </w:p>
        </w:tc>
      </w:tr>
      <w:tr>
        <w:trPr>
          <w:trHeight w:val="227"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Feasibility for the Construction of Parliamentary Estate</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84"/>
              <w:jc w:val="right"/>
              <w:rPr>
                <w:sz w:val="14"/>
              </w:rPr>
            </w:pPr>
            <w:r>
              <w:rPr>
                <w:sz w:val="14"/>
              </w:rPr>
              <w:t>200</w:t>
            </w:r>
          </w:p>
        </w:tc>
        <w:tc>
          <w:tcPr>
            <w:tcW w:w="861" w:type="dxa"/>
          </w:tcPr>
          <w:p>
            <w:pPr>
              <w:pStyle w:val="TableParagraph"/>
              <w:rPr>
                <w:rFonts w:ascii="Times New Roman"/>
                <w:sz w:val="14"/>
              </w:rPr>
            </w:pPr>
          </w:p>
        </w:tc>
        <w:tc>
          <w:tcPr>
            <w:tcW w:w="925" w:type="dxa"/>
          </w:tcPr>
          <w:p>
            <w:pPr>
              <w:pStyle w:val="TableParagraph"/>
              <w:spacing w:before="32"/>
              <w:ind w:left="439"/>
              <w:rPr>
                <w:sz w:val="14"/>
              </w:rPr>
            </w:pPr>
            <w:r>
              <w:rPr>
                <w:sz w:val="14"/>
              </w:rPr>
              <w:t>220</w:t>
            </w:r>
          </w:p>
        </w:tc>
        <w:tc>
          <w:tcPr>
            <w:tcW w:w="792" w:type="dxa"/>
          </w:tcPr>
          <w:p>
            <w:pPr>
              <w:pStyle w:val="TableParagraph"/>
              <w:rPr>
                <w:rFonts w:ascii="Times New Roman"/>
                <w:sz w:val="14"/>
              </w:rPr>
            </w:pPr>
          </w:p>
        </w:tc>
        <w:tc>
          <w:tcPr>
            <w:tcW w:w="822" w:type="dxa"/>
          </w:tcPr>
          <w:p>
            <w:pPr>
              <w:pStyle w:val="TableParagraph"/>
              <w:spacing w:before="32"/>
              <w:ind w:right="13"/>
              <w:jc w:val="right"/>
              <w:rPr>
                <w:sz w:val="14"/>
              </w:rPr>
            </w:pPr>
            <w:r>
              <w:rPr>
                <w:sz w:val="14"/>
              </w:rPr>
              <w:t>242</w:t>
            </w:r>
          </w:p>
        </w:tc>
      </w:tr>
      <w:tr>
        <w:trPr>
          <w:trHeight w:val="228" w:hRule="atLeast"/>
        </w:trPr>
        <w:tc>
          <w:tcPr>
            <w:tcW w:w="470" w:type="dxa"/>
          </w:tcPr>
          <w:p>
            <w:pPr>
              <w:pStyle w:val="TableParagraph"/>
              <w:spacing w:before="29"/>
              <w:ind w:left="123"/>
              <w:rPr>
                <w:sz w:val="14"/>
              </w:rPr>
            </w:pPr>
            <w:r>
              <w:rPr>
                <w:sz w:val="14"/>
              </w:rPr>
              <w:t>206</w:t>
            </w:r>
          </w:p>
        </w:tc>
        <w:tc>
          <w:tcPr>
            <w:tcW w:w="4747" w:type="dxa"/>
          </w:tcPr>
          <w:p>
            <w:pPr>
              <w:pStyle w:val="TableParagraph"/>
              <w:spacing w:before="29"/>
              <w:ind w:left="94"/>
              <w:rPr>
                <w:b/>
                <w:sz w:val="14"/>
              </w:rPr>
            </w:pPr>
            <w:r>
              <w:rPr>
                <w:b/>
                <w:sz w:val="14"/>
              </w:rPr>
              <w:t>Sierra Leone Police (SLP)</w:t>
            </w:r>
          </w:p>
        </w:tc>
        <w:tc>
          <w:tcPr>
            <w:tcW w:w="872" w:type="dxa"/>
          </w:tcPr>
          <w:p>
            <w:pPr>
              <w:pStyle w:val="TableParagraph"/>
              <w:rPr>
                <w:rFonts w:ascii="Times New Roman"/>
                <w:sz w:val="14"/>
              </w:rPr>
            </w:pPr>
          </w:p>
        </w:tc>
        <w:tc>
          <w:tcPr>
            <w:tcW w:w="1075" w:type="dxa"/>
          </w:tcPr>
          <w:p>
            <w:pPr>
              <w:pStyle w:val="TableParagraph"/>
              <w:rPr>
                <w:rFonts w:ascii="Times New Roman"/>
                <w:sz w:val="14"/>
              </w:rPr>
            </w:pPr>
          </w:p>
        </w:tc>
        <w:tc>
          <w:tcPr>
            <w:tcW w:w="1117" w:type="dxa"/>
          </w:tcPr>
          <w:p>
            <w:pPr>
              <w:pStyle w:val="TableParagraph"/>
              <w:rPr>
                <w:rFonts w:ascii="Times New Roman"/>
                <w:sz w:val="14"/>
              </w:rPr>
            </w:pPr>
          </w:p>
        </w:tc>
        <w:tc>
          <w:tcPr>
            <w:tcW w:w="1284" w:type="dxa"/>
          </w:tcPr>
          <w:p>
            <w:pPr>
              <w:pStyle w:val="TableParagraph"/>
              <w:rPr>
                <w:rFonts w:ascii="Times New Roman"/>
                <w:sz w:val="14"/>
              </w:rPr>
            </w:pPr>
          </w:p>
        </w:tc>
        <w:tc>
          <w:tcPr>
            <w:tcW w:w="919" w:type="dxa"/>
          </w:tcPr>
          <w:p>
            <w:pPr>
              <w:pStyle w:val="TableParagraph"/>
              <w:spacing w:before="29"/>
              <w:ind w:right="165"/>
              <w:jc w:val="right"/>
              <w:rPr>
                <w:b/>
                <w:sz w:val="14"/>
              </w:rPr>
            </w:pPr>
            <w:r>
              <w:rPr>
                <w:b/>
                <w:w w:val="99"/>
                <w:sz w:val="14"/>
              </w:rPr>
              <w:t>-</w:t>
            </w:r>
          </w:p>
        </w:tc>
        <w:tc>
          <w:tcPr>
            <w:tcW w:w="915" w:type="dxa"/>
          </w:tcPr>
          <w:p>
            <w:pPr>
              <w:pStyle w:val="TableParagraph"/>
              <w:spacing w:before="29"/>
              <w:ind w:right="208"/>
              <w:jc w:val="right"/>
              <w:rPr>
                <w:b/>
                <w:sz w:val="14"/>
              </w:rPr>
            </w:pPr>
            <w:r>
              <w:rPr>
                <w:b/>
                <w:sz w:val="14"/>
              </w:rPr>
              <w:t>7,000</w:t>
            </w:r>
          </w:p>
        </w:tc>
        <w:tc>
          <w:tcPr>
            <w:tcW w:w="861" w:type="dxa"/>
          </w:tcPr>
          <w:p>
            <w:pPr>
              <w:pStyle w:val="TableParagraph"/>
              <w:spacing w:before="29"/>
              <w:ind w:right="180"/>
              <w:jc w:val="right"/>
              <w:rPr>
                <w:b/>
                <w:sz w:val="14"/>
              </w:rPr>
            </w:pPr>
            <w:r>
              <w:rPr>
                <w:b/>
                <w:w w:val="99"/>
                <w:sz w:val="14"/>
              </w:rPr>
              <w:t>-</w:t>
            </w:r>
          </w:p>
        </w:tc>
        <w:tc>
          <w:tcPr>
            <w:tcW w:w="925" w:type="dxa"/>
          </w:tcPr>
          <w:p>
            <w:pPr>
              <w:pStyle w:val="TableParagraph"/>
              <w:spacing w:before="29"/>
              <w:ind w:left="273"/>
              <w:rPr>
                <w:b/>
                <w:sz w:val="14"/>
              </w:rPr>
            </w:pPr>
            <w:r>
              <w:rPr>
                <w:b/>
                <w:sz w:val="14"/>
              </w:rPr>
              <w:t>7,700</w:t>
            </w:r>
          </w:p>
        </w:tc>
        <w:tc>
          <w:tcPr>
            <w:tcW w:w="792" w:type="dxa"/>
          </w:tcPr>
          <w:p>
            <w:pPr>
              <w:pStyle w:val="TableParagraph"/>
              <w:spacing w:before="29"/>
              <w:ind w:right="133"/>
              <w:jc w:val="right"/>
              <w:rPr>
                <w:b/>
                <w:sz w:val="14"/>
              </w:rPr>
            </w:pPr>
            <w:r>
              <w:rPr>
                <w:b/>
                <w:w w:val="99"/>
                <w:sz w:val="14"/>
              </w:rPr>
              <w:t>-</w:t>
            </w:r>
          </w:p>
        </w:tc>
        <w:tc>
          <w:tcPr>
            <w:tcW w:w="822" w:type="dxa"/>
          </w:tcPr>
          <w:p>
            <w:pPr>
              <w:pStyle w:val="TableParagraph"/>
              <w:spacing w:before="29"/>
              <w:ind w:right="37"/>
              <w:jc w:val="right"/>
              <w:rPr>
                <w:b/>
                <w:sz w:val="14"/>
              </w:rPr>
            </w:pPr>
            <w:r>
              <w:rPr>
                <w:b/>
                <w:sz w:val="14"/>
              </w:rPr>
              <w:t>8,470</w:t>
            </w:r>
          </w:p>
        </w:tc>
      </w:tr>
      <w:tr>
        <w:trPr>
          <w:trHeight w:val="230"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Rehabilitation of Police Stations and Facilities</w:t>
            </w:r>
          </w:p>
        </w:tc>
        <w:tc>
          <w:tcPr>
            <w:tcW w:w="872" w:type="dxa"/>
          </w:tcPr>
          <w:p>
            <w:pPr>
              <w:pStyle w:val="TableParagraph"/>
              <w:spacing w:before="32"/>
              <w:ind w:left="219"/>
              <w:rPr>
                <w:sz w:val="14"/>
              </w:rPr>
            </w:pPr>
            <w:r>
              <w:rPr>
                <w:sz w:val="14"/>
              </w:rPr>
              <w:t>Ongoing</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92"/>
              <w:jc w:val="right"/>
              <w:rPr>
                <w:sz w:val="14"/>
              </w:rPr>
            </w:pPr>
            <w:r>
              <w:rPr>
                <w:sz w:val="14"/>
              </w:rPr>
              <w:t>2,000</w:t>
            </w:r>
          </w:p>
        </w:tc>
        <w:tc>
          <w:tcPr>
            <w:tcW w:w="861" w:type="dxa"/>
          </w:tcPr>
          <w:p>
            <w:pPr>
              <w:pStyle w:val="TableParagraph"/>
              <w:rPr>
                <w:rFonts w:ascii="Times New Roman"/>
                <w:sz w:val="14"/>
              </w:rPr>
            </w:pPr>
          </w:p>
        </w:tc>
        <w:tc>
          <w:tcPr>
            <w:tcW w:w="925" w:type="dxa"/>
          </w:tcPr>
          <w:p>
            <w:pPr>
              <w:pStyle w:val="TableParagraph"/>
              <w:spacing w:before="32"/>
              <w:ind w:left="308"/>
              <w:rPr>
                <w:sz w:val="14"/>
              </w:rPr>
            </w:pPr>
            <w:r>
              <w:rPr>
                <w:sz w:val="14"/>
              </w:rPr>
              <w:t>2,200</w:t>
            </w:r>
          </w:p>
        </w:tc>
        <w:tc>
          <w:tcPr>
            <w:tcW w:w="792" w:type="dxa"/>
          </w:tcPr>
          <w:p>
            <w:pPr>
              <w:pStyle w:val="TableParagraph"/>
              <w:rPr>
                <w:rFonts w:ascii="Times New Roman"/>
                <w:sz w:val="14"/>
              </w:rPr>
            </w:pPr>
          </w:p>
        </w:tc>
        <w:tc>
          <w:tcPr>
            <w:tcW w:w="822" w:type="dxa"/>
          </w:tcPr>
          <w:p>
            <w:pPr>
              <w:pStyle w:val="TableParagraph"/>
              <w:spacing w:before="32"/>
              <w:ind w:right="21"/>
              <w:jc w:val="right"/>
              <w:rPr>
                <w:sz w:val="14"/>
              </w:rPr>
            </w:pPr>
            <w:r>
              <w:rPr>
                <w:sz w:val="14"/>
              </w:rPr>
              <w:t>2,420</w:t>
            </w:r>
          </w:p>
        </w:tc>
      </w:tr>
      <w:tr>
        <w:trPr>
          <w:trHeight w:val="227" w:hRule="atLeast"/>
        </w:trPr>
        <w:tc>
          <w:tcPr>
            <w:tcW w:w="470" w:type="dxa"/>
          </w:tcPr>
          <w:p>
            <w:pPr>
              <w:pStyle w:val="TableParagraph"/>
              <w:rPr>
                <w:rFonts w:ascii="Times New Roman"/>
                <w:sz w:val="14"/>
              </w:rPr>
            </w:pPr>
          </w:p>
        </w:tc>
        <w:tc>
          <w:tcPr>
            <w:tcW w:w="4747" w:type="dxa"/>
          </w:tcPr>
          <w:p>
            <w:pPr>
              <w:pStyle w:val="TableParagraph"/>
              <w:spacing w:before="32"/>
              <w:ind w:left="262"/>
              <w:rPr>
                <w:sz w:val="14"/>
              </w:rPr>
            </w:pPr>
            <w:r>
              <w:rPr>
                <w:sz w:val="14"/>
              </w:rPr>
              <w:t>Construction of New Police Stations</w:t>
            </w:r>
          </w:p>
        </w:tc>
        <w:tc>
          <w:tcPr>
            <w:tcW w:w="872" w:type="dxa"/>
          </w:tcPr>
          <w:p>
            <w:pPr>
              <w:pStyle w:val="TableParagraph"/>
              <w:spacing w:before="32"/>
              <w:ind w:left="219"/>
              <w:rPr>
                <w:sz w:val="14"/>
              </w:rPr>
            </w:pPr>
            <w:r>
              <w:rPr>
                <w:sz w:val="14"/>
              </w:rPr>
              <w:t>New</w:t>
            </w:r>
          </w:p>
        </w:tc>
        <w:tc>
          <w:tcPr>
            <w:tcW w:w="1075" w:type="dxa"/>
          </w:tcPr>
          <w:p>
            <w:pPr>
              <w:pStyle w:val="TableParagraph"/>
              <w:spacing w:before="32"/>
              <w:ind w:left="86"/>
              <w:rPr>
                <w:sz w:val="14"/>
              </w:rPr>
            </w:pPr>
            <w:r>
              <w:rPr>
                <w:sz w:val="14"/>
              </w:rPr>
              <w:t>Nationwide</w:t>
            </w:r>
          </w:p>
        </w:tc>
        <w:tc>
          <w:tcPr>
            <w:tcW w:w="1117" w:type="dxa"/>
          </w:tcPr>
          <w:p>
            <w:pPr>
              <w:pStyle w:val="TableParagraph"/>
              <w:spacing w:before="32"/>
              <w:ind w:left="144"/>
              <w:rPr>
                <w:sz w:val="14"/>
              </w:rPr>
            </w:pPr>
            <w:r>
              <w:rPr>
                <w:sz w:val="14"/>
              </w:rPr>
              <w:t>GoSL</w:t>
            </w:r>
          </w:p>
        </w:tc>
        <w:tc>
          <w:tcPr>
            <w:tcW w:w="1284" w:type="dxa"/>
          </w:tcPr>
          <w:p>
            <w:pPr>
              <w:pStyle w:val="TableParagraph"/>
              <w:spacing w:before="32"/>
              <w:ind w:left="276"/>
              <w:rPr>
                <w:sz w:val="14"/>
              </w:rPr>
            </w:pPr>
            <w:r>
              <w:rPr>
                <w:sz w:val="14"/>
              </w:rPr>
              <w:t>Budget</w:t>
            </w:r>
          </w:p>
        </w:tc>
        <w:tc>
          <w:tcPr>
            <w:tcW w:w="919" w:type="dxa"/>
          </w:tcPr>
          <w:p>
            <w:pPr>
              <w:pStyle w:val="TableParagraph"/>
              <w:rPr>
                <w:rFonts w:ascii="Times New Roman"/>
                <w:sz w:val="14"/>
              </w:rPr>
            </w:pPr>
          </w:p>
        </w:tc>
        <w:tc>
          <w:tcPr>
            <w:tcW w:w="915" w:type="dxa"/>
          </w:tcPr>
          <w:p>
            <w:pPr>
              <w:pStyle w:val="TableParagraph"/>
              <w:spacing w:before="32"/>
              <w:ind w:right="192"/>
              <w:jc w:val="right"/>
              <w:rPr>
                <w:sz w:val="14"/>
              </w:rPr>
            </w:pPr>
            <w:r>
              <w:rPr>
                <w:sz w:val="14"/>
              </w:rPr>
              <w:t>5,000</w:t>
            </w:r>
          </w:p>
        </w:tc>
        <w:tc>
          <w:tcPr>
            <w:tcW w:w="861" w:type="dxa"/>
          </w:tcPr>
          <w:p>
            <w:pPr>
              <w:pStyle w:val="TableParagraph"/>
              <w:rPr>
                <w:rFonts w:ascii="Times New Roman"/>
                <w:sz w:val="14"/>
              </w:rPr>
            </w:pPr>
          </w:p>
        </w:tc>
        <w:tc>
          <w:tcPr>
            <w:tcW w:w="925" w:type="dxa"/>
          </w:tcPr>
          <w:p>
            <w:pPr>
              <w:pStyle w:val="TableParagraph"/>
              <w:spacing w:before="32"/>
              <w:ind w:left="308"/>
              <w:rPr>
                <w:sz w:val="14"/>
              </w:rPr>
            </w:pPr>
            <w:r>
              <w:rPr>
                <w:sz w:val="14"/>
              </w:rPr>
              <w:t>5,500</w:t>
            </w:r>
          </w:p>
        </w:tc>
        <w:tc>
          <w:tcPr>
            <w:tcW w:w="792" w:type="dxa"/>
          </w:tcPr>
          <w:p>
            <w:pPr>
              <w:pStyle w:val="TableParagraph"/>
              <w:rPr>
                <w:rFonts w:ascii="Times New Roman"/>
                <w:sz w:val="14"/>
              </w:rPr>
            </w:pPr>
          </w:p>
        </w:tc>
        <w:tc>
          <w:tcPr>
            <w:tcW w:w="822" w:type="dxa"/>
          </w:tcPr>
          <w:p>
            <w:pPr>
              <w:pStyle w:val="TableParagraph"/>
              <w:spacing w:before="32"/>
              <w:ind w:right="21"/>
              <w:jc w:val="right"/>
              <w:rPr>
                <w:sz w:val="14"/>
              </w:rPr>
            </w:pPr>
            <w:r>
              <w:rPr>
                <w:sz w:val="14"/>
              </w:rPr>
              <w:t>6,050</w:t>
            </w:r>
          </w:p>
        </w:tc>
      </w:tr>
    </w:tbl>
    <w:p>
      <w:pPr>
        <w:spacing w:after="0"/>
        <w:jc w:val="right"/>
        <w:rPr>
          <w:sz w:val="14"/>
        </w:rPr>
        <w:sectPr>
          <w:pgSz w:w="16840" w:h="11900" w:orient="landscape"/>
          <w:pgMar w:header="1107" w:footer="0" w:top="2040" w:bottom="280" w:left="880" w:right="920"/>
        </w:sectPr>
      </w:pPr>
    </w:p>
    <w:p>
      <w:pPr>
        <w:pStyle w:val="BodyText"/>
        <w:spacing w:before="9"/>
        <w:rPr>
          <w:rFonts w:ascii="Arial"/>
          <w:b/>
          <w:sz w:val="12"/>
        </w:rPr>
      </w:pPr>
      <w:r>
        <w:rPr/>
        <w:pict>
          <v:shape style="position:absolute;margin-left:27.140491pt;margin-top:281.790009pt;width:14.35pt;height:27.85pt;mso-position-horizontal-relative:page;mso-position-vertical-relative:page;z-index:1984" type="#_x0000_t202" filled="false" stroked="false">
            <v:textbox inset="0,0,0,0" style="layout-flow:vertical">
              <w:txbxContent>
                <w:p>
                  <w:pPr>
                    <w:spacing w:before="13"/>
                    <w:ind w:left="20" w:right="0" w:firstLine="0"/>
                    <w:jc w:val="left"/>
                    <w:rPr>
                      <w:rFonts w:ascii="Arial"/>
                      <w:sz w:val="22"/>
                    </w:rPr>
                  </w:pPr>
                  <w:r>
                    <w:rPr>
                      <w:rFonts w:ascii="Arial"/>
                      <w:sz w:val="22"/>
                    </w:rPr>
                    <w:t>xxxvi</w:t>
                  </w:r>
                </w:p>
              </w:txbxContent>
            </v:textbox>
            <w10:wrap type="none"/>
          </v:shape>
        </w:pict>
      </w:r>
      <w:r>
        <w:rPr/>
        <w:pict>
          <v:shape style="position:absolute;margin-left:50.939999pt;margin-top:119.080002pt;width:739.9pt;height:415.55pt;mso-position-horizontal-relative:page;mso-position-vertical-relative:page;z-index:200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
                    <w:gridCol w:w="4927"/>
                    <w:gridCol w:w="685"/>
                    <w:gridCol w:w="1074"/>
                    <w:gridCol w:w="1113"/>
                    <w:gridCol w:w="1287"/>
                    <w:gridCol w:w="708"/>
                    <w:gridCol w:w="1125"/>
                    <w:gridCol w:w="861"/>
                    <w:gridCol w:w="925"/>
                    <w:gridCol w:w="613"/>
                    <w:gridCol w:w="1002"/>
                  </w:tblGrid>
                  <w:tr>
                    <w:trPr>
                      <w:trHeight w:val="445" w:hRule="atLeast"/>
                    </w:trPr>
                    <w:tc>
                      <w:tcPr>
                        <w:tcW w:w="475"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before="60"/>
                          <w:ind w:left="18"/>
                          <w:rPr>
                            <w:sz w:val="14"/>
                          </w:rPr>
                        </w:pPr>
                        <w:r>
                          <w:rPr>
                            <w:spacing w:val="2"/>
                            <w:sz w:val="14"/>
                          </w:rPr>
                          <w:t>Code</w:t>
                        </w:r>
                      </w:p>
                    </w:tc>
                    <w:tc>
                      <w:tcPr>
                        <w:tcW w:w="4927" w:type="dxa"/>
                        <w:tcBorders>
                          <w:top w:val="single" w:sz="4" w:space="0" w:color="000000"/>
                          <w:bottom w:val="single" w:sz="18" w:space="0" w:color="000000"/>
                        </w:tcBorders>
                      </w:tcPr>
                      <w:p>
                        <w:pPr>
                          <w:pStyle w:val="TableParagraph"/>
                          <w:spacing w:before="22"/>
                          <w:ind w:left="109"/>
                          <w:rPr>
                            <w:sz w:val="14"/>
                          </w:rPr>
                        </w:pPr>
                        <w:r>
                          <w:rPr>
                            <w:sz w:val="14"/>
                          </w:rPr>
                          <w:t>National Development Plan Cluster/ Ministry, Department</w:t>
                        </w:r>
                      </w:p>
                      <w:p>
                        <w:pPr>
                          <w:pStyle w:val="TableParagraph"/>
                          <w:spacing w:before="60"/>
                          <w:ind w:left="109"/>
                          <w:rPr>
                            <w:sz w:val="14"/>
                          </w:rPr>
                        </w:pPr>
                        <w:r>
                          <w:rPr>
                            <w:sz w:val="14"/>
                          </w:rPr>
                          <w:t>and Agency (MDAs)</w:t>
                        </w:r>
                      </w:p>
                    </w:tc>
                    <w:tc>
                      <w:tcPr>
                        <w:tcW w:w="685" w:type="dxa"/>
                        <w:tcBorders>
                          <w:top w:val="single" w:sz="4" w:space="0" w:color="000000"/>
                          <w:bottom w:val="single" w:sz="18" w:space="0" w:color="000000"/>
                        </w:tcBorders>
                      </w:tcPr>
                      <w:p>
                        <w:pPr>
                          <w:pStyle w:val="TableParagraph"/>
                          <w:spacing w:before="22"/>
                          <w:ind w:left="68"/>
                          <w:rPr>
                            <w:sz w:val="14"/>
                          </w:rPr>
                        </w:pPr>
                        <w:r>
                          <w:rPr>
                            <w:sz w:val="14"/>
                          </w:rPr>
                          <w:t>Status</w:t>
                        </w:r>
                      </w:p>
                    </w:tc>
                    <w:tc>
                      <w:tcPr>
                        <w:tcW w:w="1074" w:type="dxa"/>
                        <w:tcBorders>
                          <w:top w:val="single" w:sz="4" w:space="0" w:color="000000"/>
                          <w:bottom w:val="single" w:sz="18" w:space="0" w:color="000000"/>
                        </w:tcBorders>
                      </w:tcPr>
                      <w:p>
                        <w:pPr>
                          <w:pStyle w:val="TableParagraph"/>
                          <w:spacing w:before="22"/>
                          <w:ind w:left="109"/>
                          <w:rPr>
                            <w:sz w:val="14"/>
                          </w:rPr>
                        </w:pPr>
                        <w:r>
                          <w:rPr>
                            <w:sz w:val="14"/>
                          </w:rPr>
                          <w:t>Location</w:t>
                        </w:r>
                      </w:p>
                    </w:tc>
                    <w:tc>
                      <w:tcPr>
                        <w:tcW w:w="1113" w:type="dxa"/>
                        <w:tcBorders>
                          <w:top w:val="single" w:sz="4" w:space="0" w:color="000000"/>
                          <w:bottom w:val="single" w:sz="18" w:space="0" w:color="000000"/>
                        </w:tcBorders>
                      </w:tcPr>
                      <w:p>
                        <w:pPr>
                          <w:pStyle w:val="TableParagraph"/>
                          <w:spacing w:before="22"/>
                          <w:ind w:left="105"/>
                          <w:rPr>
                            <w:sz w:val="14"/>
                          </w:rPr>
                        </w:pPr>
                        <w:r>
                          <w:rPr>
                            <w:spacing w:val="6"/>
                            <w:sz w:val="14"/>
                          </w:rPr>
                          <w:t>Funding</w:t>
                        </w:r>
                      </w:p>
                      <w:p>
                        <w:pPr>
                          <w:pStyle w:val="TableParagraph"/>
                          <w:spacing w:before="60"/>
                          <w:ind w:left="157"/>
                          <w:rPr>
                            <w:sz w:val="14"/>
                          </w:rPr>
                        </w:pPr>
                        <w:r>
                          <w:rPr>
                            <w:spacing w:val="4"/>
                            <w:sz w:val="14"/>
                          </w:rPr>
                          <w:t>Source</w:t>
                        </w:r>
                      </w:p>
                    </w:tc>
                    <w:tc>
                      <w:tcPr>
                        <w:tcW w:w="1287" w:type="dxa"/>
                        <w:tcBorders>
                          <w:top w:val="single" w:sz="4" w:space="0" w:color="000000"/>
                          <w:bottom w:val="single" w:sz="18" w:space="0" w:color="000000"/>
                        </w:tcBorders>
                      </w:tcPr>
                      <w:p>
                        <w:pPr>
                          <w:pStyle w:val="TableParagraph"/>
                          <w:spacing w:before="22"/>
                          <w:ind w:left="242" w:right="498"/>
                          <w:jc w:val="center"/>
                          <w:rPr>
                            <w:sz w:val="14"/>
                          </w:rPr>
                        </w:pPr>
                        <w:r>
                          <w:rPr>
                            <w:sz w:val="14"/>
                          </w:rPr>
                          <w:t>Funding</w:t>
                        </w:r>
                      </w:p>
                      <w:p>
                        <w:pPr>
                          <w:pStyle w:val="TableParagraph"/>
                          <w:spacing w:before="60"/>
                          <w:ind w:left="242" w:right="438"/>
                          <w:jc w:val="center"/>
                          <w:rPr>
                            <w:sz w:val="14"/>
                          </w:rPr>
                        </w:pPr>
                        <w:r>
                          <w:rPr>
                            <w:sz w:val="14"/>
                          </w:rPr>
                          <w:t>Type</w:t>
                        </w:r>
                      </w:p>
                    </w:tc>
                    <w:tc>
                      <w:tcPr>
                        <w:tcW w:w="708" w:type="dxa"/>
                        <w:tcBorders>
                          <w:top w:val="single" w:sz="4" w:space="0" w:color="000000"/>
                          <w:bottom w:val="single" w:sz="18" w:space="0" w:color="000000"/>
                        </w:tcBorders>
                      </w:tcPr>
                      <w:p>
                        <w:pPr>
                          <w:pStyle w:val="TableParagraph"/>
                          <w:spacing w:before="22"/>
                          <w:ind w:left="139"/>
                          <w:rPr>
                            <w:sz w:val="14"/>
                          </w:rPr>
                        </w:pPr>
                        <w:r>
                          <w:rPr>
                            <w:sz w:val="14"/>
                          </w:rPr>
                          <w:t>Foreign</w:t>
                        </w:r>
                      </w:p>
                    </w:tc>
                    <w:tc>
                      <w:tcPr>
                        <w:tcW w:w="1125" w:type="dxa"/>
                        <w:tcBorders>
                          <w:top w:val="single" w:sz="4" w:space="0" w:color="000000"/>
                          <w:bottom w:val="single" w:sz="18" w:space="0" w:color="000000"/>
                        </w:tcBorders>
                      </w:tcPr>
                      <w:p>
                        <w:pPr>
                          <w:pStyle w:val="TableParagraph"/>
                          <w:spacing w:before="22"/>
                          <w:ind w:right="146"/>
                          <w:jc w:val="right"/>
                          <w:rPr>
                            <w:sz w:val="14"/>
                          </w:rPr>
                        </w:pPr>
                        <w:r>
                          <w:rPr>
                            <w:w w:val="95"/>
                            <w:sz w:val="14"/>
                          </w:rPr>
                          <w:t>Domestic</w:t>
                        </w:r>
                      </w:p>
                    </w:tc>
                    <w:tc>
                      <w:tcPr>
                        <w:tcW w:w="861" w:type="dxa"/>
                        <w:tcBorders>
                          <w:top w:val="single" w:sz="4" w:space="0" w:color="000000"/>
                          <w:bottom w:val="single" w:sz="18" w:space="0" w:color="000000"/>
                        </w:tcBorders>
                      </w:tcPr>
                      <w:p>
                        <w:pPr>
                          <w:pStyle w:val="TableParagraph"/>
                          <w:spacing w:before="22"/>
                          <w:ind w:right="210"/>
                          <w:jc w:val="right"/>
                          <w:rPr>
                            <w:sz w:val="14"/>
                          </w:rPr>
                        </w:pPr>
                        <w:r>
                          <w:rPr>
                            <w:w w:val="95"/>
                            <w:sz w:val="14"/>
                          </w:rPr>
                          <w:t>Foreign</w:t>
                        </w:r>
                      </w:p>
                    </w:tc>
                    <w:tc>
                      <w:tcPr>
                        <w:tcW w:w="925" w:type="dxa"/>
                        <w:tcBorders>
                          <w:top w:val="single" w:sz="4" w:space="0" w:color="000000"/>
                          <w:bottom w:val="single" w:sz="18" w:space="0" w:color="000000"/>
                        </w:tcBorders>
                      </w:tcPr>
                      <w:p>
                        <w:pPr>
                          <w:pStyle w:val="TableParagraph"/>
                          <w:spacing w:before="22"/>
                          <w:ind w:left="205"/>
                          <w:rPr>
                            <w:sz w:val="14"/>
                          </w:rPr>
                        </w:pPr>
                        <w:r>
                          <w:rPr>
                            <w:sz w:val="14"/>
                          </w:rPr>
                          <w:t>Domestic</w:t>
                        </w:r>
                      </w:p>
                    </w:tc>
                    <w:tc>
                      <w:tcPr>
                        <w:tcW w:w="613" w:type="dxa"/>
                        <w:tcBorders>
                          <w:top w:val="single" w:sz="4" w:space="0" w:color="000000"/>
                          <w:bottom w:val="single" w:sz="18" w:space="0" w:color="000000"/>
                        </w:tcBorders>
                      </w:tcPr>
                      <w:p>
                        <w:pPr>
                          <w:pStyle w:val="TableParagraph"/>
                          <w:spacing w:before="22"/>
                          <w:ind w:right="-15"/>
                          <w:jc w:val="right"/>
                          <w:rPr>
                            <w:sz w:val="14"/>
                          </w:rPr>
                        </w:pPr>
                        <w:r>
                          <w:rPr>
                            <w:w w:val="95"/>
                            <w:sz w:val="14"/>
                          </w:rPr>
                          <w:t>Foreign</w:t>
                        </w:r>
                      </w:p>
                    </w:tc>
                    <w:tc>
                      <w:tcPr>
                        <w:tcW w:w="1002" w:type="dxa"/>
                        <w:tcBorders>
                          <w:top w:val="single" w:sz="4" w:space="0" w:color="000000"/>
                          <w:bottom w:val="single" w:sz="18" w:space="0" w:color="000000"/>
                        </w:tcBorders>
                      </w:tcPr>
                      <w:p>
                        <w:pPr>
                          <w:pStyle w:val="TableParagraph"/>
                          <w:spacing w:before="22"/>
                          <w:ind w:right="86"/>
                          <w:jc w:val="right"/>
                          <w:rPr>
                            <w:sz w:val="14"/>
                          </w:rPr>
                        </w:pPr>
                        <w:r>
                          <w:rPr>
                            <w:w w:val="95"/>
                            <w:sz w:val="14"/>
                          </w:rPr>
                          <w:t>Domestic</w:t>
                        </w:r>
                      </w:p>
                    </w:tc>
                  </w:tr>
                  <w:tr>
                    <w:trPr>
                      <w:trHeight w:val="229" w:hRule="atLeast"/>
                    </w:trPr>
                    <w:tc>
                      <w:tcPr>
                        <w:tcW w:w="475" w:type="dxa"/>
                        <w:tcBorders>
                          <w:top w:val="single" w:sz="18" w:space="0" w:color="000000"/>
                        </w:tcBorders>
                      </w:tcPr>
                      <w:p>
                        <w:pPr>
                          <w:pStyle w:val="TableParagraph"/>
                          <w:spacing w:before="31"/>
                          <w:ind w:left="124"/>
                          <w:rPr>
                            <w:sz w:val="14"/>
                          </w:rPr>
                        </w:pPr>
                        <w:r>
                          <w:rPr>
                            <w:sz w:val="14"/>
                          </w:rPr>
                          <w:t>201</w:t>
                        </w:r>
                      </w:p>
                    </w:tc>
                    <w:tc>
                      <w:tcPr>
                        <w:tcW w:w="4927" w:type="dxa"/>
                        <w:tcBorders>
                          <w:top w:val="single" w:sz="18" w:space="0" w:color="000000"/>
                        </w:tcBorders>
                      </w:tcPr>
                      <w:p>
                        <w:pPr>
                          <w:pStyle w:val="TableParagraph"/>
                          <w:spacing w:before="31"/>
                          <w:ind w:left="91"/>
                          <w:rPr>
                            <w:b/>
                            <w:sz w:val="14"/>
                          </w:rPr>
                        </w:pPr>
                        <w:r>
                          <w:rPr>
                            <w:b/>
                            <w:sz w:val="14"/>
                          </w:rPr>
                          <w:t>Ministry of Defence (MoD)</w:t>
                        </w:r>
                      </w:p>
                    </w:tc>
                    <w:tc>
                      <w:tcPr>
                        <w:tcW w:w="685" w:type="dxa"/>
                        <w:tcBorders>
                          <w:top w:val="single" w:sz="18" w:space="0" w:color="000000"/>
                        </w:tcBorders>
                      </w:tcPr>
                      <w:p>
                        <w:pPr>
                          <w:pStyle w:val="TableParagraph"/>
                          <w:rPr>
                            <w:rFonts w:ascii="Times New Roman"/>
                            <w:sz w:val="14"/>
                          </w:rPr>
                        </w:pPr>
                      </w:p>
                    </w:tc>
                    <w:tc>
                      <w:tcPr>
                        <w:tcW w:w="1074" w:type="dxa"/>
                        <w:tcBorders>
                          <w:top w:val="single" w:sz="18" w:space="0" w:color="000000"/>
                        </w:tcBorders>
                      </w:tcPr>
                      <w:p>
                        <w:pPr>
                          <w:pStyle w:val="TableParagraph"/>
                          <w:rPr>
                            <w:rFonts w:ascii="Times New Roman"/>
                            <w:sz w:val="14"/>
                          </w:rPr>
                        </w:pPr>
                      </w:p>
                    </w:tc>
                    <w:tc>
                      <w:tcPr>
                        <w:tcW w:w="1113" w:type="dxa"/>
                        <w:tcBorders>
                          <w:top w:val="single" w:sz="18" w:space="0" w:color="000000"/>
                        </w:tcBorders>
                      </w:tcPr>
                      <w:p>
                        <w:pPr>
                          <w:pStyle w:val="TableParagraph"/>
                          <w:rPr>
                            <w:rFonts w:ascii="Times New Roman"/>
                            <w:sz w:val="14"/>
                          </w:rPr>
                        </w:pPr>
                      </w:p>
                    </w:tc>
                    <w:tc>
                      <w:tcPr>
                        <w:tcW w:w="1287" w:type="dxa"/>
                        <w:tcBorders>
                          <w:top w:val="single" w:sz="18" w:space="0" w:color="000000"/>
                        </w:tcBorders>
                      </w:tcPr>
                      <w:p>
                        <w:pPr>
                          <w:pStyle w:val="TableParagraph"/>
                          <w:rPr>
                            <w:rFonts w:ascii="Times New Roman"/>
                            <w:sz w:val="14"/>
                          </w:rPr>
                        </w:pPr>
                      </w:p>
                    </w:tc>
                    <w:tc>
                      <w:tcPr>
                        <w:tcW w:w="708" w:type="dxa"/>
                        <w:tcBorders>
                          <w:top w:val="single" w:sz="18" w:space="0" w:color="000000"/>
                        </w:tcBorders>
                      </w:tcPr>
                      <w:p>
                        <w:pPr>
                          <w:pStyle w:val="TableParagraph"/>
                          <w:rPr>
                            <w:rFonts w:ascii="Times New Roman"/>
                            <w:sz w:val="14"/>
                          </w:rPr>
                        </w:pPr>
                      </w:p>
                    </w:tc>
                    <w:tc>
                      <w:tcPr>
                        <w:tcW w:w="1125" w:type="dxa"/>
                        <w:tcBorders>
                          <w:top w:val="single" w:sz="18" w:space="0" w:color="000000"/>
                        </w:tcBorders>
                      </w:tcPr>
                      <w:p>
                        <w:pPr>
                          <w:pStyle w:val="TableParagraph"/>
                          <w:tabs>
                            <w:tab w:pos="444" w:val="left" w:leader="none"/>
                          </w:tabs>
                          <w:spacing w:before="31"/>
                          <w:ind w:left="-3"/>
                          <w:rPr>
                            <w:b/>
                            <w:sz w:val="14"/>
                          </w:rPr>
                        </w:pPr>
                        <w:r>
                          <w:rPr>
                            <w:b/>
                            <w:sz w:val="14"/>
                          </w:rPr>
                          <w:t>-</w:t>
                          <w:tab/>
                        </w:r>
                        <w:r>
                          <w:rPr>
                            <w:b/>
                            <w:spacing w:val="6"/>
                            <w:sz w:val="14"/>
                          </w:rPr>
                          <w:t>13,007</w:t>
                        </w:r>
                      </w:p>
                    </w:tc>
                    <w:tc>
                      <w:tcPr>
                        <w:tcW w:w="861" w:type="dxa"/>
                        <w:tcBorders>
                          <w:top w:val="single" w:sz="18" w:space="0" w:color="000000"/>
                        </w:tcBorders>
                      </w:tcPr>
                      <w:p>
                        <w:pPr>
                          <w:pStyle w:val="TableParagraph"/>
                          <w:spacing w:before="31"/>
                          <w:ind w:right="174"/>
                          <w:jc w:val="right"/>
                          <w:rPr>
                            <w:b/>
                            <w:sz w:val="14"/>
                          </w:rPr>
                        </w:pPr>
                        <w:r>
                          <w:rPr>
                            <w:b/>
                            <w:w w:val="99"/>
                            <w:sz w:val="14"/>
                          </w:rPr>
                          <w:t>-</w:t>
                        </w:r>
                      </w:p>
                    </w:tc>
                    <w:tc>
                      <w:tcPr>
                        <w:tcW w:w="925" w:type="dxa"/>
                        <w:tcBorders>
                          <w:top w:val="single" w:sz="18" w:space="0" w:color="000000"/>
                        </w:tcBorders>
                      </w:tcPr>
                      <w:p>
                        <w:pPr>
                          <w:pStyle w:val="TableParagraph"/>
                          <w:spacing w:before="31"/>
                          <w:ind w:left="182"/>
                          <w:rPr>
                            <w:b/>
                            <w:sz w:val="14"/>
                          </w:rPr>
                        </w:pPr>
                        <w:r>
                          <w:rPr>
                            <w:b/>
                            <w:sz w:val="14"/>
                          </w:rPr>
                          <w:t>19,713</w:t>
                        </w:r>
                      </w:p>
                    </w:tc>
                    <w:tc>
                      <w:tcPr>
                        <w:tcW w:w="613" w:type="dxa"/>
                        <w:tcBorders>
                          <w:top w:val="single" w:sz="18" w:space="0" w:color="000000"/>
                        </w:tcBorders>
                      </w:tcPr>
                      <w:p>
                        <w:pPr>
                          <w:pStyle w:val="TableParagraph"/>
                          <w:rPr>
                            <w:rFonts w:ascii="Times New Roman"/>
                            <w:sz w:val="14"/>
                          </w:rPr>
                        </w:pPr>
                      </w:p>
                    </w:tc>
                    <w:tc>
                      <w:tcPr>
                        <w:tcW w:w="1002" w:type="dxa"/>
                        <w:tcBorders>
                          <w:top w:val="single" w:sz="18" w:space="0" w:color="000000"/>
                        </w:tcBorders>
                      </w:tcPr>
                      <w:p>
                        <w:pPr>
                          <w:pStyle w:val="TableParagraph"/>
                          <w:tabs>
                            <w:tab w:pos="489" w:val="left" w:leader="none"/>
                          </w:tabs>
                          <w:spacing w:before="31"/>
                          <w:ind w:right="41"/>
                          <w:jc w:val="right"/>
                          <w:rPr>
                            <w:b/>
                            <w:sz w:val="14"/>
                          </w:rPr>
                        </w:pPr>
                        <w:r>
                          <w:rPr>
                            <w:b/>
                            <w:sz w:val="14"/>
                          </w:rPr>
                          <w:t>-</w:t>
                          <w:tab/>
                        </w:r>
                        <w:r>
                          <w:rPr>
                            <w:b/>
                            <w:spacing w:val="4"/>
                            <w:w w:val="95"/>
                            <w:sz w:val="14"/>
                          </w:rPr>
                          <w:t>21,684</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Rehabilitation of Military Barracks and Facilities</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spacing w:before="32"/>
                          <w:ind w:right="186"/>
                          <w:jc w:val="right"/>
                          <w:rPr>
                            <w:sz w:val="14"/>
                          </w:rPr>
                        </w:pPr>
                        <w:r>
                          <w:rPr>
                            <w:sz w:val="14"/>
                          </w:rPr>
                          <w:t>4,000</w:t>
                        </w:r>
                      </w:p>
                    </w:tc>
                    <w:tc>
                      <w:tcPr>
                        <w:tcW w:w="861" w:type="dxa"/>
                      </w:tcPr>
                      <w:p>
                        <w:pPr>
                          <w:pStyle w:val="TableParagraph"/>
                          <w:rPr>
                            <w:rFonts w:ascii="Times New Roman"/>
                            <w:sz w:val="14"/>
                          </w:rPr>
                        </w:pPr>
                      </w:p>
                    </w:tc>
                    <w:tc>
                      <w:tcPr>
                        <w:tcW w:w="925" w:type="dxa"/>
                      </w:tcPr>
                      <w:p>
                        <w:pPr>
                          <w:pStyle w:val="TableParagraph"/>
                          <w:spacing w:before="32"/>
                          <w:ind w:left="314"/>
                          <w:rPr>
                            <w:sz w:val="14"/>
                          </w:rPr>
                        </w:pPr>
                        <w:r>
                          <w:rPr>
                            <w:sz w:val="14"/>
                          </w:rPr>
                          <w:t>4,400</w:t>
                        </w:r>
                      </w:p>
                    </w:tc>
                    <w:tc>
                      <w:tcPr>
                        <w:tcW w:w="613" w:type="dxa"/>
                      </w:tcPr>
                      <w:p>
                        <w:pPr>
                          <w:pStyle w:val="TableParagraph"/>
                          <w:rPr>
                            <w:rFonts w:ascii="Times New Roman"/>
                            <w:sz w:val="14"/>
                          </w:rPr>
                        </w:pPr>
                      </w:p>
                    </w:tc>
                    <w:tc>
                      <w:tcPr>
                        <w:tcW w:w="1002" w:type="dxa"/>
                      </w:tcPr>
                      <w:p>
                        <w:pPr>
                          <w:pStyle w:val="TableParagraph"/>
                          <w:spacing w:before="32"/>
                          <w:ind w:right="16"/>
                          <w:jc w:val="right"/>
                          <w:rPr>
                            <w:sz w:val="14"/>
                          </w:rPr>
                        </w:pPr>
                        <w:r>
                          <w:rPr>
                            <w:sz w:val="14"/>
                          </w:rPr>
                          <w:t>4,840</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Support to Military for Food Production</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spacing w:before="32"/>
                          <w:ind w:right="186"/>
                          <w:jc w:val="right"/>
                          <w:rPr>
                            <w:sz w:val="14"/>
                          </w:rPr>
                        </w:pPr>
                        <w:r>
                          <w:rPr>
                            <w:sz w:val="14"/>
                          </w:rPr>
                          <w:t>6,007</w:t>
                        </w:r>
                      </w:p>
                    </w:tc>
                    <w:tc>
                      <w:tcPr>
                        <w:tcW w:w="861" w:type="dxa"/>
                      </w:tcPr>
                      <w:p>
                        <w:pPr>
                          <w:pStyle w:val="TableParagraph"/>
                          <w:rPr>
                            <w:rFonts w:ascii="Times New Roman"/>
                            <w:sz w:val="14"/>
                          </w:rPr>
                        </w:pPr>
                      </w:p>
                    </w:tc>
                    <w:tc>
                      <w:tcPr>
                        <w:tcW w:w="925" w:type="dxa"/>
                      </w:tcPr>
                      <w:p>
                        <w:pPr>
                          <w:pStyle w:val="TableParagraph"/>
                          <w:spacing w:before="32"/>
                          <w:ind w:left="222"/>
                          <w:rPr>
                            <w:sz w:val="14"/>
                          </w:rPr>
                        </w:pPr>
                        <w:r>
                          <w:rPr>
                            <w:sz w:val="14"/>
                          </w:rPr>
                          <w:t>12,013</w:t>
                        </w:r>
                      </w:p>
                    </w:tc>
                    <w:tc>
                      <w:tcPr>
                        <w:tcW w:w="613" w:type="dxa"/>
                      </w:tcPr>
                      <w:p>
                        <w:pPr>
                          <w:pStyle w:val="TableParagraph"/>
                          <w:rPr>
                            <w:rFonts w:ascii="Times New Roman"/>
                            <w:sz w:val="14"/>
                          </w:rPr>
                        </w:pPr>
                      </w:p>
                    </w:tc>
                    <w:tc>
                      <w:tcPr>
                        <w:tcW w:w="1002" w:type="dxa"/>
                      </w:tcPr>
                      <w:p>
                        <w:pPr>
                          <w:pStyle w:val="TableParagraph"/>
                          <w:spacing w:before="32"/>
                          <w:ind w:right="22"/>
                          <w:jc w:val="right"/>
                          <w:rPr>
                            <w:sz w:val="14"/>
                          </w:rPr>
                        </w:pPr>
                        <w:r>
                          <w:rPr>
                            <w:w w:val="95"/>
                            <w:sz w:val="14"/>
                          </w:rPr>
                          <w:t>13,214</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Construction of Military Barracks and Facilities</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spacing w:before="32"/>
                          <w:ind w:right="186"/>
                          <w:jc w:val="right"/>
                          <w:rPr>
                            <w:sz w:val="14"/>
                          </w:rPr>
                        </w:pPr>
                        <w:r>
                          <w:rPr>
                            <w:sz w:val="14"/>
                          </w:rPr>
                          <w:t>3,000</w:t>
                        </w:r>
                      </w:p>
                    </w:tc>
                    <w:tc>
                      <w:tcPr>
                        <w:tcW w:w="861" w:type="dxa"/>
                      </w:tcPr>
                      <w:p>
                        <w:pPr>
                          <w:pStyle w:val="TableParagraph"/>
                          <w:rPr>
                            <w:rFonts w:ascii="Times New Roman"/>
                            <w:sz w:val="14"/>
                          </w:rPr>
                        </w:pPr>
                      </w:p>
                    </w:tc>
                    <w:tc>
                      <w:tcPr>
                        <w:tcW w:w="925" w:type="dxa"/>
                      </w:tcPr>
                      <w:p>
                        <w:pPr>
                          <w:pStyle w:val="TableParagraph"/>
                          <w:spacing w:before="32"/>
                          <w:ind w:left="314"/>
                          <w:rPr>
                            <w:sz w:val="14"/>
                          </w:rPr>
                        </w:pPr>
                        <w:r>
                          <w:rPr>
                            <w:sz w:val="14"/>
                          </w:rPr>
                          <w:t>3,300</w:t>
                        </w:r>
                      </w:p>
                    </w:tc>
                    <w:tc>
                      <w:tcPr>
                        <w:tcW w:w="613" w:type="dxa"/>
                      </w:tcPr>
                      <w:p>
                        <w:pPr>
                          <w:pStyle w:val="TableParagraph"/>
                          <w:rPr>
                            <w:rFonts w:ascii="Times New Roman"/>
                            <w:sz w:val="14"/>
                          </w:rPr>
                        </w:pPr>
                      </w:p>
                    </w:tc>
                    <w:tc>
                      <w:tcPr>
                        <w:tcW w:w="1002" w:type="dxa"/>
                      </w:tcPr>
                      <w:p>
                        <w:pPr>
                          <w:pStyle w:val="TableParagraph"/>
                          <w:spacing w:before="32"/>
                          <w:ind w:right="16"/>
                          <w:jc w:val="right"/>
                          <w:rPr>
                            <w:sz w:val="14"/>
                          </w:rPr>
                        </w:pPr>
                        <w:r>
                          <w:rPr>
                            <w:sz w:val="14"/>
                          </w:rPr>
                          <w:t>3,630</w:t>
                        </w:r>
                      </w:p>
                    </w:tc>
                  </w:tr>
                  <w:tr>
                    <w:trPr>
                      <w:trHeight w:val="230" w:hRule="atLeast"/>
                    </w:trPr>
                    <w:tc>
                      <w:tcPr>
                        <w:tcW w:w="475" w:type="dxa"/>
                      </w:tcPr>
                      <w:p>
                        <w:pPr>
                          <w:pStyle w:val="TableParagraph"/>
                          <w:spacing w:before="32"/>
                          <w:ind w:left="124"/>
                          <w:rPr>
                            <w:sz w:val="14"/>
                          </w:rPr>
                        </w:pPr>
                        <w:r>
                          <w:rPr>
                            <w:sz w:val="14"/>
                          </w:rPr>
                          <w:t>209</w:t>
                        </w:r>
                      </w:p>
                    </w:tc>
                    <w:tc>
                      <w:tcPr>
                        <w:tcW w:w="4927" w:type="dxa"/>
                      </w:tcPr>
                      <w:p>
                        <w:pPr>
                          <w:pStyle w:val="TableParagraph"/>
                          <w:spacing w:before="32"/>
                          <w:ind w:left="90"/>
                          <w:rPr>
                            <w:b/>
                            <w:sz w:val="14"/>
                          </w:rPr>
                        </w:pPr>
                        <w:r>
                          <w:rPr>
                            <w:b/>
                            <w:sz w:val="14"/>
                          </w:rPr>
                          <w:t>Central Intelligence and Security Unit (CISU)</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tabs>
                            <w:tab w:pos="541" w:val="left" w:leader="none"/>
                          </w:tabs>
                          <w:spacing w:before="32"/>
                          <w:ind w:left="2"/>
                          <w:rPr>
                            <w:b/>
                            <w:sz w:val="14"/>
                          </w:rPr>
                        </w:pPr>
                        <w:r>
                          <w:rPr>
                            <w:b/>
                            <w:sz w:val="14"/>
                          </w:rPr>
                          <w:t>-</w:t>
                          <w:tab/>
                        </w:r>
                        <w:r>
                          <w:rPr>
                            <w:b/>
                            <w:spacing w:val="5"/>
                            <w:sz w:val="14"/>
                          </w:rPr>
                          <w:t>4,000</w:t>
                        </w:r>
                      </w:p>
                    </w:tc>
                    <w:tc>
                      <w:tcPr>
                        <w:tcW w:w="861" w:type="dxa"/>
                      </w:tcPr>
                      <w:p>
                        <w:pPr>
                          <w:pStyle w:val="TableParagraph"/>
                          <w:spacing w:before="32"/>
                          <w:ind w:right="174"/>
                          <w:jc w:val="right"/>
                          <w:rPr>
                            <w:b/>
                            <w:sz w:val="14"/>
                          </w:rPr>
                        </w:pPr>
                        <w:r>
                          <w:rPr>
                            <w:b/>
                            <w:w w:val="99"/>
                            <w:sz w:val="14"/>
                          </w:rPr>
                          <w:t>-</w:t>
                        </w:r>
                      </w:p>
                    </w:tc>
                    <w:tc>
                      <w:tcPr>
                        <w:tcW w:w="925" w:type="dxa"/>
                      </w:tcPr>
                      <w:p>
                        <w:pPr>
                          <w:pStyle w:val="TableParagraph"/>
                          <w:spacing w:before="32"/>
                          <w:ind w:left="279"/>
                          <w:rPr>
                            <w:b/>
                            <w:sz w:val="14"/>
                          </w:rPr>
                        </w:pPr>
                        <w:r>
                          <w:rPr>
                            <w:b/>
                            <w:sz w:val="14"/>
                          </w:rPr>
                          <w:t>2,000</w:t>
                        </w:r>
                      </w:p>
                    </w:tc>
                    <w:tc>
                      <w:tcPr>
                        <w:tcW w:w="613" w:type="dxa"/>
                      </w:tcPr>
                      <w:p>
                        <w:pPr>
                          <w:pStyle w:val="TableParagraph"/>
                          <w:rPr>
                            <w:rFonts w:ascii="Times New Roman"/>
                            <w:sz w:val="14"/>
                          </w:rPr>
                        </w:pPr>
                      </w:p>
                    </w:tc>
                    <w:tc>
                      <w:tcPr>
                        <w:tcW w:w="1002" w:type="dxa"/>
                      </w:tcPr>
                      <w:p>
                        <w:pPr>
                          <w:pStyle w:val="TableParagraph"/>
                          <w:tabs>
                            <w:tab w:pos="586" w:val="left" w:leader="none"/>
                          </w:tabs>
                          <w:spacing w:before="32"/>
                          <w:ind w:right="32"/>
                          <w:jc w:val="right"/>
                          <w:rPr>
                            <w:b/>
                            <w:sz w:val="14"/>
                          </w:rPr>
                        </w:pPr>
                        <w:r>
                          <w:rPr>
                            <w:b/>
                            <w:sz w:val="14"/>
                          </w:rPr>
                          <w:t>-</w:t>
                          <w:tab/>
                        </w:r>
                        <w:r>
                          <w:rPr>
                            <w:b/>
                            <w:spacing w:val="2"/>
                            <w:sz w:val="14"/>
                          </w:rPr>
                          <w:t>2,200</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Procurement of Specialized Surveillance Equipment</w:t>
                        </w:r>
                      </w:p>
                    </w:tc>
                    <w:tc>
                      <w:tcPr>
                        <w:tcW w:w="685" w:type="dxa"/>
                      </w:tcPr>
                      <w:p>
                        <w:pPr>
                          <w:pStyle w:val="TableParagraph"/>
                          <w:spacing w:before="32"/>
                          <w:ind w:left="35"/>
                          <w:rPr>
                            <w:sz w:val="14"/>
                          </w:rPr>
                        </w:pPr>
                        <w:r>
                          <w:rPr>
                            <w:sz w:val="14"/>
                          </w:rPr>
                          <w:t>Ongoing</w:t>
                        </w:r>
                      </w:p>
                    </w:tc>
                    <w:tc>
                      <w:tcPr>
                        <w:tcW w:w="1074" w:type="dxa"/>
                      </w:tcPr>
                      <w:p>
                        <w:pPr>
                          <w:pStyle w:val="TableParagraph"/>
                          <w:spacing w:before="32"/>
                          <w:ind w:left="89"/>
                          <w:rPr>
                            <w:sz w:val="14"/>
                          </w:rPr>
                        </w:pPr>
                        <w:r>
                          <w:rPr>
                            <w:sz w:val="14"/>
                          </w:rPr>
                          <w:t>Nationwide</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708" w:type="dxa"/>
                      </w:tcPr>
                      <w:p>
                        <w:pPr>
                          <w:pStyle w:val="TableParagraph"/>
                          <w:rPr>
                            <w:rFonts w:ascii="Times New Roman"/>
                            <w:sz w:val="14"/>
                          </w:rPr>
                        </w:pPr>
                      </w:p>
                    </w:tc>
                    <w:tc>
                      <w:tcPr>
                        <w:tcW w:w="1125" w:type="dxa"/>
                      </w:tcPr>
                      <w:p>
                        <w:pPr>
                          <w:pStyle w:val="TableParagraph"/>
                          <w:spacing w:before="32"/>
                          <w:ind w:right="186"/>
                          <w:jc w:val="right"/>
                          <w:rPr>
                            <w:sz w:val="14"/>
                          </w:rPr>
                        </w:pPr>
                        <w:r>
                          <w:rPr>
                            <w:sz w:val="14"/>
                          </w:rPr>
                          <w:t>4,000</w:t>
                        </w:r>
                      </w:p>
                    </w:tc>
                    <w:tc>
                      <w:tcPr>
                        <w:tcW w:w="861" w:type="dxa"/>
                      </w:tcPr>
                      <w:p>
                        <w:pPr>
                          <w:pStyle w:val="TableParagraph"/>
                          <w:rPr>
                            <w:rFonts w:ascii="Times New Roman"/>
                            <w:sz w:val="14"/>
                          </w:rPr>
                        </w:pPr>
                      </w:p>
                    </w:tc>
                    <w:tc>
                      <w:tcPr>
                        <w:tcW w:w="925" w:type="dxa"/>
                      </w:tcPr>
                      <w:p>
                        <w:pPr>
                          <w:pStyle w:val="TableParagraph"/>
                          <w:spacing w:before="32"/>
                          <w:ind w:left="314"/>
                          <w:rPr>
                            <w:sz w:val="14"/>
                          </w:rPr>
                        </w:pPr>
                        <w:r>
                          <w:rPr>
                            <w:sz w:val="14"/>
                          </w:rPr>
                          <w:t>2,000</w:t>
                        </w:r>
                      </w:p>
                    </w:tc>
                    <w:tc>
                      <w:tcPr>
                        <w:tcW w:w="613" w:type="dxa"/>
                      </w:tcPr>
                      <w:p>
                        <w:pPr>
                          <w:pStyle w:val="TableParagraph"/>
                          <w:rPr>
                            <w:rFonts w:ascii="Times New Roman"/>
                            <w:sz w:val="14"/>
                          </w:rPr>
                        </w:pPr>
                      </w:p>
                    </w:tc>
                    <w:tc>
                      <w:tcPr>
                        <w:tcW w:w="1002" w:type="dxa"/>
                      </w:tcPr>
                      <w:p>
                        <w:pPr>
                          <w:pStyle w:val="TableParagraph"/>
                          <w:spacing w:before="32"/>
                          <w:ind w:right="16"/>
                          <w:jc w:val="right"/>
                          <w:rPr>
                            <w:sz w:val="14"/>
                          </w:rPr>
                        </w:pPr>
                        <w:r>
                          <w:rPr>
                            <w:sz w:val="14"/>
                          </w:rPr>
                          <w:t>2,200</w:t>
                        </w:r>
                      </w:p>
                    </w:tc>
                  </w:tr>
                  <w:tr>
                    <w:trPr>
                      <w:trHeight w:val="227" w:hRule="atLeast"/>
                    </w:trPr>
                    <w:tc>
                      <w:tcPr>
                        <w:tcW w:w="475" w:type="dxa"/>
                      </w:tcPr>
                      <w:p>
                        <w:pPr>
                          <w:pStyle w:val="TableParagraph"/>
                          <w:spacing w:before="32"/>
                          <w:ind w:left="124"/>
                          <w:rPr>
                            <w:sz w:val="14"/>
                          </w:rPr>
                        </w:pPr>
                        <w:r>
                          <w:rPr>
                            <w:sz w:val="14"/>
                          </w:rPr>
                          <w:t>110</w:t>
                        </w:r>
                      </w:p>
                    </w:tc>
                    <w:tc>
                      <w:tcPr>
                        <w:tcW w:w="4927" w:type="dxa"/>
                      </w:tcPr>
                      <w:p>
                        <w:pPr>
                          <w:pStyle w:val="TableParagraph"/>
                          <w:spacing w:before="32"/>
                          <w:ind w:left="90"/>
                          <w:rPr>
                            <w:b/>
                            <w:sz w:val="14"/>
                          </w:rPr>
                        </w:pPr>
                        <w:r>
                          <w:rPr>
                            <w:b/>
                            <w:sz w:val="14"/>
                          </w:rPr>
                          <w:t>Anti Corruption Commission (ACC)</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tabs>
                            <w:tab w:pos="541" w:val="left" w:leader="none"/>
                          </w:tabs>
                          <w:spacing w:before="32"/>
                          <w:ind w:left="2"/>
                          <w:rPr>
                            <w:b/>
                            <w:sz w:val="14"/>
                          </w:rPr>
                        </w:pPr>
                        <w:r>
                          <w:rPr>
                            <w:b/>
                            <w:sz w:val="14"/>
                          </w:rPr>
                          <w:t>-</w:t>
                          <w:tab/>
                        </w:r>
                        <w:r>
                          <w:rPr>
                            <w:b/>
                            <w:spacing w:val="5"/>
                            <w:sz w:val="14"/>
                          </w:rPr>
                          <w:t>5,000</w:t>
                        </w:r>
                      </w:p>
                    </w:tc>
                    <w:tc>
                      <w:tcPr>
                        <w:tcW w:w="861" w:type="dxa"/>
                      </w:tcPr>
                      <w:p>
                        <w:pPr>
                          <w:pStyle w:val="TableParagraph"/>
                          <w:spacing w:before="32"/>
                          <w:ind w:right="174"/>
                          <w:jc w:val="right"/>
                          <w:rPr>
                            <w:b/>
                            <w:sz w:val="14"/>
                          </w:rPr>
                        </w:pPr>
                        <w:r>
                          <w:rPr>
                            <w:b/>
                            <w:w w:val="99"/>
                            <w:sz w:val="14"/>
                          </w:rPr>
                          <w:t>-</w:t>
                        </w:r>
                      </w:p>
                    </w:tc>
                    <w:tc>
                      <w:tcPr>
                        <w:tcW w:w="925" w:type="dxa"/>
                      </w:tcPr>
                      <w:p>
                        <w:pPr>
                          <w:pStyle w:val="TableParagraph"/>
                          <w:spacing w:before="32"/>
                          <w:ind w:left="279"/>
                          <w:rPr>
                            <w:b/>
                            <w:sz w:val="14"/>
                          </w:rPr>
                        </w:pPr>
                        <w:r>
                          <w:rPr>
                            <w:b/>
                            <w:sz w:val="14"/>
                          </w:rPr>
                          <w:t>5,500</w:t>
                        </w:r>
                      </w:p>
                    </w:tc>
                    <w:tc>
                      <w:tcPr>
                        <w:tcW w:w="613" w:type="dxa"/>
                      </w:tcPr>
                      <w:p>
                        <w:pPr>
                          <w:pStyle w:val="TableParagraph"/>
                          <w:rPr>
                            <w:rFonts w:ascii="Times New Roman"/>
                            <w:sz w:val="14"/>
                          </w:rPr>
                        </w:pPr>
                      </w:p>
                    </w:tc>
                    <w:tc>
                      <w:tcPr>
                        <w:tcW w:w="1002" w:type="dxa"/>
                      </w:tcPr>
                      <w:p>
                        <w:pPr>
                          <w:pStyle w:val="TableParagraph"/>
                          <w:tabs>
                            <w:tab w:pos="586" w:val="left" w:leader="none"/>
                          </w:tabs>
                          <w:spacing w:before="32"/>
                          <w:ind w:right="32"/>
                          <w:jc w:val="right"/>
                          <w:rPr>
                            <w:b/>
                            <w:sz w:val="14"/>
                          </w:rPr>
                        </w:pPr>
                        <w:r>
                          <w:rPr>
                            <w:b/>
                            <w:sz w:val="14"/>
                          </w:rPr>
                          <w:t>-</w:t>
                          <w:tab/>
                        </w:r>
                        <w:r>
                          <w:rPr>
                            <w:b/>
                            <w:spacing w:val="2"/>
                            <w:sz w:val="14"/>
                          </w:rPr>
                          <w:t>6,050</w:t>
                        </w:r>
                      </w:p>
                    </w:tc>
                  </w:tr>
                  <w:tr>
                    <w:trPr>
                      <w:trHeight w:val="228" w:hRule="atLeast"/>
                    </w:trPr>
                    <w:tc>
                      <w:tcPr>
                        <w:tcW w:w="475" w:type="dxa"/>
                      </w:tcPr>
                      <w:p>
                        <w:pPr>
                          <w:pStyle w:val="TableParagraph"/>
                          <w:rPr>
                            <w:rFonts w:ascii="Times New Roman"/>
                            <w:sz w:val="14"/>
                          </w:rPr>
                        </w:pPr>
                      </w:p>
                    </w:tc>
                    <w:tc>
                      <w:tcPr>
                        <w:tcW w:w="4927" w:type="dxa"/>
                      </w:tcPr>
                      <w:p>
                        <w:pPr>
                          <w:pStyle w:val="TableParagraph"/>
                          <w:spacing w:before="29"/>
                          <w:ind w:left="258"/>
                          <w:rPr>
                            <w:sz w:val="14"/>
                          </w:rPr>
                        </w:pPr>
                        <w:r>
                          <w:rPr>
                            <w:sz w:val="14"/>
                          </w:rPr>
                          <w:t>Construction of Anti-Corruption Building</w:t>
                        </w:r>
                      </w:p>
                    </w:tc>
                    <w:tc>
                      <w:tcPr>
                        <w:tcW w:w="685" w:type="dxa"/>
                      </w:tcPr>
                      <w:p>
                        <w:pPr>
                          <w:pStyle w:val="TableParagraph"/>
                          <w:spacing w:before="29"/>
                          <w:ind w:left="35"/>
                          <w:rPr>
                            <w:sz w:val="14"/>
                          </w:rPr>
                        </w:pPr>
                        <w:r>
                          <w:rPr>
                            <w:sz w:val="14"/>
                          </w:rPr>
                          <w:t>Ongoing</w:t>
                        </w:r>
                      </w:p>
                    </w:tc>
                    <w:tc>
                      <w:tcPr>
                        <w:tcW w:w="1074" w:type="dxa"/>
                      </w:tcPr>
                      <w:p>
                        <w:pPr>
                          <w:pStyle w:val="TableParagraph"/>
                          <w:spacing w:before="29"/>
                          <w:ind w:left="89"/>
                          <w:rPr>
                            <w:sz w:val="14"/>
                          </w:rPr>
                        </w:pPr>
                        <w:r>
                          <w:rPr>
                            <w:sz w:val="14"/>
                          </w:rPr>
                          <w:t>Western Area</w:t>
                        </w:r>
                      </w:p>
                    </w:tc>
                    <w:tc>
                      <w:tcPr>
                        <w:tcW w:w="1113" w:type="dxa"/>
                      </w:tcPr>
                      <w:p>
                        <w:pPr>
                          <w:pStyle w:val="TableParagraph"/>
                          <w:spacing w:before="29"/>
                          <w:ind w:left="148"/>
                          <w:rPr>
                            <w:sz w:val="14"/>
                          </w:rPr>
                        </w:pPr>
                        <w:r>
                          <w:rPr>
                            <w:sz w:val="14"/>
                          </w:rPr>
                          <w:t>GoSL</w:t>
                        </w:r>
                      </w:p>
                    </w:tc>
                    <w:tc>
                      <w:tcPr>
                        <w:tcW w:w="1287" w:type="dxa"/>
                      </w:tcPr>
                      <w:p>
                        <w:pPr>
                          <w:pStyle w:val="TableParagraph"/>
                          <w:spacing w:before="29"/>
                          <w:ind w:left="283"/>
                          <w:rPr>
                            <w:sz w:val="14"/>
                          </w:rPr>
                        </w:pPr>
                        <w:r>
                          <w:rPr>
                            <w:sz w:val="14"/>
                          </w:rPr>
                          <w:t>Budget</w:t>
                        </w:r>
                      </w:p>
                    </w:tc>
                    <w:tc>
                      <w:tcPr>
                        <w:tcW w:w="708" w:type="dxa"/>
                      </w:tcPr>
                      <w:p>
                        <w:pPr>
                          <w:pStyle w:val="TableParagraph"/>
                          <w:rPr>
                            <w:rFonts w:ascii="Times New Roman"/>
                            <w:sz w:val="14"/>
                          </w:rPr>
                        </w:pPr>
                      </w:p>
                    </w:tc>
                    <w:tc>
                      <w:tcPr>
                        <w:tcW w:w="1125" w:type="dxa"/>
                      </w:tcPr>
                      <w:p>
                        <w:pPr>
                          <w:pStyle w:val="TableParagraph"/>
                          <w:spacing w:before="29"/>
                          <w:ind w:right="186"/>
                          <w:jc w:val="right"/>
                          <w:rPr>
                            <w:sz w:val="14"/>
                          </w:rPr>
                        </w:pPr>
                        <w:r>
                          <w:rPr>
                            <w:sz w:val="14"/>
                          </w:rPr>
                          <w:t>5,000</w:t>
                        </w:r>
                      </w:p>
                    </w:tc>
                    <w:tc>
                      <w:tcPr>
                        <w:tcW w:w="861" w:type="dxa"/>
                      </w:tcPr>
                      <w:p>
                        <w:pPr>
                          <w:pStyle w:val="TableParagraph"/>
                          <w:rPr>
                            <w:rFonts w:ascii="Times New Roman"/>
                            <w:sz w:val="14"/>
                          </w:rPr>
                        </w:pPr>
                      </w:p>
                    </w:tc>
                    <w:tc>
                      <w:tcPr>
                        <w:tcW w:w="925" w:type="dxa"/>
                      </w:tcPr>
                      <w:p>
                        <w:pPr>
                          <w:pStyle w:val="TableParagraph"/>
                          <w:spacing w:before="29"/>
                          <w:ind w:left="314"/>
                          <w:rPr>
                            <w:sz w:val="14"/>
                          </w:rPr>
                        </w:pPr>
                        <w:r>
                          <w:rPr>
                            <w:sz w:val="14"/>
                          </w:rPr>
                          <w:t>5,500</w:t>
                        </w:r>
                      </w:p>
                    </w:tc>
                    <w:tc>
                      <w:tcPr>
                        <w:tcW w:w="613" w:type="dxa"/>
                      </w:tcPr>
                      <w:p>
                        <w:pPr>
                          <w:pStyle w:val="TableParagraph"/>
                          <w:rPr>
                            <w:rFonts w:ascii="Times New Roman"/>
                            <w:sz w:val="14"/>
                          </w:rPr>
                        </w:pPr>
                      </w:p>
                    </w:tc>
                    <w:tc>
                      <w:tcPr>
                        <w:tcW w:w="1002" w:type="dxa"/>
                      </w:tcPr>
                      <w:p>
                        <w:pPr>
                          <w:pStyle w:val="TableParagraph"/>
                          <w:spacing w:before="29"/>
                          <w:ind w:right="16"/>
                          <w:jc w:val="right"/>
                          <w:rPr>
                            <w:sz w:val="14"/>
                          </w:rPr>
                        </w:pPr>
                        <w:r>
                          <w:rPr>
                            <w:sz w:val="14"/>
                          </w:rPr>
                          <w:t>6,050</w:t>
                        </w:r>
                      </w:p>
                    </w:tc>
                  </w:tr>
                  <w:tr>
                    <w:trPr>
                      <w:trHeight w:val="230" w:hRule="atLeast"/>
                    </w:trPr>
                    <w:tc>
                      <w:tcPr>
                        <w:tcW w:w="475" w:type="dxa"/>
                      </w:tcPr>
                      <w:p>
                        <w:pPr>
                          <w:pStyle w:val="TableParagraph"/>
                          <w:spacing w:before="32"/>
                          <w:ind w:left="124"/>
                          <w:rPr>
                            <w:sz w:val="14"/>
                          </w:rPr>
                        </w:pPr>
                        <w:r>
                          <w:rPr>
                            <w:sz w:val="14"/>
                          </w:rPr>
                          <w:t>110</w:t>
                        </w:r>
                      </w:p>
                    </w:tc>
                    <w:tc>
                      <w:tcPr>
                        <w:tcW w:w="4927" w:type="dxa"/>
                      </w:tcPr>
                      <w:p>
                        <w:pPr>
                          <w:pStyle w:val="TableParagraph"/>
                          <w:spacing w:before="32"/>
                          <w:ind w:left="90"/>
                          <w:rPr>
                            <w:b/>
                            <w:sz w:val="14"/>
                          </w:rPr>
                        </w:pPr>
                        <w:r>
                          <w:rPr>
                            <w:b/>
                            <w:sz w:val="14"/>
                          </w:rPr>
                          <w:t>Sierra Leone Insurance ommisiion</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tabs>
                            <w:tab w:pos="541" w:val="left" w:leader="none"/>
                          </w:tabs>
                          <w:spacing w:before="32"/>
                          <w:ind w:left="2"/>
                          <w:rPr>
                            <w:b/>
                            <w:sz w:val="14"/>
                          </w:rPr>
                        </w:pPr>
                        <w:r>
                          <w:rPr>
                            <w:b/>
                            <w:sz w:val="14"/>
                          </w:rPr>
                          <w:t>-</w:t>
                          <w:tab/>
                        </w:r>
                        <w:r>
                          <w:rPr>
                            <w:b/>
                            <w:spacing w:val="5"/>
                            <w:sz w:val="14"/>
                          </w:rPr>
                          <w:t>3,000</w:t>
                        </w:r>
                      </w:p>
                    </w:tc>
                    <w:tc>
                      <w:tcPr>
                        <w:tcW w:w="861" w:type="dxa"/>
                      </w:tcPr>
                      <w:p>
                        <w:pPr>
                          <w:pStyle w:val="TableParagraph"/>
                          <w:spacing w:before="32"/>
                          <w:ind w:right="174"/>
                          <w:jc w:val="right"/>
                          <w:rPr>
                            <w:b/>
                            <w:sz w:val="14"/>
                          </w:rPr>
                        </w:pPr>
                        <w:r>
                          <w:rPr>
                            <w:b/>
                            <w:w w:val="99"/>
                            <w:sz w:val="14"/>
                          </w:rPr>
                          <w:t>-</w:t>
                        </w:r>
                      </w:p>
                    </w:tc>
                    <w:tc>
                      <w:tcPr>
                        <w:tcW w:w="925" w:type="dxa"/>
                      </w:tcPr>
                      <w:p>
                        <w:pPr>
                          <w:pStyle w:val="TableParagraph"/>
                          <w:spacing w:before="32"/>
                          <w:ind w:left="279"/>
                          <w:rPr>
                            <w:b/>
                            <w:sz w:val="14"/>
                          </w:rPr>
                        </w:pPr>
                        <w:r>
                          <w:rPr>
                            <w:b/>
                            <w:sz w:val="14"/>
                          </w:rPr>
                          <w:t>3,300</w:t>
                        </w:r>
                      </w:p>
                    </w:tc>
                    <w:tc>
                      <w:tcPr>
                        <w:tcW w:w="613" w:type="dxa"/>
                      </w:tcPr>
                      <w:p>
                        <w:pPr>
                          <w:pStyle w:val="TableParagraph"/>
                          <w:rPr>
                            <w:rFonts w:ascii="Times New Roman"/>
                            <w:sz w:val="14"/>
                          </w:rPr>
                        </w:pPr>
                      </w:p>
                    </w:tc>
                    <w:tc>
                      <w:tcPr>
                        <w:tcW w:w="1002" w:type="dxa"/>
                      </w:tcPr>
                      <w:p>
                        <w:pPr>
                          <w:pStyle w:val="TableParagraph"/>
                          <w:tabs>
                            <w:tab w:pos="586" w:val="left" w:leader="none"/>
                          </w:tabs>
                          <w:spacing w:before="32"/>
                          <w:ind w:right="32"/>
                          <w:jc w:val="right"/>
                          <w:rPr>
                            <w:b/>
                            <w:sz w:val="14"/>
                          </w:rPr>
                        </w:pPr>
                        <w:r>
                          <w:rPr>
                            <w:b/>
                            <w:sz w:val="14"/>
                          </w:rPr>
                          <w:t>-</w:t>
                          <w:tab/>
                        </w:r>
                        <w:r>
                          <w:rPr>
                            <w:b/>
                            <w:spacing w:val="2"/>
                            <w:sz w:val="14"/>
                          </w:rPr>
                          <w:t>3,630</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Construction of SLICOM Building</w:t>
                        </w:r>
                      </w:p>
                    </w:tc>
                    <w:tc>
                      <w:tcPr>
                        <w:tcW w:w="685" w:type="dxa"/>
                      </w:tcPr>
                      <w:p>
                        <w:pPr>
                          <w:pStyle w:val="TableParagraph"/>
                          <w:spacing w:before="32"/>
                          <w:ind w:left="35"/>
                          <w:rPr>
                            <w:sz w:val="14"/>
                          </w:rPr>
                        </w:pPr>
                        <w:r>
                          <w:rPr>
                            <w:sz w:val="14"/>
                          </w:rPr>
                          <w:t>Ongoing</w:t>
                        </w:r>
                      </w:p>
                    </w:tc>
                    <w:tc>
                      <w:tcPr>
                        <w:tcW w:w="1074" w:type="dxa"/>
                      </w:tcPr>
                      <w:p>
                        <w:pPr>
                          <w:pStyle w:val="TableParagraph"/>
                          <w:spacing w:before="32"/>
                          <w:ind w:left="89"/>
                          <w:rPr>
                            <w:sz w:val="14"/>
                          </w:rPr>
                        </w:pPr>
                        <w:r>
                          <w:rPr>
                            <w:sz w:val="14"/>
                          </w:rPr>
                          <w:t>Western Area</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708" w:type="dxa"/>
                      </w:tcPr>
                      <w:p>
                        <w:pPr>
                          <w:pStyle w:val="TableParagraph"/>
                          <w:rPr>
                            <w:rFonts w:ascii="Times New Roman"/>
                            <w:sz w:val="14"/>
                          </w:rPr>
                        </w:pPr>
                      </w:p>
                    </w:tc>
                    <w:tc>
                      <w:tcPr>
                        <w:tcW w:w="1125" w:type="dxa"/>
                      </w:tcPr>
                      <w:p>
                        <w:pPr>
                          <w:pStyle w:val="TableParagraph"/>
                          <w:spacing w:before="32"/>
                          <w:ind w:right="186"/>
                          <w:jc w:val="right"/>
                          <w:rPr>
                            <w:sz w:val="14"/>
                          </w:rPr>
                        </w:pPr>
                        <w:r>
                          <w:rPr>
                            <w:sz w:val="14"/>
                          </w:rPr>
                          <w:t>3,000</w:t>
                        </w:r>
                      </w:p>
                    </w:tc>
                    <w:tc>
                      <w:tcPr>
                        <w:tcW w:w="861" w:type="dxa"/>
                      </w:tcPr>
                      <w:p>
                        <w:pPr>
                          <w:pStyle w:val="TableParagraph"/>
                          <w:rPr>
                            <w:rFonts w:ascii="Times New Roman"/>
                            <w:sz w:val="14"/>
                          </w:rPr>
                        </w:pPr>
                      </w:p>
                    </w:tc>
                    <w:tc>
                      <w:tcPr>
                        <w:tcW w:w="925" w:type="dxa"/>
                      </w:tcPr>
                      <w:p>
                        <w:pPr>
                          <w:pStyle w:val="TableParagraph"/>
                          <w:spacing w:before="32"/>
                          <w:ind w:left="314"/>
                          <w:rPr>
                            <w:sz w:val="14"/>
                          </w:rPr>
                        </w:pPr>
                        <w:r>
                          <w:rPr>
                            <w:sz w:val="14"/>
                          </w:rPr>
                          <w:t>3,300</w:t>
                        </w:r>
                      </w:p>
                    </w:tc>
                    <w:tc>
                      <w:tcPr>
                        <w:tcW w:w="613" w:type="dxa"/>
                      </w:tcPr>
                      <w:p>
                        <w:pPr>
                          <w:pStyle w:val="TableParagraph"/>
                          <w:rPr>
                            <w:rFonts w:ascii="Times New Roman"/>
                            <w:sz w:val="14"/>
                          </w:rPr>
                        </w:pPr>
                      </w:p>
                    </w:tc>
                    <w:tc>
                      <w:tcPr>
                        <w:tcW w:w="1002" w:type="dxa"/>
                      </w:tcPr>
                      <w:p>
                        <w:pPr>
                          <w:pStyle w:val="TableParagraph"/>
                          <w:spacing w:before="32"/>
                          <w:ind w:right="16"/>
                          <w:jc w:val="right"/>
                          <w:rPr>
                            <w:sz w:val="14"/>
                          </w:rPr>
                        </w:pPr>
                        <w:r>
                          <w:rPr>
                            <w:sz w:val="14"/>
                          </w:rPr>
                          <w:t>3,630</w:t>
                        </w:r>
                      </w:p>
                    </w:tc>
                  </w:tr>
                  <w:tr>
                    <w:trPr>
                      <w:trHeight w:val="230" w:hRule="atLeast"/>
                    </w:trPr>
                    <w:tc>
                      <w:tcPr>
                        <w:tcW w:w="475" w:type="dxa"/>
                      </w:tcPr>
                      <w:p>
                        <w:pPr>
                          <w:pStyle w:val="TableParagraph"/>
                          <w:spacing w:before="32"/>
                          <w:ind w:left="134"/>
                          <w:rPr>
                            <w:sz w:val="14"/>
                          </w:rPr>
                        </w:pPr>
                        <w:r>
                          <w:rPr>
                            <w:sz w:val="14"/>
                          </w:rPr>
                          <w:t>121</w:t>
                        </w:r>
                      </w:p>
                    </w:tc>
                    <w:tc>
                      <w:tcPr>
                        <w:tcW w:w="4927" w:type="dxa"/>
                      </w:tcPr>
                      <w:p>
                        <w:pPr>
                          <w:pStyle w:val="TableParagraph"/>
                          <w:spacing w:before="32"/>
                          <w:ind w:left="90"/>
                          <w:rPr>
                            <w:b/>
                            <w:sz w:val="14"/>
                          </w:rPr>
                        </w:pPr>
                        <w:r>
                          <w:rPr>
                            <w:b/>
                            <w:sz w:val="14"/>
                          </w:rPr>
                          <w:t>Audit Service Sierra Leone (ASSL)</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tabs>
                            <w:tab w:pos="541" w:val="left" w:leader="none"/>
                          </w:tabs>
                          <w:spacing w:before="32"/>
                          <w:ind w:left="-3"/>
                          <w:rPr>
                            <w:b/>
                            <w:sz w:val="14"/>
                          </w:rPr>
                        </w:pPr>
                        <w:r>
                          <w:rPr>
                            <w:b/>
                            <w:sz w:val="14"/>
                          </w:rPr>
                          <w:t>-</w:t>
                          <w:tab/>
                        </w:r>
                        <w:r>
                          <w:rPr>
                            <w:b/>
                            <w:spacing w:val="5"/>
                            <w:sz w:val="14"/>
                          </w:rPr>
                          <w:t>5,000</w:t>
                        </w:r>
                      </w:p>
                    </w:tc>
                    <w:tc>
                      <w:tcPr>
                        <w:tcW w:w="861" w:type="dxa"/>
                      </w:tcPr>
                      <w:p>
                        <w:pPr>
                          <w:pStyle w:val="TableParagraph"/>
                          <w:spacing w:before="32"/>
                          <w:ind w:right="174"/>
                          <w:jc w:val="right"/>
                          <w:rPr>
                            <w:b/>
                            <w:sz w:val="14"/>
                          </w:rPr>
                        </w:pPr>
                        <w:r>
                          <w:rPr>
                            <w:b/>
                            <w:w w:val="99"/>
                            <w:sz w:val="14"/>
                          </w:rPr>
                          <w:t>-</w:t>
                        </w:r>
                      </w:p>
                    </w:tc>
                    <w:tc>
                      <w:tcPr>
                        <w:tcW w:w="925" w:type="dxa"/>
                      </w:tcPr>
                      <w:p>
                        <w:pPr>
                          <w:pStyle w:val="TableParagraph"/>
                          <w:spacing w:before="32"/>
                          <w:ind w:left="279"/>
                          <w:rPr>
                            <w:b/>
                            <w:sz w:val="14"/>
                          </w:rPr>
                        </w:pPr>
                        <w:r>
                          <w:rPr>
                            <w:b/>
                            <w:sz w:val="14"/>
                          </w:rPr>
                          <w:t>5,500</w:t>
                        </w:r>
                      </w:p>
                    </w:tc>
                    <w:tc>
                      <w:tcPr>
                        <w:tcW w:w="613" w:type="dxa"/>
                      </w:tcPr>
                      <w:p>
                        <w:pPr>
                          <w:pStyle w:val="TableParagraph"/>
                          <w:rPr>
                            <w:rFonts w:ascii="Times New Roman"/>
                            <w:sz w:val="14"/>
                          </w:rPr>
                        </w:pPr>
                      </w:p>
                    </w:tc>
                    <w:tc>
                      <w:tcPr>
                        <w:tcW w:w="1002" w:type="dxa"/>
                      </w:tcPr>
                      <w:p>
                        <w:pPr>
                          <w:pStyle w:val="TableParagraph"/>
                          <w:tabs>
                            <w:tab w:pos="586" w:val="left" w:leader="none"/>
                          </w:tabs>
                          <w:spacing w:before="32"/>
                          <w:ind w:right="32"/>
                          <w:jc w:val="right"/>
                          <w:rPr>
                            <w:b/>
                            <w:sz w:val="14"/>
                          </w:rPr>
                        </w:pPr>
                        <w:r>
                          <w:rPr>
                            <w:b/>
                            <w:sz w:val="14"/>
                          </w:rPr>
                          <w:t>-</w:t>
                          <w:tab/>
                        </w:r>
                        <w:r>
                          <w:rPr>
                            <w:b/>
                            <w:spacing w:val="2"/>
                            <w:sz w:val="14"/>
                          </w:rPr>
                          <w:t>6,050</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Construction of ASSL Headquarters</w:t>
                        </w:r>
                      </w:p>
                    </w:tc>
                    <w:tc>
                      <w:tcPr>
                        <w:tcW w:w="685" w:type="dxa"/>
                      </w:tcPr>
                      <w:p>
                        <w:pPr>
                          <w:pStyle w:val="TableParagraph"/>
                          <w:spacing w:before="32"/>
                          <w:ind w:left="35"/>
                          <w:rPr>
                            <w:sz w:val="14"/>
                          </w:rPr>
                        </w:pPr>
                        <w:r>
                          <w:rPr>
                            <w:sz w:val="14"/>
                          </w:rPr>
                          <w:t>Ongoing</w:t>
                        </w:r>
                      </w:p>
                    </w:tc>
                    <w:tc>
                      <w:tcPr>
                        <w:tcW w:w="1074" w:type="dxa"/>
                      </w:tcPr>
                      <w:p>
                        <w:pPr>
                          <w:pStyle w:val="TableParagraph"/>
                          <w:spacing w:before="32"/>
                          <w:ind w:left="89"/>
                          <w:rPr>
                            <w:sz w:val="14"/>
                          </w:rPr>
                        </w:pPr>
                        <w:r>
                          <w:rPr>
                            <w:sz w:val="14"/>
                          </w:rPr>
                          <w:t>Western Area</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708" w:type="dxa"/>
                      </w:tcPr>
                      <w:p>
                        <w:pPr>
                          <w:pStyle w:val="TableParagraph"/>
                          <w:rPr>
                            <w:rFonts w:ascii="Times New Roman"/>
                            <w:sz w:val="14"/>
                          </w:rPr>
                        </w:pPr>
                      </w:p>
                    </w:tc>
                    <w:tc>
                      <w:tcPr>
                        <w:tcW w:w="1125" w:type="dxa"/>
                      </w:tcPr>
                      <w:p>
                        <w:pPr>
                          <w:pStyle w:val="TableParagraph"/>
                          <w:spacing w:before="32"/>
                          <w:ind w:right="186"/>
                          <w:jc w:val="right"/>
                          <w:rPr>
                            <w:sz w:val="14"/>
                          </w:rPr>
                        </w:pPr>
                        <w:r>
                          <w:rPr>
                            <w:sz w:val="14"/>
                          </w:rPr>
                          <w:t>5,000</w:t>
                        </w:r>
                      </w:p>
                    </w:tc>
                    <w:tc>
                      <w:tcPr>
                        <w:tcW w:w="861" w:type="dxa"/>
                      </w:tcPr>
                      <w:p>
                        <w:pPr>
                          <w:pStyle w:val="TableParagraph"/>
                          <w:rPr>
                            <w:rFonts w:ascii="Times New Roman"/>
                            <w:sz w:val="14"/>
                          </w:rPr>
                        </w:pPr>
                      </w:p>
                    </w:tc>
                    <w:tc>
                      <w:tcPr>
                        <w:tcW w:w="925" w:type="dxa"/>
                      </w:tcPr>
                      <w:p>
                        <w:pPr>
                          <w:pStyle w:val="TableParagraph"/>
                          <w:spacing w:before="32"/>
                          <w:ind w:left="314"/>
                          <w:rPr>
                            <w:sz w:val="14"/>
                          </w:rPr>
                        </w:pPr>
                        <w:r>
                          <w:rPr>
                            <w:sz w:val="14"/>
                          </w:rPr>
                          <w:t>5,500</w:t>
                        </w:r>
                      </w:p>
                    </w:tc>
                    <w:tc>
                      <w:tcPr>
                        <w:tcW w:w="613" w:type="dxa"/>
                      </w:tcPr>
                      <w:p>
                        <w:pPr>
                          <w:pStyle w:val="TableParagraph"/>
                          <w:rPr>
                            <w:rFonts w:ascii="Times New Roman"/>
                            <w:sz w:val="14"/>
                          </w:rPr>
                        </w:pPr>
                      </w:p>
                    </w:tc>
                    <w:tc>
                      <w:tcPr>
                        <w:tcW w:w="1002" w:type="dxa"/>
                      </w:tcPr>
                      <w:p>
                        <w:pPr>
                          <w:pStyle w:val="TableParagraph"/>
                          <w:spacing w:before="32"/>
                          <w:ind w:right="16"/>
                          <w:jc w:val="right"/>
                          <w:rPr>
                            <w:sz w:val="14"/>
                          </w:rPr>
                        </w:pPr>
                        <w:r>
                          <w:rPr>
                            <w:sz w:val="14"/>
                          </w:rPr>
                          <w:t>6,050</w:t>
                        </w:r>
                      </w:p>
                    </w:tc>
                  </w:tr>
                  <w:tr>
                    <w:trPr>
                      <w:trHeight w:val="460" w:hRule="atLeast"/>
                    </w:trPr>
                    <w:tc>
                      <w:tcPr>
                        <w:tcW w:w="475" w:type="dxa"/>
                      </w:tcPr>
                      <w:p>
                        <w:pPr>
                          <w:pStyle w:val="TableParagraph"/>
                          <w:spacing w:before="32"/>
                          <w:ind w:left="124"/>
                          <w:rPr>
                            <w:sz w:val="14"/>
                          </w:rPr>
                        </w:pPr>
                        <w:r>
                          <w:rPr>
                            <w:sz w:val="14"/>
                          </w:rPr>
                          <w:t>123</w:t>
                        </w:r>
                      </w:p>
                    </w:tc>
                    <w:tc>
                      <w:tcPr>
                        <w:tcW w:w="4927" w:type="dxa"/>
                      </w:tcPr>
                      <w:p>
                        <w:pPr>
                          <w:pStyle w:val="TableParagraph"/>
                          <w:spacing w:before="32"/>
                          <w:ind w:left="90"/>
                          <w:rPr>
                            <w:b/>
                            <w:sz w:val="14"/>
                          </w:rPr>
                        </w:pPr>
                        <w:r>
                          <w:rPr>
                            <w:b/>
                            <w:sz w:val="14"/>
                          </w:rPr>
                          <w:t>Public Service Commission (PSC)</w:t>
                        </w:r>
                      </w:p>
                      <w:p>
                        <w:pPr>
                          <w:pStyle w:val="TableParagraph"/>
                          <w:spacing w:before="69"/>
                          <w:ind w:left="258"/>
                          <w:rPr>
                            <w:sz w:val="14"/>
                          </w:rPr>
                        </w:pPr>
                        <w:r>
                          <w:rPr>
                            <w:sz w:val="14"/>
                          </w:rPr>
                          <w:t>Construction of PSC Headquarter Building</w:t>
                        </w:r>
                      </w:p>
                    </w:tc>
                    <w:tc>
                      <w:tcPr>
                        <w:tcW w:w="685" w:type="dxa"/>
                      </w:tcPr>
                      <w:p>
                        <w:pPr>
                          <w:pStyle w:val="TableParagraph"/>
                          <w:spacing w:before="9"/>
                          <w:rPr>
                            <w:sz w:val="22"/>
                          </w:rPr>
                        </w:pPr>
                      </w:p>
                      <w:p>
                        <w:pPr>
                          <w:pStyle w:val="TableParagraph"/>
                          <w:ind w:left="35"/>
                          <w:rPr>
                            <w:sz w:val="14"/>
                          </w:rPr>
                        </w:pPr>
                        <w:r>
                          <w:rPr>
                            <w:sz w:val="14"/>
                          </w:rPr>
                          <w:t>New</w:t>
                        </w:r>
                      </w:p>
                    </w:tc>
                    <w:tc>
                      <w:tcPr>
                        <w:tcW w:w="1074" w:type="dxa"/>
                      </w:tcPr>
                      <w:p>
                        <w:pPr>
                          <w:pStyle w:val="TableParagraph"/>
                          <w:spacing w:before="9"/>
                          <w:rPr>
                            <w:sz w:val="22"/>
                          </w:rPr>
                        </w:pPr>
                      </w:p>
                      <w:p>
                        <w:pPr>
                          <w:pStyle w:val="TableParagraph"/>
                          <w:ind w:left="89"/>
                          <w:rPr>
                            <w:sz w:val="14"/>
                          </w:rPr>
                        </w:pPr>
                        <w:r>
                          <w:rPr>
                            <w:sz w:val="14"/>
                          </w:rPr>
                          <w:t>Western Area</w:t>
                        </w:r>
                      </w:p>
                    </w:tc>
                    <w:tc>
                      <w:tcPr>
                        <w:tcW w:w="1113" w:type="dxa"/>
                      </w:tcPr>
                      <w:p>
                        <w:pPr>
                          <w:pStyle w:val="TableParagraph"/>
                          <w:spacing w:before="9"/>
                          <w:rPr>
                            <w:sz w:val="22"/>
                          </w:rPr>
                        </w:pPr>
                      </w:p>
                      <w:p>
                        <w:pPr>
                          <w:pStyle w:val="TableParagraph"/>
                          <w:ind w:left="148"/>
                          <w:rPr>
                            <w:sz w:val="14"/>
                          </w:rPr>
                        </w:pPr>
                        <w:r>
                          <w:rPr>
                            <w:sz w:val="14"/>
                          </w:rPr>
                          <w:t>GoSl</w:t>
                        </w:r>
                      </w:p>
                    </w:tc>
                    <w:tc>
                      <w:tcPr>
                        <w:tcW w:w="1287" w:type="dxa"/>
                      </w:tcPr>
                      <w:p>
                        <w:pPr>
                          <w:pStyle w:val="TableParagraph"/>
                          <w:spacing w:before="9"/>
                          <w:rPr>
                            <w:sz w:val="22"/>
                          </w:rPr>
                        </w:pPr>
                      </w:p>
                      <w:p>
                        <w:pPr>
                          <w:pStyle w:val="TableParagraph"/>
                          <w:ind w:left="283"/>
                          <w:rPr>
                            <w:sz w:val="14"/>
                          </w:rPr>
                        </w:pPr>
                        <w:r>
                          <w:rPr>
                            <w:sz w:val="14"/>
                          </w:rPr>
                          <w:t>Budget</w:t>
                        </w:r>
                      </w:p>
                    </w:tc>
                    <w:tc>
                      <w:tcPr>
                        <w:tcW w:w="5234" w:type="dxa"/>
                        <w:gridSpan w:val="6"/>
                      </w:tcPr>
                      <w:p>
                        <w:pPr>
                          <w:pStyle w:val="TableParagraph"/>
                          <w:tabs>
                            <w:tab w:pos="1623" w:val="left" w:leader="none"/>
                            <w:tab w:pos="2471" w:val="left" w:leader="none"/>
                            <w:tab w:pos="3320" w:val="left" w:leader="none"/>
                            <w:tab w:pos="4234" w:val="left" w:leader="none"/>
                            <w:tab w:pos="5199" w:val="left" w:leader="none"/>
                          </w:tabs>
                          <w:spacing w:before="32"/>
                          <w:ind w:left="705" w:right="-15"/>
                          <w:rPr>
                            <w:b/>
                            <w:sz w:val="14"/>
                          </w:rPr>
                        </w:pPr>
                        <w:r>
                          <w:rPr>
                            <w:b/>
                            <w:sz w:val="14"/>
                          </w:rPr>
                          <w:t>-</w:t>
                          <w:tab/>
                          <w:t>-</w:t>
                          <w:tab/>
                          <w:t>-</w:t>
                          <w:tab/>
                          <w:t>-</w:t>
                          <w:tab/>
                          <w:t>-</w:t>
                          <w:tab/>
                        </w:r>
                        <w:r>
                          <w:rPr>
                            <w:b/>
                            <w:spacing w:val="-17"/>
                            <w:sz w:val="14"/>
                          </w:rPr>
                          <w:t>-</w:t>
                        </w:r>
                      </w:p>
                      <w:p>
                        <w:pPr>
                          <w:pStyle w:val="TableParagraph"/>
                          <w:tabs>
                            <w:tab w:pos="3309" w:val="left" w:leader="none"/>
                            <w:tab w:pos="5185" w:val="left" w:leader="none"/>
                          </w:tabs>
                          <w:spacing w:before="69"/>
                          <w:ind w:left="1609"/>
                          <w:rPr>
                            <w:sz w:val="14"/>
                          </w:rPr>
                        </w:pPr>
                        <w:r>
                          <w:rPr>
                            <w:sz w:val="14"/>
                          </w:rPr>
                          <w:t>-</w:t>
                          <w:tab/>
                          <w:t>-</w:t>
                          <w:tab/>
                        </w:r>
                        <w:r>
                          <w:rPr>
                            <w:spacing w:val="-18"/>
                            <w:sz w:val="14"/>
                          </w:rPr>
                          <w:t>-</w:t>
                        </w:r>
                      </w:p>
                    </w:tc>
                  </w:tr>
                  <w:tr>
                    <w:trPr>
                      <w:trHeight w:val="230" w:hRule="atLeast"/>
                    </w:trPr>
                    <w:tc>
                      <w:tcPr>
                        <w:tcW w:w="475" w:type="dxa"/>
                      </w:tcPr>
                      <w:p>
                        <w:pPr>
                          <w:pStyle w:val="TableParagraph"/>
                          <w:spacing w:before="32"/>
                          <w:ind w:left="124"/>
                          <w:rPr>
                            <w:sz w:val="14"/>
                          </w:rPr>
                        </w:pPr>
                        <w:r>
                          <w:rPr>
                            <w:sz w:val="14"/>
                          </w:rPr>
                          <w:t>208</w:t>
                        </w:r>
                      </w:p>
                    </w:tc>
                    <w:tc>
                      <w:tcPr>
                        <w:tcW w:w="4927" w:type="dxa"/>
                      </w:tcPr>
                      <w:p>
                        <w:pPr>
                          <w:pStyle w:val="TableParagraph"/>
                          <w:spacing w:before="32"/>
                          <w:ind w:left="90"/>
                          <w:rPr>
                            <w:b/>
                            <w:sz w:val="14"/>
                          </w:rPr>
                        </w:pPr>
                        <w:r>
                          <w:rPr>
                            <w:b/>
                            <w:sz w:val="14"/>
                          </w:rPr>
                          <w:t>National Fire Force (NFF)</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1833" w:type="dxa"/>
                        <w:gridSpan w:val="2"/>
                      </w:tcPr>
                      <w:p>
                        <w:pPr>
                          <w:pStyle w:val="TableParagraph"/>
                          <w:tabs>
                            <w:tab w:pos="1391" w:val="left" w:leader="none"/>
                          </w:tabs>
                          <w:spacing w:before="32"/>
                          <w:ind w:left="705"/>
                          <w:rPr>
                            <w:b/>
                            <w:sz w:val="14"/>
                          </w:rPr>
                        </w:pPr>
                        <w:r>
                          <w:rPr>
                            <w:b/>
                            <w:sz w:val="14"/>
                          </w:rPr>
                          <w:t>-</w:t>
                          <w:tab/>
                        </w:r>
                        <w:r>
                          <w:rPr>
                            <w:b/>
                            <w:spacing w:val="5"/>
                            <w:sz w:val="14"/>
                          </w:rPr>
                          <w:t>300</w:t>
                        </w:r>
                      </w:p>
                    </w:tc>
                    <w:tc>
                      <w:tcPr>
                        <w:tcW w:w="1786" w:type="dxa"/>
                        <w:gridSpan w:val="2"/>
                      </w:tcPr>
                      <w:p>
                        <w:pPr>
                          <w:pStyle w:val="TableParagraph"/>
                          <w:tabs>
                            <w:tab w:pos="1295" w:val="left" w:leader="none"/>
                          </w:tabs>
                          <w:spacing w:before="32"/>
                          <w:ind w:left="638"/>
                          <w:rPr>
                            <w:b/>
                            <w:sz w:val="14"/>
                          </w:rPr>
                        </w:pPr>
                        <w:r>
                          <w:rPr>
                            <w:b/>
                            <w:sz w:val="14"/>
                          </w:rPr>
                          <w:t>-</w:t>
                          <w:tab/>
                        </w:r>
                        <w:r>
                          <w:rPr>
                            <w:b/>
                            <w:spacing w:val="5"/>
                            <w:sz w:val="14"/>
                          </w:rPr>
                          <w:t>330</w:t>
                        </w:r>
                      </w:p>
                    </w:tc>
                    <w:tc>
                      <w:tcPr>
                        <w:tcW w:w="613" w:type="dxa"/>
                      </w:tcPr>
                      <w:p>
                        <w:pPr>
                          <w:pStyle w:val="TableParagraph"/>
                          <w:rPr>
                            <w:rFonts w:ascii="Times New Roman"/>
                            <w:sz w:val="14"/>
                          </w:rPr>
                        </w:pPr>
                      </w:p>
                    </w:tc>
                    <w:tc>
                      <w:tcPr>
                        <w:tcW w:w="1002" w:type="dxa"/>
                      </w:tcPr>
                      <w:p>
                        <w:pPr>
                          <w:pStyle w:val="TableParagraph"/>
                          <w:tabs>
                            <w:tab w:pos="727" w:val="left" w:leader="none"/>
                          </w:tabs>
                          <w:spacing w:before="32"/>
                          <w:ind w:right="19"/>
                          <w:jc w:val="right"/>
                          <w:rPr>
                            <w:b/>
                            <w:sz w:val="14"/>
                          </w:rPr>
                        </w:pPr>
                        <w:r>
                          <w:rPr>
                            <w:b/>
                            <w:sz w:val="14"/>
                          </w:rPr>
                          <w:t>-</w:t>
                          <w:tab/>
                        </w:r>
                        <w:r>
                          <w:rPr>
                            <w:b/>
                            <w:spacing w:val="-1"/>
                            <w:sz w:val="14"/>
                          </w:rPr>
                          <w:t>363</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90"/>
                          <w:rPr>
                            <w:sz w:val="14"/>
                          </w:rPr>
                        </w:pPr>
                        <w:r>
                          <w:rPr>
                            <w:sz w:val="14"/>
                          </w:rPr>
                          <w:t>Strengthening National Fire Service System</w:t>
                        </w:r>
                      </w:p>
                    </w:tc>
                    <w:tc>
                      <w:tcPr>
                        <w:tcW w:w="685" w:type="dxa"/>
                      </w:tcPr>
                      <w:p>
                        <w:pPr>
                          <w:pStyle w:val="TableParagraph"/>
                          <w:spacing w:before="32"/>
                          <w:ind w:left="35"/>
                          <w:rPr>
                            <w:sz w:val="14"/>
                          </w:rPr>
                        </w:pPr>
                        <w:r>
                          <w:rPr>
                            <w:sz w:val="14"/>
                          </w:rPr>
                          <w:t>Ongoing</w:t>
                        </w:r>
                      </w:p>
                    </w:tc>
                    <w:tc>
                      <w:tcPr>
                        <w:tcW w:w="1074" w:type="dxa"/>
                      </w:tcPr>
                      <w:p>
                        <w:pPr>
                          <w:pStyle w:val="TableParagraph"/>
                          <w:spacing w:before="32"/>
                          <w:ind w:left="89"/>
                          <w:rPr>
                            <w:sz w:val="14"/>
                          </w:rPr>
                        </w:pPr>
                        <w:r>
                          <w:rPr>
                            <w:sz w:val="14"/>
                          </w:rPr>
                          <w:t>Nationwide</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1833" w:type="dxa"/>
                        <w:gridSpan w:val="2"/>
                      </w:tcPr>
                      <w:p>
                        <w:pPr>
                          <w:pStyle w:val="TableParagraph"/>
                          <w:spacing w:before="32"/>
                          <w:ind w:right="178"/>
                          <w:jc w:val="right"/>
                          <w:rPr>
                            <w:sz w:val="14"/>
                          </w:rPr>
                        </w:pPr>
                        <w:r>
                          <w:rPr>
                            <w:sz w:val="14"/>
                          </w:rPr>
                          <w:t>300</w:t>
                        </w:r>
                      </w:p>
                    </w:tc>
                    <w:tc>
                      <w:tcPr>
                        <w:tcW w:w="1786" w:type="dxa"/>
                        <w:gridSpan w:val="2"/>
                      </w:tcPr>
                      <w:p>
                        <w:pPr>
                          <w:pStyle w:val="TableParagraph"/>
                          <w:spacing w:before="32"/>
                          <w:ind w:right="227"/>
                          <w:jc w:val="right"/>
                          <w:rPr>
                            <w:sz w:val="14"/>
                          </w:rPr>
                        </w:pPr>
                        <w:r>
                          <w:rPr>
                            <w:sz w:val="14"/>
                          </w:rPr>
                          <w:t>330</w:t>
                        </w:r>
                      </w:p>
                    </w:tc>
                    <w:tc>
                      <w:tcPr>
                        <w:tcW w:w="613" w:type="dxa"/>
                      </w:tcPr>
                      <w:p>
                        <w:pPr>
                          <w:pStyle w:val="TableParagraph"/>
                          <w:rPr>
                            <w:rFonts w:ascii="Times New Roman"/>
                            <w:sz w:val="14"/>
                          </w:rPr>
                        </w:pPr>
                      </w:p>
                    </w:tc>
                    <w:tc>
                      <w:tcPr>
                        <w:tcW w:w="1002" w:type="dxa"/>
                      </w:tcPr>
                      <w:p>
                        <w:pPr>
                          <w:pStyle w:val="TableParagraph"/>
                          <w:spacing w:before="32"/>
                          <w:ind w:right="8"/>
                          <w:jc w:val="right"/>
                          <w:rPr>
                            <w:sz w:val="14"/>
                          </w:rPr>
                        </w:pPr>
                        <w:r>
                          <w:rPr>
                            <w:sz w:val="14"/>
                          </w:rPr>
                          <w:t>363</w:t>
                        </w:r>
                      </w:p>
                    </w:tc>
                  </w:tr>
                  <w:tr>
                    <w:trPr>
                      <w:trHeight w:val="230" w:hRule="atLeast"/>
                    </w:trPr>
                    <w:tc>
                      <w:tcPr>
                        <w:tcW w:w="475" w:type="dxa"/>
                      </w:tcPr>
                      <w:p>
                        <w:pPr>
                          <w:pStyle w:val="TableParagraph"/>
                          <w:spacing w:before="32"/>
                          <w:ind w:left="124"/>
                          <w:rPr>
                            <w:sz w:val="14"/>
                          </w:rPr>
                        </w:pPr>
                        <w:r>
                          <w:rPr>
                            <w:sz w:val="14"/>
                          </w:rPr>
                          <w:t>207</w:t>
                        </w:r>
                      </w:p>
                    </w:tc>
                    <w:tc>
                      <w:tcPr>
                        <w:tcW w:w="4927" w:type="dxa"/>
                      </w:tcPr>
                      <w:p>
                        <w:pPr>
                          <w:pStyle w:val="TableParagraph"/>
                          <w:spacing w:before="32"/>
                          <w:ind w:left="90"/>
                          <w:rPr>
                            <w:b/>
                            <w:sz w:val="14"/>
                          </w:rPr>
                        </w:pPr>
                        <w:r>
                          <w:rPr>
                            <w:b/>
                            <w:sz w:val="14"/>
                          </w:rPr>
                          <w:t>Sierra Leone Correctional Services (SLCS)</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1833" w:type="dxa"/>
                        <w:gridSpan w:val="2"/>
                      </w:tcPr>
                      <w:p>
                        <w:pPr>
                          <w:pStyle w:val="TableParagraph"/>
                          <w:tabs>
                            <w:tab w:pos="1249" w:val="left" w:leader="none"/>
                          </w:tabs>
                          <w:spacing w:before="32"/>
                          <w:ind w:left="705"/>
                          <w:rPr>
                            <w:b/>
                            <w:sz w:val="14"/>
                          </w:rPr>
                        </w:pPr>
                        <w:r>
                          <w:rPr>
                            <w:b/>
                            <w:sz w:val="14"/>
                          </w:rPr>
                          <w:t>-</w:t>
                          <w:tab/>
                        </w:r>
                        <w:r>
                          <w:rPr>
                            <w:b/>
                            <w:spacing w:val="5"/>
                            <w:sz w:val="14"/>
                          </w:rPr>
                          <w:t>2,500</w:t>
                        </w:r>
                      </w:p>
                    </w:tc>
                    <w:tc>
                      <w:tcPr>
                        <w:tcW w:w="1786" w:type="dxa"/>
                        <w:gridSpan w:val="2"/>
                      </w:tcPr>
                      <w:p>
                        <w:pPr>
                          <w:pStyle w:val="TableParagraph"/>
                          <w:tabs>
                            <w:tab w:pos="1140" w:val="left" w:leader="none"/>
                          </w:tabs>
                          <w:spacing w:before="32"/>
                          <w:ind w:left="638"/>
                          <w:rPr>
                            <w:b/>
                            <w:sz w:val="14"/>
                          </w:rPr>
                        </w:pPr>
                        <w:r>
                          <w:rPr>
                            <w:b/>
                            <w:sz w:val="14"/>
                          </w:rPr>
                          <w:t>-</w:t>
                          <w:tab/>
                        </w:r>
                        <w:r>
                          <w:rPr>
                            <w:b/>
                            <w:spacing w:val="5"/>
                            <w:sz w:val="14"/>
                          </w:rPr>
                          <w:t>2,750</w:t>
                        </w:r>
                      </w:p>
                    </w:tc>
                    <w:tc>
                      <w:tcPr>
                        <w:tcW w:w="613" w:type="dxa"/>
                      </w:tcPr>
                      <w:p>
                        <w:pPr>
                          <w:pStyle w:val="TableParagraph"/>
                          <w:rPr>
                            <w:rFonts w:ascii="Times New Roman"/>
                            <w:sz w:val="14"/>
                          </w:rPr>
                        </w:pPr>
                      </w:p>
                    </w:tc>
                    <w:tc>
                      <w:tcPr>
                        <w:tcW w:w="1002" w:type="dxa"/>
                      </w:tcPr>
                      <w:p>
                        <w:pPr>
                          <w:pStyle w:val="TableParagraph"/>
                          <w:tabs>
                            <w:tab w:pos="586" w:val="left" w:leader="none"/>
                          </w:tabs>
                          <w:spacing w:before="32"/>
                          <w:ind w:right="32"/>
                          <w:jc w:val="right"/>
                          <w:rPr>
                            <w:b/>
                            <w:sz w:val="14"/>
                          </w:rPr>
                        </w:pPr>
                        <w:r>
                          <w:rPr>
                            <w:b/>
                            <w:sz w:val="14"/>
                          </w:rPr>
                          <w:t>-</w:t>
                          <w:tab/>
                        </w:r>
                        <w:r>
                          <w:rPr>
                            <w:b/>
                            <w:spacing w:val="2"/>
                            <w:sz w:val="14"/>
                          </w:rPr>
                          <w:t>3,025</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Rehabilitation of Correctional Centres and Facilities</w:t>
                        </w:r>
                      </w:p>
                    </w:tc>
                    <w:tc>
                      <w:tcPr>
                        <w:tcW w:w="685" w:type="dxa"/>
                      </w:tcPr>
                      <w:p>
                        <w:pPr>
                          <w:pStyle w:val="TableParagraph"/>
                          <w:spacing w:before="32"/>
                          <w:ind w:left="35"/>
                          <w:rPr>
                            <w:sz w:val="14"/>
                          </w:rPr>
                        </w:pPr>
                        <w:r>
                          <w:rPr>
                            <w:sz w:val="14"/>
                          </w:rPr>
                          <w:t>Ongoing</w:t>
                        </w:r>
                      </w:p>
                    </w:tc>
                    <w:tc>
                      <w:tcPr>
                        <w:tcW w:w="1074" w:type="dxa"/>
                      </w:tcPr>
                      <w:p>
                        <w:pPr>
                          <w:pStyle w:val="TableParagraph"/>
                          <w:spacing w:before="32"/>
                          <w:ind w:left="89"/>
                          <w:rPr>
                            <w:sz w:val="14"/>
                          </w:rPr>
                        </w:pPr>
                        <w:r>
                          <w:rPr>
                            <w:sz w:val="14"/>
                          </w:rPr>
                          <w:t>Nationwide</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1833" w:type="dxa"/>
                        <w:gridSpan w:val="2"/>
                      </w:tcPr>
                      <w:p>
                        <w:pPr>
                          <w:pStyle w:val="TableParagraph"/>
                          <w:spacing w:before="32"/>
                          <w:ind w:right="186"/>
                          <w:jc w:val="right"/>
                          <w:rPr>
                            <w:sz w:val="14"/>
                          </w:rPr>
                        </w:pPr>
                        <w:r>
                          <w:rPr>
                            <w:sz w:val="14"/>
                          </w:rPr>
                          <w:t>2,000</w:t>
                        </w:r>
                      </w:p>
                    </w:tc>
                    <w:tc>
                      <w:tcPr>
                        <w:tcW w:w="1786" w:type="dxa"/>
                        <w:gridSpan w:val="2"/>
                      </w:tcPr>
                      <w:p>
                        <w:pPr>
                          <w:pStyle w:val="TableParagraph"/>
                          <w:spacing w:before="32"/>
                          <w:ind w:left="1175"/>
                          <w:rPr>
                            <w:sz w:val="14"/>
                          </w:rPr>
                        </w:pPr>
                        <w:r>
                          <w:rPr>
                            <w:sz w:val="14"/>
                          </w:rPr>
                          <w:t>2,200</w:t>
                        </w:r>
                      </w:p>
                    </w:tc>
                    <w:tc>
                      <w:tcPr>
                        <w:tcW w:w="613" w:type="dxa"/>
                      </w:tcPr>
                      <w:p>
                        <w:pPr>
                          <w:pStyle w:val="TableParagraph"/>
                          <w:rPr>
                            <w:rFonts w:ascii="Times New Roman"/>
                            <w:sz w:val="14"/>
                          </w:rPr>
                        </w:pPr>
                      </w:p>
                    </w:tc>
                    <w:tc>
                      <w:tcPr>
                        <w:tcW w:w="1002" w:type="dxa"/>
                      </w:tcPr>
                      <w:p>
                        <w:pPr>
                          <w:pStyle w:val="TableParagraph"/>
                          <w:spacing w:before="32"/>
                          <w:ind w:right="16"/>
                          <w:jc w:val="right"/>
                          <w:rPr>
                            <w:sz w:val="14"/>
                          </w:rPr>
                        </w:pPr>
                        <w:r>
                          <w:rPr>
                            <w:sz w:val="14"/>
                          </w:rPr>
                          <w:t>2,420</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Preparatory Work for the Relocation of Pademba Road Prison</w:t>
                        </w:r>
                      </w:p>
                    </w:tc>
                    <w:tc>
                      <w:tcPr>
                        <w:tcW w:w="685" w:type="dxa"/>
                      </w:tcPr>
                      <w:p>
                        <w:pPr>
                          <w:pStyle w:val="TableParagraph"/>
                          <w:spacing w:before="32"/>
                          <w:ind w:left="35"/>
                          <w:rPr>
                            <w:sz w:val="14"/>
                          </w:rPr>
                        </w:pPr>
                        <w:r>
                          <w:rPr>
                            <w:sz w:val="14"/>
                          </w:rPr>
                          <w:t>Ongoing</w:t>
                        </w:r>
                      </w:p>
                    </w:tc>
                    <w:tc>
                      <w:tcPr>
                        <w:tcW w:w="1074" w:type="dxa"/>
                      </w:tcPr>
                      <w:p>
                        <w:pPr>
                          <w:pStyle w:val="TableParagraph"/>
                          <w:spacing w:before="32"/>
                          <w:ind w:left="89"/>
                          <w:rPr>
                            <w:sz w:val="14"/>
                          </w:rPr>
                        </w:pPr>
                        <w:r>
                          <w:rPr>
                            <w:sz w:val="14"/>
                          </w:rPr>
                          <w:t>Nationwide</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1833" w:type="dxa"/>
                        <w:gridSpan w:val="2"/>
                      </w:tcPr>
                      <w:p>
                        <w:pPr>
                          <w:pStyle w:val="TableParagraph"/>
                          <w:spacing w:before="32"/>
                          <w:ind w:right="178"/>
                          <w:jc w:val="right"/>
                          <w:rPr>
                            <w:sz w:val="14"/>
                          </w:rPr>
                        </w:pPr>
                        <w:r>
                          <w:rPr>
                            <w:sz w:val="14"/>
                          </w:rPr>
                          <w:t>500</w:t>
                        </w:r>
                      </w:p>
                    </w:tc>
                    <w:tc>
                      <w:tcPr>
                        <w:tcW w:w="1786" w:type="dxa"/>
                        <w:gridSpan w:val="2"/>
                      </w:tcPr>
                      <w:p>
                        <w:pPr>
                          <w:pStyle w:val="TableParagraph"/>
                          <w:spacing w:before="32"/>
                          <w:ind w:right="227"/>
                          <w:jc w:val="right"/>
                          <w:rPr>
                            <w:sz w:val="14"/>
                          </w:rPr>
                        </w:pPr>
                        <w:r>
                          <w:rPr>
                            <w:sz w:val="14"/>
                          </w:rPr>
                          <w:t>550</w:t>
                        </w:r>
                      </w:p>
                    </w:tc>
                    <w:tc>
                      <w:tcPr>
                        <w:tcW w:w="613" w:type="dxa"/>
                      </w:tcPr>
                      <w:p>
                        <w:pPr>
                          <w:pStyle w:val="TableParagraph"/>
                          <w:rPr>
                            <w:rFonts w:ascii="Times New Roman"/>
                            <w:sz w:val="14"/>
                          </w:rPr>
                        </w:pPr>
                      </w:p>
                    </w:tc>
                    <w:tc>
                      <w:tcPr>
                        <w:tcW w:w="1002" w:type="dxa"/>
                      </w:tcPr>
                      <w:p>
                        <w:pPr>
                          <w:pStyle w:val="TableParagraph"/>
                          <w:spacing w:before="32"/>
                          <w:ind w:right="8"/>
                          <w:jc w:val="right"/>
                          <w:rPr>
                            <w:sz w:val="14"/>
                          </w:rPr>
                        </w:pPr>
                        <w:r>
                          <w:rPr>
                            <w:sz w:val="14"/>
                          </w:rPr>
                          <w:t>605</w:t>
                        </w:r>
                      </w:p>
                    </w:tc>
                  </w:tr>
                  <w:tr>
                    <w:trPr>
                      <w:trHeight w:val="228" w:hRule="atLeast"/>
                    </w:trPr>
                    <w:tc>
                      <w:tcPr>
                        <w:tcW w:w="475" w:type="dxa"/>
                      </w:tcPr>
                      <w:p>
                        <w:pPr>
                          <w:pStyle w:val="TableParagraph"/>
                          <w:spacing w:before="32"/>
                          <w:ind w:left="124"/>
                          <w:rPr>
                            <w:sz w:val="14"/>
                          </w:rPr>
                        </w:pPr>
                        <w:r>
                          <w:rPr>
                            <w:sz w:val="14"/>
                          </w:rPr>
                          <w:t>134</w:t>
                        </w:r>
                      </w:p>
                    </w:tc>
                    <w:tc>
                      <w:tcPr>
                        <w:tcW w:w="4927" w:type="dxa"/>
                      </w:tcPr>
                      <w:p>
                        <w:pPr>
                          <w:pStyle w:val="TableParagraph"/>
                          <w:spacing w:before="32"/>
                          <w:ind w:left="90"/>
                          <w:rPr>
                            <w:b/>
                            <w:sz w:val="14"/>
                          </w:rPr>
                        </w:pPr>
                        <w:r>
                          <w:rPr>
                            <w:b/>
                            <w:sz w:val="14"/>
                          </w:rPr>
                          <w:t>National Elections Commission (NEC)</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1833" w:type="dxa"/>
                        <w:gridSpan w:val="2"/>
                      </w:tcPr>
                      <w:p>
                        <w:pPr>
                          <w:pStyle w:val="TableParagraph"/>
                          <w:tabs>
                            <w:tab w:pos="1249" w:val="left" w:leader="none"/>
                          </w:tabs>
                          <w:spacing w:before="32"/>
                          <w:ind w:left="705"/>
                          <w:rPr>
                            <w:b/>
                            <w:sz w:val="14"/>
                          </w:rPr>
                        </w:pPr>
                        <w:r>
                          <w:rPr>
                            <w:b/>
                            <w:sz w:val="14"/>
                          </w:rPr>
                          <w:t>-</w:t>
                          <w:tab/>
                        </w:r>
                        <w:r>
                          <w:rPr>
                            <w:b/>
                            <w:spacing w:val="5"/>
                            <w:sz w:val="14"/>
                          </w:rPr>
                          <w:t>3,500</w:t>
                        </w:r>
                      </w:p>
                    </w:tc>
                    <w:tc>
                      <w:tcPr>
                        <w:tcW w:w="1786" w:type="dxa"/>
                        <w:gridSpan w:val="2"/>
                      </w:tcPr>
                      <w:p>
                        <w:pPr>
                          <w:pStyle w:val="TableParagraph"/>
                          <w:tabs>
                            <w:tab w:pos="1140" w:val="left" w:leader="none"/>
                          </w:tabs>
                          <w:spacing w:before="32"/>
                          <w:ind w:left="638"/>
                          <w:rPr>
                            <w:b/>
                            <w:sz w:val="14"/>
                          </w:rPr>
                        </w:pPr>
                        <w:r>
                          <w:rPr>
                            <w:b/>
                            <w:sz w:val="14"/>
                          </w:rPr>
                          <w:t>-</w:t>
                          <w:tab/>
                        </w:r>
                        <w:r>
                          <w:rPr>
                            <w:b/>
                            <w:spacing w:val="5"/>
                            <w:sz w:val="14"/>
                          </w:rPr>
                          <w:t>3,850</w:t>
                        </w:r>
                      </w:p>
                    </w:tc>
                    <w:tc>
                      <w:tcPr>
                        <w:tcW w:w="613" w:type="dxa"/>
                      </w:tcPr>
                      <w:p>
                        <w:pPr>
                          <w:pStyle w:val="TableParagraph"/>
                          <w:rPr>
                            <w:rFonts w:ascii="Times New Roman"/>
                            <w:sz w:val="14"/>
                          </w:rPr>
                        </w:pPr>
                      </w:p>
                    </w:tc>
                    <w:tc>
                      <w:tcPr>
                        <w:tcW w:w="1002" w:type="dxa"/>
                      </w:tcPr>
                      <w:p>
                        <w:pPr>
                          <w:pStyle w:val="TableParagraph"/>
                          <w:tabs>
                            <w:tab w:pos="586" w:val="left" w:leader="none"/>
                          </w:tabs>
                          <w:spacing w:before="32"/>
                          <w:ind w:right="32"/>
                          <w:jc w:val="right"/>
                          <w:rPr>
                            <w:b/>
                            <w:sz w:val="14"/>
                          </w:rPr>
                        </w:pPr>
                        <w:r>
                          <w:rPr>
                            <w:b/>
                            <w:sz w:val="14"/>
                          </w:rPr>
                          <w:t>-</w:t>
                          <w:tab/>
                        </w:r>
                        <w:r>
                          <w:rPr>
                            <w:b/>
                            <w:spacing w:val="2"/>
                            <w:sz w:val="14"/>
                          </w:rPr>
                          <w:t>4,235</w:t>
                        </w:r>
                      </w:p>
                    </w:tc>
                  </w:tr>
                  <w:tr>
                    <w:trPr>
                      <w:trHeight w:val="228" w:hRule="atLeast"/>
                    </w:trPr>
                    <w:tc>
                      <w:tcPr>
                        <w:tcW w:w="475" w:type="dxa"/>
                      </w:tcPr>
                      <w:p>
                        <w:pPr>
                          <w:pStyle w:val="TableParagraph"/>
                          <w:rPr>
                            <w:rFonts w:ascii="Times New Roman"/>
                            <w:sz w:val="14"/>
                          </w:rPr>
                        </w:pPr>
                      </w:p>
                    </w:tc>
                    <w:tc>
                      <w:tcPr>
                        <w:tcW w:w="4927" w:type="dxa"/>
                      </w:tcPr>
                      <w:p>
                        <w:pPr>
                          <w:pStyle w:val="TableParagraph"/>
                          <w:spacing w:before="29"/>
                          <w:ind w:left="258"/>
                          <w:rPr>
                            <w:sz w:val="14"/>
                          </w:rPr>
                        </w:pPr>
                        <w:r>
                          <w:rPr>
                            <w:sz w:val="14"/>
                          </w:rPr>
                          <w:t>Rehabilitation of Administrative Buildings</w:t>
                        </w:r>
                      </w:p>
                    </w:tc>
                    <w:tc>
                      <w:tcPr>
                        <w:tcW w:w="685" w:type="dxa"/>
                      </w:tcPr>
                      <w:p>
                        <w:pPr>
                          <w:pStyle w:val="TableParagraph"/>
                          <w:spacing w:before="29"/>
                          <w:ind w:left="35"/>
                          <w:rPr>
                            <w:sz w:val="14"/>
                          </w:rPr>
                        </w:pPr>
                        <w:r>
                          <w:rPr>
                            <w:sz w:val="14"/>
                          </w:rPr>
                          <w:t>New</w:t>
                        </w:r>
                      </w:p>
                    </w:tc>
                    <w:tc>
                      <w:tcPr>
                        <w:tcW w:w="1074" w:type="dxa"/>
                      </w:tcPr>
                      <w:p>
                        <w:pPr>
                          <w:pStyle w:val="TableParagraph"/>
                          <w:spacing w:before="29"/>
                          <w:ind w:left="89"/>
                          <w:rPr>
                            <w:sz w:val="14"/>
                          </w:rPr>
                        </w:pPr>
                        <w:r>
                          <w:rPr>
                            <w:sz w:val="14"/>
                          </w:rPr>
                          <w:t>Nationwide</w:t>
                        </w:r>
                      </w:p>
                    </w:tc>
                    <w:tc>
                      <w:tcPr>
                        <w:tcW w:w="1113" w:type="dxa"/>
                      </w:tcPr>
                      <w:p>
                        <w:pPr>
                          <w:pStyle w:val="TableParagraph"/>
                          <w:spacing w:before="29"/>
                          <w:ind w:left="148"/>
                          <w:rPr>
                            <w:sz w:val="14"/>
                          </w:rPr>
                        </w:pPr>
                        <w:r>
                          <w:rPr>
                            <w:sz w:val="14"/>
                          </w:rPr>
                          <w:t>GoSl</w:t>
                        </w:r>
                      </w:p>
                    </w:tc>
                    <w:tc>
                      <w:tcPr>
                        <w:tcW w:w="1287" w:type="dxa"/>
                      </w:tcPr>
                      <w:p>
                        <w:pPr>
                          <w:pStyle w:val="TableParagraph"/>
                          <w:spacing w:before="29"/>
                          <w:ind w:left="283"/>
                          <w:rPr>
                            <w:sz w:val="14"/>
                          </w:rPr>
                        </w:pPr>
                        <w:r>
                          <w:rPr>
                            <w:sz w:val="14"/>
                          </w:rPr>
                          <w:t>Budget</w:t>
                        </w:r>
                      </w:p>
                    </w:tc>
                    <w:tc>
                      <w:tcPr>
                        <w:tcW w:w="1833" w:type="dxa"/>
                        <w:gridSpan w:val="2"/>
                      </w:tcPr>
                      <w:p>
                        <w:pPr>
                          <w:pStyle w:val="TableParagraph"/>
                          <w:spacing w:before="29"/>
                          <w:ind w:right="186"/>
                          <w:jc w:val="right"/>
                          <w:rPr>
                            <w:sz w:val="14"/>
                          </w:rPr>
                        </w:pPr>
                        <w:r>
                          <w:rPr>
                            <w:sz w:val="14"/>
                          </w:rPr>
                          <w:t>1,500</w:t>
                        </w:r>
                      </w:p>
                    </w:tc>
                    <w:tc>
                      <w:tcPr>
                        <w:tcW w:w="1786" w:type="dxa"/>
                        <w:gridSpan w:val="2"/>
                      </w:tcPr>
                      <w:p>
                        <w:pPr>
                          <w:pStyle w:val="TableParagraph"/>
                          <w:spacing w:before="29"/>
                          <w:ind w:left="1175"/>
                          <w:rPr>
                            <w:sz w:val="14"/>
                          </w:rPr>
                        </w:pPr>
                        <w:r>
                          <w:rPr>
                            <w:sz w:val="14"/>
                          </w:rPr>
                          <w:t>1,650</w:t>
                        </w:r>
                      </w:p>
                    </w:tc>
                    <w:tc>
                      <w:tcPr>
                        <w:tcW w:w="613" w:type="dxa"/>
                      </w:tcPr>
                      <w:p>
                        <w:pPr>
                          <w:pStyle w:val="TableParagraph"/>
                          <w:rPr>
                            <w:rFonts w:ascii="Times New Roman"/>
                            <w:sz w:val="14"/>
                          </w:rPr>
                        </w:pPr>
                      </w:p>
                    </w:tc>
                    <w:tc>
                      <w:tcPr>
                        <w:tcW w:w="1002" w:type="dxa"/>
                      </w:tcPr>
                      <w:p>
                        <w:pPr>
                          <w:pStyle w:val="TableParagraph"/>
                          <w:spacing w:before="29"/>
                          <w:ind w:right="16"/>
                          <w:jc w:val="right"/>
                          <w:rPr>
                            <w:sz w:val="14"/>
                          </w:rPr>
                        </w:pPr>
                        <w:r>
                          <w:rPr>
                            <w:sz w:val="14"/>
                          </w:rPr>
                          <w:t>1,815</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Construction of Administative Buildings</w:t>
                        </w:r>
                      </w:p>
                    </w:tc>
                    <w:tc>
                      <w:tcPr>
                        <w:tcW w:w="685" w:type="dxa"/>
                      </w:tcPr>
                      <w:p>
                        <w:pPr>
                          <w:pStyle w:val="TableParagraph"/>
                          <w:spacing w:before="32"/>
                          <w:ind w:left="35"/>
                          <w:rPr>
                            <w:sz w:val="14"/>
                          </w:rPr>
                        </w:pPr>
                        <w:r>
                          <w:rPr>
                            <w:sz w:val="14"/>
                          </w:rPr>
                          <w:t>New</w:t>
                        </w:r>
                      </w:p>
                    </w:tc>
                    <w:tc>
                      <w:tcPr>
                        <w:tcW w:w="1074" w:type="dxa"/>
                      </w:tcPr>
                      <w:p>
                        <w:pPr>
                          <w:pStyle w:val="TableParagraph"/>
                          <w:spacing w:before="32"/>
                          <w:ind w:left="89"/>
                          <w:rPr>
                            <w:sz w:val="14"/>
                          </w:rPr>
                        </w:pPr>
                        <w:r>
                          <w:rPr>
                            <w:sz w:val="14"/>
                          </w:rPr>
                          <w:t>Nationwide</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1833" w:type="dxa"/>
                        <w:gridSpan w:val="2"/>
                      </w:tcPr>
                      <w:p>
                        <w:pPr>
                          <w:pStyle w:val="TableParagraph"/>
                          <w:spacing w:before="32"/>
                          <w:ind w:right="186"/>
                          <w:jc w:val="right"/>
                          <w:rPr>
                            <w:sz w:val="14"/>
                          </w:rPr>
                        </w:pPr>
                        <w:r>
                          <w:rPr>
                            <w:sz w:val="14"/>
                          </w:rPr>
                          <w:t>2,000</w:t>
                        </w:r>
                      </w:p>
                    </w:tc>
                    <w:tc>
                      <w:tcPr>
                        <w:tcW w:w="1786" w:type="dxa"/>
                        <w:gridSpan w:val="2"/>
                      </w:tcPr>
                      <w:p>
                        <w:pPr>
                          <w:pStyle w:val="TableParagraph"/>
                          <w:spacing w:before="32"/>
                          <w:ind w:left="1175"/>
                          <w:rPr>
                            <w:sz w:val="14"/>
                          </w:rPr>
                        </w:pPr>
                        <w:r>
                          <w:rPr>
                            <w:sz w:val="14"/>
                          </w:rPr>
                          <w:t>2,200</w:t>
                        </w:r>
                      </w:p>
                    </w:tc>
                    <w:tc>
                      <w:tcPr>
                        <w:tcW w:w="613" w:type="dxa"/>
                      </w:tcPr>
                      <w:p>
                        <w:pPr>
                          <w:pStyle w:val="TableParagraph"/>
                          <w:rPr>
                            <w:rFonts w:ascii="Times New Roman"/>
                            <w:sz w:val="14"/>
                          </w:rPr>
                        </w:pPr>
                      </w:p>
                    </w:tc>
                    <w:tc>
                      <w:tcPr>
                        <w:tcW w:w="1002" w:type="dxa"/>
                      </w:tcPr>
                      <w:p>
                        <w:pPr>
                          <w:pStyle w:val="TableParagraph"/>
                          <w:spacing w:before="32"/>
                          <w:ind w:right="16"/>
                          <w:jc w:val="right"/>
                          <w:rPr>
                            <w:sz w:val="14"/>
                          </w:rPr>
                        </w:pPr>
                        <w:r>
                          <w:rPr>
                            <w:sz w:val="14"/>
                          </w:rPr>
                          <w:t>2,420</w:t>
                        </w:r>
                      </w:p>
                    </w:tc>
                  </w:tr>
                  <w:tr>
                    <w:trPr>
                      <w:trHeight w:val="230" w:hRule="atLeast"/>
                    </w:trPr>
                    <w:tc>
                      <w:tcPr>
                        <w:tcW w:w="475" w:type="dxa"/>
                      </w:tcPr>
                      <w:p>
                        <w:pPr>
                          <w:pStyle w:val="TableParagraph"/>
                          <w:spacing w:before="32"/>
                          <w:ind w:left="124"/>
                          <w:rPr>
                            <w:sz w:val="14"/>
                          </w:rPr>
                        </w:pPr>
                        <w:r>
                          <w:rPr>
                            <w:sz w:val="14"/>
                          </w:rPr>
                          <w:t>110</w:t>
                        </w:r>
                      </w:p>
                    </w:tc>
                    <w:tc>
                      <w:tcPr>
                        <w:tcW w:w="4927" w:type="dxa"/>
                      </w:tcPr>
                      <w:p>
                        <w:pPr>
                          <w:pStyle w:val="TableParagraph"/>
                          <w:spacing w:before="32"/>
                          <w:ind w:left="90"/>
                          <w:rPr>
                            <w:b/>
                            <w:sz w:val="14"/>
                          </w:rPr>
                        </w:pPr>
                        <w:r>
                          <w:rPr>
                            <w:b/>
                            <w:sz w:val="14"/>
                          </w:rPr>
                          <w:t>National Assets and Government Property Commission (NAGPC)</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1833" w:type="dxa"/>
                        <w:gridSpan w:val="2"/>
                      </w:tcPr>
                      <w:p>
                        <w:pPr>
                          <w:pStyle w:val="TableParagraph"/>
                          <w:tabs>
                            <w:tab w:pos="1391" w:val="left" w:leader="none"/>
                          </w:tabs>
                          <w:spacing w:before="32"/>
                          <w:ind w:left="710"/>
                          <w:rPr>
                            <w:b/>
                            <w:sz w:val="14"/>
                          </w:rPr>
                        </w:pPr>
                        <w:r>
                          <w:rPr>
                            <w:b/>
                            <w:sz w:val="14"/>
                          </w:rPr>
                          <w:t>-</w:t>
                          <w:tab/>
                        </w:r>
                        <w:r>
                          <w:rPr>
                            <w:b/>
                            <w:spacing w:val="5"/>
                            <w:sz w:val="14"/>
                          </w:rPr>
                          <w:t>300</w:t>
                        </w:r>
                      </w:p>
                    </w:tc>
                    <w:tc>
                      <w:tcPr>
                        <w:tcW w:w="1786" w:type="dxa"/>
                        <w:gridSpan w:val="2"/>
                      </w:tcPr>
                      <w:p>
                        <w:pPr>
                          <w:pStyle w:val="TableParagraph"/>
                          <w:tabs>
                            <w:tab w:pos="1295" w:val="left" w:leader="none"/>
                          </w:tabs>
                          <w:spacing w:before="32"/>
                          <w:ind w:left="638"/>
                          <w:rPr>
                            <w:b/>
                            <w:sz w:val="14"/>
                          </w:rPr>
                        </w:pPr>
                        <w:r>
                          <w:rPr>
                            <w:b/>
                            <w:sz w:val="14"/>
                          </w:rPr>
                          <w:t>-</w:t>
                          <w:tab/>
                        </w:r>
                        <w:r>
                          <w:rPr>
                            <w:b/>
                            <w:spacing w:val="5"/>
                            <w:sz w:val="14"/>
                          </w:rPr>
                          <w:t>330</w:t>
                        </w:r>
                      </w:p>
                    </w:tc>
                    <w:tc>
                      <w:tcPr>
                        <w:tcW w:w="613" w:type="dxa"/>
                      </w:tcPr>
                      <w:p>
                        <w:pPr>
                          <w:pStyle w:val="TableParagraph"/>
                          <w:rPr>
                            <w:rFonts w:ascii="Times New Roman"/>
                            <w:sz w:val="14"/>
                          </w:rPr>
                        </w:pPr>
                      </w:p>
                    </w:tc>
                    <w:tc>
                      <w:tcPr>
                        <w:tcW w:w="1002" w:type="dxa"/>
                      </w:tcPr>
                      <w:p>
                        <w:pPr>
                          <w:pStyle w:val="TableParagraph"/>
                          <w:tabs>
                            <w:tab w:pos="727" w:val="left" w:leader="none"/>
                          </w:tabs>
                          <w:spacing w:before="32"/>
                          <w:ind w:right="19"/>
                          <w:jc w:val="right"/>
                          <w:rPr>
                            <w:b/>
                            <w:sz w:val="14"/>
                          </w:rPr>
                        </w:pPr>
                        <w:r>
                          <w:rPr>
                            <w:b/>
                            <w:sz w:val="14"/>
                          </w:rPr>
                          <w:t>-</w:t>
                          <w:tab/>
                        </w:r>
                        <w:r>
                          <w:rPr>
                            <w:b/>
                            <w:spacing w:val="-1"/>
                            <w:sz w:val="14"/>
                          </w:rPr>
                          <w:t>363</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Support for Institutional Capacity Building</w:t>
                        </w:r>
                      </w:p>
                    </w:tc>
                    <w:tc>
                      <w:tcPr>
                        <w:tcW w:w="685" w:type="dxa"/>
                      </w:tcPr>
                      <w:p>
                        <w:pPr>
                          <w:pStyle w:val="TableParagraph"/>
                          <w:spacing w:before="32"/>
                          <w:ind w:left="35"/>
                          <w:rPr>
                            <w:sz w:val="14"/>
                          </w:rPr>
                        </w:pPr>
                        <w:r>
                          <w:rPr>
                            <w:sz w:val="14"/>
                          </w:rPr>
                          <w:t>New</w:t>
                        </w:r>
                      </w:p>
                    </w:tc>
                    <w:tc>
                      <w:tcPr>
                        <w:tcW w:w="1074" w:type="dxa"/>
                      </w:tcPr>
                      <w:p>
                        <w:pPr>
                          <w:pStyle w:val="TableParagraph"/>
                          <w:spacing w:before="32"/>
                          <w:ind w:left="89"/>
                          <w:rPr>
                            <w:sz w:val="14"/>
                          </w:rPr>
                        </w:pPr>
                        <w:r>
                          <w:rPr>
                            <w:sz w:val="14"/>
                          </w:rPr>
                          <w:t>Western Area</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1833" w:type="dxa"/>
                        <w:gridSpan w:val="2"/>
                      </w:tcPr>
                      <w:p>
                        <w:pPr>
                          <w:pStyle w:val="TableParagraph"/>
                          <w:spacing w:before="32"/>
                          <w:ind w:right="178"/>
                          <w:jc w:val="right"/>
                          <w:rPr>
                            <w:sz w:val="14"/>
                          </w:rPr>
                        </w:pPr>
                        <w:r>
                          <w:rPr>
                            <w:sz w:val="14"/>
                          </w:rPr>
                          <w:t>300</w:t>
                        </w:r>
                      </w:p>
                    </w:tc>
                    <w:tc>
                      <w:tcPr>
                        <w:tcW w:w="1786" w:type="dxa"/>
                        <w:gridSpan w:val="2"/>
                      </w:tcPr>
                      <w:p>
                        <w:pPr>
                          <w:pStyle w:val="TableParagraph"/>
                          <w:spacing w:before="32"/>
                          <w:ind w:right="227"/>
                          <w:jc w:val="right"/>
                          <w:rPr>
                            <w:sz w:val="14"/>
                          </w:rPr>
                        </w:pPr>
                        <w:r>
                          <w:rPr>
                            <w:sz w:val="14"/>
                          </w:rPr>
                          <w:t>330</w:t>
                        </w:r>
                      </w:p>
                    </w:tc>
                    <w:tc>
                      <w:tcPr>
                        <w:tcW w:w="613" w:type="dxa"/>
                      </w:tcPr>
                      <w:p>
                        <w:pPr>
                          <w:pStyle w:val="TableParagraph"/>
                          <w:rPr>
                            <w:rFonts w:ascii="Times New Roman"/>
                            <w:sz w:val="14"/>
                          </w:rPr>
                        </w:pPr>
                      </w:p>
                    </w:tc>
                    <w:tc>
                      <w:tcPr>
                        <w:tcW w:w="1002" w:type="dxa"/>
                      </w:tcPr>
                      <w:p>
                        <w:pPr>
                          <w:pStyle w:val="TableParagraph"/>
                          <w:spacing w:before="32"/>
                          <w:ind w:right="8"/>
                          <w:jc w:val="right"/>
                          <w:rPr>
                            <w:sz w:val="14"/>
                          </w:rPr>
                        </w:pPr>
                        <w:r>
                          <w:rPr>
                            <w:sz w:val="14"/>
                          </w:rPr>
                          <w:t>363</w:t>
                        </w:r>
                      </w:p>
                    </w:tc>
                  </w:tr>
                  <w:tr>
                    <w:trPr>
                      <w:trHeight w:val="230" w:hRule="atLeast"/>
                    </w:trPr>
                    <w:tc>
                      <w:tcPr>
                        <w:tcW w:w="475" w:type="dxa"/>
                      </w:tcPr>
                      <w:p>
                        <w:pPr>
                          <w:pStyle w:val="TableParagraph"/>
                          <w:spacing w:before="32"/>
                          <w:ind w:left="124"/>
                          <w:rPr>
                            <w:sz w:val="14"/>
                          </w:rPr>
                        </w:pPr>
                        <w:r>
                          <w:rPr>
                            <w:sz w:val="14"/>
                          </w:rPr>
                          <w:t>413</w:t>
                        </w:r>
                      </w:p>
                    </w:tc>
                    <w:tc>
                      <w:tcPr>
                        <w:tcW w:w="4927" w:type="dxa"/>
                      </w:tcPr>
                      <w:p>
                        <w:pPr>
                          <w:pStyle w:val="TableParagraph"/>
                          <w:spacing w:before="32"/>
                          <w:ind w:left="90"/>
                          <w:rPr>
                            <w:b/>
                            <w:sz w:val="14"/>
                          </w:rPr>
                        </w:pPr>
                        <w:r>
                          <w:rPr>
                            <w:b/>
                            <w:sz w:val="14"/>
                          </w:rPr>
                          <w:t>Energy and Water Regulatory Agency</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1833" w:type="dxa"/>
                        <w:gridSpan w:val="2"/>
                      </w:tcPr>
                      <w:p>
                        <w:pPr>
                          <w:pStyle w:val="TableParagraph"/>
                          <w:tabs>
                            <w:tab w:pos="1249" w:val="left" w:leader="none"/>
                          </w:tabs>
                          <w:spacing w:before="32"/>
                          <w:ind w:left="259"/>
                          <w:rPr>
                            <w:b/>
                            <w:sz w:val="14"/>
                          </w:rPr>
                        </w:pPr>
                        <w:r>
                          <w:rPr>
                            <w:b/>
                            <w:spacing w:val="3"/>
                            <w:sz w:val="14"/>
                          </w:rPr>
                          <w:t>12,000</w:t>
                          <w:tab/>
                        </w:r>
                        <w:r>
                          <w:rPr>
                            <w:b/>
                            <w:spacing w:val="5"/>
                            <w:sz w:val="14"/>
                          </w:rPr>
                          <w:t>1,300</w:t>
                        </w:r>
                      </w:p>
                    </w:tc>
                    <w:tc>
                      <w:tcPr>
                        <w:tcW w:w="1786" w:type="dxa"/>
                        <w:gridSpan w:val="2"/>
                      </w:tcPr>
                      <w:p>
                        <w:pPr>
                          <w:pStyle w:val="TableParagraph"/>
                          <w:tabs>
                            <w:tab w:pos="1140" w:val="left" w:leader="none"/>
                          </w:tabs>
                          <w:spacing w:before="32"/>
                          <w:ind w:left="266"/>
                          <w:rPr>
                            <w:b/>
                            <w:sz w:val="14"/>
                          </w:rPr>
                        </w:pPr>
                        <w:r>
                          <w:rPr>
                            <w:b/>
                            <w:spacing w:val="6"/>
                            <w:sz w:val="14"/>
                          </w:rPr>
                          <w:t>5,000</w:t>
                          <w:tab/>
                        </w:r>
                        <w:r>
                          <w:rPr>
                            <w:b/>
                            <w:spacing w:val="5"/>
                            <w:sz w:val="14"/>
                          </w:rPr>
                          <w:t>1,430</w:t>
                        </w:r>
                      </w:p>
                    </w:tc>
                    <w:tc>
                      <w:tcPr>
                        <w:tcW w:w="613" w:type="dxa"/>
                      </w:tcPr>
                      <w:p>
                        <w:pPr>
                          <w:pStyle w:val="TableParagraph"/>
                          <w:spacing w:before="32"/>
                          <w:ind w:right="-15"/>
                          <w:jc w:val="right"/>
                          <w:rPr>
                            <w:b/>
                            <w:sz w:val="14"/>
                          </w:rPr>
                        </w:pPr>
                        <w:r>
                          <w:rPr>
                            <w:b/>
                            <w:sz w:val="14"/>
                          </w:rPr>
                          <w:t>1,200</w:t>
                        </w:r>
                      </w:p>
                    </w:tc>
                    <w:tc>
                      <w:tcPr>
                        <w:tcW w:w="1002" w:type="dxa"/>
                      </w:tcPr>
                      <w:p>
                        <w:pPr>
                          <w:pStyle w:val="TableParagraph"/>
                          <w:spacing w:before="32"/>
                          <w:ind w:right="32"/>
                          <w:jc w:val="right"/>
                          <w:rPr>
                            <w:b/>
                            <w:sz w:val="14"/>
                          </w:rPr>
                        </w:pPr>
                        <w:r>
                          <w:rPr>
                            <w:b/>
                            <w:sz w:val="14"/>
                          </w:rPr>
                          <w:t>1,573</w:t>
                        </w:r>
                      </w:p>
                    </w:tc>
                  </w:tr>
                  <w:tr>
                    <w:trPr>
                      <w:trHeight w:val="230"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Electricity Sector Reform Project - Result Based Financing (MCC)</w:t>
                        </w:r>
                      </w:p>
                    </w:tc>
                    <w:tc>
                      <w:tcPr>
                        <w:tcW w:w="685" w:type="dxa"/>
                      </w:tcPr>
                      <w:p>
                        <w:pPr>
                          <w:pStyle w:val="TableParagraph"/>
                          <w:spacing w:before="32"/>
                          <w:ind w:left="35"/>
                          <w:rPr>
                            <w:sz w:val="14"/>
                          </w:rPr>
                        </w:pPr>
                        <w:r>
                          <w:rPr>
                            <w:sz w:val="14"/>
                          </w:rPr>
                          <w:t>New</w:t>
                        </w:r>
                      </w:p>
                    </w:tc>
                    <w:tc>
                      <w:tcPr>
                        <w:tcW w:w="1074" w:type="dxa"/>
                      </w:tcPr>
                      <w:p>
                        <w:pPr>
                          <w:pStyle w:val="TableParagraph"/>
                          <w:spacing w:before="32"/>
                          <w:ind w:left="89"/>
                          <w:rPr>
                            <w:sz w:val="14"/>
                          </w:rPr>
                        </w:pPr>
                        <w:r>
                          <w:rPr>
                            <w:sz w:val="14"/>
                          </w:rPr>
                          <w:t>Nationwide</w:t>
                        </w:r>
                      </w:p>
                    </w:tc>
                    <w:tc>
                      <w:tcPr>
                        <w:tcW w:w="1113" w:type="dxa"/>
                      </w:tcPr>
                      <w:p>
                        <w:pPr>
                          <w:pStyle w:val="TableParagraph"/>
                          <w:spacing w:before="32"/>
                          <w:ind w:left="149"/>
                          <w:rPr>
                            <w:sz w:val="14"/>
                          </w:rPr>
                        </w:pPr>
                        <w:r>
                          <w:rPr>
                            <w:sz w:val="14"/>
                          </w:rPr>
                          <w:t>MCC/ GoSL</w:t>
                        </w:r>
                      </w:p>
                    </w:tc>
                    <w:tc>
                      <w:tcPr>
                        <w:tcW w:w="1287" w:type="dxa"/>
                      </w:tcPr>
                      <w:p>
                        <w:pPr>
                          <w:pStyle w:val="TableParagraph"/>
                          <w:spacing w:before="32"/>
                          <w:ind w:left="283"/>
                          <w:rPr>
                            <w:sz w:val="14"/>
                          </w:rPr>
                        </w:pPr>
                        <w:r>
                          <w:rPr>
                            <w:sz w:val="14"/>
                          </w:rPr>
                          <w:t>Grant/ Budget</w:t>
                        </w:r>
                      </w:p>
                    </w:tc>
                    <w:tc>
                      <w:tcPr>
                        <w:tcW w:w="1833" w:type="dxa"/>
                        <w:gridSpan w:val="2"/>
                      </w:tcPr>
                      <w:p>
                        <w:pPr>
                          <w:pStyle w:val="TableParagraph"/>
                          <w:tabs>
                            <w:tab w:pos="1270" w:val="left" w:leader="none"/>
                          </w:tabs>
                          <w:spacing w:before="32"/>
                          <w:ind w:left="285"/>
                          <w:rPr>
                            <w:sz w:val="14"/>
                          </w:rPr>
                        </w:pPr>
                        <w:r>
                          <w:rPr>
                            <w:spacing w:val="4"/>
                            <w:sz w:val="14"/>
                          </w:rPr>
                          <w:t>12,000</w:t>
                          <w:tab/>
                          <w:t>1,000</w:t>
                        </w:r>
                      </w:p>
                    </w:tc>
                    <w:tc>
                      <w:tcPr>
                        <w:tcW w:w="1786" w:type="dxa"/>
                        <w:gridSpan w:val="2"/>
                      </w:tcPr>
                      <w:p>
                        <w:pPr>
                          <w:pStyle w:val="TableParagraph"/>
                          <w:tabs>
                            <w:tab w:pos="1175" w:val="left" w:leader="none"/>
                          </w:tabs>
                          <w:spacing w:before="32"/>
                          <w:ind w:left="282"/>
                          <w:rPr>
                            <w:sz w:val="14"/>
                          </w:rPr>
                        </w:pPr>
                        <w:r>
                          <w:rPr>
                            <w:spacing w:val="4"/>
                            <w:sz w:val="14"/>
                          </w:rPr>
                          <w:t>5,000</w:t>
                          <w:tab/>
                          <w:t>1,100</w:t>
                        </w:r>
                      </w:p>
                    </w:tc>
                    <w:tc>
                      <w:tcPr>
                        <w:tcW w:w="1615" w:type="dxa"/>
                        <w:gridSpan w:val="2"/>
                      </w:tcPr>
                      <w:p>
                        <w:pPr>
                          <w:pStyle w:val="TableParagraph"/>
                          <w:tabs>
                            <w:tab w:pos="1222" w:val="left" w:leader="none"/>
                          </w:tabs>
                          <w:spacing w:before="32"/>
                          <w:ind w:left="272"/>
                          <w:rPr>
                            <w:sz w:val="14"/>
                          </w:rPr>
                        </w:pPr>
                        <w:r>
                          <w:rPr>
                            <w:spacing w:val="3"/>
                            <w:sz w:val="14"/>
                          </w:rPr>
                          <w:t>1,200</w:t>
                          <w:tab/>
                        </w:r>
                        <w:r>
                          <w:rPr>
                            <w:spacing w:val="4"/>
                            <w:sz w:val="14"/>
                          </w:rPr>
                          <w:t>1,210</w:t>
                        </w:r>
                      </w:p>
                    </w:tc>
                  </w:tr>
                  <w:tr>
                    <w:trPr>
                      <w:trHeight w:val="227" w:hRule="atLeast"/>
                    </w:trPr>
                    <w:tc>
                      <w:tcPr>
                        <w:tcW w:w="475" w:type="dxa"/>
                      </w:tcPr>
                      <w:p>
                        <w:pPr>
                          <w:pStyle w:val="TableParagraph"/>
                          <w:rPr>
                            <w:rFonts w:ascii="Times New Roman"/>
                            <w:sz w:val="14"/>
                          </w:rPr>
                        </w:pPr>
                      </w:p>
                    </w:tc>
                    <w:tc>
                      <w:tcPr>
                        <w:tcW w:w="4927" w:type="dxa"/>
                      </w:tcPr>
                      <w:p>
                        <w:pPr>
                          <w:pStyle w:val="TableParagraph"/>
                          <w:spacing w:before="32"/>
                          <w:ind w:left="258"/>
                          <w:rPr>
                            <w:sz w:val="14"/>
                          </w:rPr>
                        </w:pPr>
                        <w:r>
                          <w:rPr>
                            <w:sz w:val="14"/>
                          </w:rPr>
                          <w:t>Support for Institutional Capacity Building</w:t>
                        </w:r>
                      </w:p>
                    </w:tc>
                    <w:tc>
                      <w:tcPr>
                        <w:tcW w:w="685" w:type="dxa"/>
                      </w:tcPr>
                      <w:p>
                        <w:pPr>
                          <w:pStyle w:val="TableParagraph"/>
                          <w:spacing w:before="32"/>
                          <w:ind w:left="35"/>
                          <w:rPr>
                            <w:sz w:val="14"/>
                          </w:rPr>
                        </w:pPr>
                        <w:r>
                          <w:rPr>
                            <w:sz w:val="14"/>
                          </w:rPr>
                          <w:t>New</w:t>
                        </w:r>
                      </w:p>
                    </w:tc>
                    <w:tc>
                      <w:tcPr>
                        <w:tcW w:w="1074" w:type="dxa"/>
                      </w:tcPr>
                      <w:p>
                        <w:pPr>
                          <w:pStyle w:val="TableParagraph"/>
                          <w:spacing w:before="32"/>
                          <w:ind w:left="89"/>
                          <w:rPr>
                            <w:sz w:val="14"/>
                          </w:rPr>
                        </w:pPr>
                        <w:r>
                          <w:rPr>
                            <w:sz w:val="14"/>
                          </w:rPr>
                          <w:t>Nationwide</w:t>
                        </w:r>
                      </w:p>
                    </w:tc>
                    <w:tc>
                      <w:tcPr>
                        <w:tcW w:w="1113" w:type="dxa"/>
                      </w:tcPr>
                      <w:p>
                        <w:pPr>
                          <w:pStyle w:val="TableParagraph"/>
                          <w:spacing w:before="32"/>
                          <w:ind w:left="148"/>
                          <w:rPr>
                            <w:sz w:val="14"/>
                          </w:rPr>
                        </w:pPr>
                        <w:r>
                          <w:rPr>
                            <w:sz w:val="14"/>
                          </w:rPr>
                          <w:t>GoSL</w:t>
                        </w:r>
                      </w:p>
                    </w:tc>
                    <w:tc>
                      <w:tcPr>
                        <w:tcW w:w="1287" w:type="dxa"/>
                      </w:tcPr>
                      <w:p>
                        <w:pPr>
                          <w:pStyle w:val="TableParagraph"/>
                          <w:spacing w:before="32"/>
                          <w:ind w:left="283"/>
                          <w:rPr>
                            <w:sz w:val="14"/>
                          </w:rPr>
                        </w:pPr>
                        <w:r>
                          <w:rPr>
                            <w:sz w:val="14"/>
                          </w:rPr>
                          <w:t>Budget</w:t>
                        </w:r>
                      </w:p>
                    </w:tc>
                    <w:tc>
                      <w:tcPr>
                        <w:tcW w:w="1833" w:type="dxa"/>
                        <w:gridSpan w:val="2"/>
                      </w:tcPr>
                      <w:p>
                        <w:pPr>
                          <w:pStyle w:val="TableParagraph"/>
                          <w:spacing w:before="32"/>
                          <w:ind w:right="178"/>
                          <w:jc w:val="right"/>
                          <w:rPr>
                            <w:sz w:val="14"/>
                          </w:rPr>
                        </w:pPr>
                        <w:r>
                          <w:rPr>
                            <w:sz w:val="14"/>
                          </w:rPr>
                          <w:t>300</w:t>
                        </w:r>
                      </w:p>
                    </w:tc>
                    <w:tc>
                      <w:tcPr>
                        <w:tcW w:w="1786" w:type="dxa"/>
                        <w:gridSpan w:val="2"/>
                      </w:tcPr>
                      <w:p>
                        <w:pPr>
                          <w:pStyle w:val="TableParagraph"/>
                          <w:spacing w:before="32"/>
                          <w:ind w:right="227"/>
                          <w:jc w:val="right"/>
                          <w:rPr>
                            <w:sz w:val="14"/>
                          </w:rPr>
                        </w:pPr>
                        <w:r>
                          <w:rPr>
                            <w:sz w:val="14"/>
                          </w:rPr>
                          <w:t>330</w:t>
                        </w:r>
                      </w:p>
                    </w:tc>
                    <w:tc>
                      <w:tcPr>
                        <w:tcW w:w="613" w:type="dxa"/>
                      </w:tcPr>
                      <w:p>
                        <w:pPr>
                          <w:pStyle w:val="TableParagraph"/>
                          <w:rPr>
                            <w:rFonts w:ascii="Times New Roman"/>
                            <w:sz w:val="14"/>
                          </w:rPr>
                        </w:pPr>
                      </w:p>
                    </w:tc>
                    <w:tc>
                      <w:tcPr>
                        <w:tcW w:w="1002" w:type="dxa"/>
                      </w:tcPr>
                      <w:p>
                        <w:pPr>
                          <w:pStyle w:val="TableParagraph"/>
                          <w:spacing w:before="32"/>
                          <w:ind w:right="8"/>
                          <w:jc w:val="right"/>
                          <w:rPr>
                            <w:sz w:val="14"/>
                          </w:rPr>
                        </w:pPr>
                        <w:r>
                          <w:rPr>
                            <w:sz w:val="14"/>
                          </w:rPr>
                          <w:t>363</w:t>
                        </w:r>
                      </w:p>
                    </w:tc>
                  </w:tr>
                  <w:tr>
                    <w:trPr>
                      <w:trHeight w:val="463" w:hRule="atLeast"/>
                    </w:trPr>
                    <w:tc>
                      <w:tcPr>
                        <w:tcW w:w="475" w:type="dxa"/>
                      </w:tcPr>
                      <w:p>
                        <w:pPr>
                          <w:pStyle w:val="TableParagraph"/>
                          <w:rPr>
                            <w:rFonts w:ascii="Times New Roman"/>
                            <w:sz w:val="14"/>
                          </w:rPr>
                        </w:pPr>
                      </w:p>
                    </w:tc>
                    <w:tc>
                      <w:tcPr>
                        <w:tcW w:w="4927" w:type="dxa"/>
                      </w:tcPr>
                      <w:p>
                        <w:pPr>
                          <w:pStyle w:val="TableParagraph"/>
                          <w:rPr>
                            <w:sz w:val="23"/>
                          </w:rPr>
                        </w:pPr>
                      </w:p>
                      <w:p>
                        <w:pPr>
                          <w:pStyle w:val="TableParagraph"/>
                          <w:ind w:left="90"/>
                          <w:rPr>
                            <w:b/>
                            <w:sz w:val="14"/>
                          </w:rPr>
                        </w:pPr>
                        <w:r>
                          <w:rPr>
                            <w:b/>
                            <w:sz w:val="14"/>
                          </w:rPr>
                          <w:t>Cluster Five: Empowering Women, Children, and</w:t>
                        </w:r>
                      </w:p>
                    </w:tc>
                    <w:tc>
                      <w:tcPr>
                        <w:tcW w:w="685" w:type="dxa"/>
                      </w:tcPr>
                      <w:p>
                        <w:pPr>
                          <w:pStyle w:val="TableParagraph"/>
                          <w:rPr>
                            <w:rFonts w:ascii="Times New Roman"/>
                            <w:sz w:val="14"/>
                          </w:rPr>
                        </w:pP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rPr>
                            <w:rFonts w:ascii="Times New Roman"/>
                            <w:sz w:val="14"/>
                          </w:rPr>
                        </w:pPr>
                      </w:p>
                    </w:tc>
                    <w:tc>
                      <w:tcPr>
                        <w:tcW w:w="1125" w:type="dxa"/>
                      </w:tcPr>
                      <w:p>
                        <w:pPr>
                          <w:pStyle w:val="TableParagraph"/>
                          <w:rPr>
                            <w:rFonts w:ascii="Times New Roman"/>
                            <w:sz w:val="14"/>
                          </w:rPr>
                        </w:pPr>
                      </w:p>
                    </w:tc>
                    <w:tc>
                      <w:tcPr>
                        <w:tcW w:w="861" w:type="dxa"/>
                      </w:tcPr>
                      <w:p>
                        <w:pPr>
                          <w:pStyle w:val="TableParagraph"/>
                          <w:rPr>
                            <w:rFonts w:ascii="Times New Roman"/>
                            <w:sz w:val="14"/>
                          </w:rPr>
                        </w:pPr>
                      </w:p>
                    </w:tc>
                    <w:tc>
                      <w:tcPr>
                        <w:tcW w:w="925" w:type="dxa"/>
                      </w:tcPr>
                      <w:p>
                        <w:pPr>
                          <w:pStyle w:val="TableParagraph"/>
                          <w:rPr>
                            <w:rFonts w:ascii="Times New Roman"/>
                            <w:sz w:val="14"/>
                          </w:rPr>
                        </w:pPr>
                      </w:p>
                    </w:tc>
                    <w:tc>
                      <w:tcPr>
                        <w:tcW w:w="613" w:type="dxa"/>
                      </w:tcPr>
                      <w:p>
                        <w:pPr>
                          <w:pStyle w:val="TableParagraph"/>
                          <w:rPr>
                            <w:rFonts w:ascii="Times New Roman"/>
                            <w:sz w:val="14"/>
                          </w:rPr>
                        </w:pPr>
                      </w:p>
                    </w:tc>
                    <w:tc>
                      <w:tcPr>
                        <w:tcW w:w="1002" w:type="dxa"/>
                      </w:tcPr>
                      <w:p>
                        <w:pPr>
                          <w:pStyle w:val="TableParagraph"/>
                          <w:rPr>
                            <w:rFonts w:ascii="Times New Roman"/>
                            <w:sz w:val="14"/>
                          </w:rPr>
                        </w:pPr>
                      </w:p>
                    </w:tc>
                  </w:tr>
                  <w:tr>
                    <w:trPr>
                      <w:trHeight w:val="345" w:hRule="atLeast"/>
                    </w:trPr>
                    <w:tc>
                      <w:tcPr>
                        <w:tcW w:w="6087" w:type="dxa"/>
                        <w:gridSpan w:val="3"/>
                      </w:tcPr>
                      <w:p>
                        <w:pPr>
                          <w:pStyle w:val="TableParagraph"/>
                          <w:spacing w:before="32"/>
                          <w:ind w:left="733"/>
                          <w:rPr>
                            <w:b/>
                            <w:sz w:val="14"/>
                          </w:rPr>
                        </w:pPr>
                        <w:r>
                          <w:rPr>
                            <w:b/>
                            <w:sz w:val="14"/>
                          </w:rPr>
                          <w:t>Persons with Disability</w:t>
                        </w: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spacing w:before="32"/>
                          <w:ind w:right="-15"/>
                          <w:jc w:val="right"/>
                          <w:rPr>
                            <w:b/>
                            <w:sz w:val="14"/>
                          </w:rPr>
                        </w:pPr>
                        <w:r>
                          <w:rPr>
                            <w:b/>
                            <w:sz w:val="14"/>
                          </w:rPr>
                          <w:t>5,000</w:t>
                        </w:r>
                      </w:p>
                    </w:tc>
                    <w:tc>
                      <w:tcPr>
                        <w:tcW w:w="1125" w:type="dxa"/>
                      </w:tcPr>
                      <w:p>
                        <w:pPr>
                          <w:pStyle w:val="TableParagraph"/>
                          <w:spacing w:before="32"/>
                          <w:ind w:right="203"/>
                          <w:jc w:val="right"/>
                          <w:rPr>
                            <w:b/>
                            <w:sz w:val="14"/>
                          </w:rPr>
                        </w:pPr>
                        <w:r>
                          <w:rPr>
                            <w:b/>
                            <w:sz w:val="14"/>
                          </w:rPr>
                          <w:t>2,600</w:t>
                        </w:r>
                      </w:p>
                    </w:tc>
                    <w:tc>
                      <w:tcPr>
                        <w:tcW w:w="861" w:type="dxa"/>
                      </w:tcPr>
                      <w:p>
                        <w:pPr>
                          <w:pStyle w:val="TableParagraph"/>
                          <w:spacing w:before="32"/>
                          <w:ind w:right="210"/>
                          <w:jc w:val="right"/>
                          <w:rPr>
                            <w:b/>
                            <w:sz w:val="14"/>
                          </w:rPr>
                        </w:pPr>
                        <w:r>
                          <w:rPr>
                            <w:b/>
                            <w:sz w:val="14"/>
                          </w:rPr>
                          <w:t>1,000</w:t>
                        </w:r>
                      </w:p>
                    </w:tc>
                    <w:tc>
                      <w:tcPr>
                        <w:tcW w:w="925" w:type="dxa"/>
                      </w:tcPr>
                      <w:p>
                        <w:pPr>
                          <w:pStyle w:val="TableParagraph"/>
                          <w:spacing w:before="32"/>
                          <w:ind w:left="279"/>
                          <w:rPr>
                            <w:b/>
                            <w:sz w:val="14"/>
                          </w:rPr>
                        </w:pPr>
                        <w:r>
                          <w:rPr>
                            <w:b/>
                            <w:sz w:val="14"/>
                          </w:rPr>
                          <w:t>2,860</w:t>
                        </w:r>
                      </w:p>
                    </w:tc>
                    <w:tc>
                      <w:tcPr>
                        <w:tcW w:w="1615" w:type="dxa"/>
                        <w:gridSpan w:val="2"/>
                      </w:tcPr>
                      <w:p>
                        <w:pPr>
                          <w:pStyle w:val="TableParagraph"/>
                          <w:tabs>
                            <w:tab w:pos="1202" w:val="left" w:leader="none"/>
                          </w:tabs>
                          <w:spacing w:before="32"/>
                          <w:ind w:left="615"/>
                          <w:rPr>
                            <w:b/>
                            <w:sz w:val="14"/>
                          </w:rPr>
                        </w:pPr>
                        <w:r>
                          <w:rPr>
                            <w:b/>
                            <w:sz w:val="14"/>
                          </w:rPr>
                          <w:t>-</w:t>
                          <w:tab/>
                        </w:r>
                        <w:r>
                          <w:rPr>
                            <w:b/>
                            <w:spacing w:val="5"/>
                            <w:sz w:val="14"/>
                          </w:rPr>
                          <w:t>3,146</w:t>
                        </w:r>
                      </w:p>
                    </w:tc>
                  </w:tr>
                  <w:tr>
                    <w:trPr>
                      <w:trHeight w:val="458" w:hRule="atLeast"/>
                    </w:trPr>
                    <w:tc>
                      <w:tcPr>
                        <w:tcW w:w="6087" w:type="dxa"/>
                        <w:gridSpan w:val="3"/>
                      </w:tcPr>
                      <w:p>
                        <w:pPr>
                          <w:pStyle w:val="TableParagraph"/>
                          <w:spacing w:before="9"/>
                          <w:rPr>
                            <w:sz w:val="12"/>
                          </w:rPr>
                        </w:pPr>
                      </w:p>
                      <w:p>
                        <w:pPr>
                          <w:pStyle w:val="TableParagraph"/>
                          <w:ind w:left="565"/>
                          <w:rPr>
                            <w:b/>
                            <w:sz w:val="14"/>
                          </w:rPr>
                        </w:pPr>
                        <w:r>
                          <w:rPr>
                            <w:b/>
                            <w:sz w:val="14"/>
                          </w:rPr>
                          <w:t>(MoSWC&amp;CA)</w:t>
                        </w:r>
                      </w:p>
                    </w:tc>
                    <w:tc>
                      <w:tcPr>
                        <w:tcW w:w="1074" w:type="dxa"/>
                      </w:tcPr>
                      <w:p>
                        <w:pPr>
                          <w:pStyle w:val="TableParagraph"/>
                          <w:rPr>
                            <w:rFonts w:ascii="Times New Roman"/>
                            <w:sz w:val="14"/>
                          </w:rPr>
                        </w:pPr>
                      </w:p>
                    </w:tc>
                    <w:tc>
                      <w:tcPr>
                        <w:tcW w:w="1113" w:type="dxa"/>
                      </w:tcPr>
                      <w:p>
                        <w:pPr>
                          <w:pStyle w:val="TableParagraph"/>
                          <w:rPr>
                            <w:rFonts w:ascii="Times New Roman"/>
                            <w:sz w:val="14"/>
                          </w:rPr>
                        </w:pPr>
                      </w:p>
                    </w:tc>
                    <w:tc>
                      <w:tcPr>
                        <w:tcW w:w="1287" w:type="dxa"/>
                      </w:tcPr>
                      <w:p>
                        <w:pPr>
                          <w:pStyle w:val="TableParagraph"/>
                          <w:rPr>
                            <w:rFonts w:ascii="Times New Roman"/>
                            <w:sz w:val="14"/>
                          </w:rPr>
                        </w:pPr>
                      </w:p>
                    </w:tc>
                    <w:tc>
                      <w:tcPr>
                        <w:tcW w:w="708" w:type="dxa"/>
                      </w:tcPr>
                      <w:p>
                        <w:pPr>
                          <w:pStyle w:val="TableParagraph"/>
                          <w:spacing w:before="9"/>
                          <w:rPr>
                            <w:sz w:val="12"/>
                          </w:rPr>
                        </w:pPr>
                      </w:p>
                      <w:p>
                        <w:pPr>
                          <w:pStyle w:val="TableParagraph"/>
                          <w:ind w:right="-15"/>
                          <w:jc w:val="right"/>
                          <w:rPr>
                            <w:b/>
                            <w:sz w:val="14"/>
                          </w:rPr>
                        </w:pPr>
                        <w:r>
                          <w:rPr>
                            <w:b/>
                            <w:sz w:val="14"/>
                          </w:rPr>
                          <w:t>5,000</w:t>
                        </w:r>
                      </w:p>
                    </w:tc>
                    <w:tc>
                      <w:tcPr>
                        <w:tcW w:w="1125" w:type="dxa"/>
                      </w:tcPr>
                      <w:p>
                        <w:pPr>
                          <w:pStyle w:val="TableParagraph"/>
                          <w:spacing w:before="9"/>
                          <w:rPr>
                            <w:sz w:val="12"/>
                          </w:rPr>
                        </w:pPr>
                      </w:p>
                      <w:p>
                        <w:pPr>
                          <w:pStyle w:val="TableParagraph"/>
                          <w:ind w:right="203"/>
                          <w:jc w:val="right"/>
                          <w:rPr>
                            <w:b/>
                            <w:sz w:val="14"/>
                          </w:rPr>
                        </w:pPr>
                        <w:r>
                          <w:rPr>
                            <w:b/>
                            <w:sz w:val="14"/>
                          </w:rPr>
                          <w:t>2,600</w:t>
                        </w:r>
                      </w:p>
                    </w:tc>
                    <w:tc>
                      <w:tcPr>
                        <w:tcW w:w="861" w:type="dxa"/>
                      </w:tcPr>
                      <w:p>
                        <w:pPr>
                          <w:pStyle w:val="TableParagraph"/>
                          <w:spacing w:before="9"/>
                          <w:rPr>
                            <w:sz w:val="12"/>
                          </w:rPr>
                        </w:pPr>
                      </w:p>
                      <w:p>
                        <w:pPr>
                          <w:pStyle w:val="TableParagraph"/>
                          <w:ind w:right="210"/>
                          <w:jc w:val="right"/>
                          <w:rPr>
                            <w:b/>
                            <w:sz w:val="14"/>
                          </w:rPr>
                        </w:pPr>
                        <w:r>
                          <w:rPr>
                            <w:b/>
                            <w:sz w:val="14"/>
                          </w:rPr>
                          <w:t>1,000</w:t>
                        </w:r>
                      </w:p>
                    </w:tc>
                    <w:tc>
                      <w:tcPr>
                        <w:tcW w:w="925" w:type="dxa"/>
                      </w:tcPr>
                      <w:p>
                        <w:pPr>
                          <w:pStyle w:val="TableParagraph"/>
                          <w:spacing w:before="9"/>
                          <w:rPr>
                            <w:sz w:val="12"/>
                          </w:rPr>
                        </w:pPr>
                      </w:p>
                      <w:p>
                        <w:pPr>
                          <w:pStyle w:val="TableParagraph"/>
                          <w:ind w:left="279"/>
                          <w:rPr>
                            <w:b/>
                            <w:sz w:val="14"/>
                          </w:rPr>
                        </w:pPr>
                        <w:r>
                          <w:rPr>
                            <w:b/>
                            <w:sz w:val="14"/>
                          </w:rPr>
                          <w:t>2,860</w:t>
                        </w:r>
                      </w:p>
                    </w:tc>
                    <w:tc>
                      <w:tcPr>
                        <w:tcW w:w="1615" w:type="dxa"/>
                        <w:gridSpan w:val="2"/>
                      </w:tcPr>
                      <w:p>
                        <w:pPr>
                          <w:pStyle w:val="TableParagraph"/>
                          <w:spacing w:before="9"/>
                          <w:rPr>
                            <w:sz w:val="12"/>
                          </w:rPr>
                        </w:pPr>
                      </w:p>
                      <w:p>
                        <w:pPr>
                          <w:pStyle w:val="TableParagraph"/>
                          <w:tabs>
                            <w:tab w:pos="1202" w:val="left" w:leader="none"/>
                          </w:tabs>
                          <w:ind w:left="615"/>
                          <w:rPr>
                            <w:b/>
                            <w:sz w:val="14"/>
                          </w:rPr>
                        </w:pPr>
                        <w:r>
                          <w:rPr>
                            <w:b/>
                            <w:sz w:val="14"/>
                          </w:rPr>
                          <w:t>-</w:t>
                          <w:tab/>
                        </w:r>
                        <w:r>
                          <w:rPr>
                            <w:b/>
                            <w:spacing w:val="5"/>
                            <w:sz w:val="14"/>
                          </w:rPr>
                          <w:t>3,146</w:t>
                        </w:r>
                      </w:p>
                    </w:tc>
                  </w:tr>
                  <w:tr>
                    <w:trPr>
                      <w:trHeight w:val="340" w:hRule="atLeast"/>
                    </w:trPr>
                    <w:tc>
                      <w:tcPr>
                        <w:tcW w:w="6087" w:type="dxa"/>
                        <w:gridSpan w:val="3"/>
                      </w:tcPr>
                      <w:p>
                        <w:pPr>
                          <w:pStyle w:val="TableParagraph"/>
                          <w:spacing w:before="6"/>
                          <w:rPr>
                            <w:sz w:val="12"/>
                          </w:rPr>
                        </w:pPr>
                      </w:p>
                      <w:p>
                        <w:pPr>
                          <w:pStyle w:val="TableParagraph"/>
                          <w:tabs>
                            <w:tab w:pos="5437" w:val="left" w:leader="none"/>
                          </w:tabs>
                          <w:spacing w:before="1"/>
                          <w:ind w:left="733"/>
                          <w:rPr>
                            <w:sz w:val="14"/>
                          </w:rPr>
                        </w:pPr>
                        <w:r>
                          <w:rPr>
                            <w:spacing w:val="2"/>
                            <w:sz w:val="14"/>
                          </w:rPr>
                          <w:t>Female</w:t>
                        </w:r>
                        <w:r>
                          <w:rPr>
                            <w:spacing w:val="-12"/>
                            <w:sz w:val="14"/>
                          </w:rPr>
                          <w:t> </w:t>
                        </w:r>
                        <w:r>
                          <w:rPr>
                            <w:spacing w:val="4"/>
                            <w:sz w:val="14"/>
                          </w:rPr>
                          <w:t>Entrepreneurs</w:t>
                          <w:tab/>
                        </w:r>
                        <w:r>
                          <w:rPr>
                            <w:sz w:val="14"/>
                          </w:rPr>
                          <w:t>New</w:t>
                        </w:r>
                      </w:p>
                    </w:tc>
                    <w:tc>
                      <w:tcPr>
                        <w:tcW w:w="1074" w:type="dxa"/>
                      </w:tcPr>
                      <w:p>
                        <w:pPr>
                          <w:pStyle w:val="TableParagraph"/>
                          <w:spacing w:before="6"/>
                          <w:rPr>
                            <w:sz w:val="12"/>
                          </w:rPr>
                        </w:pPr>
                      </w:p>
                      <w:p>
                        <w:pPr>
                          <w:pStyle w:val="TableParagraph"/>
                          <w:spacing w:before="1"/>
                          <w:ind w:left="89"/>
                          <w:rPr>
                            <w:sz w:val="14"/>
                          </w:rPr>
                        </w:pPr>
                        <w:r>
                          <w:rPr>
                            <w:sz w:val="14"/>
                          </w:rPr>
                          <w:t>Nationwide</w:t>
                        </w:r>
                      </w:p>
                    </w:tc>
                    <w:tc>
                      <w:tcPr>
                        <w:tcW w:w="1113" w:type="dxa"/>
                      </w:tcPr>
                      <w:p>
                        <w:pPr>
                          <w:pStyle w:val="TableParagraph"/>
                          <w:spacing w:before="6"/>
                          <w:rPr>
                            <w:sz w:val="12"/>
                          </w:rPr>
                        </w:pPr>
                      </w:p>
                      <w:p>
                        <w:pPr>
                          <w:pStyle w:val="TableParagraph"/>
                          <w:spacing w:before="1"/>
                          <w:ind w:left="148"/>
                          <w:rPr>
                            <w:sz w:val="14"/>
                          </w:rPr>
                        </w:pPr>
                        <w:r>
                          <w:rPr>
                            <w:sz w:val="14"/>
                          </w:rPr>
                          <w:t>GoSL</w:t>
                        </w:r>
                      </w:p>
                    </w:tc>
                    <w:tc>
                      <w:tcPr>
                        <w:tcW w:w="1287" w:type="dxa"/>
                      </w:tcPr>
                      <w:p>
                        <w:pPr>
                          <w:pStyle w:val="TableParagraph"/>
                          <w:spacing w:before="6"/>
                          <w:rPr>
                            <w:sz w:val="12"/>
                          </w:rPr>
                        </w:pPr>
                      </w:p>
                      <w:p>
                        <w:pPr>
                          <w:pStyle w:val="TableParagraph"/>
                          <w:spacing w:before="1"/>
                          <w:ind w:left="283"/>
                          <w:rPr>
                            <w:sz w:val="14"/>
                          </w:rPr>
                        </w:pPr>
                        <w:r>
                          <w:rPr>
                            <w:sz w:val="14"/>
                          </w:rPr>
                          <w:t>Budget</w:t>
                        </w:r>
                      </w:p>
                    </w:tc>
                    <w:tc>
                      <w:tcPr>
                        <w:tcW w:w="708" w:type="dxa"/>
                      </w:tcPr>
                      <w:p>
                        <w:pPr>
                          <w:pStyle w:val="TableParagraph"/>
                          <w:rPr>
                            <w:rFonts w:ascii="Times New Roman"/>
                            <w:sz w:val="14"/>
                          </w:rPr>
                        </w:pPr>
                      </w:p>
                    </w:tc>
                    <w:tc>
                      <w:tcPr>
                        <w:tcW w:w="1125" w:type="dxa"/>
                      </w:tcPr>
                      <w:p>
                        <w:pPr>
                          <w:pStyle w:val="TableParagraph"/>
                          <w:spacing w:before="6"/>
                          <w:rPr>
                            <w:sz w:val="12"/>
                          </w:rPr>
                        </w:pPr>
                      </w:p>
                      <w:p>
                        <w:pPr>
                          <w:pStyle w:val="TableParagraph"/>
                          <w:spacing w:before="1"/>
                          <w:ind w:right="186"/>
                          <w:jc w:val="right"/>
                          <w:rPr>
                            <w:sz w:val="14"/>
                          </w:rPr>
                        </w:pPr>
                        <w:r>
                          <w:rPr>
                            <w:sz w:val="14"/>
                          </w:rPr>
                          <w:t>1,000</w:t>
                        </w:r>
                      </w:p>
                    </w:tc>
                    <w:tc>
                      <w:tcPr>
                        <w:tcW w:w="861" w:type="dxa"/>
                      </w:tcPr>
                      <w:p>
                        <w:pPr>
                          <w:pStyle w:val="TableParagraph"/>
                          <w:rPr>
                            <w:rFonts w:ascii="Times New Roman"/>
                            <w:sz w:val="14"/>
                          </w:rPr>
                        </w:pPr>
                      </w:p>
                    </w:tc>
                    <w:tc>
                      <w:tcPr>
                        <w:tcW w:w="925" w:type="dxa"/>
                      </w:tcPr>
                      <w:p>
                        <w:pPr>
                          <w:pStyle w:val="TableParagraph"/>
                          <w:spacing w:before="6"/>
                          <w:rPr>
                            <w:sz w:val="12"/>
                          </w:rPr>
                        </w:pPr>
                      </w:p>
                      <w:p>
                        <w:pPr>
                          <w:pStyle w:val="TableParagraph"/>
                          <w:spacing w:before="1"/>
                          <w:ind w:left="314"/>
                          <w:rPr>
                            <w:sz w:val="14"/>
                          </w:rPr>
                        </w:pPr>
                        <w:r>
                          <w:rPr>
                            <w:sz w:val="14"/>
                          </w:rPr>
                          <w:t>1,100</w:t>
                        </w:r>
                      </w:p>
                    </w:tc>
                    <w:tc>
                      <w:tcPr>
                        <w:tcW w:w="1615" w:type="dxa"/>
                        <w:gridSpan w:val="2"/>
                      </w:tcPr>
                      <w:p>
                        <w:pPr>
                          <w:pStyle w:val="TableParagraph"/>
                          <w:spacing w:before="6"/>
                          <w:rPr>
                            <w:sz w:val="12"/>
                          </w:rPr>
                        </w:pPr>
                      </w:p>
                      <w:p>
                        <w:pPr>
                          <w:pStyle w:val="TableParagraph"/>
                          <w:spacing w:before="1"/>
                          <w:ind w:right="16"/>
                          <w:jc w:val="right"/>
                          <w:rPr>
                            <w:sz w:val="14"/>
                          </w:rPr>
                        </w:pPr>
                        <w:r>
                          <w:rPr>
                            <w:sz w:val="14"/>
                          </w:rPr>
                          <w:t>1,210</w:t>
                        </w:r>
                      </w:p>
                    </w:tc>
                  </w:tr>
                </w:tbl>
                <w:p>
                  <w:pPr>
                    <w:pStyle w:val="BodyText"/>
                  </w:pPr>
                </w:p>
              </w:txbxContent>
            </v:textbox>
            <w10:wrap type="none"/>
          </v:shape>
        </w:pict>
      </w:r>
    </w:p>
    <w:p>
      <w:pPr>
        <w:tabs>
          <w:tab w:pos="11610" w:val="left" w:leader="none"/>
          <w:tab w:pos="13256" w:val="left" w:leader="none"/>
        </w:tabs>
        <w:spacing w:before="0"/>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spacing w:before="102"/>
        <w:ind w:left="0" w:right="10191" w:firstLine="0"/>
        <w:jc w:val="center"/>
        <w:rPr>
          <w:rFonts w:ascii="Arial"/>
          <w:b/>
          <w:sz w:val="14"/>
        </w:rPr>
      </w:pPr>
      <w:r>
        <w:rPr>
          <w:rFonts w:ascii="Arial"/>
          <w:sz w:val="14"/>
        </w:rPr>
        <w:t>305 </w:t>
      </w:r>
      <w:r>
        <w:rPr>
          <w:rFonts w:ascii="Arial"/>
          <w:b/>
          <w:sz w:val="14"/>
        </w:rPr>
        <w:t>Ministry of Social Welfare, Gender and Children Affairs</w:t>
      </w:r>
    </w:p>
    <w:p>
      <w:pPr>
        <w:pStyle w:val="BodyText"/>
        <w:rPr>
          <w:rFonts w:ascii="Arial"/>
          <w:b/>
          <w:sz w:val="16"/>
        </w:rPr>
      </w:pPr>
    </w:p>
    <w:p>
      <w:pPr>
        <w:spacing w:before="111"/>
        <w:ind w:left="0" w:right="10229" w:firstLine="0"/>
        <w:jc w:val="center"/>
        <w:rPr>
          <w:rFonts w:ascii="Arial" w:hAnsi="Arial"/>
          <w:sz w:val="14"/>
        </w:rPr>
      </w:pPr>
      <w:r>
        <w:rPr>
          <w:rFonts w:ascii="Arial" w:hAnsi="Arial"/>
          <w:sz w:val="14"/>
        </w:rPr>
        <w:t>Women’s Economic and Development Fund for</w:t>
      </w:r>
    </w:p>
    <w:p>
      <w:pPr>
        <w:spacing w:after="0"/>
        <w:jc w:val="center"/>
        <w:rPr>
          <w:rFonts w:ascii="Arial" w:hAnsi="Arial"/>
          <w:sz w:val="14"/>
        </w:rPr>
        <w:sectPr>
          <w:pgSz w:w="16840" w:h="11900" w:orient="landscape"/>
          <w:pgMar w:header="1107" w:footer="0" w:top="2040" w:bottom="280" w:left="880" w:right="920"/>
        </w:sectPr>
      </w:pPr>
    </w:p>
    <w:p>
      <w:pPr>
        <w:pStyle w:val="BodyText"/>
        <w:spacing w:before="9"/>
        <w:rPr>
          <w:rFonts w:ascii="Arial"/>
          <w:sz w:val="12"/>
        </w:rPr>
      </w:pPr>
      <w:r>
        <w:rPr/>
        <w:pict>
          <v:shape style="position:absolute;margin-left:27.140491pt;margin-top:280.110016pt;width:14.35pt;height:30.8pt;mso-position-horizontal-relative:page;mso-position-vertical-relative:page;z-index:2032" type="#_x0000_t202" filled="false" stroked="false">
            <v:textbox inset="0,0,0,0" style="layout-flow:vertical">
              <w:txbxContent>
                <w:p>
                  <w:pPr>
                    <w:spacing w:before="13"/>
                    <w:ind w:left="20" w:right="0" w:firstLine="0"/>
                    <w:jc w:val="left"/>
                    <w:rPr>
                      <w:rFonts w:ascii="Arial"/>
                      <w:sz w:val="22"/>
                    </w:rPr>
                  </w:pPr>
                  <w:r>
                    <w:rPr>
                      <w:rFonts w:ascii="Arial"/>
                      <w:sz w:val="22"/>
                    </w:rPr>
                    <w:t>xxxvii</w:t>
                  </w:r>
                </w:p>
              </w:txbxContent>
            </v:textbox>
            <w10:wrap type="none"/>
          </v:shape>
        </w:pict>
      </w:r>
    </w:p>
    <w:p>
      <w:pPr>
        <w:tabs>
          <w:tab w:pos="11610" w:val="left" w:leader="none"/>
          <w:tab w:pos="13256" w:val="left" w:leader="none"/>
        </w:tabs>
        <w:spacing w:before="0" w:after="33"/>
        <w:ind w:left="9968" w:right="0" w:firstLine="0"/>
        <w:jc w:val="left"/>
        <w:rPr>
          <w:rFonts w:ascii="Arial"/>
          <w:b/>
          <w:sz w:val="14"/>
        </w:rPr>
      </w:pP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4629"/>
        <w:gridCol w:w="988"/>
        <w:gridCol w:w="1074"/>
        <w:gridCol w:w="1119"/>
        <w:gridCol w:w="1121"/>
        <w:gridCol w:w="1067"/>
        <w:gridCol w:w="925"/>
        <w:gridCol w:w="860"/>
        <w:gridCol w:w="925"/>
        <w:gridCol w:w="770"/>
        <w:gridCol w:w="840"/>
      </w:tblGrid>
      <w:tr>
        <w:trPr>
          <w:trHeight w:val="445" w:hRule="atLeast"/>
        </w:trPr>
        <w:tc>
          <w:tcPr>
            <w:tcW w:w="470" w:type="dxa"/>
            <w:tcBorders>
              <w:top w:val="single" w:sz="4" w:space="0" w:color="000000"/>
              <w:bottom w:val="single" w:sz="18" w:space="0" w:color="000000"/>
            </w:tcBorders>
          </w:tcPr>
          <w:p>
            <w:pPr>
              <w:pStyle w:val="TableParagraph"/>
              <w:spacing w:before="22"/>
              <w:ind w:left="18"/>
              <w:rPr>
                <w:sz w:val="14"/>
              </w:rPr>
            </w:pPr>
            <w:r>
              <w:rPr>
                <w:spacing w:val="-3"/>
                <w:sz w:val="14"/>
              </w:rPr>
              <w:t>MDA</w:t>
            </w:r>
          </w:p>
          <w:p>
            <w:pPr>
              <w:pStyle w:val="TableParagraph"/>
              <w:spacing w:before="60"/>
              <w:ind w:left="18"/>
              <w:rPr>
                <w:sz w:val="14"/>
              </w:rPr>
            </w:pPr>
            <w:r>
              <w:rPr>
                <w:spacing w:val="2"/>
                <w:sz w:val="14"/>
              </w:rPr>
              <w:t>Code</w:t>
            </w:r>
          </w:p>
        </w:tc>
        <w:tc>
          <w:tcPr>
            <w:tcW w:w="4629" w:type="dxa"/>
            <w:tcBorders>
              <w:top w:val="single" w:sz="4" w:space="0" w:color="000000"/>
              <w:bottom w:val="single" w:sz="18" w:space="0" w:color="000000"/>
            </w:tcBorders>
          </w:tcPr>
          <w:p>
            <w:pPr>
              <w:pStyle w:val="TableParagraph"/>
              <w:spacing w:before="22"/>
              <w:ind w:left="114"/>
              <w:rPr>
                <w:sz w:val="14"/>
              </w:rPr>
            </w:pPr>
            <w:r>
              <w:rPr>
                <w:sz w:val="14"/>
              </w:rPr>
              <w:t>National Development Plan Cluster/ Ministry, Department</w:t>
            </w:r>
          </w:p>
          <w:p>
            <w:pPr>
              <w:pStyle w:val="TableParagraph"/>
              <w:spacing w:before="60"/>
              <w:ind w:left="114"/>
              <w:rPr>
                <w:sz w:val="14"/>
              </w:rPr>
            </w:pPr>
            <w:r>
              <w:rPr>
                <w:sz w:val="14"/>
              </w:rPr>
              <w:t>and Agency (MDAs)</w:t>
            </w:r>
          </w:p>
        </w:tc>
        <w:tc>
          <w:tcPr>
            <w:tcW w:w="988" w:type="dxa"/>
            <w:tcBorders>
              <w:top w:val="single" w:sz="4" w:space="0" w:color="000000"/>
              <w:bottom w:val="single" w:sz="18" w:space="0" w:color="000000"/>
            </w:tcBorders>
          </w:tcPr>
          <w:p>
            <w:pPr>
              <w:pStyle w:val="TableParagraph"/>
              <w:spacing w:before="22"/>
              <w:ind w:left="371"/>
              <w:rPr>
                <w:sz w:val="14"/>
              </w:rPr>
            </w:pPr>
            <w:r>
              <w:rPr>
                <w:sz w:val="14"/>
              </w:rPr>
              <w:t>Status</w:t>
            </w:r>
          </w:p>
        </w:tc>
        <w:tc>
          <w:tcPr>
            <w:tcW w:w="1074" w:type="dxa"/>
            <w:tcBorders>
              <w:top w:val="single" w:sz="4" w:space="0" w:color="000000"/>
              <w:bottom w:val="single" w:sz="18" w:space="0" w:color="000000"/>
            </w:tcBorders>
          </w:tcPr>
          <w:p>
            <w:pPr>
              <w:pStyle w:val="TableParagraph"/>
              <w:spacing w:before="22"/>
              <w:ind w:left="109"/>
              <w:rPr>
                <w:sz w:val="14"/>
              </w:rPr>
            </w:pPr>
            <w:r>
              <w:rPr>
                <w:sz w:val="14"/>
              </w:rPr>
              <w:t>Location</w:t>
            </w:r>
          </w:p>
        </w:tc>
        <w:tc>
          <w:tcPr>
            <w:tcW w:w="1119" w:type="dxa"/>
            <w:tcBorders>
              <w:top w:val="single" w:sz="4" w:space="0" w:color="000000"/>
              <w:bottom w:val="single" w:sz="18" w:space="0" w:color="000000"/>
            </w:tcBorders>
          </w:tcPr>
          <w:p>
            <w:pPr>
              <w:pStyle w:val="TableParagraph"/>
              <w:spacing w:before="22"/>
              <w:ind w:left="105"/>
              <w:rPr>
                <w:sz w:val="14"/>
              </w:rPr>
            </w:pPr>
            <w:r>
              <w:rPr>
                <w:spacing w:val="6"/>
                <w:sz w:val="14"/>
              </w:rPr>
              <w:t>Funding</w:t>
            </w:r>
          </w:p>
          <w:p>
            <w:pPr>
              <w:pStyle w:val="TableParagraph"/>
              <w:spacing w:before="60"/>
              <w:ind w:left="157"/>
              <w:rPr>
                <w:sz w:val="14"/>
              </w:rPr>
            </w:pPr>
            <w:r>
              <w:rPr>
                <w:spacing w:val="4"/>
                <w:sz w:val="14"/>
              </w:rPr>
              <w:t>Source</w:t>
            </w:r>
          </w:p>
        </w:tc>
        <w:tc>
          <w:tcPr>
            <w:tcW w:w="1121" w:type="dxa"/>
            <w:tcBorders>
              <w:top w:val="single" w:sz="4" w:space="0" w:color="000000"/>
              <w:bottom w:val="single" w:sz="18" w:space="0" w:color="000000"/>
            </w:tcBorders>
          </w:tcPr>
          <w:p>
            <w:pPr>
              <w:pStyle w:val="TableParagraph"/>
              <w:spacing w:before="22"/>
              <w:ind w:left="236" w:right="338"/>
              <w:jc w:val="center"/>
              <w:rPr>
                <w:sz w:val="14"/>
              </w:rPr>
            </w:pPr>
            <w:r>
              <w:rPr>
                <w:sz w:val="14"/>
              </w:rPr>
              <w:t>Funding</w:t>
            </w:r>
          </w:p>
          <w:p>
            <w:pPr>
              <w:pStyle w:val="TableParagraph"/>
              <w:spacing w:before="60"/>
              <w:ind w:left="236" w:right="278"/>
              <w:jc w:val="center"/>
              <w:rPr>
                <w:sz w:val="14"/>
              </w:rPr>
            </w:pPr>
            <w:r>
              <w:rPr>
                <w:sz w:val="14"/>
              </w:rPr>
              <w:t>Type</w:t>
            </w:r>
          </w:p>
        </w:tc>
        <w:tc>
          <w:tcPr>
            <w:tcW w:w="1067" w:type="dxa"/>
            <w:tcBorders>
              <w:top w:val="single" w:sz="4" w:space="0" w:color="000000"/>
              <w:bottom w:val="single" w:sz="18" w:space="0" w:color="000000"/>
            </w:tcBorders>
          </w:tcPr>
          <w:p>
            <w:pPr>
              <w:pStyle w:val="TableParagraph"/>
              <w:spacing w:before="22"/>
              <w:ind w:left="299"/>
              <w:rPr>
                <w:sz w:val="14"/>
              </w:rPr>
            </w:pPr>
            <w:r>
              <w:rPr>
                <w:sz w:val="14"/>
              </w:rPr>
              <w:t>Foreign</w:t>
            </w:r>
          </w:p>
        </w:tc>
        <w:tc>
          <w:tcPr>
            <w:tcW w:w="925" w:type="dxa"/>
            <w:tcBorders>
              <w:top w:val="single" w:sz="4" w:space="0" w:color="000000"/>
              <w:bottom w:val="single" w:sz="18" w:space="0" w:color="000000"/>
            </w:tcBorders>
          </w:tcPr>
          <w:p>
            <w:pPr>
              <w:pStyle w:val="TableParagraph"/>
              <w:spacing w:before="22"/>
              <w:ind w:right="145"/>
              <w:jc w:val="right"/>
              <w:rPr>
                <w:sz w:val="14"/>
              </w:rPr>
            </w:pPr>
            <w:r>
              <w:rPr>
                <w:w w:val="95"/>
                <w:sz w:val="14"/>
              </w:rPr>
              <w:t>Domestic</w:t>
            </w:r>
          </w:p>
        </w:tc>
        <w:tc>
          <w:tcPr>
            <w:tcW w:w="860" w:type="dxa"/>
            <w:tcBorders>
              <w:top w:val="single" w:sz="4" w:space="0" w:color="000000"/>
              <w:bottom w:val="single" w:sz="18" w:space="0" w:color="000000"/>
            </w:tcBorders>
          </w:tcPr>
          <w:p>
            <w:pPr>
              <w:pStyle w:val="TableParagraph"/>
              <w:spacing w:before="22"/>
              <w:ind w:right="208"/>
              <w:jc w:val="right"/>
              <w:rPr>
                <w:sz w:val="14"/>
              </w:rPr>
            </w:pPr>
            <w:r>
              <w:rPr>
                <w:w w:val="95"/>
                <w:sz w:val="14"/>
              </w:rPr>
              <w:t>Foreign</w:t>
            </w:r>
          </w:p>
        </w:tc>
        <w:tc>
          <w:tcPr>
            <w:tcW w:w="925" w:type="dxa"/>
            <w:tcBorders>
              <w:top w:val="single" w:sz="4" w:space="0" w:color="000000"/>
              <w:bottom w:val="single" w:sz="18" w:space="0" w:color="000000"/>
            </w:tcBorders>
          </w:tcPr>
          <w:p>
            <w:pPr>
              <w:pStyle w:val="TableParagraph"/>
              <w:spacing w:before="22"/>
              <w:ind w:left="207"/>
              <w:rPr>
                <w:sz w:val="14"/>
              </w:rPr>
            </w:pPr>
            <w:r>
              <w:rPr>
                <w:sz w:val="14"/>
              </w:rPr>
              <w:t>Domestic</w:t>
            </w:r>
          </w:p>
        </w:tc>
        <w:tc>
          <w:tcPr>
            <w:tcW w:w="770" w:type="dxa"/>
            <w:tcBorders>
              <w:top w:val="single" w:sz="4" w:space="0" w:color="000000"/>
              <w:bottom w:val="single" w:sz="18" w:space="0" w:color="000000"/>
            </w:tcBorders>
          </w:tcPr>
          <w:p>
            <w:pPr>
              <w:pStyle w:val="TableParagraph"/>
              <w:spacing w:before="22"/>
              <w:ind w:left="126"/>
              <w:rPr>
                <w:sz w:val="14"/>
              </w:rPr>
            </w:pPr>
            <w:r>
              <w:rPr>
                <w:sz w:val="14"/>
              </w:rPr>
              <w:t>Foreign</w:t>
            </w:r>
          </w:p>
        </w:tc>
        <w:tc>
          <w:tcPr>
            <w:tcW w:w="840" w:type="dxa"/>
            <w:tcBorders>
              <w:top w:val="single" w:sz="4" w:space="0" w:color="000000"/>
              <w:bottom w:val="single" w:sz="18" w:space="0" w:color="000000"/>
            </w:tcBorders>
          </w:tcPr>
          <w:p>
            <w:pPr>
              <w:pStyle w:val="TableParagraph"/>
              <w:spacing w:before="22"/>
              <w:ind w:left="158"/>
              <w:rPr>
                <w:sz w:val="14"/>
              </w:rPr>
            </w:pPr>
            <w:r>
              <w:rPr>
                <w:sz w:val="14"/>
              </w:rPr>
              <w:t>Domestic</w:t>
            </w:r>
          </w:p>
        </w:tc>
      </w:tr>
      <w:tr>
        <w:trPr>
          <w:trHeight w:val="229" w:hRule="atLeast"/>
        </w:trPr>
        <w:tc>
          <w:tcPr>
            <w:tcW w:w="470" w:type="dxa"/>
            <w:tcBorders>
              <w:top w:val="single" w:sz="18" w:space="0" w:color="000000"/>
            </w:tcBorders>
          </w:tcPr>
          <w:p>
            <w:pPr>
              <w:pStyle w:val="TableParagraph"/>
              <w:rPr>
                <w:rFonts w:ascii="Times New Roman"/>
                <w:sz w:val="14"/>
              </w:rPr>
            </w:pPr>
          </w:p>
        </w:tc>
        <w:tc>
          <w:tcPr>
            <w:tcW w:w="4629" w:type="dxa"/>
            <w:tcBorders>
              <w:top w:val="single" w:sz="18" w:space="0" w:color="000000"/>
            </w:tcBorders>
          </w:tcPr>
          <w:p>
            <w:pPr>
              <w:pStyle w:val="TableParagraph"/>
              <w:spacing w:before="31"/>
              <w:ind w:left="263"/>
              <w:rPr>
                <w:sz w:val="14"/>
              </w:rPr>
            </w:pPr>
            <w:r>
              <w:rPr>
                <w:sz w:val="14"/>
              </w:rPr>
              <w:t>Rehabilitation of Approved Schools and Remand Homes</w:t>
            </w:r>
          </w:p>
        </w:tc>
        <w:tc>
          <w:tcPr>
            <w:tcW w:w="988" w:type="dxa"/>
            <w:tcBorders>
              <w:top w:val="single" w:sz="18" w:space="0" w:color="000000"/>
            </w:tcBorders>
          </w:tcPr>
          <w:p>
            <w:pPr>
              <w:pStyle w:val="TableParagraph"/>
              <w:spacing w:before="31"/>
              <w:ind w:left="338"/>
              <w:rPr>
                <w:sz w:val="14"/>
              </w:rPr>
            </w:pPr>
            <w:r>
              <w:rPr>
                <w:sz w:val="14"/>
              </w:rPr>
              <w:t>New</w:t>
            </w:r>
          </w:p>
        </w:tc>
        <w:tc>
          <w:tcPr>
            <w:tcW w:w="1074" w:type="dxa"/>
            <w:tcBorders>
              <w:top w:val="single" w:sz="18" w:space="0" w:color="000000"/>
            </w:tcBorders>
          </w:tcPr>
          <w:p>
            <w:pPr>
              <w:pStyle w:val="TableParagraph"/>
              <w:spacing w:before="31"/>
              <w:ind w:left="89"/>
              <w:rPr>
                <w:sz w:val="14"/>
              </w:rPr>
            </w:pPr>
            <w:r>
              <w:rPr>
                <w:sz w:val="14"/>
              </w:rPr>
              <w:t>Nationwide</w:t>
            </w:r>
          </w:p>
        </w:tc>
        <w:tc>
          <w:tcPr>
            <w:tcW w:w="1119" w:type="dxa"/>
            <w:tcBorders>
              <w:top w:val="single" w:sz="18" w:space="0" w:color="000000"/>
            </w:tcBorders>
          </w:tcPr>
          <w:p>
            <w:pPr>
              <w:pStyle w:val="TableParagraph"/>
              <w:spacing w:before="31"/>
              <w:ind w:left="148"/>
              <w:rPr>
                <w:sz w:val="14"/>
              </w:rPr>
            </w:pPr>
            <w:r>
              <w:rPr>
                <w:sz w:val="14"/>
              </w:rPr>
              <w:t>GoSL</w:t>
            </w:r>
          </w:p>
        </w:tc>
        <w:tc>
          <w:tcPr>
            <w:tcW w:w="1121" w:type="dxa"/>
            <w:tcBorders>
              <w:top w:val="single" w:sz="18" w:space="0" w:color="000000"/>
            </w:tcBorders>
          </w:tcPr>
          <w:p>
            <w:pPr>
              <w:pStyle w:val="TableParagraph"/>
              <w:spacing w:before="31"/>
              <w:ind w:left="277"/>
              <w:rPr>
                <w:sz w:val="14"/>
              </w:rPr>
            </w:pPr>
            <w:r>
              <w:rPr>
                <w:sz w:val="14"/>
              </w:rPr>
              <w:t>Budget</w:t>
            </w:r>
          </w:p>
        </w:tc>
        <w:tc>
          <w:tcPr>
            <w:tcW w:w="1067" w:type="dxa"/>
            <w:tcBorders>
              <w:top w:val="single" w:sz="18" w:space="0" w:color="000000"/>
            </w:tcBorders>
          </w:tcPr>
          <w:p>
            <w:pPr>
              <w:pStyle w:val="TableParagraph"/>
              <w:rPr>
                <w:rFonts w:ascii="Times New Roman"/>
                <w:sz w:val="14"/>
              </w:rPr>
            </w:pPr>
          </w:p>
        </w:tc>
        <w:tc>
          <w:tcPr>
            <w:tcW w:w="925" w:type="dxa"/>
            <w:tcBorders>
              <w:top w:val="single" w:sz="18" w:space="0" w:color="000000"/>
            </w:tcBorders>
          </w:tcPr>
          <w:p>
            <w:pPr>
              <w:pStyle w:val="TableParagraph"/>
              <w:spacing w:before="31"/>
              <w:ind w:right="177"/>
              <w:jc w:val="right"/>
              <w:rPr>
                <w:sz w:val="14"/>
              </w:rPr>
            </w:pPr>
            <w:r>
              <w:rPr>
                <w:sz w:val="14"/>
              </w:rPr>
              <w:t>600</w:t>
            </w:r>
          </w:p>
        </w:tc>
        <w:tc>
          <w:tcPr>
            <w:tcW w:w="860" w:type="dxa"/>
            <w:tcBorders>
              <w:top w:val="single" w:sz="18" w:space="0" w:color="000000"/>
            </w:tcBorders>
          </w:tcPr>
          <w:p>
            <w:pPr>
              <w:pStyle w:val="TableParagraph"/>
              <w:rPr>
                <w:rFonts w:ascii="Times New Roman"/>
                <w:sz w:val="14"/>
              </w:rPr>
            </w:pPr>
          </w:p>
        </w:tc>
        <w:tc>
          <w:tcPr>
            <w:tcW w:w="925" w:type="dxa"/>
            <w:tcBorders>
              <w:top w:val="single" w:sz="18" w:space="0" w:color="000000"/>
            </w:tcBorders>
          </w:tcPr>
          <w:p>
            <w:pPr>
              <w:pStyle w:val="TableParagraph"/>
              <w:spacing w:before="31"/>
              <w:ind w:left="447"/>
              <w:rPr>
                <w:sz w:val="14"/>
              </w:rPr>
            </w:pPr>
            <w:r>
              <w:rPr>
                <w:sz w:val="14"/>
              </w:rPr>
              <w:t>660</w:t>
            </w:r>
          </w:p>
        </w:tc>
        <w:tc>
          <w:tcPr>
            <w:tcW w:w="770" w:type="dxa"/>
            <w:tcBorders>
              <w:top w:val="single" w:sz="18" w:space="0" w:color="000000"/>
            </w:tcBorders>
          </w:tcPr>
          <w:p>
            <w:pPr>
              <w:pStyle w:val="TableParagraph"/>
              <w:rPr>
                <w:rFonts w:ascii="Times New Roman"/>
                <w:sz w:val="14"/>
              </w:rPr>
            </w:pPr>
          </w:p>
        </w:tc>
        <w:tc>
          <w:tcPr>
            <w:tcW w:w="840" w:type="dxa"/>
            <w:tcBorders>
              <w:top w:val="single" w:sz="18" w:space="0" w:color="000000"/>
            </w:tcBorders>
          </w:tcPr>
          <w:p>
            <w:pPr>
              <w:pStyle w:val="TableParagraph"/>
              <w:spacing w:before="31"/>
              <w:ind w:right="1"/>
              <w:jc w:val="right"/>
              <w:rPr>
                <w:sz w:val="14"/>
              </w:rPr>
            </w:pPr>
            <w:r>
              <w:rPr>
                <w:sz w:val="14"/>
              </w:rPr>
              <w:t>726</w:t>
            </w:r>
          </w:p>
        </w:tc>
      </w:tr>
      <w:tr>
        <w:trPr>
          <w:trHeight w:val="806" w:hRule="atLeast"/>
        </w:trPr>
        <w:tc>
          <w:tcPr>
            <w:tcW w:w="470" w:type="dxa"/>
          </w:tcPr>
          <w:p>
            <w:pPr>
              <w:pStyle w:val="TableParagraph"/>
              <w:rPr>
                <w:rFonts w:ascii="Times New Roman"/>
                <w:sz w:val="14"/>
              </w:rPr>
            </w:pPr>
          </w:p>
        </w:tc>
        <w:tc>
          <w:tcPr>
            <w:tcW w:w="4629" w:type="dxa"/>
          </w:tcPr>
          <w:p>
            <w:pPr>
              <w:pStyle w:val="TableParagraph"/>
              <w:spacing w:line="343" w:lineRule="auto" w:before="32"/>
              <w:ind w:left="263" w:right="90"/>
              <w:rPr>
                <w:sz w:val="14"/>
              </w:rPr>
            </w:pPr>
            <w:r>
              <w:rPr>
                <w:sz w:val="14"/>
              </w:rPr>
              <w:t>Post Ebola Recovery Social Investment Fund (PERSIF) Rehabilitation of National Training Centre and Development of Curriculum for Short-Term Professional Training</w:t>
            </w:r>
          </w:p>
        </w:tc>
        <w:tc>
          <w:tcPr>
            <w:tcW w:w="988" w:type="dxa"/>
          </w:tcPr>
          <w:p>
            <w:pPr>
              <w:pStyle w:val="TableParagraph"/>
              <w:spacing w:before="32"/>
              <w:ind w:left="338"/>
              <w:rPr>
                <w:sz w:val="14"/>
              </w:rPr>
            </w:pPr>
            <w:r>
              <w:rPr>
                <w:sz w:val="14"/>
              </w:rPr>
              <w:t>Ongoing</w:t>
            </w:r>
          </w:p>
          <w:p>
            <w:pPr>
              <w:pStyle w:val="TableParagraph"/>
              <w:rPr>
                <w:b/>
                <w:sz w:val="16"/>
              </w:rPr>
            </w:pPr>
          </w:p>
          <w:p>
            <w:pPr>
              <w:pStyle w:val="TableParagraph"/>
              <w:spacing w:before="116"/>
              <w:ind w:left="315" w:right="351"/>
              <w:jc w:val="center"/>
              <w:rPr>
                <w:sz w:val="14"/>
              </w:rPr>
            </w:pPr>
            <w:r>
              <w:rPr>
                <w:sz w:val="14"/>
              </w:rPr>
              <w:t>New</w:t>
            </w:r>
          </w:p>
        </w:tc>
        <w:tc>
          <w:tcPr>
            <w:tcW w:w="1074" w:type="dxa"/>
          </w:tcPr>
          <w:p>
            <w:pPr>
              <w:pStyle w:val="TableParagraph"/>
              <w:spacing w:before="32"/>
              <w:ind w:left="89"/>
              <w:rPr>
                <w:sz w:val="14"/>
              </w:rPr>
            </w:pPr>
            <w:r>
              <w:rPr>
                <w:sz w:val="14"/>
              </w:rPr>
              <w:t>Nationwide</w:t>
            </w:r>
          </w:p>
          <w:p>
            <w:pPr>
              <w:pStyle w:val="TableParagraph"/>
              <w:rPr>
                <w:b/>
                <w:sz w:val="16"/>
              </w:rPr>
            </w:pPr>
          </w:p>
          <w:p>
            <w:pPr>
              <w:pStyle w:val="TableParagraph"/>
              <w:spacing w:before="116"/>
              <w:ind w:left="89"/>
              <w:rPr>
                <w:sz w:val="14"/>
              </w:rPr>
            </w:pPr>
            <w:r>
              <w:rPr>
                <w:sz w:val="14"/>
              </w:rPr>
              <w:t>Western Area</w:t>
            </w:r>
          </w:p>
        </w:tc>
        <w:tc>
          <w:tcPr>
            <w:tcW w:w="1119" w:type="dxa"/>
          </w:tcPr>
          <w:p>
            <w:pPr>
              <w:pStyle w:val="TableParagraph"/>
              <w:spacing w:before="32"/>
              <w:ind w:left="148"/>
              <w:rPr>
                <w:sz w:val="14"/>
              </w:rPr>
            </w:pPr>
            <w:r>
              <w:rPr>
                <w:sz w:val="14"/>
              </w:rPr>
              <w:t>AfDB/ GoSL</w:t>
            </w:r>
          </w:p>
          <w:p>
            <w:pPr>
              <w:pStyle w:val="TableParagraph"/>
              <w:rPr>
                <w:b/>
                <w:sz w:val="16"/>
              </w:rPr>
            </w:pPr>
          </w:p>
          <w:p>
            <w:pPr>
              <w:pStyle w:val="TableParagraph"/>
              <w:spacing w:before="116"/>
              <w:ind w:left="148"/>
              <w:rPr>
                <w:sz w:val="14"/>
              </w:rPr>
            </w:pPr>
            <w:r>
              <w:rPr>
                <w:sz w:val="14"/>
              </w:rPr>
              <w:t>GoSL</w:t>
            </w:r>
          </w:p>
        </w:tc>
        <w:tc>
          <w:tcPr>
            <w:tcW w:w="1121" w:type="dxa"/>
          </w:tcPr>
          <w:p>
            <w:pPr>
              <w:pStyle w:val="TableParagraph"/>
              <w:spacing w:before="32"/>
              <w:ind w:left="277"/>
              <w:rPr>
                <w:sz w:val="14"/>
              </w:rPr>
            </w:pPr>
            <w:r>
              <w:rPr>
                <w:spacing w:val="4"/>
                <w:sz w:val="14"/>
              </w:rPr>
              <w:t>Budget</w:t>
            </w:r>
          </w:p>
          <w:p>
            <w:pPr>
              <w:pStyle w:val="TableParagraph"/>
              <w:rPr>
                <w:b/>
                <w:sz w:val="16"/>
              </w:rPr>
            </w:pPr>
          </w:p>
          <w:p>
            <w:pPr>
              <w:pStyle w:val="TableParagraph"/>
              <w:spacing w:before="116"/>
              <w:ind w:left="277"/>
              <w:rPr>
                <w:sz w:val="14"/>
              </w:rPr>
            </w:pPr>
            <w:r>
              <w:rPr>
                <w:spacing w:val="4"/>
                <w:sz w:val="14"/>
              </w:rPr>
              <w:t>Budget</w:t>
            </w:r>
          </w:p>
        </w:tc>
        <w:tc>
          <w:tcPr>
            <w:tcW w:w="1067" w:type="dxa"/>
          </w:tcPr>
          <w:p>
            <w:pPr>
              <w:pStyle w:val="TableParagraph"/>
              <w:spacing w:before="32"/>
              <w:ind w:left="518"/>
              <w:rPr>
                <w:sz w:val="14"/>
              </w:rPr>
            </w:pPr>
            <w:r>
              <w:rPr>
                <w:sz w:val="14"/>
              </w:rPr>
              <w:t>5,000</w:t>
            </w:r>
          </w:p>
        </w:tc>
        <w:tc>
          <w:tcPr>
            <w:tcW w:w="925" w:type="dxa"/>
          </w:tcPr>
          <w:p>
            <w:pPr>
              <w:pStyle w:val="TableParagraph"/>
              <w:spacing w:before="32"/>
              <w:ind w:left="494"/>
              <w:rPr>
                <w:sz w:val="14"/>
              </w:rPr>
            </w:pPr>
            <w:r>
              <w:rPr>
                <w:spacing w:val="5"/>
                <w:sz w:val="14"/>
              </w:rPr>
              <w:t>500</w:t>
            </w:r>
          </w:p>
          <w:p>
            <w:pPr>
              <w:pStyle w:val="TableParagraph"/>
              <w:rPr>
                <w:b/>
                <w:sz w:val="16"/>
              </w:rPr>
            </w:pPr>
          </w:p>
          <w:p>
            <w:pPr>
              <w:pStyle w:val="TableParagraph"/>
              <w:spacing w:before="116"/>
              <w:ind w:left="494"/>
              <w:rPr>
                <w:sz w:val="14"/>
              </w:rPr>
            </w:pPr>
            <w:r>
              <w:rPr>
                <w:spacing w:val="5"/>
                <w:sz w:val="14"/>
              </w:rPr>
              <w:t>500</w:t>
            </w:r>
          </w:p>
        </w:tc>
        <w:tc>
          <w:tcPr>
            <w:tcW w:w="860" w:type="dxa"/>
          </w:tcPr>
          <w:p>
            <w:pPr>
              <w:pStyle w:val="TableParagraph"/>
              <w:spacing w:before="32"/>
              <w:ind w:right="197"/>
              <w:jc w:val="right"/>
              <w:rPr>
                <w:sz w:val="14"/>
              </w:rPr>
            </w:pPr>
            <w:r>
              <w:rPr>
                <w:sz w:val="14"/>
              </w:rPr>
              <w:t>1,000</w:t>
            </w:r>
          </w:p>
        </w:tc>
        <w:tc>
          <w:tcPr>
            <w:tcW w:w="925" w:type="dxa"/>
          </w:tcPr>
          <w:p>
            <w:pPr>
              <w:pStyle w:val="TableParagraph"/>
              <w:spacing w:before="32"/>
              <w:ind w:left="447"/>
              <w:rPr>
                <w:sz w:val="14"/>
              </w:rPr>
            </w:pPr>
            <w:r>
              <w:rPr>
                <w:spacing w:val="5"/>
                <w:sz w:val="14"/>
              </w:rPr>
              <w:t>550</w:t>
            </w:r>
          </w:p>
          <w:p>
            <w:pPr>
              <w:pStyle w:val="TableParagraph"/>
              <w:rPr>
                <w:b/>
                <w:sz w:val="16"/>
              </w:rPr>
            </w:pPr>
          </w:p>
          <w:p>
            <w:pPr>
              <w:pStyle w:val="TableParagraph"/>
              <w:spacing w:before="116"/>
              <w:ind w:left="447"/>
              <w:rPr>
                <w:sz w:val="14"/>
              </w:rPr>
            </w:pPr>
            <w:r>
              <w:rPr>
                <w:spacing w:val="5"/>
                <w:sz w:val="14"/>
              </w:rPr>
              <w:t>550</w:t>
            </w:r>
          </w:p>
        </w:tc>
        <w:tc>
          <w:tcPr>
            <w:tcW w:w="770" w:type="dxa"/>
          </w:tcPr>
          <w:p>
            <w:pPr>
              <w:pStyle w:val="TableParagraph"/>
              <w:rPr>
                <w:rFonts w:ascii="Times New Roman"/>
                <w:sz w:val="14"/>
              </w:rPr>
            </w:pPr>
          </w:p>
        </w:tc>
        <w:tc>
          <w:tcPr>
            <w:tcW w:w="840" w:type="dxa"/>
          </w:tcPr>
          <w:p>
            <w:pPr>
              <w:pStyle w:val="TableParagraph"/>
              <w:spacing w:before="32"/>
              <w:ind w:right="1"/>
              <w:jc w:val="right"/>
              <w:rPr>
                <w:sz w:val="14"/>
              </w:rPr>
            </w:pPr>
            <w:r>
              <w:rPr>
                <w:spacing w:val="5"/>
                <w:sz w:val="14"/>
              </w:rPr>
              <w:t>605</w:t>
            </w:r>
          </w:p>
          <w:p>
            <w:pPr>
              <w:pStyle w:val="TableParagraph"/>
              <w:rPr>
                <w:b/>
                <w:sz w:val="16"/>
              </w:rPr>
            </w:pPr>
          </w:p>
          <w:p>
            <w:pPr>
              <w:pStyle w:val="TableParagraph"/>
              <w:spacing w:before="116"/>
              <w:ind w:right="1"/>
              <w:jc w:val="right"/>
              <w:rPr>
                <w:sz w:val="14"/>
              </w:rPr>
            </w:pPr>
            <w:r>
              <w:rPr>
                <w:spacing w:val="5"/>
                <w:sz w:val="14"/>
              </w:rPr>
              <w:t>605</w:t>
            </w:r>
          </w:p>
        </w:tc>
      </w:tr>
      <w:tr>
        <w:trPr>
          <w:trHeight w:val="345" w:hRule="atLeast"/>
        </w:trPr>
        <w:tc>
          <w:tcPr>
            <w:tcW w:w="470" w:type="dxa"/>
          </w:tcPr>
          <w:p>
            <w:pPr>
              <w:pStyle w:val="TableParagraph"/>
              <w:rPr>
                <w:rFonts w:ascii="Times New Roman"/>
                <w:sz w:val="14"/>
              </w:rPr>
            </w:pPr>
          </w:p>
        </w:tc>
        <w:tc>
          <w:tcPr>
            <w:tcW w:w="4629" w:type="dxa"/>
          </w:tcPr>
          <w:p>
            <w:pPr>
              <w:pStyle w:val="TableParagraph"/>
              <w:spacing w:before="9"/>
              <w:rPr>
                <w:b/>
                <w:sz w:val="12"/>
              </w:rPr>
            </w:pPr>
          </w:p>
          <w:p>
            <w:pPr>
              <w:pStyle w:val="TableParagraph"/>
              <w:ind w:left="95"/>
              <w:rPr>
                <w:b/>
                <w:sz w:val="14"/>
              </w:rPr>
            </w:pPr>
            <w:r>
              <w:rPr>
                <w:b/>
                <w:sz w:val="14"/>
              </w:rPr>
              <w:t>Cluster Six: Youth Employment, Sports, and Migration</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spacing w:before="9"/>
              <w:rPr>
                <w:b/>
                <w:sz w:val="12"/>
              </w:rPr>
            </w:pPr>
          </w:p>
          <w:p>
            <w:pPr>
              <w:pStyle w:val="TableParagraph"/>
              <w:tabs>
                <w:tab w:pos="1312" w:val="left" w:leader="none"/>
              </w:tabs>
              <w:ind w:left="870"/>
              <w:rPr>
                <w:b/>
                <w:sz w:val="14"/>
              </w:rPr>
            </w:pPr>
            <w:r>
              <w:rPr>
                <w:b/>
                <w:sz w:val="14"/>
              </w:rPr>
              <w:t>-</w:t>
              <w:tab/>
            </w:r>
            <w:r>
              <w:rPr>
                <w:b/>
                <w:spacing w:val="6"/>
                <w:sz w:val="14"/>
              </w:rPr>
              <w:t>57,762</w:t>
            </w:r>
          </w:p>
        </w:tc>
        <w:tc>
          <w:tcPr>
            <w:tcW w:w="1785" w:type="dxa"/>
            <w:gridSpan w:val="2"/>
          </w:tcPr>
          <w:p>
            <w:pPr>
              <w:pStyle w:val="TableParagraph"/>
              <w:spacing w:before="9"/>
              <w:rPr>
                <w:b/>
                <w:sz w:val="12"/>
              </w:rPr>
            </w:pPr>
          </w:p>
          <w:p>
            <w:pPr>
              <w:pStyle w:val="TableParagraph"/>
              <w:tabs>
                <w:tab w:pos="1044" w:val="left" w:leader="none"/>
              </w:tabs>
              <w:ind w:left="639"/>
              <w:rPr>
                <w:b/>
                <w:sz w:val="14"/>
              </w:rPr>
            </w:pPr>
            <w:r>
              <w:rPr>
                <w:b/>
                <w:sz w:val="14"/>
              </w:rPr>
              <w:t>-</w:t>
              <w:tab/>
            </w:r>
            <w:r>
              <w:rPr>
                <w:b/>
                <w:spacing w:val="6"/>
                <w:sz w:val="14"/>
              </w:rPr>
              <w:t>29,038</w:t>
            </w:r>
          </w:p>
        </w:tc>
        <w:tc>
          <w:tcPr>
            <w:tcW w:w="1610" w:type="dxa"/>
            <w:gridSpan w:val="2"/>
          </w:tcPr>
          <w:p>
            <w:pPr>
              <w:pStyle w:val="TableParagraph"/>
              <w:spacing w:before="9"/>
              <w:rPr>
                <w:b/>
                <w:sz w:val="12"/>
              </w:rPr>
            </w:pPr>
          </w:p>
          <w:p>
            <w:pPr>
              <w:pStyle w:val="TableParagraph"/>
              <w:tabs>
                <w:tab w:pos="1107" w:val="left" w:leader="none"/>
              </w:tabs>
              <w:ind w:left="617"/>
              <w:rPr>
                <w:b/>
                <w:sz w:val="14"/>
              </w:rPr>
            </w:pPr>
            <w:r>
              <w:rPr>
                <w:b/>
                <w:sz w:val="14"/>
              </w:rPr>
              <w:t>-</w:t>
              <w:tab/>
            </w:r>
            <w:r>
              <w:rPr>
                <w:b/>
                <w:spacing w:val="6"/>
                <w:sz w:val="14"/>
              </w:rPr>
              <w:t>31,942</w:t>
            </w:r>
          </w:p>
        </w:tc>
      </w:tr>
      <w:tr>
        <w:trPr>
          <w:trHeight w:val="227" w:hRule="atLeast"/>
        </w:trPr>
        <w:tc>
          <w:tcPr>
            <w:tcW w:w="470" w:type="dxa"/>
          </w:tcPr>
          <w:p>
            <w:pPr>
              <w:pStyle w:val="TableParagraph"/>
              <w:spacing w:before="32"/>
              <w:ind w:left="124"/>
              <w:rPr>
                <w:sz w:val="14"/>
              </w:rPr>
            </w:pPr>
            <w:r>
              <w:rPr>
                <w:sz w:val="14"/>
              </w:rPr>
              <w:t>310</w:t>
            </w:r>
          </w:p>
        </w:tc>
        <w:tc>
          <w:tcPr>
            <w:tcW w:w="4629" w:type="dxa"/>
          </w:tcPr>
          <w:p>
            <w:pPr>
              <w:pStyle w:val="TableParagraph"/>
              <w:spacing w:before="32"/>
              <w:ind w:left="96"/>
              <w:rPr>
                <w:b/>
                <w:sz w:val="14"/>
              </w:rPr>
            </w:pPr>
            <w:r>
              <w:rPr>
                <w:b/>
                <w:sz w:val="14"/>
              </w:rPr>
              <w:t>Ministry of Youth Affairs (MoYA)</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tabs>
                <w:tab w:pos="1312" w:val="left" w:leader="none"/>
              </w:tabs>
              <w:spacing w:before="32"/>
              <w:ind w:left="870"/>
              <w:rPr>
                <w:b/>
                <w:sz w:val="14"/>
              </w:rPr>
            </w:pPr>
            <w:r>
              <w:rPr>
                <w:b/>
                <w:sz w:val="14"/>
              </w:rPr>
              <w:t>-</w:t>
              <w:tab/>
            </w:r>
            <w:r>
              <w:rPr>
                <w:b/>
                <w:spacing w:val="6"/>
                <w:sz w:val="14"/>
              </w:rPr>
              <w:t>56,362</w:t>
            </w:r>
          </w:p>
        </w:tc>
        <w:tc>
          <w:tcPr>
            <w:tcW w:w="1785" w:type="dxa"/>
            <w:gridSpan w:val="2"/>
          </w:tcPr>
          <w:p>
            <w:pPr>
              <w:pStyle w:val="TableParagraph"/>
              <w:tabs>
                <w:tab w:pos="1044" w:val="left" w:leader="none"/>
              </w:tabs>
              <w:spacing w:before="32"/>
              <w:ind w:left="639"/>
              <w:rPr>
                <w:b/>
                <w:sz w:val="14"/>
              </w:rPr>
            </w:pPr>
            <w:r>
              <w:rPr>
                <w:b/>
                <w:sz w:val="14"/>
              </w:rPr>
              <w:t>-</w:t>
              <w:tab/>
            </w:r>
            <w:r>
              <w:rPr>
                <w:b/>
                <w:spacing w:val="6"/>
                <w:sz w:val="14"/>
              </w:rPr>
              <w:t>27,498</w:t>
            </w:r>
          </w:p>
        </w:tc>
        <w:tc>
          <w:tcPr>
            <w:tcW w:w="1610" w:type="dxa"/>
            <w:gridSpan w:val="2"/>
          </w:tcPr>
          <w:p>
            <w:pPr>
              <w:pStyle w:val="TableParagraph"/>
              <w:tabs>
                <w:tab w:pos="1107" w:val="left" w:leader="none"/>
              </w:tabs>
              <w:spacing w:before="32"/>
              <w:ind w:left="617"/>
              <w:rPr>
                <w:b/>
                <w:sz w:val="14"/>
              </w:rPr>
            </w:pPr>
            <w:r>
              <w:rPr>
                <w:b/>
                <w:sz w:val="14"/>
              </w:rPr>
              <w:t>-</w:t>
              <w:tab/>
            </w:r>
            <w:r>
              <w:rPr>
                <w:b/>
                <w:spacing w:val="6"/>
                <w:sz w:val="14"/>
              </w:rPr>
              <w:t>30,248</w:t>
            </w:r>
          </w:p>
        </w:tc>
      </w:tr>
      <w:tr>
        <w:trPr>
          <w:trHeight w:val="228" w:hRule="atLeast"/>
        </w:trPr>
        <w:tc>
          <w:tcPr>
            <w:tcW w:w="470" w:type="dxa"/>
          </w:tcPr>
          <w:p>
            <w:pPr>
              <w:pStyle w:val="TableParagraph"/>
              <w:rPr>
                <w:rFonts w:ascii="Times New Roman"/>
                <w:sz w:val="14"/>
              </w:rPr>
            </w:pPr>
          </w:p>
        </w:tc>
        <w:tc>
          <w:tcPr>
            <w:tcW w:w="4629" w:type="dxa"/>
          </w:tcPr>
          <w:p>
            <w:pPr>
              <w:pStyle w:val="TableParagraph"/>
              <w:spacing w:before="29"/>
              <w:ind w:left="263"/>
              <w:rPr>
                <w:sz w:val="14"/>
              </w:rPr>
            </w:pPr>
            <w:r>
              <w:rPr>
                <w:sz w:val="14"/>
              </w:rPr>
              <w:t>Youth Entrepreneurship Scheme</w:t>
            </w:r>
          </w:p>
        </w:tc>
        <w:tc>
          <w:tcPr>
            <w:tcW w:w="988" w:type="dxa"/>
          </w:tcPr>
          <w:p>
            <w:pPr>
              <w:pStyle w:val="TableParagraph"/>
              <w:spacing w:before="29"/>
              <w:ind w:left="338"/>
              <w:rPr>
                <w:sz w:val="14"/>
              </w:rPr>
            </w:pPr>
            <w:r>
              <w:rPr>
                <w:sz w:val="14"/>
              </w:rPr>
              <w:t>Ongoing</w:t>
            </w:r>
          </w:p>
        </w:tc>
        <w:tc>
          <w:tcPr>
            <w:tcW w:w="1074" w:type="dxa"/>
          </w:tcPr>
          <w:p>
            <w:pPr>
              <w:pStyle w:val="TableParagraph"/>
              <w:spacing w:before="29"/>
              <w:ind w:left="89"/>
              <w:rPr>
                <w:sz w:val="14"/>
              </w:rPr>
            </w:pPr>
            <w:r>
              <w:rPr>
                <w:sz w:val="14"/>
              </w:rPr>
              <w:t>Nationwide</w:t>
            </w:r>
          </w:p>
        </w:tc>
        <w:tc>
          <w:tcPr>
            <w:tcW w:w="1119" w:type="dxa"/>
          </w:tcPr>
          <w:p>
            <w:pPr>
              <w:pStyle w:val="TableParagraph"/>
              <w:spacing w:before="29"/>
              <w:ind w:left="148"/>
              <w:rPr>
                <w:sz w:val="14"/>
              </w:rPr>
            </w:pPr>
            <w:r>
              <w:rPr>
                <w:sz w:val="14"/>
              </w:rPr>
              <w:t>GoSL</w:t>
            </w:r>
          </w:p>
        </w:tc>
        <w:tc>
          <w:tcPr>
            <w:tcW w:w="1121" w:type="dxa"/>
          </w:tcPr>
          <w:p>
            <w:pPr>
              <w:pStyle w:val="TableParagraph"/>
              <w:spacing w:before="29"/>
              <w:ind w:left="277"/>
              <w:rPr>
                <w:sz w:val="14"/>
              </w:rPr>
            </w:pPr>
            <w:r>
              <w:rPr>
                <w:sz w:val="14"/>
              </w:rPr>
              <w:t>Budget</w:t>
            </w:r>
          </w:p>
        </w:tc>
        <w:tc>
          <w:tcPr>
            <w:tcW w:w="1992" w:type="dxa"/>
            <w:gridSpan w:val="2"/>
          </w:tcPr>
          <w:p>
            <w:pPr>
              <w:pStyle w:val="TableParagraph"/>
              <w:spacing w:before="29"/>
              <w:ind w:right="191"/>
              <w:jc w:val="right"/>
              <w:rPr>
                <w:sz w:val="14"/>
              </w:rPr>
            </w:pPr>
            <w:r>
              <w:rPr>
                <w:w w:val="95"/>
                <w:sz w:val="14"/>
              </w:rPr>
              <w:t>30,000</w:t>
            </w:r>
          </w:p>
        </w:tc>
        <w:tc>
          <w:tcPr>
            <w:tcW w:w="1785" w:type="dxa"/>
            <w:gridSpan w:val="2"/>
          </w:tcPr>
          <w:p>
            <w:pPr>
              <w:pStyle w:val="TableParagraph"/>
              <w:spacing w:before="29"/>
              <w:ind w:left="1176"/>
              <w:rPr>
                <w:sz w:val="14"/>
              </w:rPr>
            </w:pPr>
            <w:r>
              <w:rPr>
                <w:sz w:val="14"/>
              </w:rPr>
              <w:t>5,000</w:t>
            </w:r>
          </w:p>
        </w:tc>
        <w:tc>
          <w:tcPr>
            <w:tcW w:w="1610" w:type="dxa"/>
            <w:gridSpan w:val="2"/>
          </w:tcPr>
          <w:p>
            <w:pPr>
              <w:pStyle w:val="TableParagraph"/>
              <w:spacing w:before="29"/>
              <w:ind w:right="9"/>
              <w:jc w:val="right"/>
              <w:rPr>
                <w:sz w:val="14"/>
              </w:rPr>
            </w:pPr>
            <w:r>
              <w:rPr>
                <w:sz w:val="14"/>
              </w:rPr>
              <w:t>5,500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Establishment of Youth Farms</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tabs>
                <w:tab w:pos="1338" w:val="left" w:leader="none"/>
              </w:tabs>
              <w:spacing w:before="32"/>
              <w:ind w:left="863"/>
              <w:rPr>
                <w:sz w:val="14"/>
              </w:rPr>
            </w:pPr>
            <w:r>
              <w:rPr>
                <w:sz w:val="14"/>
              </w:rPr>
              <w:t>-</w:t>
              <w:tab/>
            </w:r>
            <w:r>
              <w:rPr>
                <w:spacing w:val="5"/>
                <w:sz w:val="14"/>
              </w:rPr>
              <w:t>21,000</w:t>
            </w:r>
          </w:p>
        </w:tc>
        <w:tc>
          <w:tcPr>
            <w:tcW w:w="1785" w:type="dxa"/>
            <w:gridSpan w:val="2"/>
          </w:tcPr>
          <w:p>
            <w:pPr>
              <w:pStyle w:val="TableParagraph"/>
              <w:tabs>
                <w:tab w:pos="1084" w:val="left" w:leader="none"/>
              </w:tabs>
              <w:spacing w:before="32"/>
              <w:ind w:left="627"/>
              <w:rPr>
                <w:sz w:val="14"/>
              </w:rPr>
            </w:pPr>
            <w:r>
              <w:rPr>
                <w:sz w:val="14"/>
              </w:rPr>
              <w:t>-</w:t>
              <w:tab/>
            </w:r>
            <w:r>
              <w:rPr>
                <w:spacing w:val="5"/>
                <w:sz w:val="14"/>
              </w:rPr>
              <w:t>16,600</w:t>
            </w:r>
          </w:p>
        </w:tc>
        <w:tc>
          <w:tcPr>
            <w:tcW w:w="1610" w:type="dxa"/>
            <w:gridSpan w:val="2"/>
          </w:tcPr>
          <w:p>
            <w:pPr>
              <w:pStyle w:val="TableParagraph"/>
              <w:tabs>
                <w:tab w:pos="1132" w:val="left" w:leader="none"/>
              </w:tabs>
              <w:spacing w:before="32"/>
              <w:ind w:left="603"/>
              <w:rPr>
                <w:sz w:val="14"/>
              </w:rPr>
            </w:pPr>
            <w:r>
              <w:rPr>
                <w:sz w:val="14"/>
              </w:rPr>
              <w:t>-</w:t>
              <w:tab/>
            </w:r>
            <w:r>
              <w:rPr>
                <w:spacing w:val="5"/>
                <w:sz w:val="14"/>
              </w:rPr>
              <w:t>18,260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o/ w Social Mobilisation</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1,000</w:t>
            </w:r>
          </w:p>
        </w:tc>
        <w:tc>
          <w:tcPr>
            <w:tcW w:w="1785" w:type="dxa"/>
            <w:gridSpan w:val="2"/>
          </w:tcPr>
          <w:p>
            <w:pPr>
              <w:pStyle w:val="TableParagraph"/>
              <w:spacing w:before="32"/>
              <w:ind w:left="1176"/>
              <w:rPr>
                <w:sz w:val="14"/>
              </w:rPr>
            </w:pPr>
            <w:r>
              <w:rPr>
                <w:sz w:val="14"/>
              </w:rPr>
              <w:t>1,100</w:t>
            </w:r>
          </w:p>
        </w:tc>
        <w:tc>
          <w:tcPr>
            <w:tcW w:w="1610" w:type="dxa"/>
            <w:gridSpan w:val="2"/>
          </w:tcPr>
          <w:p>
            <w:pPr>
              <w:pStyle w:val="TableParagraph"/>
              <w:spacing w:before="32"/>
              <w:ind w:right="9"/>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357"/>
              <w:rPr>
                <w:sz w:val="14"/>
              </w:rPr>
            </w:pPr>
            <w:r>
              <w:rPr>
                <w:sz w:val="14"/>
              </w:rPr>
              <w:t>Training in farm Equipment Maintenance</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1,000</w:t>
            </w:r>
          </w:p>
        </w:tc>
        <w:tc>
          <w:tcPr>
            <w:tcW w:w="1785" w:type="dxa"/>
            <w:gridSpan w:val="2"/>
          </w:tcPr>
          <w:p>
            <w:pPr>
              <w:pStyle w:val="TableParagraph"/>
              <w:spacing w:before="32"/>
              <w:ind w:left="1176"/>
              <w:rPr>
                <w:sz w:val="14"/>
              </w:rPr>
            </w:pPr>
            <w:r>
              <w:rPr>
                <w:sz w:val="14"/>
              </w:rPr>
              <w:t>1,100</w:t>
            </w:r>
          </w:p>
        </w:tc>
        <w:tc>
          <w:tcPr>
            <w:tcW w:w="1610" w:type="dxa"/>
            <w:gridSpan w:val="2"/>
          </w:tcPr>
          <w:p>
            <w:pPr>
              <w:pStyle w:val="TableParagraph"/>
              <w:spacing w:before="32"/>
              <w:ind w:right="9"/>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431"/>
              <w:rPr>
                <w:sz w:val="14"/>
              </w:rPr>
            </w:pPr>
            <w:r>
              <w:rPr>
                <w:sz w:val="14"/>
              </w:rPr>
              <w:t>Training in Extension Services</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1,000</w:t>
            </w:r>
          </w:p>
        </w:tc>
        <w:tc>
          <w:tcPr>
            <w:tcW w:w="1785" w:type="dxa"/>
            <w:gridSpan w:val="2"/>
          </w:tcPr>
          <w:p>
            <w:pPr>
              <w:pStyle w:val="TableParagraph"/>
              <w:spacing w:before="32"/>
              <w:ind w:left="1176"/>
              <w:rPr>
                <w:sz w:val="14"/>
              </w:rPr>
            </w:pPr>
            <w:r>
              <w:rPr>
                <w:sz w:val="14"/>
              </w:rPr>
              <w:t>1,100</w:t>
            </w:r>
          </w:p>
        </w:tc>
        <w:tc>
          <w:tcPr>
            <w:tcW w:w="1610" w:type="dxa"/>
            <w:gridSpan w:val="2"/>
          </w:tcPr>
          <w:p>
            <w:pPr>
              <w:pStyle w:val="TableParagraph"/>
              <w:spacing w:before="32"/>
              <w:ind w:right="9"/>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604"/>
              <w:rPr>
                <w:sz w:val="14"/>
              </w:rPr>
            </w:pPr>
            <w:r>
              <w:rPr>
                <w:sz w:val="14"/>
              </w:rPr>
              <w:t>Labour Cost</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91"/>
              <w:jc w:val="right"/>
              <w:rPr>
                <w:sz w:val="14"/>
              </w:rPr>
            </w:pPr>
            <w:r>
              <w:rPr>
                <w:w w:val="95"/>
                <w:sz w:val="14"/>
              </w:rPr>
              <w:t>15,000</w:t>
            </w:r>
          </w:p>
        </w:tc>
        <w:tc>
          <w:tcPr>
            <w:tcW w:w="1785" w:type="dxa"/>
            <w:gridSpan w:val="2"/>
          </w:tcPr>
          <w:p>
            <w:pPr>
              <w:pStyle w:val="TableParagraph"/>
              <w:spacing w:before="32"/>
              <w:ind w:left="1084"/>
              <w:rPr>
                <w:sz w:val="14"/>
              </w:rPr>
            </w:pPr>
            <w:r>
              <w:rPr>
                <w:sz w:val="14"/>
              </w:rPr>
              <w:t>10,000</w:t>
            </w:r>
          </w:p>
        </w:tc>
        <w:tc>
          <w:tcPr>
            <w:tcW w:w="1610" w:type="dxa"/>
            <w:gridSpan w:val="2"/>
          </w:tcPr>
          <w:p>
            <w:pPr>
              <w:pStyle w:val="TableParagraph"/>
              <w:spacing w:before="32"/>
              <w:ind w:right="15"/>
              <w:jc w:val="right"/>
              <w:rPr>
                <w:sz w:val="14"/>
              </w:rPr>
            </w:pPr>
            <w:r>
              <w:rPr>
                <w:w w:val="95"/>
                <w:sz w:val="14"/>
              </w:rPr>
              <w:t>11,000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604"/>
              <w:rPr>
                <w:sz w:val="14"/>
              </w:rPr>
            </w:pPr>
            <w:r>
              <w:rPr>
                <w:sz w:val="14"/>
              </w:rPr>
              <w:t>Monitoring and Coordination</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1,000</w:t>
            </w:r>
          </w:p>
        </w:tc>
        <w:tc>
          <w:tcPr>
            <w:tcW w:w="1785" w:type="dxa"/>
            <w:gridSpan w:val="2"/>
          </w:tcPr>
          <w:p>
            <w:pPr>
              <w:pStyle w:val="TableParagraph"/>
              <w:spacing w:before="32"/>
              <w:ind w:left="1176"/>
              <w:rPr>
                <w:sz w:val="14"/>
              </w:rPr>
            </w:pPr>
            <w:r>
              <w:rPr>
                <w:sz w:val="14"/>
              </w:rPr>
              <w:t>1,100</w:t>
            </w:r>
          </w:p>
        </w:tc>
        <w:tc>
          <w:tcPr>
            <w:tcW w:w="1610" w:type="dxa"/>
            <w:gridSpan w:val="2"/>
          </w:tcPr>
          <w:p>
            <w:pPr>
              <w:pStyle w:val="TableParagraph"/>
              <w:spacing w:before="32"/>
              <w:ind w:right="9"/>
              <w:jc w:val="right"/>
              <w:rPr>
                <w:sz w:val="14"/>
              </w:rPr>
            </w:pPr>
            <w:r>
              <w:rPr>
                <w:sz w:val="14"/>
              </w:rPr>
              <w:t>1,210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431"/>
              <w:rPr>
                <w:sz w:val="14"/>
              </w:rPr>
            </w:pPr>
            <w:r>
              <w:rPr>
                <w:sz w:val="14"/>
              </w:rPr>
              <w:t>Establishment of Demonstration Farms</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2,000</w:t>
            </w:r>
          </w:p>
        </w:tc>
        <w:tc>
          <w:tcPr>
            <w:tcW w:w="1785" w:type="dxa"/>
            <w:gridSpan w:val="2"/>
          </w:tcPr>
          <w:p>
            <w:pPr>
              <w:pStyle w:val="TableParagraph"/>
              <w:spacing w:before="32"/>
              <w:ind w:left="1176"/>
              <w:rPr>
                <w:sz w:val="14"/>
              </w:rPr>
            </w:pPr>
            <w:r>
              <w:rPr>
                <w:sz w:val="14"/>
              </w:rPr>
              <w:t>2,200</w:t>
            </w:r>
          </w:p>
        </w:tc>
        <w:tc>
          <w:tcPr>
            <w:tcW w:w="1610" w:type="dxa"/>
            <w:gridSpan w:val="2"/>
          </w:tcPr>
          <w:p>
            <w:pPr>
              <w:pStyle w:val="TableParagraph"/>
              <w:spacing w:before="32"/>
              <w:ind w:right="9"/>
              <w:jc w:val="right"/>
              <w:rPr>
                <w:sz w:val="14"/>
              </w:rPr>
            </w:pPr>
            <w:r>
              <w:rPr>
                <w:sz w:val="14"/>
              </w:rPr>
              <w:t>2,420</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Youth in Fisheries Project</w:t>
            </w:r>
          </w:p>
        </w:tc>
        <w:tc>
          <w:tcPr>
            <w:tcW w:w="988" w:type="dxa"/>
          </w:tcPr>
          <w:p>
            <w:pPr>
              <w:pStyle w:val="TableParagraph"/>
              <w:spacing w:before="32"/>
              <w:ind w:left="338"/>
              <w:rPr>
                <w:sz w:val="14"/>
              </w:rPr>
            </w:pPr>
            <w:r>
              <w:rPr>
                <w:sz w:val="14"/>
              </w:rPr>
              <w:t>Ongoing</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3,362</w:t>
            </w:r>
          </w:p>
        </w:tc>
        <w:tc>
          <w:tcPr>
            <w:tcW w:w="1785" w:type="dxa"/>
            <w:gridSpan w:val="2"/>
          </w:tcPr>
          <w:p>
            <w:pPr>
              <w:pStyle w:val="TableParagraph"/>
              <w:spacing w:before="32"/>
              <w:ind w:left="1176"/>
              <w:rPr>
                <w:sz w:val="14"/>
              </w:rPr>
            </w:pPr>
            <w:r>
              <w:rPr>
                <w:sz w:val="14"/>
              </w:rPr>
              <w:t>3,698</w:t>
            </w:r>
          </w:p>
        </w:tc>
        <w:tc>
          <w:tcPr>
            <w:tcW w:w="1610" w:type="dxa"/>
            <w:gridSpan w:val="2"/>
          </w:tcPr>
          <w:p>
            <w:pPr>
              <w:pStyle w:val="TableParagraph"/>
              <w:spacing w:before="32"/>
              <w:ind w:right="9"/>
              <w:jc w:val="right"/>
              <w:rPr>
                <w:sz w:val="14"/>
              </w:rPr>
            </w:pPr>
            <w:r>
              <w:rPr>
                <w:sz w:val="14"/>
              </w:rPr>
              <w:t>4,068</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Car Wash Center Project</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2,000</w:t>
            </w:r>
          </w:p>
        </w:tc>
        <w:tc>
          <w:tcPr>
            <w:tcW w:w="1785" w:type="dxa"/>
            <w:gridSpan w:val="2"/>
          </w:tcPr>
          <w:p>
            <w:pPr>
              <w:pStyle w:val="TableParagraph"/>
              <w:spacing w:before="32"/>
              <w:ind w:left="1176"/>
              <w:rPr>
                <w:sz w:val="14"/>
              </w:rPr>
            </w:pPr>
            <w:r>
              <w:rPr>
                <w:sz w:val="14"/>
              </w:rPr>
              <w:t>2,200</w:t>
            </w:r>
          </w:p>
        </w:tc>
        <w:tc>
          <w:tcPr>
            <w:tcW w:w="1610" w:type="dxa"/>
            <w:gridSpan w:val="2"/>
          </w:tcPr>
          <w:p>
            <w:pPr>
              <w:pStyle w:val="TableParagraph"/>
              <w:spacing w:before="32"/>
              <w:ind w:right="9"/>
              <w:jc w:val="right"/>
              <w:rPr>
                <w:sz w:val="14"/>
              </w:rPr>
            </w:pPr>
            <w:r>
              <w:rPr>
                <w:sz w:val="14"/>
              </w:rPr>
              <w:t>2,420</w:t>
            </w:r>
          </w:p>
        </w:tc>
      </w:tr>
      <w:tr>
        <w:trPr>
          <w:trHeight w:val="230" w:hRule="atLeast"/>
        </w:trPr>
        <w:tc>
          <w:tcPr>
            <w:tcW w:w="470" w:type="dxa"/>
          </w:tcPr>
          <w:p>
            <w:pPr>
              <w:pStyle w:val="TableParagraph"/>
              <w:spacing w:before="32"/>
              <w:ind w:left="124"/>
              <w:rPr>
                <w:sz w:val="14"/>
              </w:rPr>
            </w:pPr>
            <w:r>
              <w:rPr>
                <w:sz w:val="14"/>
              </w:rPr>
              <w:t>310</w:t>
            </w:r>
          </w:p>
        </w:tc>
        <w:tc>
          <w:tcPr>
            <w:tcW w:w="4629" w:type="dxa"/>
          </w:tcPr>
          <w:p>
            <w:pPr>
              <w:pStyle w:val="TableParagraph"/>
              <w:spacing w:before="32"/>
              <w:ind w:left="95"/>
              <w:rPr>
                <w:b/>
                <w:sz w:val="14"/>
              </w:rPr>
            </w:pPr>
            <w:r>
              <w:rPr>
                <w:b/>
                <w:sz w:val="14"/>
              </w:rPr>
              <w:t>National Youth Commssion</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spacing w:before="32"/>
              <w:ind w:right="162"/>
              <w:jc w:val="right"/>
              <w:rPr>
                <w:b/>
                <w:sz w:val="14"/>
              </w:rPr>
            </w:pPr>
            <w:r>
              <w:rPr>
                <w:b/>
                <w:w w:val="99"/>
                <w:sz w:val="14"/>
              </w:rPr>
              <w:t>-</w:t>
            </w:r>
          </w:p>
        </w:tc>
        <w:tc>
          <w:tcPr>
            <w:tcW w:w="1785" w:type="dxa"/>
            <w:gridSpan w:val="2"/>
          </w:tcPr>
          <w:p>
            <w:pPr>
              <w:pStyle w:val="TableParagraph"/>
              <w:tabs>
                <w:tab w:pos="1488" w:val="left" w:leader="none"/>
              </w:tabs>
              <w:spacing w:before="32"/>
              <w:ind w:left="286"/>
              <w:rPr>
                <w:b/>
                <w:sz w:val="14"/>
              </w:rPr>
            </w:pPr>
            <w:r>
              <w:rPr>
                <w:b/>
                <w:spacing w:val="5"/>
                <w:sz w:val="14"/>
              </w:rPr>
              <w:t>1,000</w:t>
              <w:tab/>
            </w:r>
            <w:r>
              <w:rPr>
                <w:b/>
                <w:sz w:val="14"/>
              </w:rPr>
              <w:t>-</w:t>
            </w:r>
          </w:p>
        </w:tc>
        <w:tc>
          <w:tcPr>
            <w:tcW w:w="1610" w:type="dxa"/>
            <w:gridSpan w:val="2"/>
          </w:tcPr>
          <w:p>
            <w:pPr>
              <w:pStyle w:val="TableParagraph"/>
              <w:tabs>
                <w:tab w:pos="1524" w:val="left" w:leader="none"/>
              </w:tabs>
              <w:spacing w:before="32"/>
              <w:ind w:left="239"/>
              <w:rPr>
                <w:b/>
                <w:sz w:val="14"/>
              </w:rPr>
            </w:pPr>
            <w:r>
              <w:rPr>
                <w:b/>
                <w:spacing w:val="5"/>
                <w:sz w:val="14"/>
              </w:rPr>
              <w:t>1,100</w:t>
              <w:tab/>
            </w:r>
            <w:r>
              <w:rPr>
                <w:b/>
                <w:sz w:val="14"/>
              </w:rPr>
              <w:t>-</w:t>
            </w:r>
          </w:p>
        </w:tc>
      </w:tr>
      <w:tr>
        <w:trPr>
          <w:trHeight w:val="230" w:hRule="atLeast"/>
        </w:trPr>
        <w:tc>
          <w:tcPr>
            <w:tcW w:w="470" w:type="dxa"/>
          </w:tcPr>
          <w:p>
            <w:pPr>
              <w:pStyle w:val="TableParagraph"/>
              <w:rPr>
                <w:rFonts w:ascii="Times New Roman"/>
                <w:sz w:val="14"/>
              </w:rPr>
            </w:pPr>
          </w:p>
        </w:tc>
        <w:tc>
          <w:tcPr>
            <w:tcW w:w="4629" w:type="dxa"/>
          </w:tcPr>
          <w:p>
            <w:pPr>
              <w:pStyle w:val="TableParagraph"/>
              <w:rPr>
                <w:rFonts w:ascii="Times New Roman"/>
                <w:sz w:val="14"/>
              </w:rPr>
            </w:pP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rPr>
                <w:rFonts w:ascii="Times New Roman"/>
                <w:sz w:val="14"/>
              </w:rPr>
            </w:pPr>
          </w:p>
        </w:tc>
        <w:tc>
          <w:tcPr>
            <w:tcW w:w="1785" w:type="dxa"/>
            <w:gridSpan w:val="2"/>
          </w:tcPr>
          <w:p>
            <w:pPr>
              <w:pStyle w:val="TableParagraph"/>
              <w:rPr>
                <w:rFonts w:ascii="Times New Roman"/>
                <w:sz w:val="14"/>
              </w:rPr>
            </w:pPr>
          </w:p>
        </w:tc>
        <w:tc>
          <w:tcPr>
            <w:tcW w:w="1610" w:type="dxa"/>
            <w:gridSpan w:val="2"/>
          </w:tcPr>
          <w:p>
            <w:pPr>
              <w:pStyle w:val="TableParagraph"/>
              <w:spacing w:before="32"/>
              <w:ind w:right="25"/>
              <w:jc w:val="right"/>
              <w:rPr>
                <w:b/>
                <w:sz w:val="14"/>
              </w:rPr>
            </w:pPr>
            <w:r>
              <w:rPr>
                <w:b/>
                <w:sz w:val="14"/>
              </w:rPr>
              <w:t>1,210</w:t>
            </w:r>
          </w:p>
        </w:tc>
      </w:tr>
      <w:tr>
        <w:trPr>
          <w:trHeight w:val="228" w:hRule="atLeast"/>
        </w:trPr>
        <w:tc>
          <w:tcPr>
            <w:tcW w:w="470" w:type="dxa"/>
          </w:tcPr>
          <w:p>
            <w:pPr>
              <w:pStyle w:val="TableParagraph"/>
              <w:rPr>
                <w:rFonts w:ascii="Times New Roman"/>
                <w:sz w:val="14"/>
              </w:rPr>
            </w:pPr>
          </w:p>
        </w:tc>
        <w:tc>
          <w:tcPr>
            <w:tcW w:w="4629" w:type="dxa"/>
          </w:tcPr>
          <w:p>
            <w:pPr>
              <w:pStyle w:val="TableParagraph"/>
              <w:spacing w:before="32"/>
              <w:ind w:left="95"/>
              <w:rPr>
                <w:sz w:val="14"/>
              </w:rPr>
            </w:pPr>
            <w:r>
              <w:rPr>
                <w:sz w:val="14"/>
              </w:rPr>
              <w:t>Youth Empowerment Fund</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spacing w:before="32"/>
              <w:ind w:right="185"/>
              <w:jc w:val="right"/>
              <w:rPr>
                <w:sz w:val="14"/>
              </w:rPr>
            </w:pPr>
            <w:r>
              <w:rPr>
                <w:sz w:val="14"/>
              </w:rPr>
              <w:t>1,000</w:t>
            </w:r>
          </w:p>
        </w:tc>
        <w:tc>
          <w:tcPr>
            <w:tcW w:w="1785" w:type="dxa"/>
            <w:gridSpan w:val="2"/>
          </w:tcPr>
          <w:p>
            <w:pPr>
              <w:pStyle w:val="TableParagraph"/>
              <w:spacing w:before="32"/>
              <w:ind w:left="1176"/>
              <w:rPr>
                <w:sz w:val="14"/>
              </w:rPr>
            </w:pPr>
            <w:r>
              <w:rPr>
                <w:sz w:val="14"/>
              </w:rPr>
              <w:t>1,100</w:t>
            </w:r>
          </w:p>
        </w:tc>
        <w:tc>
          <w:tcPr>
            <w:tcW w:w="1610" w:type="dxa"/>
            <w:gridSpan w:val="2"/>
          </w:tcPr>
          <w:p>
            <w:pPr>
              <w:pStyle w:val="TableParagraph"/>
              <w:spacing w:before="32"/>
              <w:ind w:right="9"/>
              <w:jc w:val="right"/>
              <w:rPr>
                <w:sz w:val="14"/>
              </w:rPr>
            </w:pPr>
            <w:r>
              <w:rPr>
                <w:sz w:val="14"/>
              </w:rPr>
              <w:t>1,210</w:t>
            </w:r>
          </w:p>
        </w:tc>
      </w:tr>
      <w:tr>
        <w:trPr>
          <w:trHeight w:val="228" w:hRule="atLeast"/>
        </w:trPr>
        <w:tc>
          <w:tcPr>
            <w:tcW w:w="470" w:type="dxa"/>
          </w:tcPr>
          <w:p>
            <w:pPr>
              <w:pStyle w:val="TableParagraph"/>
              <w:spacing w:before="29"/>
              <w:ind w:left="124"/>
              <w:rPr>
                <w:sz w:val="14"/>
              </w:rPr>
            </w:pPr>
            <w:r>
              <w:rPr>
                <w:sz w:val="14"/>
              </w:rPr>
              <w:t>313</w:t>
            </w:r>
          </w:p>
        </w:tc>
        <w:tc>
          <w:tcPr>
            <w:tcW w:w="4629" w:type="dxa"/>
          </w:tcPr>
          <w:p>
            <w:pPr>
              <w:pStyle w:val="TableParagraph"/>
              <w:spacing w:before="29"/>
              <w:ind w:left="95"/>
              <w:rPr>
                <w:b/>
                <w:sz w:val="14"/>
              </w:rPr>
            </w:pPr>
            <w:r>
              <w:rPr>
                <w:b/>
                <w:sz w:val="14"/>
              </w:rPr>
              <w:t>National Youth Services</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spacing w:before="29"/>
              <w:ind w:right="162"/>
              <w:jc w:val="right"/>
              <w:rPr>
                <w:b/>
                <w:sz w:val="14"/>
              </w:rPr>
            </w:pPr>
            <w:r>
              <w:rPr>
                <w:b/>
                <w:w w:val="99"/>
                <w:sz w:val="14"/>
              </w:rPr>
              <w:t>-</w:t>
            </w:r>
          </w:p>
        </w:tc>
        <w:tc>
          <w:tcPr>
            <w:tcW w:w="1785" w:type="dxa"/>
            <w:gridSpan w:val="2"/>
          </w:tcPr>
          <w:p>
            <w:pPr>
              <w:pStyle w:val="TableParagraph"/>
              <w:tabs>
                <w:tab w:pos="1488" w:val="left" w:leader="none"/>
              </w:tabs>
              <w:spacing w:before="29"/>
              <w:ind w:left="442"/>
              <w:rPr>
                <w:b/>
                <w:sz w:val="14"/>
              </w:rPr>
            </w:pPr>
            <w:r>
              <w:rPr>
                <w:b/>
                <w:spacing w:val="5"/>
                <w:sz w:val="14"/>
              </w:rPr>
              <w:t>400</w:t>
              <w:tab/>
            </w:r>
            <w:r>
              <w:rPr>
                <w:b/>
                <w:sz w:val="14"/>
              </w:rPr>
              <w:t>-</w:t>
            </w:r>
          </w:p>
        </w:tc>
        <w:tc>
          <w:tcPr>
            <w:tcW w:w="1610" w:type="dxa"/>
            <w:gridSpan w:val="2"/>
          </w:tcPr>
          <w:p>
            <w:pPr>
              <w:pStyle w:val="TableParagraph"/>
              <w:tabs>
                <w:tab w:pos="1524" w:val="left" w:leader="none"/>
              </w:tabs>
              <w:spacing w:before="29"/>
              <w:ind w:left="380"/>
              <w:rPr>
                <w:b/>
                <w:sz w:val="14"/>
              </w:rPr>
            </w:pPr>
            <w:r>
              <w:rPr>
                <w:b/>
                <w:spacing w:val="5"/>
                <w:sz w:val="14"/>
              </w:rPr>
              <w:t>440</w:t>
              <w:tab/>
            </w:r>
            <w:r>
              <w:rPr>
                <w:b/>
                <w:sz w:val="14"/>
              </w:rPr>
              <w:t>-</w:t>
            </w:r>
          </w:p>
        </w:tc>
      </w:tr>
      <w:tr>
        <w:trPr>
          <w:trHeight w:val="230" w:hRule="atLeast"/>
        </w:trPr>
        <w:tc>
          <w:tcPr>
            <w:tcW w:w="470" w:type="dxa"/>
          </w:tcPr>
          <w:p>
            <w:pPr>
              <w:pStyle w:val="TableParagraph"/>
              <w:rPr>
                <w:rFonts w:ascii="Times New Roman"/>
                <w:sz w:val="14"/>
              </w:rPr>
            </w:pPr>
          </w:p>
        </w:tc>
        <w:tc>
          <w:tcPr>
            <w:tcW w:w="4629" w:type="dxa"/>
          </w:tcPr>
          <w:p>
            <w:pPr>
              <w:pStyle w:val="TableParagraph"/>
              <w:rPr>
                <w:rFonts w:ascii="Times New Roman"/>
                <w:sz w:val="14"/>
              </w:rPr>
            </w:pP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rPr>
                <w:rFonts w:ascii="Times New Roman"/>
                <w:sz w:val="14"/>
              </w:rPr>
            </w:pPr>
          </w:p>
        </w:tc>
        <w:tc>
          <w:tcPr>
            <w:tcW w:w="1785" w:type="dxa"/>
            <w:gridSpan w:val="2"/>
          </w:tcPr>
          <w:p>
            <w:pPr>
              <w:pStyle w:val="TableParagraph"/>
              <w:rPr>
                <w:rFonts w:ascii="Times New Roman"/>
                <w:sz w:val="14"/>
              </w:rPr>
            </w:pPr>
          </w:p>
        </w:tc>
        <w:tc>
          <w:tcPr>
            <w:tcW w:w="1610" w:type="dxa"/>
            <w:gridSpan w:val="2"/>
          </w:tcPr>
          <w:p>
            <w:pPr>
              <w:pStyle w:val="TableParagraph"/>
              <w:spacing w:before="32"/>
              <w:ind w:right="12"/>
              <w:jc w:val="right"/>
              <w:rPr>
                <w:b/>
                <w:sz w:val="14"/>
              </w:rPr>
            </w:pPr>
            <w:r>
              <w:rPr>
                <w:b/>
                <w:sz w:val="14"/>
              </w:rPr>
              <w:t>484</w:t>
            </w:r>
          </w:p>
        </w:tc>
      </w:tr>
      <w:tr>
        <w:trPr>
          <w:trHeight w:val="345"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Establishment of National Apprenticeship Scheme</w:t>
            </w:r>
          </w:p>
        </w:tc>
        <w:tc>
          <w:tcPr>
            <w:tcW w:w="988" w:type="dxa"/>
          </w:tcPr>
          <w:p>
            <w:pPr>
              <w:pStyle w:val="TableParagraph"/>
              <w:spacing w:before="32"/>
              <w:ind w:left="338"/>
              <w:rPr>
                <w:sz w:val="14"/>
              </w:rPr>
            </w:pPr>
            <w:r>
              <w:rPr>
                <w:sz w:val="14"/>
              </w:rPr>
              <w:t>Ongoing</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77"/>
              <w:jc w:val="right"/>
              <w:rPr>
                <w:sz w:val="14"/>
              </w:rPr>
            </w:pPr>
            <w:r>
              <w:rPr>
                <w:sz w:val="14"/>
              </w:rPr>
              <w:t>400</w:t>
            </w:r>
          </w:p>
        </w:tc>
        <w:tc>
          <w:tcPr>
            <w:tcW w:w="1785" w:type="dxa"/>
            <w:gridSpan w:val="2"/>
          </w:tcPr>
          <w:p>
            <w:pPr>
              <w:pStyle w:val="TableParagraph"/>
              <w:spacing w:before="32"/>
              <w:ind w:right="225"/>
              <w:jc w:val="right"/>
              <w:rPr>
                <w:sz w:val="14"/>
              </w:rPr>
            </w:pPr>
            <w:r>
              <w:rPr>
                <w:sz w:val="14"/>
              </w:rPr>
              <w:t>440</w:t>
            </w:r>
          </w:p>
        </w:tc>
        <w:tc>
          <w:tcPr>
            <w:tcW w:w="1610" w:type="dxa"/>
            <w:gridSpan w:val="2"/>
          </w:tcPr>
          <w:p>
            <w:pPr>
              <w:pStyle w:val="TableParagraph"/>
              <w:spacing w:before="32"/>
              <w:ind w:right="1"/>
              <w:jc w:val="right"/>
              <w:rPr>
                <w:sz w:val="14"/>
              </w:rPr>
            </w:pPr>
            <w:r>
              <w:rPr>
                <w:sz w:val="14"/>
              </w:rPr>
              <w:t>484</w:t>
            </w:r>
          </w:p>
        </w:tc>
      </w:tr>
      <w:tr>
        <w:trPr>
          <w:trHeight w:val="345" w:hRule="atLeast"/>
        </w:trPr>
        <w:tc>
          <w:tcPr>
            <w:tcW w:w="470" w:type="dxa"/>
          </w:tcPr>
          <w:p>
            <w:pPr>
              <w:pStyle w:val="TableParagraph"/>
              <w:rPr>
                <w:rFonts w:ascii="Times New Roman"/>
                <w:sz w:val="14"/>
              </w:rPr>
            </w:pPr>
          </w:p>
        </w:tc>
        <w:tc>
          <w:tcPr>
            <w:tcW w:w="4629" w:type="dxa"/>
          </w:tcPr>
          <w:p>
            <w:pPr>
              <w:pStyle w:val="TableParagraph"/>
              <w:spacing w:before="9"/>
              <w:rPr>
                <w:b/>
                <w:sz w:val="12"/>
              </w:rPr>
            </w:pPr>
          </w:p>
          <w:p>
            <w:pPr>
              <w:pStyle w:val="TableParagraph"/>
              <w:ind w:left="95"/>
              <w:rPr>
                <w:b/>
                <w:sz w:val="14"/>
              </w:rPr>
            </w:pPr>
            <w:r>
              <w:rPr>
                <w:b/>
                <w:sz w:val="14"/>
              </w:rPr>
              <w:t>Cluster Seven: Addressing Vulnerabilities and</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rPr>
                <w:rFonts w:ascii="Times New Roman"/>
                <w:sz w:val="14"/>
              </w:rPr>
            </w:pPr>
          </w:p>
        </w:tc>
        <w:tc>
          <w:tcPr>
            <w:tcW w:w="1785" w:type="dxa"/>
            <w:gridSpan w:val="2"/>
          </w:tcPr>
          <w:p>
            <w:pPr>
              <w:pStyle w:val="TableParagraph"/>
              <w:rPr>
                <w:rFonts w:ascii="Times New Roman"/>
                <w:sz w:val="14"/>
              </w:rPr>
            </w:pPr>
          </w:p>
        </w:tc>
        <w:tc>
          <w:tcPr>
            <w:tcW w:w="1610" w:type="dxa"/>
            <w:gridSpan w:val="2"/>
          </w:tcPr>
          <w:p>
            <w:pPr>
              <w:pStyle w:val="TableParagraph"/>
              <w:rPr>
                <w:rFonts w:ascii="Times New Roman"/>
                <w:sz w:val="14"/>
              </w:rPr>
            </w:pP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95"/>
              <w:rPr>
                <w:b/>
                <w:sz w:val="14"/>
              </w:rPr>
            </w:pPr>
            <w:r>
              <w:rPr>
                <w:b/>
                <w:sz w:val="14"/>
              </w:rPr>
              <w:t>Buidling Resileince</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tabs>
                <w:tab w:pos="1409" w:val="left" w:leader="none"/>
              </w:tabs>
              <w:spacing w:before="32"/>
              <w:ind w:left="865"/>
              <w:rPr>
                <w:b/>
                <w:sz w:val="14"/>
              </w:rPr>
            </w:pPr>
            <w:r>
              <w:rPr>
                <w:b/>
                <w:sz w:val="14"/>
              </w:rPr>
              <w:t>-</w:t>
              <w:tab/>
            </w:r>
            <w:r>
              <w:rPr>
                <w:b/>
                <w:spacing w:val="5"/>
                <w:sz w:val="14"/>
              </w:rPr>
              <w:t>2,673</w:t>
            </w:r>
          </w:p>
        </w:tc>
        <w:tc>
          <w:tcPr>
            <w:tcW w:w="1785" w:type="dxa"/>
            <w:gridSpan w:val="2"/>
          </w:tcPr>
          <w:p>
            <w:pPr>
              <w:pStyle w:val="TableParagraph"/>
              <w:tabs>
                <w:tab w:pos="1141" w:val="left" w:leader="none"/>
              </w:tabs>
              <w:spacing w:before="32"/>
              <w:ind w:left="639"/>
              <w:rPr>
                <w:b/>
                <w:sz w:val="14"/>
              </w:rPr>
            </w:pPr>
            <w:r>
              <w:rPr>
                <w:b/>
                <w:sz w:val="14"/>
              </w:rPr>
              <w:t>-</w:t>
              <w:tab/>
            </w:r>
            <w:r>
              <w:rPr>
                <w:b/>
                <w:spacing w:val="5"/>
                <w:sz w:val="14"/>
              </w:rPr>
              <w:t>2,940</w:t>
            </w:r>
          </w:p>
        </w:tc>
        <w:tc>
          <w:tcPr>
            <w:tcW w:w="1610" w:type="dxa"/>
            <w:gridSpan w:val="2"/>
          </w:tcPr>
          <w:p>
            <w:pPr>
              <w:pStyle w:val="TableParagraph"/>
              <w:tabs>
                <w:tab w:pos="1204" w:val="left" w:leader="none"/>
              </w:tabs>
              <w:spacing w:before="32"/>
              <w:ind w:left="617"/>
              <w:rPr>
                <w:b/>
                <w:sz w:val="14"/>
              </w:rPr>
            </w:pPr>
            <w:r>
              <w:rPr>
                <w:b/>
                <w:sz w:val="14"/>
              </w:rPr>
              <w:t>-</w:t>
              <w:tab/>
            </w:r>
            <w:r>
              <w:rPr>
                <w:b/>
                <w:spacing w:val="5"/>
                <w:sz w:val="14"/>
              </w:rPr>
              <w:t>3,234</w:t>
            </w:r>
          </w:p>
        </w:tc>
      </w:tr>
      <w:tr>
        <w:trPr>
          <w:trHeight w:val="230" w:hRule="atLeast"/>
        </w:trPr>
        <w:tc>
          <w:tcPr>
            <w:tcW w:w="470" w:type="dxa"/>
          </w:tcPr>
          <w:p>
            <w:pPr>
              <w:pStyle w:val="TableParagraph"/>
              <w:spacing w:before="32"/>
              <w:ind w:left="124"/>
              <w:rPr>
                <w:sz w:val="14"/>
              </w:rPr>
            </w:pPr>
            <w:r>
              <w:rPr>
                <w:sz w:val="14"/>
              </w:rPr>
              <w:t>417</w:t>
            </w:r>
          </w:p>
        </w:tc>
        <w:tc>
          <w:tcPr>
            <w:tcW w:w="4629" w:type="dxa"/>
          </w:tcPr>
          <w:p>
            <w:pPr>
              <w:pStyle w:val="TableParagraph"/>
              <w:spacing w:before="32"/>
              <w:ind w:left="95"/>
              <w:rPr>
                <w:b/>
                <w:sz w:val="14"/>
              </w:rPr>
            </w:pPr>
            <w:r>
              <w:rPr>
                <w:b/>
                <w:sz w:val="14"/>
              </w:rPr>
              <w:t>Nuclear Safety and Radiation Protection Authority (NSRPA)</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tabs>
                <w:tab w:pos="1551" w:val="left" w:leader="none"/>
              </w:tabs>
              <w:spacing w:before="32"/>
              <w:ind w:left="865"/>
              <w:rPr>
                <w:b/>
                <w:sz w:val="14"/>
              </w:rPr>
            </w:pPr>
            <w:r>
              <w:rPr>
                <w:b/>
                <w:sz w:val="14"/>
              </w:rPr>
              <w:t>-</w:t>
              <w:tab/>
            </w:r>
            <w:r>
              <w:rPr>
                <w:b/>
                <w:spacing w:val="5"/>
                <w:sz w:val="14"/>
              </w:rPr>
              <w:t>300</w:t>
            </w:r>
          </w:p>
        </w:tc>
        <w:tc>
          <w:tcPr>
            <w:tcW w:w="1785" w:type="dxa"/>
            <w:gridSpan w:val="2"/>
          </w:tcPr>
          <w:p>
            <w:pPr>
              <w:pStyle w:val="TableParagraph"/>
              <w:tabs>
                <w:tab w:pos="1296" w:val="left" w:leader="none"/>
              </w:tabs>
              <w:spacing w:before="32"/>
              <w:ind w:left="639"/>
              <w:rPr>
                <w:b/>
                <w:sz w:val="14"/>
              </w:rPr>
            </w:pPr>
            <w:r>
              <w:rPr>
                <w:b/>
                <w:sz w:val="14"/>
              </w:rPr>
              <w:t>-</w:t>
              <w:tab/>
            </w:r>
            <w:r>
              <w:rPr>
                <w:b/>
                <w:spacing w:val="5"/>
                <w:sz w:val="14"/>
              </w:rPr>
              <w:t>330</w:t>
            </w:r>
          </w:p>
        </w:tc>
        <w:tc>
          <w:tcPr>
            <w:tcW w:w="1610" w:type="dxa"/>
            <w:gridSpan w:val="2"/>
          </w:tcPr>
          <w:p>
            <w:pPr>
              <w:pStyle w:val="TableParagraph"/>
              <w:tabs>
                <w:tab w:pos="1345" w:val="left" w:leader="none"/>
              </w:tabs>
              <w:spacing w:before="32"/>
              <w:ind w:left="617"/>
              <w:rPr>
                <w:b/>
                <w:sz w:val="14"/>
              </w:rPr>
            </w:pPr>
            <w:r>
              <w:rPr>
                <w:b/>
                <w:sz w:val="14"/>
              </w:rPr>
              <w:t>-</w:t>
              <w:tab/>
            </w:r>
            <w:r>
              <w:rPr>
                <w:b/>
                <w:spacing w:val="5"/>
                <w:sz w:val="14"/>
              </w:rPr>
              <w:t>363</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Support for Institutional Capacity Building</w:t>
            </w:r>
          </w:p>
        </w:tc>
        <w:tc>
          <w:tcPr>
            <w:tcW w:w="988" w:type="dxa"/>
          </w:tcPr>
          <w:p>
            <w:pPr>
              <w:pStyle w:val="TableParagraph"/>
              <w:spacing w:before="32"/>
              <w:ind w:left="338"/>
              <w:rPr>
                <w:sz w:val="14"/>
              </w:rPr>
            </w:pPr>
            <w:r>
              <w:rPr>
                <w:sz w:val="14"/>
              </w:rPr>
              <w:t>Ongoing</w:t>
            </w:r>
          </w:p>
        </w:tc>
        <w:tc>
          <w:tcPr>
            <w:tcW w:w="1074" w:type="dxa"/>
          </w:tcPr>
          <w:p>
            <w:pPr>
              <w:pStyle w:val="TableParagraph"/>
              <w:spacing w:before="32"/>
              <w:ind w:left="89"/>
              <w:rPr>
                <w:sz w:val="14"/>
              </w:rPr>
            </w:pPr>
            <w:r>
              <w:rPr>
                <w:sz w:val="14"/>
              </w:rPr>
              <w:t>Western Area</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77"/>
              <w:jc w:val="right"/>
              <w:rPr>
                <w:sz w:val="14"/>
              </w:rPr>
            </w:pPr>
            <w:r>
              <w:rPr>
                <w:sz w:val="14"/>
              </w:rPr>
              <w:t>300</w:t>
            </w:r>
          </w:p>
        </w:tc>
        <w:tc>
          <w:tcPr>
            <w:tcW w:w="1785" w:type="dxa"/>
            <w:gridSpan w:val="2"/>
          </w:tcPr>
          <w:p>
            <w:pPr>
              <w:pStyle w:val="TableParagraph"/>
              <w:spacing w:before="32"/>
              <w:ind w:right="225"/>
              <w:jc w:val="right"/>
              <w:rPr>
                <w:sz w:val="14"/>
              </w:rPr>
            </w:pPr>
            <w:r>
              <w:rPr>
                <w:sz w:val="14"/>
              </w:rPr>
              <w:t>330</w:t>
            </w:r>
          </w:p>
        </w:tc>
        <w:tc>
          <w:tcPr>
            <w:tcW w:w="1610" w:type="dxa"/>
            <w:gridSpan w:val="2"/>
          </w:tcPr>
          <w:p>
            <w:pPr>
              <w:pStyle w:val="TableParagraph"/>
              <w:spacing w:before="32"/>
              <w:ind w:right="1"/>
              <w:jc w:val="right"/>
              <w:rPr>
                <w:sz w:val="14"/>
              </w:rPr>
            </w:pPr>
            <w:r>
              <w:rPr>
                <w:sz w:val="14"/>
              </w:rPr>
              <w:t>363</w:t>
            </w:r>
          </w:p>
        </w:tc>
      </w:tr>
      <w:tr>
        <w:trPr>
          <w:trHeight w:val="230" w:hRule="atLeast"/>
        </w:trPr>
        <w:tc>
          <w:tcPr>
            <w:tcW w:w="470" w:type="dxa"/>
          </w:tcPr>
          <w:p>
            <w:pPr>
              <w:pStyle w:val="TableParagraph"/>
              <w:spacing w:before="32"/>
              <w:ind w:left="124"/>
              <w:rPr>
                <w:sz w:val="14"/>
              </w:rPr>
            </w:pPr>
            <w:r>
              <w:rPr>
                <w:sz w:val="14"/>
              </w:rPr>
              <w:t>422</w:t>
            </w:r>
          </w:p>
        </w:tc>
        <w:tc>
          <w:tcPr>
            <w:tcW w:w="4629" w:type="dxa"/>
          </w:tcPr>
          <w:p>
            <w:pPr>
              <w:pStyle w:val="TableParagraph"/>
              <w:spacing w:before="32"/>
              <w:ind w:left="95"/>
              <w:rPr>
                <w:b/>
                <w:sz w:val="14"/>
              </w:rPr>
            </w:pPr>
            <w:r>
              <w:rPr>
                <w:b/>
                <w:sz w:val="14"/>
              </w:rPr>
              <w:t>Sierra Leone Meteorological Agency (SLMA)</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tabs>
                <w:tab w:pos="1551" w:val="left" w:leader="none"/>
              </w:tabs>
              <w:spacing w:before="32"/>
              <w:ind w:left="870"/>
              <w:rPr>
                <w:b/>
                <w:sz w:val="14"/>
              </w:rPr>
            </w:pPr>
            <w:r>
              <w:rPr>
                <w:b/>
                <w:sz w:val="14"/>
              </w:rPr>
              <w:t>-</w:t>
              <w:tab/>
            </w:r>
            <w:r>
              <w:rPr>
                <w:b/>
                <w:spacing w:val="5"/>
                <w:sz w:val="14"/>
              </w:rPr>
              <w:t>200</w:t>
            </w:r>
          </w:p>
        </w:tc>
        <w:tc>
          <w:tcPr>
            <w:tcW w:w="1785" w:type="dxa"/>
            <w:gridSpan w:val="2"/>
          </w:tcPr>
          <w:p>
            <w:pPr>
              <w:pStyle w:val="TableParagraph"/>
              <w:tabs>
                <w:tab w:pos="1296" w:val="left" w:leader="none"/>
              </w:tabs>
              <w:spacing w:before="32"/>
              <w:ind w:left="639"/>
              <w:rPr>
                <w:b/>
                <w:sz w:val="14"/>
              </w:rPr>
            </w:pPr>
            <w:r>
              <w:rPr>
                <w:b/>
                <w:sz w:val="14"/>
              </w:rPr>
              <w:t>-</w:t>
              <w:tab/>
            </w:r>
            <w:r>
              <w:rPr>
                <w:b/>
                <w:spacing w:val="5"/>
                <w:sz w:val="14"/>
              </w:rPr>
              <w:t>220</w:t>
            </w:r>
          </w:p>
        </w:tc>
        <w:tc>
          <w:tcPr>
            <w:tcW w:w="1610" w:type="dxa"/>
            <w:gridSpan w:val="2"/>
          </w:tcPr>
          <w:p>
            <w:pPr>
              <w:pStyle w:val="TableParagraph"/>
              <w:tabs>
                <w:tab w:pos="1345" w:val="left" w:leader="none"/>
              </w:tabs>
              <w:spacing w:before="32"/>
              <w:ind w:left="617"/>
              <w:rPr>
                <w:b/>
                <w:sz w:val="14"/>
              </w:rPr>
            </w:pPr>
            <w:r>
              <w:rPr>
                <w:b/>
                <w:sz w:val="14"/>
              </w:rPr>
              <w:t>-</w:t>
              <w:tab/>
            </w:r>
            <w:r>
              <w:rPr>
                <w:b/>
                <w:spacing w:val="5"/>
                <w:sz w:val="14"/>
              </w:rPr>
              <w:t>242</w:t>
            </w:r>
          </w:p>
        </w:tc>
      </w:tr>
      <w:tr>
        <w:trPr>
          <w:trHeight w:val="230"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Support for Institutional Capacity Building</w:t>
            </w:r>
          </w:p>
        </w:tc>
        <w:tc>
          <w:tcPr>
            <w:tcW w:w="988" w:type="dxa"/>
          </w:tcPr>
          <w:p>
            <w:pPr>
              <w:pStyle w:val="TableParagraph"/>
              <w:spacing w:before="32"/>
              <w:ind w:left="338"/>
              <w:rPr>
                <w:sz w:val="14"/>
              </w:rPr>
            </w:pPr>
            <w:r>
              <w:rPr>
                <w:sz w:val="14"/>
              </w:rPr>
              <w:t>New</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Budbget</w:t>
            </w:r>
          </w:p>
        </w:tc>
        <w:tc>
          <w:tcPr>
            <w:tcW w:w="1992" w:type="dxa"/>
            <w:gridSpan w:val="2"/>
          </w:tcPr>
          <w:p>
            <w:pPr>
              <w:pStyle w:val="TableParagraph"/>
              <w:spacing w:before="32"/>
              <w:ind w:right="177"/>
              <w:jc w:val="right"/>
              <w:rPr>
                <w:sz w:val="14"/>
              </w:rPr>
            </w:pPr>
            <w:r>
              <w:rPr>
                <w:sz w:val="14"/>
              </w:rPr>
              <w:t>200</w:t>
            </w:r>
          </w:p>
        </w:tc>
        <w:tc>
          <w:tcPr>
            <w:tcW w:w="1785" w:type="dxa"/>
            <w:gridSpan w:val="2"/>
          </w:tcPr>
          <w:p>
            <w:pPr>
              <w:pStyle w:val="TableParagraph"/>
              <w:spacing w:before="32"/>
              <w:ind w:right="225"/>
              <w:jc w:val="right"/>
              <w:rPr>
                <w:sz w:val="14"/>
              </w:rPr>
            </w:pPr>
            <w:r>
              <w:rPr>
                <w:sz w:val="14"/>
              </w:rPr>
              <w:t>220</w:t>
            </w:r>
          </w:p>
        </w:tc>
        <w:tc>
          <w:tcPr>
            <w:tcW w:w="1610" w:type="dxa"/>
            <w:gridSpan w:val="2"/>
          </w:tcPr>
          <w:p>
            <w:pPr>
              <w:pStyle w:val="TableParagraph"/>
              <w:spacing w:before="32"/>
              <w:ind w:right="1"/>
              <w:jc w:val="right"/>
              <w:rPr>
                <w:sz w:val="14"/>
              </w:rPr>
            </w:pPr>
            <w:r>
              <w:rPr>
                <w:sz w:val="14"/>
              </w:rPr>
              <w:t>242</w:t>
            </w:r>
          </w:p>
        </w:tc>
      </w:tr>
      <w:tr>
        <w:trPr>
          <w:trHeight w:val="230" w:hRule="atLeast"/>
        </w:trPr>
        <w:tc>
          <w:tcPr>
            <w:tcW w:w="470" w:type="dxa"/>
          </w:tcPr>
          <w:p>
            <w:pPr>
              <w:pStyle w:val="TableParagraph"/>
              <w:spacing w:before="32"/>
              <w:ind w:left="124"/>
              <w:rPr>
                <w:sz w:val="14"/>
              </w:rPr>
            </w:pPr>
            <w:r>
              <w:rPr>
                <w:sz w:val="14"/>
              </w:rPr>
              <w:t>410</w:t>
            </w:r>
          </w:p>
        </w:tc>
        <w:tc>
          <w:tcPr>
            <w:tcW w:w="4629" w:type="dxa"/>
          </w:tcPr>
          <w:p>
            <w:pPr>
              <w:pStyle w:val="TableParagraph"/>
              <w:spacing w:before="32"/>
              <w:ind w:left="95"/>
              <w:rPr>
                <w:b/>
                <w:sz w:val="14"/>
              </w:rPr>
            </w:pPr>
            <w:r>
              <w:rPr>
                <w:b/>
                <w:sz w:val="14"/>
              </w:rPr>
              <w:t>National Protected Area Authority (NPAA)</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tabs>
                <w:tab w:pos="1409" w:val="left" w:leader="none"/>
              </w:tabs>
              <w:spacing w:before="32"/>
              <w:ind w:left="865"/>
              <w:rPr>
                <w:b/>
                <w:sz w:val="14"/>
              </w:rPr>
            </w:pPr>
            <w:r>
              <w:rPr>
                <w:b/>
                <w:sz w:val="14"/>
              </w:rPr>
              <w:t>-</w:t>
              <w:tab/>
            </w:r>
            <w:r>
              <w:rPr>
                <w:b/>
                <w:spacing w:val="5"/>
                <w:sz w:val="14"/>
              </w:rPr>
              <w:t>2,173</w:t>
            </w:r>
          </w:p>
        </w:tc>
        <w:tc>
          <w:tcPr>
            <w:tcW w:w="1785" w:type="dxa"/>
            <w:gridSpan w:val="2"/>
          </w:tcPr>
          <w:p>
            <w:pPr>
              <w:pStyle w:val="TableParagraph"/>
              <w:tabs>
                <w:tab w:pos="1141" w:val="left" w:leader="none"/>
              </w:tabs>
              <w:spacing w:before="32"/>
              <w:ind w:left="639"/>
              <w:rPr>
                <w:b/>
                <w:sz w:val="14"/>
              </w:rPr>
            </w:pPr>
            <w:r>
              <w:rPr>
                <w:b/>
                <w:sz w:val="14"/>
              </w:rPr>
              <w:t>-</w:t>
              <w:tab/>
            </w:r>
            <w:r>
              <w:rPr>
                <w:b/>
                <w:spacing w:val="5"/>
                <w:sz w:val="14"/>
              </w:rPr>
              <w:t>2,390</w:t>
            </w:r>
          </w:p>
        </w:tc>
        <w:tc>
          <w:tcPr>
            <w:tcW w:w="1610" w:type="dxa"/>
            <w:gridSpan w:val="2"/>
          </w:tcPr>
          <w:p>
            <w:pPr>
              <w:pStyle w:val="TableParagraph"/>
              <w:tabs>
                <w:tab w:pos="1204" w:val="left" w:leader="none"/>
              </w:tabs>
              <w:spacing w:before="32"/>
              <w:ind w:left="617"/>
              <w:rPr>
                <w:b/>
                <w:sz w:val="14"/>
              </w:rPr>
            </w:pPr>
            <w:r>
              <w:rPr>
                <w:b/>
                <w:sz w:val="14"/>
              </w:rPr>
              <w:t>-</w:t>
              <w:tab/>
            </w:r>
            <w:r>
              <w:rPr>
                <w:b/>
                <w:spacing w:val="5"/>
                <w:sz w:val="14"/>
              </w:rPr>
              <w:t>2,629</w:t>
            </w:r>
          </w:p>
        </w:tc>
      </w:tr>
      <w:tr>
        <w:trPr>
          <w:trHeight w:val="227"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REDD Plus and Capacity Building Project</w:t>
            </w:r>
          </w:p>
        </w:tc>
        <w:tc>
          <w:tcPr>
            <w:tcW w:w="988" w:type="dxa"/>
          </w:tcPr>
          <w:p>
            <w:pPr>
              <w:pStyle w:val="TableParagraph"/>
              <w:spacing w:before="32"/>
              <w:ind w:left="338"/>
              <w:rPr>
                <w:sz w:val="14"/>
              </w:rPr>
            </w:pPr>
            <w:r>
              <w:rPr>
                <w:sz w:val="14"/>
              </w:rPr>
              <w:t>Ongoing</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77"/>
              <w:jc w:val="right"/>
              <w:rPr>
                <w:sz w:val="14"/>
              </w:rPr>
            </w:pPr>
            <w:r>
              <w:rPr>
                <w:sz w:val="14"/>
              </w:rPr>
              <w:t>500</w:t>
            </w:r>
          </w:p>
        </w:tc>
        <w:tc>
          <w:tcPr>
            <w:tcW w:w="1785" w:type="dxa"/>
            <w:gridSpan w:val="2"/>
          </w:tcPr>
          <w:p>
            <w:pPr>
              <w:pStyle w:val="TableParagraph"/>
              <w:spacing w:before="32"/>
              <w:ind w:right="225"/>
              <w:jc w:val="right"/>
              <w:rPr>
                <w:sz w:val="14"/>
              </w:rPr>
            </w:pPr>
            <w:r>
              <w:rPr>
                <w:sz w:val="14"/>
              </w:rPr>
              <w:t>550</w:t>
            </w:r>
          </w:p>
        </w:tc>
        <w:tc>
          <w:tcPr>
            <w:tcW w:w="1610" w:type="dxa"/>
            <w:gridSpan w:val="2"/>
          </w:tcPr>
          <w:p>
            <w:pPr>
              <w:pStyle w:val="TableParagraph"/>
              <w:spacing w:before="32"/>
              <w:ind w:right="1"/>
              <w:jc w:val="right"/>
              <w:rPr>
                <w:sz w:val="14"/>
              </w:rPr>
            </w:pPr>
            <w:r>
              <w:rPr>
                <w:sz w:val="14"/>
              </w:rPr>
              <w:t>605</w:t>
            </w:r>
          </w:p>
        </w:tc>
      </w:tr>
      <w:tr>
        <w:trPr>
          <w:trHeight w:val="228" w:hRule="atLeast"/>
        </w:trPr>
        <w:tc>
          <w:tcPr>
            <w:tcW w:w="470" w:type="dxa"/>
          </w:tcPr>
          <w:p>
            <w:pPr>
              <w:pStyle w:val="TableParagraph"/>
              <w:rPr>
                <w:rFonts w:ascii="Times New Roman"/>
                <w:sz w:val="14"/>
              </w:rPr>
            </w:pPr>
          </w:p>
        </w:tc>
        <w:tc>
          <w:tcPr>
            <w:tcW w:w="4629" w:type="dxa"/>
          </w:tcPr>
          <w:p>
            <w:pPr>
              <w:pStyle w:val="TableParagraph"/>
              <w:spacing w:before="29"/>
              <w:ind w:left="263"/>
              <w:rPr>
                <w:sz w:val="14"/>
              </w:rPr>
            </w:pPr>
            <w:r>
              <w:rPr>
                <w:sz w:val="14"/>
              </w:rPr>
              <w:t>Sierra Leone Sustainable Protected Areas Management</w:t>
            </w:r>
          </w:p>
        </w:tc>
        <w:tc>
          <w:tcPr>
            <w:tcW w:w="988" w:type="dxa"/>
          </w:tcPr>
          <w:p>
            <w:pPr>
              <w:pStyle w:val="TableParagraph"/>
              <w:rPr>
                <w:rFonts w:ascii="Times New Roman"/>
                <w:sz w:val="14"/>
              </w:rPr>
            </w:pPr>
          </w:p>
        </w:tc>
        <w:tc>
          <w:tcPr>
            <w:tcW w:w="1074" w:type="dxa"/>
          </w:tcPr>
          <w:p>
            <w:pPr>
              <w:pStyle w:val="TableParagraph"/>
              <w:rPr>
                <w:rFonts w:ascii="Times New Roman"/>
                <w:sz w:val="14"/>
              </w:rPr>
            </w:pPr>
          </w:p>
        </w:tc>
        <w:tc>
          <w:tcPr>
            <w:tcW w:w="1119" w:type="dxa"/>
          </w:tcPr>
          <w:p>
            <w:pPr>
              <w:pStyle w:val="TableParagraph"/>
              <w:rPr>
                <w:rFonts w:ascii="Times New Roman"/>
                <w:sz w:val="14"/>
              </w:rPr>
            </w:pPr>
          </w:p>
        </w:tc>
        <w:tc>
          <w:tcPr>
            <w:tcW w:w="1121" w:type="dxa"/>
          </w:tcPr>
          <w:p>
            <w:pPr>
              <w:pStyle w:val="TableParagraph"/>
              <w:rPr>
                <w:rFonts w:ascii="Times New Roman"/>
                <w:sz w:val="14"/>
              </w:rPr>
            </w:pPr>
          </w:p>
        </w:tc>
        <w:tc>
          <w:tcPr>
            <w:tcW w:w="1992" w:type="dxa"/>
            <w:gridSpan w:val="2"/>
          </w:tcPr>
          <w:p>
            <w:pPr>
              <w:pStyle w:val="TableParagraph"/>
              <w:rPr>
                <w:rFonts w:ascii="Times New Roman"/>
                <w:sz w:val="14"/>
              </w:rPr>
            </w:pPr>
          </w:p>
        </w:tc>
        <w:tc>
          <w:tcPr>
            <w:tcW w:w="1785" w:type="dxa"/>
            <w:gridSpan w:val="2"/>
          </w:tcPr>
          <w:p>
            <w:pPr>
              <w:pStyle w:val="TableParagraph"/>
              <w:rPr>
                <w:rFonts w:ascii="Times New Roman"/>
                <w:sz w:val="14"/>
              </w:rPr>
            </w:pPr>
          </w:p>
        </w:tc>
        <w:tc>
          <w:tcPr>
            <w:tcW w:w="1610" w:type="dxa"/>
            <w:gridSpan w:val="2"/>
          </w:tcPr>
          <w:p>
            <w:pPr>
              <w:pStyle w:val="TableParagraph"/>
              <w:rPr>
                <w:rFonts w:ascii="Times New Roman"/>
                <w:sz w:val="14"/>
              </w:rPr>
            </w:pPr>
          </w:p>
        </w:tc>
      </w:tr>
      <w:tr>
        <w:trPr>
          <w:trHeight w:val="227" w:hRule="atLeast"/>
        </w:trPr>
        <w:tc>
          <w:tcPr>
            <w:tcW w:w="470" w:type="dxa"/>
          </w:tcPr>
          <w:p>
            <w:pPr>
              <w:pStyle w:val="TableParagraph"/>
              <w:rPr>
                <w:rFonts w:ascii="Times New Roman"/>
                <w:sz w:val="14"/>
              </w:rPr>
            </w:pPr>
          </w:p>
        </w:tc>
        <w:tc>
          <w:tcPr>
            <w:tcW w:w="4629" w:type="dxa"/>
          </w:tcPr>
          <w:p>
            <w:pPr>
              <w:pStyle w:val="TableParagraph"/>
              <w:spacing w:before="32"/>
              <w:ind w:left="263"/>
              <w:rPr>
                <w:sz w:val="14"/>
              </w:rPr>
            </w:pPr>
            <w:r>
              <w:rPr>
                <w:sz w:val="14"/>
              </w:rPr>
              <w:t>and Livelihoods Project</w:t>
            </w:r>
          </w:p>
        </w:tc>
        <w:tc>
          <w:tcPr>
            <w:tcW w:w="988" w:type="dxa"/>
          </w:tcPr>
          <w:p>
            <w:pPr>
              <w:pStyle w:val="TableParagraph"/>
              <w:spacing w:before="32"/>
              <w:ind w:left="338"/>
              <w:rPr>
                <w:sz w:val="14"/>
              </w:rPr>
            </w:pPr>
            <w:r>
              <w:rPr>
                <w:sz w:val="14"/>
              </w:rPr>
              <w:t>Ongoing</w:t>
            </w:r>
          </w:p>
        </w:tc>
        <w:tc>
          <w:tcPr>
            <w:tcW w:w="1074" w:type="dxa"/>
          </w:tcPr>
          <w:p>
            <w:pPr>
              <w:pStyle w:val="TableParagraph"/>
              <w:spacing w:before="32"/>
              <w:ind w:left="89"/>
              <w:rPr>
                <w:sz w:val="14"/>
              </w:rPr>
            </w:pPr>
            <w:r>
              <w:rPr>
                <w:sz w:val="14"/>
              </w:rPr>
              <w:t>Nationwide</w:t>
            </w:r>
          </w:p>
        </w:tc>
        <w:tc>
          <w:tcPr>
            <w:tcW w:w="1119" w:type="dxa"/>
          </w:tcPr>
          <w:p>
            <w:pPr>
              <w:pStyle w:val="TableParagraph"/>
              <w:spacing w:before="32"/>
              <w:ind w:left="148"/>
              <w:rPr>
                <w:sz w:val="14"/>
              </w:rPr>
            </w:pPr>
            <w:r>
              <w:rPr>
                <w:sz w:val="14"/>
              </w:rPr>
              <w:t>GoSL</w:t>
            </w:r>
          </w:p>
        </w:tc>
        <w:tc>
          <w:tcPr>
            <w:tcW w:w="1121" w:type="dxa"/>
          </w:tcPr>
          <w:p>
            <w:pPr>
              <w:pStyle w:val="TableParagraph"/>
              <w:spacing w:before="32"/>
              <w:ind w:left="277"/>
              <w:rPr>
                <w:sz w:val="14"/>
              </w:rPr>
            </w:pPr>
            <w:r>
              <w:rPr>
                <w:sz w:val="14"/>
              </w:rPr>
              <w:t>Budget</w:t>
            </w:r>
          </w:p>
        </w:tc>
        <w:tc>
          <w:tcPr>
            <w:tcW w:w="1992" w:type="dxa"/>
            <w:gridSpan w:val="2"/>
          </w:tcPr>
          <w:p>
            <w:pPr>
              <w:pStyle w:val="TableParagraph"/>
              <w:spacing w:before="32"/>
              <w:ind w:right="185"/>
              <w:jc w:val="right"/>
              <w:rPr>
                <w:sz w:val="14"/>
              </w:rPr>
            </w:pPr>
            <w:r>
              <w:rPr>
                <w:sz w:val="14"/>
              </w:rPr>
              <w:t>1,673</w:t>
            </w:r>
          </w:p>
        </w:tc>
        <w:tc>
          <w:tcPr>
            <w:tcW w:w="1785" w:type="dxa"/>
            <w:gridSpan w:val="2"/>
          </w:tcPr>
          <w:p>
            <w:pPr>
              <w:pStyle w:val="TableParagraph"/>
              <w:spacing w:before="32"/>
              <w:ind w:left="1176"/>
              <w:rPr>
                <w:sz w:val="14"/>
              </w:rPr>
            </w:pPr>
            <w:r>
              <w:rPr>
                <w:sz w:val="14"/>
              </w:rPr>
              <w:t>1,840</w:t>
            </w:r>
          </w:p>
        </w:tc>
        <w:tc>
          <w:tcPr>
            <w:tcW w:w="1610" w:type="dxa"/>
            <w:gridSpan w:val="2"/>
          </w:tcPr>
          <w:p>
            <w:pPr>
              <w:pStyle w:val="TableParagraph"/>
              <w:spacing w:before="32"/>
              <w:ind w:right="9"/>
              <w:jc w:val="right"/>
              <w:rPr>
                <w:sz w:val="14"/>
              </w:rPr>
            </w:pPr>
            <w:r>
              <w:rPr>
                <w:sz w:val="14"/>
              </w:rPr>
              <w:t>2,024</w:t>
            </w:r>
          </w:p>
        </w:tc>
      </w:tr>
    </w:tbl>
    <w:p>
      <w:pPr>
        <w:spacing w:after="0"/>
        <w:jc w:val="right"/>
        <w:rPr>
          <w:sz w:val="14"/>
        </w:rPr>
        <w:sectPr>
          <w:pgSz w:w="16840" w:h="11900" w:orient="landscape"/>
          <w:pgMar w:header="1107" w:footer="0" w:top="2040" w:bottom="280" w:left="880" w:right="920"/>
        </w:sectPr>
      </w:pPr>
    </w:p>
    <w:p>
      <w:pPr>
        <w:tabs>
          <w:tab w:pos="11586" w:val="left" w:leader="none"/>
          <w:tab w:pos="13232" w:val="left" w:leader="none"/>
        </w:tabs>
        <w:spacing w:before="89" w:after="57"/>
        <w:ind w:left="9944" w:right="0" w:firstLine="0"/>
        <w:jc w:val="left"/>
        <w:rPr>
          <w:rFonts w:ascii="Arial"/>
          <w:b/>
          <w:sz w:val="14"/>
        </w:rPr>
      </w:pPr>
      <w:r>
        <w:rPr/>
        <w:pict>
          <v:shape style="position:absolute;margin-left:27.140491pt;margin-top:278.429993pt;width:14.35pt;height:33.7pt;mso-position-horizontal-relative:page;mso-position-vertical-relative:page;z-index:2128" type="#_x0000_t202" filled="false" stroked="false">
            <v:textbox inset="0,0,0,0" style="layout-flow:vertical">
              <w:txbxContent>
                <w:p>
                  <w:pPr>
                    <w:spacing w:before="13"/>
                    <w:ind w:left="20" w:right="0" w:firstLine="0"/>
                    <w:jc w:val="left"/>
                    <w:rPr>
                      <w:rFonts w:ascii="Arial"/>
                      <w:sz w:val="22"/>
                    </w:rPr>
                  </w:pPr>
                  <w:r>
                    <w:rPr>
                      <w:rFonts w:ascii="Arial"/>
                      <w:sz w:val="22"/>
                    </w:rPr>
                    <w:t>xxxviii</w:t>
                  </w:r>
                </w:p>
              </w:txbxContent>
            </v:textbox>
            <w10:wrap type="none"/>
          </v:shape>
        </w:pict>
      </w:r>
      <w:r>
        <w:rPr>
          <w:rFonts w:ascii="Arial"/>
          <w:b/>
          <w:spacing w:val="2"/>
          <w:sz w:val="14"/>
        </w:rPr>
        <w:t>FY</w:t>
      </w:r>
      <w:r>
        <w:rPr>
          <w:rFonts w:ascii="Arial"/>
          <w:b/>
          <w:spacing w:val="1"/>
          <w:sz w:val="14"/>
        </w:rPr>
        <w:t> </w:t>
      </w:r>
      <w:r>
        <w:rPr>
          <w:rFonts w:ascii="Arial"/>
          <w:b/>
          <w:spacing w:val="4"/>
          <w:sz w:val="14"/>
        </w:rPr>
        <w:t>2020</w:t>
      </w:r>
      <w:r>
        <w:rPr>
          <w:rFonts w:ascii="Arial"/>
          <w:b/>
          <w:spacing w:val="6"/>
          <w:sz w:val="14"/>
        </w:rPr>
        <w:t> </w:t>
      </w:r>
      <w:r>
        <w:rPr>
          <w:rFonts w:ascii="Arial"/>
          <w:b/>
          <w:sz w:val="14"/>
        </w:rPr>
        <w:t>Budget</w:t>
        <w:tab/>
      </w:r>
      <w:r>
        <w:rPr>
          <w:rFonts w:ascii="Arial"/>
          <w:b/>
          <w:spacing w:val="2"/>
          <w:sz w:val="14"/>
        </w:rPr>
        <w:t>FY</w:t>
      </w:r>
      <w:r>
        <w:rPr>
          <w:rFonts w:ascii="Arial"/>
          <w:b/>
          <w:spacing w:val="12"/>
          <w:sz w:val="14"/>
        </w:rPr>
        <w:t> </w:t>
      </w:r>
      <w:r>
        <w:rPr>
          <w:rFonts w:ascii="Arial"/>
          <w:b/>
          <w:spacing w:val="4"/>
          <w:sz w:val="14"/>
        </w:rPr>
        <w:t>2021</w:t>
      </w:r>
      <w:r>
        <w:rPr>
          <w:rFonts w:ascii="Arial"/>
          <w:b/>
          <w:spacing w:val="17"/>
          <w:sz w:val="14"/>
        </w:rPr>
        <w:t> </w:t>
      </w:r>
      <w:r>
        <w:rPr>
          <w:rFonts w:ascii="Arial"/>
          <w:b/>
          <w:spacing w:val="3"/>
          <w:sz w:val="14"/>
        </w:rPr>
        <w:t>Indicative</w:t>
        <w:tab/>
      </w:r>
      <w:r>
        <w:rPr>
          <w:rFonts w:ascii="Arial"/>
          <w:b/>
          <w:spacing w:val="2"/>
          <w:sz w:val="14"/>
        </w:rPr>
        <w:t>FY </w:t>
      </w:r>
      <w:r>
        <w:rPr>
          <w:rFonts w:ascii="Arial"/>
          <w:b/>
          <w:spacing w:val="4"/>
          <w:sz w:val="14"/>
        </w:rPr>
        <w:t>2022</w:t>
      </w:r>
      <w:r>
        <w:rPr>
          <w:rFonts w:ascii="Arial"/>
          <w:b/>
          <w:spacing w:val="25"/>
          <w:sz w:val="14"/>
        </w:rPr>
        <w:t> </w:t>
      </w:r>
      <w:r>
        <w:rPr>
          <w:rFonts w:ascii="Arial"/>
          <w:b/>
          <w:spacing w:val="3"/>
          <w:sz w:val="14"/>
        </w:rPr>
        <w:t>Indicative</w: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4801"/>
        <w:gridCol w:w="816"/>
        <w:gridCol w:w="985"/>
        <w:gridCol w:w="1177"/>
        <w:gridCol w:w="1300"/>
        <w:gridCol w:w="925"/>
        <w:gridCol w:w="898"/>
        <w:gridCol w:w="881"/>
        <w:gridCol w:w="902"/>
        <w:gridCol w:w="1630"/>
      </w:tblGrid>
      <w:tr>
        <w:trPr>
          <w:trHeight w:val="435" w:hRule="atLeast"/>
        </w:trPr>
        <w:tc>
          <w:tcPr>
            <w:tcW w:w="471" w:type="dxa"/>
            <w:tcBorders>
              <w:top w:val="single" w:sz="4" w:space="0" w:color="000000"/>
              <w:bottom w:val="single" w:sz="18" w:space="0" w:color="000000"/>
            </w:tcBorders>
          </w:tcPr>
          <w:p>
            <w:pPr>
              <w:pStyle w:val="TableParagraph"/>
              <w:spacing w:line="159" w:lineRule="exact"/>
              <w:rPr>
                <w:sz w:val="14"/>
              </w:rPr>
            </w:pPr>
            <w:r>
              <w:rPr>
                <w:spacing w:val="-3"/>
                <w:sz w:val="14"/>
              </w:rPr>
              <w:t>MDA</w:t>
            </w:r>
          </w:p>
          <w:p>
            <w:pPr>
              <w:pStyle w:val="TableParagraph"/>
              <w:spacing w:before="60"/>
              <w:rPr>
                <w:sz w:val="14"/>
              </w:rPr>
            </w:pPr>
            <w:r>
              <w:rPr>
                <w:spacing w:val="2"/>
                <w:sz w:val="14"/>
              </w:rPr>
              <w:t>Code</w:t>
            </w:r>
          </w:p>
        </w:tc>
        <w:tc>
          <w:tcPr>
            <w:tcW w:w="4801" w:type="dxa"/>
            <w:tcBorders>
              <w:top w:val="single" w:sz="4" w:space="0" w:color="000000"/>
              <w:bottom w:val="single" w:sz="18" w:space="0" w:color="000000"/>
            </w:tcBorders>
          </w:tcPr>
          <w:p>
            <w:pPr>
              <w:pStyle w:val="TableParagraph"/>
              <w:spacing w:line="159" w:lineRule="exact"/>
              <w:ind w:left="95"/>
              <w:rPr>
                <w:sz w:val="14"/>
              </w:rPr>
            </w:pPr>
            <w:r>
              <w:rPr>
                <w:sz w:val="14"/>
              </w:rPr>
              <w:t>National Development Plan Cluster/ Ministry, Department</w:t>
            </w:r>
          </w:p>
          <w:p>
            <w:pPr>
              <w:pStyle w:val="TableParagraph"/>
              <w:spacing w:before="60"/>
              <w:ind w:left="95"/>
              <w:rPr>
                <w:sz w:val="14"/>
              </w:rPr>
            </w:pPr>
            <w:r>
              <w:rPr>
                <w:sz w:val="14"/>
              </w:rPr>
              <w:t>and Agency (MDAs)</w:t>
            </w:r>
          </w:p>
        </w:tc>
        <w:tc>
          <w:tcPr>
            <w:tcW w:w="816" w:type="dxa"/>
            <w:tcBorders>
              <w:top w:val="single" w:sz="4" w:space="0" w:color="000000"/>
              <w:bottom w:val="single" w:sz="18" w:space="0" w:color="000000"/>
            </w:tcBorders>
          </w:tcPr>
          <w:p>
            <w:pPr>
              <w:pStyle w:val="TableParagraph"/>
              <w:spacing w:line="159" w:lineRule="exact"/>
              <w:ind w:left="175"/>
              <w:rPr>
                <w:sz w:val="14"/>
              </w:rPr>
            </w:pPr>
            <w:r>
              <w:rPr>
                <w:sz w:val="14"/>
              </w:rPr>
              <w:t>Status</w:t>
            </w:r>
          </w:p>
        </w:tc>
        <w:tc>
          <w:tcPr>
            <w:tcW w:w="985" w:type="dxa"/>
            <w:tcBorders>
              <w:top w:val="single" w:sz="4" w:space="0" w:color="000000"/>
              <w:bottom w:val="single" w:sz="18" w:space="0" w:color="000000"/>
            </w:tcBorders>
          </w:tcPr>
          <w:p>
            <w:pPr>
              <w:pStyle w:val="TableParagraph"/>
              <w:spacing w:line="159" w:lineRule="exact"/>
              <w:ind w:left="90"/>
              <w:rPr>
                <w:sz w:val="14"/>
              </w:rPr>
            </w:pPr>
            <w:r>
              <w:rPr>
                <w:sz w:val="14"/>
              </w:rPr>
              <w:t>Location</w:t>
            </w:r>
          </w:p>
        </w:tc>
        <w:tc>
          <w:tcPr>
            <w:tcW w:w="1177" w:type="dxa"/>
            <w:tcBorders>
              <w:top w:val="single" w:sz="4" w:space="0" w:color="000000"/>
              <w:bottom w:val="single" w:sz="18" w:space="0" w:color="000000"/>
            </w:tcBorders>
          </w:tcPr>
          <w:p>
            <w:pPr>
              <w:pStyle w:val="TableParagraph"/>
              <w:spacing w:line="159" w:lineRule="exact"/>
              <w:ind w:left="170"/>
              <w:rPr>
                <w:sz w:val="14"/>
              </w:rPr>
            </w:pPr>
            <w:r>
              <w:rPr>
                <w:spacing w:val="6"/>
                <w:sz w:val="14"/>
              </w:rPr>
              <w:t>Funding</w:t>
            </w:r>
          </w:p>
          <w:p>
            <w:pPr>
              <w:pStyle w:val="TableParagraph"/>
              <w:spacing w:before="60"/>
              <w:ind w:left="222"/>
              <w:rPr>
                <w:sz w:val="14"/>
              </w:rPr>
            </w:pPr>
            <w:r>
              <w:rPr>
                <w:spacing w:val="4"/>
                <w:sz w:val="14"/>
              </w:rPr>
              <w:t>Source</w:t>
            </w:r>
          </w:p>
        </w:tc>
        <w:tc>
          <w:tcPr>
            <w:tcW w:w="1300" w:type="dxa"/>
            <w:tcBorders>
              <w:top w:val="single" w:sz="4" w:space="0" w:color="000000"/>
              <w:bottom w:val="single" w:sz="18" w:space="0" w:color="000000"/>
            </w:tcBorders>
          </w:tcPr>
          <w:p>
            <w:pPr>
              <w:pStyle w:val="TableParagraph"/>
              <w:spacing w:line="159" w:lineRule="exact"/>
              <w:ind w:left="243" w:right="510"/>
              <w:jc w:val="center"/>
              <w:rPr>
                <w:sz w:val="14"/>
              </w:rPr>
            </w:pPr>
            <w:r>
              <w:rPr>
                <w:sz w:val="14"/>
              </w:rPr>
              <w:t>Funding</w:t>
            </w:r>
          </w:p>
          <w:p>
            <w:pPr>
              <w:pStyle w:val="TableParagraph"/>
              <w:spacing w:before="60"/>
              <w:ind w:left="243" w:right="440"/>
              <w:jc w:val="center"/>
              <w:rPr>
                <w:sz w:val="14"/>
              </w:rPr>
            </w:pPr>
            <w:r>
              <w:rPr>
                <w:sz w:val="14"/>
              </w:rPr>
              <w:t>Type</w:t>
            </w:r>
          </w:p>
        </w:tc>
        <w:tc>
          <w:tcPr>
            <w:tcW w:w="925" w:type="dxa"/>
            <w:tcBorders>
              <w:top w:val="single" w:sz="4" w:space="0" w:color="000000"/>
              <w:bottom w:val="single" w:sz="18" w:space="0" w:color="000000"/>
            </w:tcBorders>
          </w:tcPr>
          <w:p>
            <w:pPr>
              <w:pStyle w:val="TableParagraph"/>
              <w:spacing w:line="159" w:lineRule="exact"/>
              <w:ind w:left="127"/>
              <w:rPr>
                <w:sz w:val="14"/>
              </w:rPr>
            </w:pPr>
            <w:r>
              <w:rPr>
                <w:sz w:val="14"/>
              </w:rPr>
              <w:t>Foreign</w:t>
            </w:r>
          </w:p>
        </w:tc>
        <w:tc>
          <w:tcPr>
            <w:tcW w:w="898" w:type="dxa"/>
            <w:tcBorders>
              <w:top w:val="single" w:sz="4" w:space="0" w:color="000000"/>
              <w:bottom w:val="single" w:sz="18" w:space="0" w:color="000000"/>
            </w:tcBorders>
          </w:tcPr>
          <w:p>
            <w:pPr>
              <w:pStyle w:val="TableParagraph"/>
              <w:spacing w:line="159" w:lineRule="exact"/>
              <w:ind w:right="143"/>
              <w:jc w:val="right"/>
              <w:rPr>
                <w:sz w:val="14"/>
              </w:rPr>
            </w:pPr>
            <w:r>
              <w:rPr>
                <w:w w:val="95"/>
                <w:sz w:val="14"/>
              </w:rPr>
              <w:t>Domestic</w:t>
            </w:r>
          </w:p>
        </w:tc>
        <w:tc>
          <w:tcPr>
            <w:tcW w:w="881" w:type="dxa"/>
            <w:tcBorders>
              <w:top w:val="single" w:sz="4" w:space="0" w:color="000000"/>
              <w:bottom w:val="single" w:sz="18" w:space="0" w:color="000000"/>
            </w:tcBorders>
          </w:tcPr>
          <w:p>
            <w:pPr>
              <w:pStyle w:val="TableParagraph"/>
              <w:spacing w:line="159" w:lineRule="exact"/>
              <w:ind w:right="232"/>
              <w:jc w:val="right"/>
              <w:rPr>
                <w:sz w:val="14"/>
              </w:rPr>
            </w:pPr>
            <w:r>
              <w:rPr>
                <w:w w:val="95"/>
                <w:sz w:val="14"/>
              </w:rPr>
              <w:t>Foreign</w:t>
            </w:r>
          </w:p>
        </w:tc>
        <w:tc>
          <w:tcPr>
            <w:tcW w:w="902" w:type="dxa"/>
            <w:tcBorders>
              <w:top w:val="single" w:sz="4" w:space="0" w:color="000000"/>
              <w:bottom w:val="single" w:sz="18" w:space="0" w:color="000000"/>
            </w:tcBorders>
          </w:tcPr>
          <w:p>
            <w:pPr>
              <w:pStyle w:val="TableParagraph"/>
              <w:spacing w:line="159" w:lineRule="exact"/>
              <w:ind w:left="183"/>
              <w:rPr>
                <w:sz w:val="14"/>
              </w:rPr>
            </w:pPr>
            <w:r>
              <w:rPr>
                <w:sz w:val="14"/>
              </w:rPr>
              <w:t>Domestic</w:t>
            </w:r>
          </w:p>
        </w:tc>
        <w:tc>
          <w:tcPr>
            <w:tcW w:w="1630" w:type="dxa"/>
            <w:tcBorders>
              <w:top w:val="single" w:sz="4" w:space="0" w:color="000000"/>
              <w:bottom w:val="single" w:sz="18" w:space="0" w:color="000000"/>
            </w:tcBorders>
          </w:tcPr>
          <w:p>
            <w:pPr>
              <w:pStyle w:val="TableParagraph"/>
              <w:tabs>
                <w:tab w:pos="927" w:val="left" w:leader="none"/>
              </w:tabs>
              <w:spacing w:line="159" w:lineRule="exact"/>
              <w:ind w:left="130"/>
              <w:rPr>
                <w:sz w:val="14"/>
              </w:rPr>
            </w:pPr>
            <w:r>
              <w:rPr>
                <w:spacing w:val="3"/>
                <w:sz w:val="14"/>
              </w:rPr>
              <w:t>Foreign</w:t>
              <w:tab/>
            </w:r>
            <w:r>
              <w:rPr>
                <w:spacing w:val="2"/>
                <w:sz w:val="14"/>
              </w:rPr>
              <w:t>Domestic</w:t>
            </w:r>
          </w:p>
        </w:tc>
      </w:tr>
      <w:tr>
        <w:trPr>
          <w:trHeight w:val="181" w:hRule="atLeast"/>
        </w:trPr>
        <w:tc>
          <w:tcPr>
            <w:tcW w:w="471" w:type="dxa"/>
            <w:tcBorders>
              <w:top w:val="single" w:sz="18" w:space="0" w:color="000000"/>
            </w:tcBorders>
          </w:tcPr>
          <w:p>
            <w:pPr>
              <w:pStyle w:val="TableParagraph"/>
              <w:rPr>
                <w:rFonts w:ascii="Times New Roman"/>
                <w:sz w:val="12"/>
              </w:rPr>
            </w:pPr>
          </w:p>
        </w:tc>
        <w:tc>
          <w:tcPr>
            <w:tcW w:w="4801" w:type="dxa"/>
            <w:tcBorders>
              <w:top w:val="single" w:sz="18" w:space="0" w:color="000000"/>
            </w:tcBorders>
          </w:tcPr>
          <w:p>
            <w:pPr>
              <w:pStyle w:val="TableParagraph"/>
              <w:spacing w:line="144" w:lineRule="exact"/>
              <w:ind w:left="95"/>
              <w:rPr>
                <w:b/>
                <w:sz w:val="14"/>
              </w:rPr>
            </w:pPr>
            <w:r>
              <w:rPr>
                <w:b/>
                <w:sz w:val="14"/>
              </w:rPr>
              <w:t>Cluster Eight: Means of Implementation</w:t>
            </w:r>
          </w:p>
        </w:tc>
        <w:tc>
          <w:tcPr>
            <w:tcW w:w="816" w:type="dxa"/>
            <w:tcBorders>
              <w:top w:val="single" w:sz="18" w:space="0" w:color="000000"/>
            </w:tcBorders>
          </w:tcPr>
          <w:p>
            <w:pPr>
              <w:pStyle w:val="TableParagraph"/>
              <w:rPr>
                <w:rFonts w:ascii="Times New Roman"/>
                <w:sz w:val="12"/>
              </w:rPr>
            </w:pPr>
          </w:p>
        </w:tc>
        <w:tc>
          <w:tcPr>
            <w:tcW w:w="985" w:type="dxa"/>
            <w:tcBorders>
              <w:top w:val="single" w:sz="18" w:space="0" w:color="000000"/>
            </w:tcBorders>
          </w:tcPr>
          <w:p>
            <w:pPr>
              <w:pStyle w:val="TableParagraph"/>
              <w:rPr>
                <w:rFonts w:ascii="Times New Roman"/>
                <w:sz w:val="12"/>
              </w:rPr>
            </w:pPr>
          </w:p>
        </w:tc>
        <w:tc>
          <w:tcPr>
            <w:tcW w:w="1177" w:type="dxa"/>
            <w:tcBorders>
              <w:top w:val="single" w:sz="18" w:space="0" w:color="000000"/>
            </w:tcBorders>
          </w:tcPr>
          <w:p>
            <w:pPr>
              <w:pStyle w:val="TableParagraph"/>
              <w:rPr>
                <w:rFonts w:ascii="Times New Roman"/>
                <w:sz w:val="12"/>
              </w:rPr>
            </w:pPr>
          </w:p>
        </w:tc>
        <w:tc>
          <w:tcPr>
            <w:tcW w:w="1300" w:type="dxa"/>
            <w:tcBorders>
              <w:top w:val="single" w:sz="18" w:space="0" w:color="000000"/>
            </w:tcBorders>
          </w:tcPr>
          <w:p>
            <w:pPr>
              <w:pStyle w:val="TableParagraph"/>
              <w:rPr>
                <w:rFonts w:ascii="Times New Roman"/>
                <w:sz w:val="12"/>
              </w:rPr>
            </w:pPr>
          </w:p>
        </w:tc>
        <w:tc>
          <w:tcPr>
            <w:tcW w:w="925" w:type="dxa"/>
            <w:tcBorders>
              <w:top w:val="single" w:sz="18" w:space="0" w:color="000000"/>
            </w:tcBorders>
          </w:tcPr>
          <w:p>
            <w:pPr>
              <w:pStyle w:val="TableParagraph"/>
              <w:spacing w:line="144" w:lineRule="exact"/>
              <w:ind w:right="196"/>
              <w:jc w:val="right"/>
              <w:rPr>
                <w:b/>
                <w:sz w:val="14"/>
              </w:rPr>
            </w:pPr>
            <w:r>
              <w:rPr>
                <w:b/>
                <w:sz w:val="14"/>
              </w:rPr>
              <w:t>4,467</w:t>
            </w:r>
          </w:p>
        </w:tc>
        <w:tc>
          <w:tcPr>
            <w:tcW w:w="898" w:type="dxa"/>
            <w:tcBorders>
              <w:top w:val="single" w:sz="18" w:space="0" w:color="000000"/>
            </w:tcBorders>
          </w:tcPr>
          <w:p>
            <w:pPr>
              <w:pStyle w:val="TableParagraph"/>
              <w:spacing w:line="144" w:lineRule="exact"/>
              <w:ind w:left="240"/>
              <w:rPr>
                <w:b/>
                <w:sz w:val="14"/>
              </w:rPr>
            </w:pPr>
            <w:r>
              <w:rPr>
                <w:b/>
                <w:sz w:val="14"/>
              </w:rPr>
              <w:t>52,586</w:t>
            </w:r>
          </w:p>
        </w:tc>
        <w:tc>
          <w:tcPr>
            <w:tcW w:w="881" w:type="dxa"/>
            <w:tcBorders>
              <w:top w:val="single" w:sz="18" w:space="0" w:color="000000"/>
            </w:tcBorders>
          </w:tcPr>
          <w:p>
            <w:pPr>
              <w:pStyle w:val="TableParagraph"/>
              <w:spacing w:line="144" w:lineRule="exact"/>
              <w:ind w:right="200"/>
              <w:jc w:val="right"/>
              <w:rPr>
                <w:b/>
                <w:sz w:val="14"/>
              </w:rPr>
            </w:pPr>
            <w:r>
              <w:rPr>
                <w:b/>
                <w:sz w:val="14"/>
              </w:rPr>
              <w:t>614</w:t>
            </w:r>
          </w:p>
        </w:tc>
        <w:tc>
          <w:tcPr>
            <w:tcW w:w="902" w:type="dxa"/>
            <w:tcBorders>
              <w:top w:val="single" w:sz="18" w:space="0" w:color="000000"/>
            </w:tcBorders>
          </w:tcPr>
          <w:p>
            <w:pPr>
              <w:pStyle w:val="TableParagraph"/>
              <w:spacing w:line="144" w:lineRule="exact"/>
              <w:ind w:left="184"/>
              <w:rPr>
                <w:b/>
                <w:sz w:val="14"/>
              </w:rPr>
            </w:pPr>
            <w:r>
              <w:rPr>
                <w:b/>
                <w:sz w:val="14"/>
              </w:rPr>
              <w:t>63,188</w:t>
            </w:r>
          </w:p>
        </w:tc>
        <w:tc>
          <w:tcPr>
            <w:tcW w:w="1630" w:type="dxa"/>
            <w:tcBorders>
              <w:top w:val="single" w:sz="18" w:space="0" w:color="000000"/>
            </w:tcBorders>
          </w:tcPr>
          <w:p>
            <w:pPr>
              <w:pStyle w:val="TableParagraph"/>
              <w:tabs>
                <w:tab w:pos="867" w:val="left" w:leader="none"/>
              </w:tabs>
              <w:spacing w:line="144" w:lineRule="exact"/>
              <w:ind w:right="31"/>
              <w:jc w:val="right"/>
              <w:rPr>
                <w:b/>
                <w:sz w:val="14"/>
              </w:rPr>
            </w:pPr>
            <w:r>
              <w:rPr>
                <w:b/>
                <w:spacing w:val="5"/>
                <w:sz w:val="14"/>
              </w:rPr>
              <w:t>3,201</w:t>
              <w:tab/>
            </w:r>
            <w:r>
              <w:rPr>
                <w:b/>
                <w:spacing w:val="6"/>
                <w:w w:val="95"/>
                <w:sz w:val="14"/>
              </w:rPr>
              <w:t>67,254</w:t>
            </w:r>
          </w:p>
        </w:tc>
      </w:tr>
      <w:tr>
        <w:trPr>
          <w:trHeight w:val="230" w:hRule="atLeast"/>
        </w:trPr>
        <w:tc>
          <w:tcPr>
            <w:tcW w:w="471" w:type="dxa"/>
          </w:tcPr>
          <w:p>
            <w:pPr>
              <w:pStyle w:val="TableParagraph"/>
              <w:spacing w:before="32"/>
              <w:ind w:left="125"/>
              <w:rPr>
                <w:sz w:val="14"/>
              </w:rPr>
            </w:pPr>
            <w:r>
              <w:rPr>
                <w:sz w:val="14"/>
              </w:rPr>
              <w:t>127</w:t>
            </w:r>
          </w:p>
        </w:tc>
        <w:tc>
          <w:tcPr>
            <w:tcW w:w="4801" w:type="dxa"/>
          </w:tcPr>
          <w:p>
            <w:pPr>
              <w:pStyle w:val="TableParagraph"/>
              <w:spacing w:before="32"/>
              <w:ind w:left="96"/>
              <w:rPr>
                <w:b/>
                <w:sz w:val="14"/>
              </w:rPr>
            </w:pPr>
            <w:r>
              <w:rPr>
                <w:b/>
                <w:sz w:val="14"/>
              </w:rPr>
              <w:t>Ministry of Planning and Economic Development (MoPED)</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spacing w:before="32"/>
              <w:ind w:right="158"/>
              <w:jc w:val="right"/>
              <w:rPr>
                <w:b/>
                <w:sz w:val="14"/>
              </w:rPr>
            </w:pPr>
            <w:r>
              <w:rPr>
                <w:b/>
                <w:w w:val="99"/>
                <w:sz w:val="14"/>
              </w:rPr>
              <w:t>-</w:t>
            </w:r>
          </w:p>
        </w:tc>
        <w:tc>
          <w:tcPr>
            <w:tcW w:w="898" w:type="dxa"/>
          </w:tcPr>
          <w:p>
            <w:pPr>
              <w:pStyle w:val="TableParagraph"/>
              <w:spacing w:before="32"/>
              <w:ind w:left="337"/>
              <w:rPr>
                <w:b/>
                <w:sz w:val="14"/>
              </w:rPr>
            </w:pPr>
            <w:r>
              <w:rPr>
                <w:b/>
                <w:sz w:val="14"/>
              </w:rPr>
              <w:t>7,000</w:t>
            </w:r>
          </w:p>
        </w:tc>
        <w:tc>
          <w:tcPr>
            <w:tcW w:w="881" w:type="dxa"/>
          </w:tcPr>
          <w:p>
            <w:pPr>
              <w:pStyle w:val="TableParagraph"/>
              <w:spacing w:before="32"/>
              <w:ind w:right="172"/>
              <w:jc w:val="right"/>
              <w:rPr>
                <w:b/>
                <w:sz w:val="14"/>
              </w:rPr>
            </w:pPr>
            <w:r>
              <w:rPr>
                <w:b/>
                <w:w w:val="99"/>
                <w:sz w:val="14"/>
              </w:rPr>
              <w:t>-</w:t>
            </w:r>
          </w:p>
        </w:tc>
        <w:tc>
          <w:tcPr>
            <w:tcW w:w="902" w:type="dxa"/>
          </w:tcPr>
          <w:p>
            <w:pPr>
              <w:pStyle w:val="TableParagraph"/>
              <w:spacing w:before="32"/>
              <w:ind w:left="281"/>
              <w:rPr>
                <w:b/>
                <w:sz w:val="14"/>
              </w:rPr>
            </w:pPr>
            <w:r>
              <w:rPr>
                <w:b/>
                <w:sz w:val="14"/>
              </w:rPr>
              <w:t>7,700</w:t>
            </w:r>
          </w:p>
        </w:tc>
        <w:tc>
          <w:tcPr>
            <w:tcW w:w="1630" w:type="dxa"/>
          </w:tcPr>
          <w:p>
            <w:pPr>
              <w:pStyle w:val="TableParagraph"/>
              <w:tabs>
                <w:tab w:pos="586" w:val="left" w:leader="none"/>
              </w:tabs>
              <w:spacing w:before="32"/>
              <w:ind w:right="22"/>
              <w:jc w:val="right"/>
              <w:rPr>
                <w:b/>
                <w:sz w:val="14"/>
              </w:rPr>
            </w:pPr>
            <w:r>
              <w:rPr>
                <w:b/>
                <w:sz w:val="14"/>
              </w:rPr>
              <w:t>-</w:t>
              <w:tab/>
            </w:r>
            <w:r>
              <w:rPr>
                <w:b/>
                <w:spacing w:val="5"/>
                <w:sz w:val="14"/>
              </w:rPr>
              <w:t>8,470</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Strengthening Local and National Level Planning and Coordination</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5,000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5,500</w:t>
            </w:r>
          </w:p>
        </w:tc>
        <w:tc>
          <w:tcPr>
            <w:tcW w:w="1630" w:type="dxa"/>
          </w:tcPr>
          <w:p>
            <w:pPr>
              <w:pStyle w:val="TableParagraph"/>
              <w:spacing w:before="32"/>
              <w:ind w:right="6"/>
              <w:jc w:val="right"/>
              <w:rPr>
                <w:sz w:val="14"/>
              </w:rPr>
            </w:pPr>
            <w:r>
              <w:rPr>
                <w:sz w:val="14"/>
              </w:rPr>
              <w:t>6,050</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Project Preparatory Facility</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2,000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2,200</w:t>
            </w:r>
          </w:p>
        </w:tc>
        <w:tc>
          <w:tcPr>
            <w:tcW w:w="1630" w:type="dxa"/>
          </w:tcPr>
          <w:p>
            <w:pPr>
              <w:pStyle w:val="TableParagraph"/>
              <w:spacing w:before="32"/>
              <w:ind w:right="6"/>
              <w:jc w:val="right"/>
              <w:rPr>
                <w:sz w:val="14"/>
              </w:rPr>
            </w:pPr>
            <w:r>
              <w:rPr>
                <w:sz w:val="14"/>
              </w:rPr>
              <w:t>2,420</w:t>
            </w:r>
          </w:p>
        </w:tc>
      </w:tr>
      <w:tr>
        <w:trPr>
          <w:trHeight w:val="230" w:hRule="atLeast"/>
        </w:trPr>
        <w:tc>
          <w:tcPr>
            <w:tcW w:w="471" w:type="dxa"/>
          </w:tcPr>
          <w:p>
            <w:pPr>
              <w:pStyle w:val="TableParagraph"/>
              <w:spacing w:before="32"/>
              <w:ind w:left="125"/>
              <w:rPr>
                <w:sz w:val="14"/>
              </w:rPr>
            </w:pPr>
            <w:r>
              <w:rPr>
                <w:sz w:val="14"/>
              </w:rPr>
              <w:t>127</w:t>
            </w:r>
          </w:p>
        </w:tc>
        <w:tc>
          <w:tcPr>
            <w:tcW w:w="4801" w:type="dxa"/>
          </w:tcPr>
          <w:p>
            <w:pPr>
              <w:pStyle w:val="TableParagraph"/>
              <w:spacing w:before="32"/>
              <w:ind w:left="95"/>
              <w:rPr>
                <w:b/>
                <w:sz w:val="14"/>
              </w:rPr>
            </w:pPr>
            <w:r>
              <w:rPr>
                <w:b/>
                <w:sz w:val="14"/>
              </w:rPr>
              <w:t>National Monitoring and Evaluation Department</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spacing w:before="32"/>
              <w:ind w:right="154"/>
              <w:jc w:val="right"/>
              <w:rPr>
                <w:b/>
                <w:sz w:val="14"/>
              </w:rPr>
            </w:pPr>
            <w:r>
              <w:rPr>
                <w:b/>
                <w:w w:val="99"/>
                <w:sz w:val="14"/>
              </w:rPr>
              <w:t>-</w:t>
            </w:r>
          </w:p>
        </w:tc>
        <w:tc>
          <w:tcPr>
            <w:tcW w:w="898" w:type="dxa"/>
          </w:tcPr>
          <w:p>
            <w:pPr>
              <w:pStyle w:val="TableParagraph"/>
              <w:spacing w:before="32"/>
              <w:ind w:left="337"/>
              <w:rPr>
                <w:b/>
                <w:sz w:val="14"/>
              </w:rPr>
            </w:pPr>
            <w:r>
              <w:rPr>
                <w:b/>
                <w:sz w:val="14"/>
              </w:rPr>
              <w:t>3,000</w:t>
            </w:r>
          </w:p>
        </w:tc>
        <w:tc>
          <w:tcPr>
            <w:tcW w:w="881" w:type="dxa"/>
          </w:tcPr>
          <w:p>
            <w:pPr>
              <w:pStyle w:val="TableParagraph"/>
              <w:spacing w:before="32"/>
              <w:ind w:right="172"/>
              <w:jc w:val="right"/>
              <w:rPr>
                <w:b/>
                <w:sz w:val="14"/>
              </w:rPr>
            </w:pPr>
            <w:r>
              <w:rPr>
                <w:b/>
                <w:w w:val="99"/>
                <w:sz w:val="14"/>
              </w:rPr>
              <w:t>-</w:t>
            </w:r>
          </w:p>
        </w:tc>
        <w:tc>
          <w:tcPr>
            <w:tcW w:w="902" w:type="dxa"/>
          </w:tcPr>
          <w:p>
            <w:pPr>
              <w:pStyle w:val="TableParagraph"/>
              <w:spacing w:before="32"/>
              <w:ind w:left="281"/>
              <w:rPr>
                <w:b/>
                <w:sz w:val="14"/>
              </w:rPr>
            </w:pPr>
            <w:r>
              <w:rPr>
                <w:b/>
                <w:sz w:val="14"/>
              </w:rPr>
              <w:t>3,300</w:t>
            </w:r>
          </w:p>
        </w:tc>
        <w:tc>
          <w:tcPr>
            <w:tcW w:w="1630" w:type="dxa"/>
          </w:tcPr>
          <w:p>
            <w:pPr>
              <w:pStyle w:val="TableParagraph"/>
              <w:tabs>
                <w:tab w:pos="586" w:val="left" w:leader="none"/>
              </w:tabs>
              <w:spacing w:before="32"/>
              <w:ind w:right="22"/>
              <w:jc w:val="right"/>
              <w:rPr>
                <w:b/>
                <w:sz w:val="14"/>
              </w:rPr>
            </w:pPr>
            <w:r>
              <w:rPr>
                <w:b/>
                <w:sz w:val="14"/>
              </w:rPr>
              <w:t>-</w:t>
              <w:tab/>
            </w:r>
            <w:r>
              <w:rPr>
                <w:b/>
                <w:spacing w:val="5"/>
                <w:sz w:val="14"/>
              </w:rPr>
              <w:t>3,630</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Strengthening Local and National Monitoring and</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rPr>
                <w:rFonts w:ascii="Times New Roman"/>
                <w:sz w:val="14"/>
              </w:rPr>
            </w:pPr>
          </w:p>
        </w:tc>
        <w:tc>
          <w:tcPr>
            <w:tcW w:w="898" w:type="dxa"/>
          </w:tcPr>
          <w:p>
            <w:pPr>
              <w:pStyle w:val="TableParagraph"/>
              <w:rPr>
                <w:rFonts w:ascii="Times New Roman"/>
                <w:sz w:val="14"/>
              </w:rPr>
            </w:pPr>
          </w:p>
        </w:tc>
        <w:tc>
          <w:tcPr>
            <w:tcW w:w="881" w:type="dxa"/>
          </w:tcPr>
          <w:p>
            <w:pPr>
              <w:pStyle w:val="TableParagraph"/>
              <w:rPr>
                <w:rFonts w:ascii="Times New Roman"/>
                <w:sz w:val="14"/>
              </w:rPr>
            </w:pPr>
          </w:p>
        </w:tc>
        <w:tc>
          <w:tcPr>
            <w:tcW w:w="902" w:type="dxa"/>
          </w:tcPr>
          <w:p>
            <w:pPr>
              <w:pStyle w:val="TableParagraph"/>
              <w:rPr>
                <w:rFonts w:ascii="Times New Roman"/>
                <w:sz w:val="14"/>
              </w:rPr>
            </w:pPr>
          </w:p>
        </w:tc>
        <w:tc>
          <w:tcPr>
            <w:tcW w:w="1630" w:type="dxa"/>
          </w:tcPr>
          <w:p>
            <w:pPr>
              <w:pStyle w:val="TableParagraph"/>
              <w:rPr>
                <w:rFonts w:ascii="Times New Roman"/>
                <w:sz w:val="14"/>
              </w:rPr>
            </w:pP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Evaluation System</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3,000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3,300</w:t>
            </w:r>
          </w:p>
        </w:tc>
        <w:tc>
          <w:tcPr>
            <w:tcW w:w="1630" w:type="dxa"/>
          </w:tcPr>
          <w:p>
            <w:pPr>
              <w:pStyle w:val="TableParagraph"/>
              <w:spacing w:before="32"/>
              <w:ind w:right="6"/>
              <w:jc w:val="right"/>
              <w:rPr>
                <w:sz w:val="14"/>
              </w:rPr>
            </w:pPr>
            <w:r>
              <w:rPr>
                <w:sz w:val="14"/>
              </w:rPr>
              <w:t>3,630</w:t>
            </w:r>
          </w:p>
        </w:tc>
      </w:tr>
      <w:tr>
        <w:trPr>
          <w:trHeight w:val="230" w:hRule="atLeast"/>
        </w:trPr>
        <w:tc>
          <w:tcPr>
            <w:tcW w:w="471" w:type="dxa"/>
          </w:tcPr>
          <w:p>
            <w:pPr>
              <w:pStyle w:val="TableParagraph"/>
              <w:spacing w:before="32"/>
              <w:ind w:left="125"/>
              <w:rPr>
                <w:sz w:val="14"/>
              </w:rPr>
            </w:pPr>
            <w:r>
              <w:rPr>
                <w:sz w:val="14"/>
              </w:rPr>
              <w:t>127</w:t>
            </w:r>
          </w:p>
        </w:tc>
        <w:tc>
          <w:tcPr>
            <w:tcW w:w="4801" w:type="dxa"/>
          </w:tcPr>
          <w:p>
            <w:pPr>
              <w:pStyle w:val="TableParagraph"/>
              <w:spacing w:before="32"/>
              <w:ind w:left="95"/>
              <w:rPr>
                <w:b/>
                <w:sz w:val="14"/>
              </w:rPr>
            </w:pPr>
            <w:r>
              <w:rPr>
                <w:b/>
                <w:sz w:val="14"/>
              </w:rPr>
              <w:t>National Council for Civil Education and Development</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spacing w:before="32"/>
              <w:ind w:right="154"/>
              <w:jc w:val="right"/>
              <w:rPr>
                <w:b/>
                <w:sz w:val="14"/>
              </w:rPr>
            </w:pPr>
            <w:r>
              <w:rPr>
                <w:b/>
                <w:w w:val="99"/>
                <w:sz w:val="14"/>
              </w:rPr>
              <w:t>-</w:t>
            </w:r>
          </w:p>
        </w:tc>
        <w:tc>
          <w:tcPr>
            <w:tcW w:w="898" w:type="dxa"/>
          </w:tcPr>
          <w:p>
            <w:pPr>
              <w:pStyle w:val="TableParagraph"/>
              <w:spacing w:before="32"/>
              <w:ind w:left="337"/>
              <w:rPr>
                <w:b/>
                <w:sz w:val="14"/>
              </w:rPr>
            </w:pPr>
            <w:r>
              <w:rPr>
                <w:b/>
                <w:sz w:val="14"/>
              </w:rPr>
              <w:t>3,000</w:t>
            </w:r>
          </w:p>
        </w:tc>
        <w:tc>
          <w:tcPr>
            <w:tcW w:w="881" w:type="dxa"/>
          </w:tcPr>
          <w:p>
            <w:pPr>
              <w:pStyle w:val="TableParagraph"/>
              <w:spacing w:before="32"/>
              <w:ind w:right="172"/>
              <w:jc w:val="right"/>
              <w:rPr>
                <w:b/>
                <w:sz w:val="14"/>
              </w:rPr>
            </w:pPr>
            <w:r>
              <w:rPr>
                <w:b/>
                <w:w w:val="99"/>
                <w:sz w:val="14"/>
              </w:rPr>
              <w:t>-</w:t>
            </w:r>
          </w:p>
        </w:tc>
        <w:tc>
          <w:tcPr>
            <w:tcW w:w="902" w:type="dxa"/>
          </w:tcPr>
          <w:p>
            <w:pPr>
              <w:pStyle w:val="TableParagraph"/>
              <w:spacing w:before="32"/>
              <w:ind w:left="281"/>
              <w:rPr>
                <w:b/>
                <w:sz w:val="14"/>
              </w:rPr>
            </w:pPr>
            <w:r>
              <w:rPr>
                <w:b/>
                <w:sz w:val="14"/>
              </w:rPr>
              <w:t>2,000</w:t>
            </w:r>
          </w:p>
        </w:tc>
        <w:tc>
          <w:tcPr>
            <w:tcW w:w="1630" w:type="dxa"/>
          </w:tcPr>
          <w:p>
            <w:pPr>
              <w:pStyle w:val="TableParagraph"/>
              <w:tabs>
                <w:tab w:pos="586" w:val="left" w:leader="none"/>
              </w:tabs>
              <w:spacing w:before="32"/>
              <w:ind w:right="22"/>
              <w:jc w:val="right"/>
              <w:rPr>
                <w:b/>
                <w:sz w:val="14"/>
              </w:rPr>
            </w:pPr>
            <w:r>
              <w:rPr>
                <w:b/>
                <w:sz w:val="14"/>
              </w:rPr>
              <w:t>-</w:t>
              <w:tab/>
            </w:r>
            <w:r>
              <w:rPr>
                <w:b/>
                <w:spacing w:val="5"/>
                <w:sz w:val="14"/>
              </w:rPr>
              <w:t>2,200</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95"/>
              <w:rPr>
                <w:sz w:val="14"/>
              </w:rPr>
            </w:pPr>
            <w:r>
              <w:rPr>
                <w:sz w:val="14"/>
              </w:rPr>
              <w:t>Strengthening Community Civil Engagement</w:t>
            </w:r>
          </w:p>
        </w:tc>
        <w:tc>
          <w:tcPr>
            <w:tcW w:w="816" w:type="dxa"/>
          </w:tcPr>
          <w:p>
            <w:pPr>
              <w:pStyle w:val="TableParagraph"/>
              <w:spacing w:before="32"/>
              <w:ind w:left="166"/>
              <w:rPr>
                <w:sz w:val="14"/>
              </w:rPr>
            </w:pPr>
            <w:r>
              <w:rPr>
                <w:sz w:val="14"/>
              </w:rPr>
              <w:t>New</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3,000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2,000</w:t>
            </w:r>
          </w:p>
        </w:tc>
        <w:tc>
          <w:tcPr>
            <w:tcW w:w="1630" w:type="dxa"/>
          </w:tcPr>
          <w:p>
            <w:pPr>
              <w:pStyle w:val="TableParagraph"/>
              <w:spacing w:before="32"/>
              <w:ind w:right="6"/>
              <w:jc w:val="right"/>
              <w:rPr>
                <w:sz w:val="14"/>
              </w:rPr>
            </w:pPr>
            <w:r>
              <w:rPr>
                <w:sz w:val="14"/>
              </w:rPr>
              <w:t>2,200</w:t>
            </w:r>
          </w:p>
        </w:tc>
      </w:tr>
      <w:tr>
        <w:trPr>
          <w:trHeight w:val="230" w:hRule="atLeast"/>
        </w:trPr>
        <w:tc>
          <w:tcPr>
            <w:tcW w:w="471" w:type="dxa"/>
          </w:tcPr>
          <w:p>
            <w:pPr>
              <w:pStyle w:val="TableParagraph"/>
              <w:spacing w:before="32"/>
              <w:ind w:left="125"/>
              <w:rPr>
                <w:sz w:val="14"/>
              </w:rPr>
            </w:pPr>
            <w:r>
              <w:rPr>
                <w:sz w:val="14"/>
              </w:rPr>
              <w:t>138</w:t>
            </w:r>
          </w:p>
        </w:tc>
        <w:tc>
          <w:tcPr>
            <w:tcW w:w="4801" w:type="dxa"/>
          </w:tcPr>
          <w:p>
            <w:pPr>
              <w:pStyle w:val="TableParagraph"/>
              <w:spacing w:before="32"/>
              <w:ind w:left="95"/>
              <w:rPr>
                <w:b/>
                <w:sz w:val="14"/>
              </w:rPr>
            </w:pPr>
            <w:r>
              <w:rPr>
                <w:b/>
                <w:sz w:val="14"/>
              </w:rPr>
              <w:t>Statistics Sierra Leone (Stat SL)</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spacing w:before="32"/>
              <w:ind w:right="196"/>
              <w:jc w:val="right"/>
              <w:rPr>
                <w:b/>
                <w:sz w:val="14"/>
              </w:rPr>
            </w:pPr>
            <w:r>
              <w:rPr>
                <w:b/>
                <w:sz w:val="14"/>
              </w:rPr>
              <w:t>2,910</w:t>
            </w:r>
          </w:p>
        </w:tc>
        <w:tc>
          <w:tcPr>
            <w:tcW w:w="898" w:type="dxa"/>
          </w:tcPr>
          <w:p>
            <w:pPr>
              <w:pStyle w:val="TableParagraph"/>
              <w:spacing w:before="32"/>
              <w:ind w:left="337"/>
              <w:rPr>
                <w:b/>
                <w:sz w:val="14"/>
              </w:rPr>
            </w:pPr>
            <w:r>
              <w:rPr>
                <w:b/>
                <w:sz w:val="14"/>
              </w:rPr>
              <w:t>2,500</w:t>
            </w:r>
          </w:p>
        </w:tc>
        <w:tc>
          <w:tcPr>
            <w:tcW w:w="881" w:type="dxa"/>
          </w:tcPr>
          <w:p>
            <w:pPr>
              <w:pStyle w:val="TableParagraph"/>
              <w:spacing w:before="32"/>
              <w:ind w:right="172"/>
              <w:jc w:val="right"/>
              <w:rPr>
                <w:b/>
                <w:sz w:val="14"/>
              </w:rPr>
            </w:pPr>
            <w:r>
              <w:rPr>
                <w:b/>
                <w:w w:val="99"/>
                <w:sz w:val="14"/>
              </w:rPr>
              <w:t>-</w:t>
            </w:r>
          </w:p>
        </w:tc>
        <w:tc>
          <w:tcPr>
            <w:tcW w:w="902" w:type="dxa"/>
          </w:tcPr>
          <w:p>
            <w:pPr>
              <w:pStyle w:val="TableParagraph"/>
              <w:spacing w:before="32"/>
              <w:ind w:left="281"/>
              <w:rPr>
                <w:b/>
                <w:sz w:val="14"/>
              </w:rPr>
            </w:pPr>
            <w:r>
              <w:rPr>
                <w:b/>
                <w:sz w:val="14"/>
              </w:rPr>
              <w:t>2,750</w:t>
            </w:r>
          </w:p>
        </w:tc>
        <w:tc>
          <w:tcPr>
            <w:tcW w:w="1630" w:type="dxa"/>
          </w:tcPr>
          <w:p>
            <w:pPr>
              <w:pStyle w:val="TableParagraph"/>
              <w:tabs>
                <w:tab w:pos="964" w:val="left" w:leader="none"/>
              </w:tabs>
              <w:spacing w:before="32"/>
              <w:ind w:right="22"/>
              <w:jc w:val="right"/>
              <w:rPr>
                <w:b/>
                <w:sz w:val="14"/>
              </w:rPr>
            </w:pPr>
            <w:r>
              <w:rPr>
                <w:b/>
                <w:spacing w:val="5"/>
                <w:sz w:val="14"/>
              </w:rPr>
              <w:t>3,201</w:t>
              <w:tab/>
              <w:t>3,025</w:t>
            </w:r>
          </w:p>
        </w:tc>
      </w:tr>
      <w:tr>
        <w:trPr>
          <w:trHeight w:val="228"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Agriculture Tracking Survey (ATS)</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FAO/ GoSL</w:t>
            </w:r>
          </w:p>
        </w:tc>
        <w:tc>
          <w:tcPr>
            <w:tcW w:w="1300" w:type="dxa"/>
          </w:tcPr>
          <w:p>
            <w:pPr>
              <w:pStyle w:val="TableParagraph"/>
              <w:spacing w:before="32"/>
              <w:ind w:left="308"/>
              <w:rPr>
                <w:sz w:val="14"/>
              </w:rPr>
            </w:pPr>
            <w:r>
              <w:rPr>
                <w:sz w:val="14"/>
              </w:rPr>
              <w:t>Grant/ GoSL</w:t>
            </w:r>
          </w:p>
        </w:tc>
        <w:tc>
          <w:tcPr>
            <w:tcW w:w="925" w:type="dxa"/>
          </w:tcPr>
          <w:p>
            <w:pPr>
              <w:pStyle w:val="TableParagraph"/>
              <w:spacing w:before="32"/>
              <w:ind w:right="174"/>
              <w:jc w:val="right"/>
              <w:rPr>
                <w:sz w:val="14"/>
              </w:rPr>
            </w:pPr>
            <w:r>
              <w:rPr>
                <w:sz w:val="14"/>
              </w:rPr>
              <w:t>1,500</w:t>
            </w:r>
          </w:p>
        </w:tc>
        <w:tc>
          <w:tcPr>
            <w:tcW w:w="898" w:type="dxa"/>
          </w:tcPr>
          <w:p>
            <w:pPr>
              <w:pStyle w:val="TableParagraph"/>
              <w:spacing w:before="32"/>
              <w:ind w:left="488"/>
              <w:rPr>
                <w:sz w:val="14"/>
              </w:rPr>
            </w:pPr>
            <w:r>
              <w:rPr>
                <w:sz w:val="14"/>
              </w:rPr>
              <w:t>400</w:t>
            </w:r>
          </w:p>
        </w:tc>
        <w:tc>
          <w:tcPr>
            <w:tcW w:w="881" w:type="dxa"/>
          </w:tcPr>
          <w:p>
            <w:pPr>
              <w:pStyle w:val="TableParagraph"/>
              <w:rPr>
                <w:rFonts w:ascii="Times New Roman"/>
                <w:sz w:val="14"/>
              </w:rPr>
            </w:pPr>
          </w:p>
        </w:tc>
        <w:tc>
          <w:tcPr>
            <w:tcW w:w="902" w:type="dxa"/>
          </w:tcPr>
          <w:p>
            <w:pPr>
              <w:pStyle w:val="TableParagraph"/>
              <w:spacing w:before="32"/>
              <w:ind w:left="447"/>
              <w:rPr>
                <w:sz w:val="14"/>
              </w:rPr>
            </w:pPr>
            <w:r>
              <w:rPr>
                <w:sz w:val="14"/>
              </w:rPr>
              <w:t>440</w:t>
            </w:r>
          </w:p>
        </w:tc>
        <w:tc>
          <w:tcPr>
            <w:tcW w:w="1630" w:type="dxa"/>
          </w:tcPr>
          <w:p>
            <w:pPr>
              <w:pStyle w:val="TableParagraph"/>
              <w:tabs>
                <w:tab w:pos="1081" w:val="left" w:leader="none"/>
              </w:tabs>
              <w:spacing w:before="32"/>
              <w:jc w:val="right"/>
              <w:rPr>
                <w:sz w:val="14"/>
              </w:rPr>
            </w:pPr>
            <w:r>
              <w:rPr>
                <w:spacing w:val="3"/>
                <w:sz w:val="14"/>
              </w:rPr>
              <w:t>1,650</w:t>
              <w:tab/>
            </w:r>
            <w:r>
              <w:rPr>
                <w:spacing w:val="5"/>
                <w:sz w:val="14"/>
              </w:rPr>
              <w:t>484</w:t>
            </w:r>
          </w:p>
        </w:tc>
      </w:tr>
      <w:tr>
        <w:trPr>
          <w:trHeight w:val="227" w:hRule="atLeast"/>
        </w:trPr>
        <w:tc>
          <w:tcPr>
            <w:tcW w:w="471" w:type="dxa"/>
          </w:tcPr>
          <w:p>
            <w:pPr>
              <w:pStyle w:val="TableParagraph"/>
              <w:rPr>
                <w:rFonts w:ascii="Times New Roman"/>
                <w:sz w:val="14"/>
              </w:rPr>
            </w:pPr>
          </w:p>
        </w:tc>
        <w:tc>
          <w:tcPr>
            <w:tcW w:w="4801" w:type="dxa"/>
          </w:tcPr>
          <w:p>
            <w:pPr>
              <w:pStyle w:val="TableParagraph"/>
              <w:spacing w:before="29"/>
              <w:ind w:left="263"/>
              <w:rPr>
                <w:sz w:val="14"/>
              </w:rPr>
            </w:pPr>
            <w:r>
              <w:rPr>
                <w:sz w:val="14"/>
              </w:rPr>
              <w:t>Labour Force Survey(LFS) - Assessing Youth Unemployment</w:t>
            </w:r>
          </w:p>
        </w:tc>
        <w:tc>
          <w:tcPr>
            <w:tcW w:w="816" w:type="dxa"/>
          </w:tcPr>
          <w:p>
            <w:pPr>
              <w:pStyle w:val="TableParagraph"/>
              <w:spacing w:before="29"/>
              <w:ind w:left="166"/>
              <w:rPr>
                <w:sz w:val="14"/>
              </w:rPr>
            </w:pPr>
            <w:r>
              <w:rPr>
                <w:sz w:val="14"/>
              </w:rPr>
              <w:t>Ongoing</w:t>
            </w:r>
          </w:p>
        </w:tc>
        <w:tc>
          <w:tcPr>
            <w:tcW w:w="985" w:type="dxa"/>
          </w:tcPr>
          <w:p>
            <w:pPr>
              <w:pStyle w:val="TableParagraph"/>
              <w:spacing w:before="29"/>
              <w:ind w:left="89"/>
              <w:rPr>
                <w:sz w:val="14"/>
              </w:rPr>
            </w:pPr>
            <w:r>
              <w:rPr>
                <w:sz w:val="14"/>
              </w:rPr>
              <w:t>Nationwide</w:t>
            </w:r>
          </w:p>
        </w:tc>
        <w:tc>
          <w:tcPr>
            <w:tcW w:w="1177" w:type="dxa"/>
          </w:tcPr>
          <w:p>
            <w:pPr>
              <w:pStyle w:val="TableParagraph"/>
              <w:spacing w:before="29"/>
              <w:ind w:left="238"/>
              <w:rPr>
                <w:sz w:val="14"/>
              </w:rPr>
            </w:pPr>
            <w:r>
              <w:rPr>
                <w:sz w:val="14"/>
              </w:rPr>
              <w:t>IDA/ GoSL</w:t>
            </w:r>
          </w:p>
        </w:tc>
        <w:tc>
          <w:tcPr>
            <w:tcW w:w="1300" w:type="dxa"/>
          </w:tcPr>
          <w:p>
            <w:pPr>
              <w:pStyle w:val="TableParagraph"/>
              <w:spacing w:before="29"/>
              <w:ind w:left="308"/>
              <w:rPr>
                <w:sz w:val="14"/>
              </w:rPr>
            </w:pPr>
            <w:r>
              <w:rPr>
                <w:sz w:val="14"/>
              </w:rPr>
              <w:t>Grant/ GoSL</w:t>
            </w:r>
          </w:p>
        </w:tc>
        <w:tc>
          <w:tcPr>
            <w:tcW w:w="925" w:type="dxa"/>
          </w:tcPr>
          <w:p>
            <w:pPr>
              <w:pStyle w:val="TableParagraph"/>
              <w:spacing w:before="29"/>
              <w:ind w:right="166"/>
              <w:jc w:val="right"/>
              <w:rPr>
                <w:sz w:val="14"/>
              </w:rPr>
            </w:pPr>
            <w:r>
              <w:rPr>
                <w:sz w:val="14"/>
              </w:rPr>
              <w:t>250</w:t>
            </w:r>
          </w:p>
        </w:tc>
        <w:tc>
          <w:tcPr>
            <w:tcW w:w="898" w:type="dxa"/>
          </w:tcPr>
          <w:p>
            <w:pPr>
              <w:pStyle w:val="TableParagraph"/>
              <w:spacing w:before="29"/>
              <w:ind w:left="488"/>
              <w:rPr>
                <w:sz w:val="14"/>
              </w:rPr>
            </w:pPr>
            <w:r>
              <w:rPr>
                <w:sz w:val="14"/>
              </w:rPr>
              <w:t>800</w:t>
            </w:r>
          </w:p>
        </w:tc>
        <w:tc>
          <w:tcPr>
            <w:tcW w:w="881" w:type="dxa"/>
          </w:tcPr>
          <w:p>
            <w:pPr>
              <w:pStyle w:val="TableParagraph"/>
              <w:rPr>
                <w:rFonts w:ascii="Times New Roman"/>
                <w:sz w:val="14"/>
              </w:rPr>
            </w:pPr>
          </w:p>
        </w:tc>
        <w:tc>
          <w:tcPr>
            <w:tcW w:w="902" w:type="dxa"/>
          </w:tcPr>
          <w:p>
            <w:pPr>
              <w:pStyle w:val="TableParagraph"/>
              <w:spacing w:before="29"/>
              <w:ind w:left="447"/>
              <w:rPr>
                <w:sz w:val="14"/>
              </w:rPr>
            </w:pPr>
            <w:r>
              <w:rPr>
                <w:sz w:val="14"/>
              </w:rPr>
              <w:t>880</w:t>
            </w:r>
          </w:p>
        </w:tc>
        <w:tc>
          <w:tcPr>
            <w:tcW w:w="1630" w:type="dxa"/>
          </w:tcPr>
          <w:p>
            <w:pPr>
              <w:pStyle w:val="TableParagraph"/>
              <w:tabs>
                <w:tab w:pos="950" w:val="left" w:leader="none"/>
              </w:tabs>
              <w:spacing w:before="29"/>
              <w:jc w:val="right"/>
              <w:rPr>
                <w:sz w:val="14"/>
              </w:rPr>
            </w:pPr>
            <w:r>
              <w:rPr>
                <w:spacing w:val="4"/>
                <w:sz w:val="14"/>
              </w:rPr>
              <w:t>275</w:t>
              <w:tab/>
            </w:r>
            <w:r>
              <w:rPr>
                <w:spacing w:val="5"/>
                <w:sz w:val="14"/>
              </w:rPr>
              <w:t>968</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4"/>
              <w:rPr>
                <w:sz w:val="14"/>
              </w:rPr>
            </w:pPr>
            <w:r>
              <w:rPr>
                <w:sz w:val="14"/>
              </w:rPr>
              <w:t>Mid Term Population and Housing Census</w:t>
            </w:r>
          </w:p>
        </w:tc>
        <w:tc>
          <w:tcPr>
            <w:tcW w:w="816" w:type="dxa"/>
          </w:tcPr>
          <w:p>
            <w:pPr>
              <w:pStyle w:val="TableParagraph"/>
              <w:spacing w:before="32"/>
              <w:ind w:left="166"/>
              <w:rPr>
                <w:sz w:val="14"/>
              </w:rPr>
            </w:pPr>
            <w:r>
              <w:rPr>
                <w:sz w:val="14"/>
              </w:rPr>
              <w:t>New</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8"/>
              <w:rPr>
                <w:sz w:val="14"/>
              </w:rPr>
            </w:pPr>
            <w:r>
              <w:rPr>
                <w:sz w:val="14"/>
              </w:rPr>
              <w:t>Grant/ Budget</w:t>
            </w:r>
          </w:p>
        </w:tc>
        <w:tc>
          <w:tcPr>
            <w:tcW w:w="925" w:type="dxa"/>
          </w:tcPr>
          <w:p>
            <w:pPr>
              <w:pStyle w:val="TableParagraph"/>
              <w:spacing w:before="32"/>
              <w:ind w:right="145"/>
              <w:jc w:val="right"/>
              <w:rPr>
                <w:sz w:val="14"/>
              </w:rPr>
            </w:pPr>
            <w:r>
              <w:rPr>
                <w:sz w:val="14"/>
              </w:rPr>
              <w:t>1,160</w:t>
            </w:r>
          </w:p>
        </w:tc>
        <w:tc>
          <w:tcPr>
            <w:tcW w:w="898" w:type="dxa"/>
          </w:tcPr>
          <w:p>
            <w:pPr>
              <w:pStyle w:val="TableParagraph"/>
              <w:spacing w:before="32"/>
              <w:ind w:left="493"/>
              <w:rPr>
                <w:sz w:val="14"/>
              </w:rPr>
            </w:pPr>
            <w:r>
              <w:rPr>
                <w:sz w:val="14"/>
              </w:rPr>
              <w:t>600</w:t>
            </w:r>
          </w:p>
        </w:tc>
        <w:tc>
          <w:tcPr>
            <w:tcW w:w="881" w:type="dxa"/>
          </w:tcPr>
          <w:p>
            <w:pPr>
              <w:pStyle w:val="TableParagraph"/>
              <w:rPr>
                <w:rFonts w:ascii="Times New Roman"/>
                <w:sz w:val="14"/>
              </w:rPr>
            </w:pPr>
          </w:p>
        </w:tc>
        <w:tc>
          <w:tcPr>
            <w:tcW w:w="902" w:type="dxa"/>
          </w:tcPr>
          <w:p>
            <w:pPr>
              <w:pStyle w:val="TableParagraph"/>
              <w:spacing w:before="32"/>
              <w:ind w:left="447"/>
              <w:rPr>
                <w:sz w:val="14"/>
              </w:rPr>
            </w:pPr>
            <w:r>
              <w:rPr>
                <w:sz w:val="14"/>
              </w:rPr>
              <w:t>660</w:t>
            </w:r>
          </w:p>
        </w:tc>
        <w:tc>
          <w:tcPr>
            <w:tcW w:w="1630" w:type="dxa"/>
          </w:tcPr>
          <w:p>
            <w:pPr>
              <w:pStyle w:val="TableParagraph"/>
              <w:tabs>
                <w:tab w:pos="1081" w:val="left" w:leader="none"/>
              </w:tabs>
              <w:spacing w:before="32"/>
              <w:jc w:val="right"/>
              <w:rPr>
                <w:sz w:val="14"/>
              </w:rPr>
            </w:pPr>
            <w:r>
              <w:rPr>
                <w:spacing w:val="3"/>
                <w:sz w:val="14"/>
              </w:rPr>
              <w:t>1,276</w:t>
              <w:tab/>
            </w:r>
            <w:r>
              <w:rPr>
                <w:spacing w:val="5"/>
                <w:sz w:val="14"/>
              </w:rPr>
              <w:t>726</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Rehabilitation of Statistics Sierra Leone Head Office Building</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488"/>
              <w:rPr>
                <w:sz w:val="14"/>
              </w:rPr>
            </w:pPr>
            <w:r>
              <w:rPr>
                <w:sz w:val="14"/>
              </w:rPr>
              <w:t>700</w:t>
            </w:r>
          </w:p>
        </w:tc>
        <w:tc>
          <w:tcPr>
            <w:tcW w:w="881" w:type="dxa"/>
          </w:tcPr>
          <w:p>
            <w:pPr>
              <w:pStyle w:val="TableParagraph"/>
              <w:rPr>
                <w:rFonts w:ascii="Times New Roman"/>
                <w:sz w:val="14"/>
              </w:rPr>
            </w:pPr>
          </w:p>
        </w:tc>
        <w:tc>
          <w:tcPr>
            <w:tcW w:w="902" w:type="dxa"/>
          </w:tcPr>
          <w:p>
            <w:pPr>
              <w:pStyle w:val="TableParagraph"/>
              <w:spacing w:before="32"/>
              <w:ind w:left="447"/>
              <w:rPr>
                <w:sz w:val="14"/>
              </w:rPr>
            </w:pPr>
            <w:r>
              <w:rPr>
                <w:sz w:val="14"/>
              </w:rPr>
              <w:t>770</w:t>
            </w:r>
          </w:p>
        </w:tc>
        <w:tc>
          <w:tcPr>
            <w:tcW w:w="1630" w:type="dxa"/>
          </w:tcPr>
          <w:p>
            <w:pPr>
              <w:pStyle w:val="TableParagraph"/>
              <w:tabs>
                <w:tab w:pos="751" w:val="left" w:leader="none"/>
              </w:tabs>
              <w:spacing w:before="32"/>
              <w:jc w:val="right"/>
              <w:rPr>
                <w:sz w:val="14"/>
              </w:rPr>
            </w:pPr>
            <w:r>
              <w:rPr>
                <w:sz w:val="14"/>
              </w:rPr>
              <w:t>-</w:t>
              <w:tab/>
            </w:r>
            <w:r>
              <w:rPr>
                <w:spacing w:val="5"/>
                <w:sz w:val="14"/>
              </w:rPr>
              <w:t>847</w:t>
            </w:r>
          </w:p>
        </w:tc>
      </w:tr>
      <w:tr>
        <w:trPr>
          <w:trHeight w:val="230" w:hRule="atLeast"/>
        </w:trPr>
        <w:tc>
          <w:tcPr>
            <w:tcW w:w="471" w:type="dxa"/>
          </w:tcPr>
          <w:p>
            <w:pPr>
              <w:pStyle w:val="TableParagraph"/>
              <w:spacing w:before="32"/>
              <w:ind w:left="125"/>
              <w:rPr>
                <w:sz w:val="14"/>
              </w:rPr>
            </w:pPr>
            <w:r>
              <w:rPr>
                <w:sz w:val="14"/>
              </w:rPr>
              <w:t>129</w:t>
            </w:r>
          </w:p>
        </w:tc>
        <w:tc>
          <w:tcPr>
            <w:tcW w:w="4801" w:type="dxa"/>
          </w:tcPr>
          <w:p>
            <w:pPr>
              <w:pStyle w:val="TableParagraph"/>
              <w:spacing w:before="32"/>
              <w:ind w:left="96"/>
              <w:rPr>
                <w:b/>
                <w:sz w:val="14"/>
              </w:rPr>
            </w:pPr>
            <w:r>
              <w:rPr>
                <w:b/>
                <w:sz w:val="14"/>
              </w:rPr>
              <w:t>Ministry of Finance (MoF)</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spacing w:before="32"/>
              <w:ind w:right="196"/>
              <w:jc w:val="right"/>
              <w:rPr>
                <w:b/>
                <w:sz w:val="14"/>
              </w:rPr>
            </w:pPr>
            <w:r>
              <w:rPr>
                <w:b/>
                <w:sz w:val="14"/>
              </w:rPr>
              <w:t>1,557</w:t>
            </w:r>
          </w:p>
        </w:tc>
        <w:tc>
          <w:tcPr>
            <w:tcW w:w="898" w:type="dxa"/>
          </w:tcPr>
          <w:p>
            <w:pPr>
              <w:pStyle w:val="TableParagraph"/>
              <w:spacing w:before="32"/>
              <w:ind w:left="337"/>
              <w:rPr>
                <w:b/>
                <w:sz w:val="14"/>
              </w:rPr>
            </w:pPr>
            <w:r>
              <w:rPr>
                <w:b/>
                <w:sz w:val="14"/>
              </w:rPr>
              <w:t>7,400</w:t>
            </w:r>
          </w:p>
        </w:tc>
        <w:tc>
          <w:tcPr>
            <w:tcW w:w="881" w:type="dxa"/>
          </w:tcPr>
          <w:p>
            <w:pPr>
              <w:pStyle w:val="TableParagraph"/>
              <w:spacing w:before="32"/>
              <w:ind w:right="200"/>
              <w:jc w:val="right"/>
              <w:rPr>
                <w:b/>
                <w:sz w:val="14"/>
              </w:rPr>
            </w:pPr>
            <w:r>
              <w:rPr>
                <w:b/>
                <w:sz w:val="14"/>
              </w:rPr>
              <w:t>614</w:t>
            </w:r>
          </w:p>
        </w:tc>
        <w:tc>
          <w:tcPr>
            <w:tcW w:w="902" w:type="dxa"/>
          </w:tcPr>
          <w:p>
            <w:pPr>
              <w:pStyle w:val="TableParagraph"/>
              <w:spacing w:before="32"/>
              <w:ind w:left="184"/>
              <w:rPr>
                <w:b/>
                <w:sz w:val="14"/>
              </w:rPr>
            </w:pPr>
            <w:r>
              <w:rPr>
                <w:b/>
                <w:sz w:val="14"/>
              </w:rPr>
              <w:t>13,943</w:t>
            </w:r>
          </w:p>
        </w:tc>
        <w:tc>
          <w:tcPr>
            <w:tcW w:w="1630" w:type="dxa"/>
          </w:tcPr>
          <w:p>
            <w:pPr>
              <w:pStyle w:val="TableParagraph"/>
              <w:tabs>
                <w:tab w:pos="489" w:val="left" w:leader="none"/>
              </w:tabs>
              <w:spacing w:before="32"/>
              <w:ind w:right="31"/>
              <w:jc w:val="right"/>
              <w:rPr>
                <w:b/>
                <w:sz w:val="14"/>
              </w:rPr>
            </w:pPr>
            <w:r>
              <w:rPr>
                <w:b/>
                <w:sz w:val="14"/>
              </w:rPr>
              <w:t>-</w:t>
              <w:tab/>
            </w:r>
            <w:r>
              <w:rPr>
                <w:b/>
                <w:spacing w:val="6"/>
                <w:w w:val="95"/>
                <w:sz w:val="14"/>
              </w:rPr>
              <w:t>16,434</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Support to Medium Term Expenditure Framework (MTEF)</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3,000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3,300</w:t>
            </w:r>
          </w:p>
        </w:tc>
        <w:tc>
          <w:tcPr>
            <w:tcW w:w="1630" w:type="dxa"/>
          </w:tcPr>
          <w:p>
            <w:pPr>
              <w:pStyle w:val="TableParagraph"/>
              <w:spacing w:before="32"/>
              <w:ind w:right="6"/>
              <w:jc w:val="right"/>
              <w:rPr>
                <w:sz w:val="14"/>
              </w:rPr>
            </w:pPr>
            <w:r>
              <w:rPr>
                <w:sz w:val="14"/>
              </w:rPr>
              <w:t>3,630</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Support to Public Financial Management Improvement</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rPr>
                <w:rFonts w:ascii="Times New Roman"/>
                <w:sz w:val="14"/>
              </w:rPr>
            </w:pPr>
          </w:p>
        </w:tc>
        <w:tc>
          <w:tcPr>
            <w:tcW w:w="898" w:type="dxa"/>
          </w:tcPr>
          <w:p>
            <w:pPr>
              <w:pStyle w:val="TableParagraph"/>
              <w:rPr>
                <w:rFonts w:ascii="Times New Roman"/>
                <w:sz w:val="14"/>
              </w:rPr>
            </w:pPr>
          </w:p>
        </w:tc>
        <w:tc>
          <w:tcPr>
            <w:tcW w:w="881" w:type="dxa"/>
          </w:tcPr>
          <w:p>
            <w:pPr>
              <w:pStyle w:val="TableParagraph"/>
              <w:rPr>
                <w:rFonts w:ascii="Times New Roman"/>
                <w:sz w:val="14"/>
              </w:rPr>
            </w:pPr>
          </w:p>
        </w:tc>
        <w:tc>
          <w:tcPr>
            <w:tcW w:w="902" w:type="dxa"/>
          </w:tcPr>
          <w:p>
            <w:pPr>
              <w:pStyle w:val="TableParagraph"/>
              <w:rPr>
                <w:rFonts w:ascii="Times New Roman"/>
                <w:sz w:val="14"/>
              </w:rPr>
            </w:pPr>
          </w:p>
        </w:tc>
        <w:tc>
          <w:tcPr>
            <w:tcW w:w="1630" w:type="dxa"/>
          </w:tcPr>
          <w:p>
            <w:pPr>
              <w:pStyle w:val="TableParagraph"/>
              <w:rPr>
                <w:rFonts w:ascii="Times New Roman"/>
                <w:sz w:val="14"/>
              </w:rPr>
            </w:pP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and Consolidated Project (PFMICP)</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8"/>
              <w:rPr>
                <w:sz w:val="14"/>
              </w:rPr>
            </w:pPr>
            <w:r>
              <w:rPr>
                <w:sz w:val="14"/>
              </w:rPr>
              <w:t>IDA/ 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488"/>
              <w:rPr>
                <w:sz w:val="14"/>
              </w:rPr>
            </w:pPr>
            <w:r>
              <w:rPr>
                <w:sz w:val="14"/>
              </w:rPr>
              <w:t>200</w:t>
            </w:r>
          </w:p>
        </w:tc>
        <w:tc>
          <w:tcPr>
            <w:tcW w:w="881" w:type="dxa"/>
          </w:tcPr>
          <w:p>
            <w:pPr>
              <w:pStyle w:val="TableParagraph"/>
              <w:rPr>
                <w:rFonts w:ascii="Times New Roman"/>
                <w:sz w:val="14"/>
              </w:rPr>
            </w:pPr>
          </w:p>
        </w:tc>
        <w:tc>
          <w:tcPr>
            <w:tcW w:w="902" w:type="dxa"/>
          </w:tcPr>
          <w:p>
            <w:pPr>
              <w:pStyle w:val="TableParagraph"/>
              <w:spacing w:before="32"/>
              <w:ind w:left="447"/>
              <w:rPr>
                <w:sz w:val="14"/>
              </w:rPr>
            </w:pPr>
            <w:r>
              <w:rPr>
                <w:sz w:val="14"/>
              </w:rPr>
              <w:t>220</w:t>
            </w:r>
          </w:p>
        </w:tc>
        <w:tc>
          <w:tcPr>
            <w:tcW w:w="1630" w:type="dxa"/>
          </w:tcPr>
          <w:p>
            <w:pPr>
              <w:pStyle w:val="TableParagraph"/>
              <w:spacing w:before="32"/>
              <w:jc w:val="right"/>
              <w:rPr>
                <w:sz w:val="14"/>
              </w:rPr>
            </w:pPr>
            <w:r>
              <w:rPr>
                <w:sz w:val="14"/>
              </w:rPr>
              <w:t>242</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Support to Project Fuduciary Management Unit</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488"/>
              <w:rPr>
                <w:sz w:val="14"/>
              </w:rPr>
            </w:pPr>
            <w:r>
              <w:rPr>
                <w:sz w:val="14"/>
              </w:rPr>
              <w:t>200</w:t>
            </w:r>
          </w:p>
        </w:tc>
        <w:tc>
          <w:tcPr>
            <w:tcW w:w="881" w:type="dxa"/>
          </w:tcPr>
          <w:p>
            <w:pPr>
              <w:pStyle w:val="TableParagraph"/>
              <w:rPr>
                <w:rFonts w:ascii="Times New Roman"/>
                <w:sz w:val="14"/>
              </w:rPr>
            </w:pPr>
          </w:p>
        </w:tc>
        <w:tc>
          <w:tcPr>
            <w:tcW w:w="902" w:type="dxa"/>
          </w:tcPr>
          <w:p>
            <w:pPr>
              <w:pStyle w:val="TableParagraph"/>
              <w:spacing w:before="32"/>
              <w:ind w:left="447"/>
              <w:rPr>
                <w:sz w:val="14"/>
              </w:rPr>
            </w:pPr>
            <w:r>
              <w:rPr>
                <w:sz w:val="14"/>
              </w:rPr>
              <w:t>220</w:t>
            </w:r>
          </w:p>
        </w:tc>
        <w:tc>
          <w:tcPr>
            <w:tcW w:w="1630" w:type="dxa"/>
          </w:tcPr>
          <w:p>
            <w:pPr>
              <w:pStyle w:val="TableParagraph"/>
              <w:spacing w:before="32"/>
              <w:jc w:val="right"/>
              <w:rPr>
                <w:sz w:val="14"/>
              </w:rPr>
            </w:pPr>
            <w:r>
              <w:rPr>
                <w:sz w:val="14"/>
              </w:rPr>
              <w:t>242</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Local Government Develoment Grants (Transfers)</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right="152"/>
              <w:jc w:val="right"/>
              <w:rPr>
                <w:sz w:val="14"/>
              </w:rPr>
            </w:pPr>
            <w:r>
              <w:rPr>
                <w:w w:val="99"/>
                <w:sz w:val="14"/>
              </w:rPr>
              <w:t>-</w:t>
            </w:r>
          </w:p>
        </w:tc>
        <w:tc>
          <w:tcPr>
            <w:tcW w:w="881" w:type="dxa"/>
          </w:tcPr>
          <w:p>
            <w:pPr>
              <w:pStyle w:val="TableParagraph"/>
              <w:rPr>
                <w:rFonts w:ascii="Times New Roman"/>
                <w:sz w:val="14"/>
              </w:rPr>
            </w:pPr>
          </w:p>
        </w:tc>
        <w:tc>
          <w:tcPr>
            <w:tcW w:w="902" w:type="dxa"/>
          </w:tcPr>
          <w:p>
            <w:pPr>
              <w:pStyle w:val="TableParagraph"/>
              <w:spacing w:before="32"/>
              <w:ind w:right="235"/>
              <w:jc w:val="right"/>
              <w:rPr>
                <w:sz w:val="14"/>
              </w:rPr>
            </w:pPr>
            <w:r>
              <w:rPr>
                <w:w w:val="99"/>
                <w:sz w:val="14"/>
              </w:rPr>
              <w:t>-</w:t>
            </w:r>
          </w:p>
        </w:tc>
        <w:tc>
          <w:tcPr>
            <w:tcW w:w="1630" w:type="dxa"/>
          </w:tcPr>
          <w:p>
            <w:pPr>
              <w:pStyle w:val="TableParagraph"/>
              <w:spacing w:before="32"/>
              <w:ind w:right="-15"/>
              <w:jc w:val="right"/>
              <w:rPr>
                <w:sz w:val="14"/>
              </w:rPr>
            </w:pPr>
            <w:r>
              <w:rPr>
                <w:w w:val="99"/>
                <w:sz w:val="14"/>
              </w:rPr>
              <w:t>-</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Sierra Leone Economic Diversification Project</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8"/>
              <w:rPr>
                <w:sz w:val="14"/>
              </w:rPr>
            </w:pPr>
            <w:r>
              <w:rPr>
                <w:sz w:val="14"/>
              </w:rPr>
              <w:t>IDA/ GoSL</w:t>
            </w:r>
          </w:p>
        </w:tc>
        <w:tc>
          <w:tcPr>
            <w:tcW w:w="1300" w:type="dxa"/>
          </w:tcPr>
          <w:p>
            <w:pPr>
              <w:pStyle w:val="TableParagraph"/>
              <w:spacing w:before="32"/>
              <w:ind w:left="308"/>
              <w:rPr>
                <w:sz w:val="14"/>
              </w:rPr>
            </w:pPr>
            <w:r>
              <w:rPr>
                <w:sz w:val="14"/>
              </w:rPr>
              <w:t>Grant/ Budget</w:t>
            </w:r>
          </w:p>
        </w:tc>
        <w:tc>
          <w:tcPr>
            <w:tcW w:w="925" w:type="dxa"/>
          </w:tcPr>
          <w:p>
            <w:pPr>
              <w:pStyle w:val="TableParagraph"/>
              <w:spacing w:before="32"/>
              <w:ind w:right="145"/>
              <w:jc w:val="right"/>
              <w:rPr>
                <w:sz w:val="14"/>
              </w:rPr>
            </w:pPr>
            <w:r>
              <w:rPr>
                <w:sz w:val="14"/>
              </w:rPr>
              <w:t>1,557</w:t>
            </w:r>
          </w:p>
        </w:tc>
        <w:tc>
          <w:tcPr>
            <w:tcW w:w="898" w:type="dxa"/>
          </w:tcPr>
          <w:p>
            <w:pPr>
              <w:pStyle w:val="TableParagraph"/>
              <w:spacing w:before="32"/>
              <w:ind w:left="362"/>
              <w:rPr>
                <w:sz w:val="14"/>
              </w:rPr>
            </w:pPr>
            <w:r>
              <w:rPr>
                <w:sz w:val="14"/>
              </w:rPr>
              <w:t>1,000</w:t>
            </w:r>
          </w:p>
        </w:tc>
        <w:tc>
          <w:tcPr>
            <w:tcW w:w="881" w:type="dxa"/>
          </w:tcPr>
          <w:p>
            <w:pPr>
              <w:pStyle w:val="TableParagraph"/>
              <w:spacing w:before="32"/>
              <w:ind w:right="188"/>
              <w:jc w:val="right"/>
              <w:rPr>
                <w:sz w:val="14"/>
              </w:rPr>
            </w:pPr>
            <w:r>
              <w:rPr>
                <w:sz w:val="14"/>
              </w:rPr>
              <w:t>614</w:t>
            </w:r>
          </w:p>
        </w:tc>
        <w:tc>
          <w:tcPr>
            <w:tcW w:w="902" w:type="dxa"/>
          </w:tcPr>
          <w:p>
            <w:pPr>
              <w:pStyle w:val="TableParagraph"/>
              <w:spacing w:before="32"/>
              <w:ind w:left="316"/>
              <w:rPr>
                <w:sz w:val="14"/>
              </w:rPr>
            </w:pPr>
            <w:r>
              <w:rPr>
                <w:sz w:val="14"/>
              </w:rPr>
              <w:t>1,100</w:t>
            </w:r>
          </w:p>
        </w:tc>
        <w:tc>
          <w:tcPr>
            <w:tcW w:w="1630" w:type="dxa"/>
          </w:tcPr>
          <w:p>
            <w:pPr>
              <w:pStyle w:val="TableParagraph"/>
              <w:tabs>
                <w:tab w:pos="620" w:val="left" w:leader="none"/>
              </w:tabs>
              <w:spacing w:before="32"/>
              <w:ind w:right="6"/>
              <w:jc w:val="right"/>
              <w:rPr>
                <w:sz w:val="14"/>
              </w:rPr>
            </w:pPr>
            <w:r>
              <w:rPr>
                <w:sz w:val="14"/>
              </w:rPr>
              <w:t>-</w:t>
              <w:tab/>
            </w:r>
            <w:r>
              <w:rPr>
                <w:spacing w:val="4"/>
                <w:sz w:val="14"/>
              </w:rPr>
              <w:t>1,210</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Sierra Leone Urban Resilient Project</w:t>
            </w:r>
          </w:p>
        </w:tc>
        <w:tc>
          <w:tcPr>
            <w:tcW w:w="816" w:type="dxa"/>
          </w:tcPr>
          <w:p>
            <w:pPr>
              <w:pStyle w:val="TableParagraph"/>
              <w:spacing w:before="32"/>
              <w:ind w:left="166"/>
              <w:rPr>
                <w:sz w:val="14"/>
              </w:rPr>
            </w:pPr>
            <w:r>
              <w:rPr>
                <w:sz w:val="14"/>
              </w:rPr>
              <w:t>New</w:t>
            </w:r>
          </w:p>
        </w:tc>
        <w:tc>
          <w:tcPr>
            <w:tcW w:w="985" w:type="dxa"/>
          </w:tcPr>
          <w:p>
            <w:pPr>
              <w:pStyle w:val="TableParagraph"/>
              <w:spacing w:before="32"/>
              <w:ind w:left="89"/>
              <w:rPr>
                <w:sz w:val="14"/>
              </w:rPr>
            </w:pPr>
            <w:r>
              <w:rPr>
                <w:sz w:val="14"/>
              </w:rPr>
              <w:t>Nationwide</w:t>
            </w: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2,000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5,742</w:t>
            </w:r>
          </w:p>
        </w:tc>
        <w:tc>
          <w:tcPr>
            <w:tcW w:w="1630" w:type="dxa"/>
          </w:tcPr>
          <w:p>
            <w:pPr>
              <w:pStyle w:val="TableParagraph"/>
              <w:spacing w:before="32"/>
              <w:ind w:right="6"/>
              <w:jc w:val="right"/>
              <w:rPr>
                <w:sz w:val="14"/>
              </w:rPr>
            </w:pPr>
            <w:r>
              <w:rPr>
                <w:sz w:val="14"/>
              </w:rPr>
              <w:t>7,656</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Freetown Emergency Recovery Project</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1,000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3,361</w:t>
            </w:r>
          </w:p>
        </w:tc>
        <w:tc>
          <w:tcPr>
            <w:tcW w:w="1630" w:type="dxa"/>
          </w:tcPr>
          <w:p>
            <w:pPr>
              <w:pStyle w:val="TableParagraph"/>
              <w:spacing w:before="32"/>
              <w:ind w:right="6"/>
              <w:jc w:val="right"/>
              <w:rPr>
                <w:sz w:val="14"/>
              </w:rPr>
            </w:pPr>
            <w:r>
              <w:rPr>
                <w:sz w:val="14"/>
              </w:rPr>
              <w:t>3,454</w:t>
            </w:r>
          </w:p>
        </w:tc>
      </w:tr>
      <w:tr>
        <w:trPr>
          <w:trHeight w:val="228" w:hRule="atLeast"/>
        </w:trPr>
        <w:tc>
          <w:tcPr>
            <w:tcW w:w="471" w:type="dxa"/>
          </w:tcPr>
          <w:p>
            <w:pPr>
              <w:pStyle w:val="TableParagraph"/>
              <w:rPr>
                <w:rFonts w:ascii="Times New Roman"/>
                <w:sz w:val="14"/>
              </w:rPr>
            </w:pPr>
          </w:p>
        </w:tc>
        <w:tc>
          <w:tcPr>
            <w:tcW w:w="4801" w:type="dxa"/>
          </w:tcPr>
          <w:p>
            <w:pPr>
              <w:pStyle w:val="TableParagraph"/>
              <w:spacing w:before="32"/>
              <w:ind w:left="95"/>
              <w:rPr>
                <w:sz w:val="14"/>
              </w:rPr>
            </w:pPr>
            <w:r>
              <w:rPr>
                <w:sz w:val="14"/>
              </w:rPr>
              <w:t>Financial Inclusion Project</w:t>
            </w:r>
          </w:p>
        </w:tc>
        <w:tc>
          <w:tcPr>
            <w:tcW w:w="816" w:type="dxa"/>
          </w:tcPr>
          <w:p>
            <w:pPr>
              <w:pStyle w:val="TableParagraph"/>
              <w:spacing w:before="32"/>
              <w:ind w:left="166"/>
              <w:rPr>
                <w:sz w:val="14"/>
              </w:rPr>
            </w:pPr>
            <w:r>
              <w:rPr>
                <w:sz w:val="14"/>
              </w:rPr>
              <w:t>New</w:t>
            </w:r>
          </w:p>
        </w:tc>
        <w:tc>
          <w:tcPr>
            <w:tcW w:w="985" w:type="dxa"/>
          </w:tcPr>
          <w:p>
            <w:pPr>
              <w:pStyle w:val="TableParagraph"/>
              <w:spacing w:before="32"/>
              <w:ind w:left="89"/>
              <w:rPr>
                <w:sz w:val="14"/>
              </w:rPr>
            </w:pPr>
            <w:r>
              <w:rPr>
                <w:sz w:val="14"/>
              </w:rPr>
              <w:t>Nationwide</w:t>
            </w: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rPr>
                <w:rFonts w:ascii="Times New Roman"/>
                <w:sz w:val="14"/>
              </w:rPr>
            </w:pPr>
          </w:p>
        </w:tc>
        <w:tc>
          <w:tcPr>
            <w:tcW w:w="898" w:type="dxa"/>
          </w:tcPr>
          <w:p>
            <w:pPr>
              <w:pStyle w:val="TableParagraph"/>
              <w:rPr>
                <w:rFonts w:ascii="Times New Roman"/>
                <w:sz w:val="14"/>
              </w:rPr>
            </w:pPr>
          </w:p>
        </w:tc>
        <w:tc>
          <w:tcPr>
            <w:tcW w:w="881" w:type="dxa"/>
          </w:tcPr>
          <w:p>
            <w:pPr>
              <w:pStyle w:val="TableParagraph"/>
              <w:rPr>
                <w:rFonts w:ascii="Times New Roman"/>
                <w:sz w:val="14"/>
              </w:rPr>
            </w:pPr>
          </w:p>
        </w:tc>
        <w:tc>
          <w:tcPr>
            <w:tcW w:w="902" w:type="dxa"/>
          </w:tcPr>
          <w:p>
            <w:pPr>
              <w:pStyle w:val="TableParagraph"/>
              <w:rPr>
                <w:rFonts w:ascii="Times New Roman"/>
                <w:sz w:val="14"/>
              </w:rPr>
            </w:pPr>
          </w:p>
        </w:tc>
        <w:tc>
          <w:tcPr>
            <w:tcW w:w="1630" w:type="dxa"/>
          </w:tcPr>
          <w:p>
            <w:pPr>
              <w:pStyle w:val="TableParagraph"/>
              <w:rPr>
                <w:rFonts w:ascii="Times New Roman"/>
                <w:sz w:val="14"/>
              </w:rPr>
            </w:pPr>
          </w:p>
        </w:tc>
      </w:tr>
      <w:tr>
        <w:trPr>
          <w:trHeight w:val="227" w:hRule="atLeast"/>
        </w:trPr>
        <w:tc>
          <w:tcPr>
            <w:tcW w:w="471" w:type="dxa"/>
          </w:tcPr>
          <w:p>
            <w:pPr>
              <w:pStyle w:val="TableParagraph"/>
              <w:spacing w:before="29"/>
              <w:ind w:left="125"/>
              <w:rPr>
                <w:sz w:val="14"/>
              </w:rPr>
            </w:pPr>
            <w:r>
              <w:rPr>
                <w:sz w:val="14"/>
              </w:rPr>
              <w:t>701</w:t>
            </w:r>
          </w:p>
        </w:tc>
        <w:tc>
          <w:tcPr>
            <w:tcW w:w="4801" w:type="dxa"/>
          </w:tcPr>
          <w:p>
            <w:pPr>
              <w:pStyle w:val="TableParagraph"/>
              <w:spacing w:before="29"/>
              <w:ind w:left="96"/>
              <w:rPr>
                <w:b/>
                <w:sz w:val="14"/>
              </w:rPr>
            </w:pPr>
            <w:r>
              <w:rPr>
                <w:b/>
                <w:sz w:val="14"/>
              </w:rPr>
              <w:t>Transfers to Local Councils</w:t>
            </w:r>
          </w:p>
        </w:tc>
        <w:tc>
          <w:tcPr>
            <w:tcW w:w="816" w:type="dxa"/>
          </w:tcPr>
          <w:p>
            <w:pPr>
              <w:pStyle w:val="TableParagraph"/>
              <w:rPr>
                <w:rFonts w:ascii="Times New Roman"/>
                <w:sz w:val="14"/>
              </w:rPr>
            </w:pPr>
          </w:p>
        </w:tc>
        <w:tc>
          <w:tcPr>
            <w:tcW w:w="985" w:type="dxa"/>
          </w:tcPr>
          <w:p>
            <w:pPr>
              <w:pStyle w:val="TableParagraph"/>
              <w:rPr>
                <w:rFonts w:ascii="Times New Roman"/>
                <w:sz w:val="14"/>
              </w:rPr>
            </w:pPr>
          </w:p>
        </w:tc>
        <w:tc>
          <w:tcPr>
            <w:tcW w:w="1177" w:type="dxa"/>
          </w:tcPr>
          <w:p>
            <w:pPr>
              <w:pStyle w:val="TableParagraph"/>
              <w:rPr>
                <w:rFonts w:ascii="Times New Roman"/>
                <w:sz w:val="14"/>
              </w:rPr>
            </w:pPr>
          </w:p>
        </w:tc>
        <w:tc>
          <w:tcPr>
            <w:tcW w:w="1300" w:type="dxa"/>
          </w:tcPr>
          <w:p>
            <w:pPr>
              <w:pStyle w:val="TableParagraph"/>
              <w:rPr>
                <w:rFonts w:ascii="Times New Roman"/>
                <w:sz w:val="14"/>
              </w:rPr>
            </w:pPr>
          </w:p>
        </w:tc>
        <w:tc>
          <w:tcPr>
            <w:tcW w:w="925" w:type="dxa"/>
          </w:tcPr>
          <w:p>
            <w:pPr>
              <w:pStyle w:val="TableParagraph"/>
              <w:spacing w:before="29"/>
              <w:ind w:right="158"/>
              <w:jc w:val="right"/>
              <w:rPr>
                <w:b/>
                <w:sz w:val="14"/>
              </w:rPr>
            </w:pPr>
            <w:r>
              <w:rPr>
                <w:b/>
                <w:w w:val="99"/>
                <w:sz w:val="14"/>
              </w:rPr>
              <w:t>-</w:t>
            </w:r>
          </w:p>
        </w:tc>
        <w:tc>
          <w:tcPr>
            <w:tcW w:w="898" w:type="dxa"/>
          </w:tcPr>
          <w:p>
            <w:pPr>
              <w:pStyle w:val="TableParagraph"/>
              <w:spacing w:before="29"/>
              <w:ind w:left="240"/>
              <w:rPr>
                <w:b/>
                <w:sz w:val="14"/>
              </w:rPr>
            </w:pPr>
            <w:r>
              <w:rPr>
                <w:b/>
                <w:sz w:val="14"/>
              </w:rPr>
              <w:t>29,686</w:t>
            </w:r>
          </w:p>
        </w:tc>
        <w:tc>
          <w:tcPr>
            <w:tcW w:w="881" w:type="dxa"/>
          </w:tcPr>
          <w:p>
            <w:pPr>
              <w:pStyle w:val="TableParagraph"/>
              <w:spacing w:before="29"/>
              <w:ind w:right="172"/>
              <w:jc w:val="right"/>
              <w:rPr>
                <w:b/>
                <w:sz w:val="14"/>
              </w:rPr>
            </w:pPr>
            <w:r>
              <w:rPr>
                <w:b/>
                <w:w w:val="99"/>
                <w:sz w:val="14"/>
              </w:rPr>
              <w:t>-</w:t>
            </w:r>
          </w:p>
        </w:tc>
        <w:tc>
          <w:tcPr>
            <w:tcW w:w="902" w:type="dxa"/>
          </w:tcPr>
          <w:p>
            <w:pPr>
              <w:pStyle w:val="TableParagraph"/>
              <w:spacing w:before="29"/>
              <w:ind w:left="184"/>
              <w:rPr>
                <w:b/>
                <w:sz w:val="14"/>
              </w:rPr>
            </w:pPr>
            <w:r>
              <w:rPr>
                <w:b/>
                <w:sz w:val="14"/>
              </w:rPr>
              <w:t>33,495</w:t>
            </w:r>
          </w:p>
        </w:tc>
        <w:tc>
          <w:tcPr>
            <w:tcW w:w="1630" w:type="dxa"/>
          </w:tcPr>
          <w:p>
            <w:pPr>
              <w:pStyle w:val="TableParagraph"/>
              <w:tabs>
                <w:tab w:pos="489" w:val="left" w:leader="none"/>
              </w:tabs>
              <w:spacing w:before="29"/>
              <w:ind w:right="31"/>
              <w:jc w:val="right"/>
              <w:rPr>
                <w:b/>
                <w:sz w:val="14"/>
              </w:rPr>
            </w:pPr>
            <w:r>
              <w:rPr>
                <w:b/>
                <w:sz w:val="14"/>
              </w:rPr>
              <w:t>-</w:t>
              <w:tab/>
            </w:r>
            <w:r>
              <w:rPr>
                <w:b/>
                <w:spacing w:val="6"/>
                <w:w w:val="95"/>
                <w:sz w:val="14"/>
              </w:rPr>
              <w:t>33,495</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Local Government Develoment Grants (Transfers)</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rPr>
                <w:rFonts w:ascii="Times New Roman"/>
                <w:sz w:val="14"/>
              </w:rPr>
            </w:pPr>
          </w:p>
        </w:tc>
        <w:tc>
          <w:tcPr>
            <w:tcW w:w="898" w:type="dxa"/>
          </w:tcPr>
          <w:p>
            <w:pPr>
              <w:pStyle w:val="TableParagraph"/>
              <w:spacing w:before="32"/>
              <w:ind w:left="358"/>
              <w:rPr>
                <w:sz w:val="14"/>
              </w:rPr>
            </w:pPr>
            <w:r>
              <w:rPr>
                <w:sz w:val="14"/>
              </w:rPr>
              <w:t>5,186</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8,995</w:t>
            </w:r>
          </w:p>
        </w:tc>
        <w:tc>
          <w:tcPr>
            <w:tcW w:w="1630" w:type="dxa"/>
          </w:tcPr>
          <w:p>
            <w:pPr>
              <w:pStyle w:val="TableParagraph"/>
              <w:spacing w:before="32"/>
              <w:ind w:right="6"/>
              <w:jc w:val="right"/>
              <w:rPr>
                <w:sz w:val="14"/>
              </w:rPr>
            </w:pPr>
            <w:r>
              <w:rPr>
                <w:sz w:val="14"/>
              </w:rPr>
              <w:t>8,995</w:t>
            </w:r>
          </w:p>
        </w:tc>
      </w:tr>
      <w:tr>
        <w:trPr>
          <w:trHeight w:val="230"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Examination Fees for NPSE</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spacing w:before="32"/>
              <w:ind w:right="161"/>
              <w:jc w:val="right"/>
              <w:rPr>
                <w:sz w:val="14"/>
              </w:rPr>
            </w:pPr>
            <w:r>
              <w:rPr>
                <w:w w:val="99"/>
                <w:sz w:val="14"/>
              </w:rPr>
              <w:t>-</w:t>
            </w:r>
          </w:p>
        </w:tc>
        <w:tc>
          <w:tcPr>
            <w:tcW w:w="898" w:type="dxa"/>
          </w:tcPr>
          <w:p>
            <w:pPr>
              <w:pStyle w:val="TableParagraph"/>
              <w:spacing w:before="32"/>
              <w:ind w:left="358"/>
              <w:rPr>
                <w:sz w:val="14"/>
              </w:rPr>
            </w:pPr>
            <w:r>
              <w:rPr>
                <w:sz w:val="14"/>
              </w:rPr>
              <w:t>8,400</w:t>
            </w:r>
          </w:p>
        </w:tc>
        <w:tc>
          <w:tcPr>
            <w:tcW w:w="881" w:type="dxa"/>
          </w:tcPr>
          <w:p>
            <w:pPr>
              <w:pStyle w:val="TableParagraph"/>
              <w:rPr>
                <w:rFonts w:ascii="Times New Roman"/>
                <w:sz w:val="14"/>
              </w:rPr>
            </w:pPr>
          </w:p>
        </w:tc>
        <w:tc>
          <w:tcPr>
            <w:tcW w:w="902" w:type="dxa"/>
          </w:tcPr>
          <w:p>
            <w:pPr>
              <w:pStyle w:val="TableParagraph"/>
              <w:spacing w:before="32"/>
              <w:ind w:left="316"/>
              <w:rPr>
                <w:sz w:val="14"/>
              </w:rPr>
            </w:pPr>
            <w:r>
              <w:rPr>
                <w:sz w:val="14"/>
              </w:rPr>
              <w:t>8,400</w:t>
            </w:r>
          </w:p>
        </w:tc>
        <w:tc>
          <w:tcPr>
            <w:tcW w:w="1630" w:type="dxa"/>
          </w:tcPr>
          <w:p>
            <w:pPr>
              <w:pStyle w:val="TableParagraph"/>
              <w:spacing w:before="32"/>
              <w:ind w:right="6"/>
              <w:jc w:val="right"/>
              <w:rPr>
                <w:sz w:val="14"/>
              </w:rPr>
            </w:pPr>
            <w:r>
              <w:rPr>
                <w:sz w:val="14"/>
              </w:rPr>
              <w:t>8,400</w:t>
            </w:r>
          </w:p>
        </w:tc>
      </w:tr>
      <w:tr>
        <w:trPr>
          <w:trHeight w:val="227" w:hRule="atLeast"/>
        </w:trPr>
        <w:tc>
          <w:tcPr>
            <w:tcW w:w="471" w:type="dxa"/>
          </w:tcPr>
          <w:p>
            <w:pPr>
              <w:pStyle w:val="TableParagraph"/>
              <w:rPr>
                <w:rFonts w:ascii="Times New Roman"/>
                <w:sz w:val="14"/>
              </w:rPr>
            </w:pPr>
          </w:p>
        </w:tc>
        <w:tc>
          <w:tcPr>
            <w:tcW w:w="4801" w:type="dxa"/>
          </w:tcPr>
          <w:p>
            <w:pPr>
              <w:pStyle w:val="TableParagraph"/>
              <w:spacing w:before="32"/>
              <w:ind w:left="263"/>
              <w:rPr>
                <w:sz w:val="14"/>
              </w:rPr>
            </w:pPr>
            <w:r>
              <w:rPr>
                <w:sz w:val="14"/>
              </w:rPr>
              <w:t>Examination Fees for BECE</w:t>
            </w:r>
          </w:p>
        </w:tc>
        <w:tc>
          <w:tcPr>
            <w:tcW w:w="816" w:type="dxa"/>
          </w:tcPr>
          <w:p>
            <w:pPr>
              <w:pStyle w:val="TableParagraph"/>
              <w:spacing w:before="32"/>
              <w:ind w:left="166"/>
              <w:rPr>
                <w:sz w:val="14"/>
              </w:rPr>
            </w:pPr>
            <w:r>
              <w:rPr>
                <w:sz w:val="14"/>
              </w:rPr>
              <w:t>Ongoing</w:t>
            </w:r>
          </w:p>
        </w:tc>
        <w:tc>
          <w:tcPr>
            <w:tcW w:w="985" w:type="dxa"/>
          </w:tcPr>
          <w:p>
            <w:pPr>
              <w:pStyle w:val="TableParagraph"/>
              <w:spacing w:before="32"/>
              <w:ind w:left="89"/>
              <w:rPr>
                <w:sz w:val="14"/>
              </w:rPr>
            </w:pPr>
            <w:r>
              <w:rPr>
                <w:sz w:val="14"/>
              </w:rPr>
              <w:t>Nationwide</w:t>
            </w:r>
          </w:p>
        </w:tc>
        <w:tc>
          <w:tcPr>
            <w:tcW w:w="1177" w:type="dxa"/>
          </w:tcPr>
          <w:p>
            <w:pPr>
              <w:pStyle w:val="TableParagraph"/>
              <w:spacing w:before="32"/>
              <w:ind w:left="237"/>
              <w:rPr>
                <w:sz w:val="14"/>
              </w:rPr>
            </w:pPr>
            <w:r>
              <w:rPr>
                <w:sz w:val="14"/>
              </w:rPr>
              <w:t>GoSL</w:t>
            </w:r>
          </w:p>
        </w:tc>
        <w:tc>
          <w:tcPr>
            <w:tcW w:w="1300" w:type="dxa"/>
          </w:tcPr>
          <w:p>
            <w:pPr>
              <w:pStyle w:val="TableParagraph"/>
              <w:spacing w:before="32"/>
              <w:ind w:left="309"/>
              <w:rPr>
                <w:sz w:val="14"/>
              </w:rPr>
            </w:pPr>
            <w:r>
              <w:rPr>
                <w:sz w:val="14"/>
              </w:rPr>
              <w:t>Budget</w:t>
            </w:r>
          </w:p>
        </w:tc>
        <w:tc>
          <w:tcPr>
            <w:tcW w:w="925" w:type="dxa"/>
          </w:tcPr>
          <w:p>
            <w:pPr>
              <w:pStyle w:val="TableParagraph"/>
              <w:spacing w:before="32"/>
              <w:ind w:right="161"/>
              <w:jc w:val="right"/>
              <w:rPr>
                <w:sz w:val="14"/>
              </w:rPr>
            </w:pPr>
            <w:r>
              <w:rPr>
                <w:w w:val="99"/>
                <w:sz w:val="14"/>
              </w:rPr>
              <w:t>-</w:t>
            </w:r>
          </w:p>
        </w:tc>
        <w:tc>
          <w:tcPr>
            <w:tcW w:w="898" w:type="dxa"/>
          </w:tcPr>
          <w:p>
            <w:pPr>
              <w:pStyle w:val="TableParagraph"/>
              <w:spacing w:before="32"/>
              <w:ind w:left="265"/>
              <w:rPr>
                <w:sz w:val="14"/>
              </w:rPr>
            </w:pPr>
            <w:r>
              <w:rPr>
                <w:sz w:val="14"/>
              </w:rPr>
              <w:t>16,100</w:t>
            </w:r>
          </w:p>
        </w:tc>
        <w:tc>
          <w:tcPr>
            <w:tcW w:w="881" w:type="dxa"/>
          </w:tcPr>
          <w:p>
            <w:pPr>
              <w:pStyle w:val="TableParagraph"/>
              <w:rPr>
                <w:rFonts w:ascii="Times New Roman"/>
                <w:sz w:val="14"/>
              </w:rPr>
            </w:pPr>
          </w:p>
        </w:tc>
        <w:tc>
          <w:tcPr>
            <w:tcW w:w="902" w:type="dxa"/>
          </w:tcPr>
          <w:p>
            <w:pPr>
              <w:pStyle w:val="TableParagraph"/>
              <w:spacing w:before="32"/>
              <w:ind w:left="224"/>
              <w:rPr>
                <w:sz w:val="14"/>
              </w:rPr>
            </w:pPr>
            <w:r>
              <w:rPr>
                <w:sz w:val="14"/>
              </w:rPr>
              <w:t>16,100</w:t>
            </w:r>
          </w:p>
        </w:tc>
        <w:tc>
          <w:tcPr>
            <w:tcW w:w="1630" w:type="dxa"/>
          </w:tcPr>
          <w:p>
            <w:pPr>
              <w:pStyle w:val="TableParagraph"/>
              <w:spacing w:before="32"/>
              <w:ind w:right="12"/>
              <w:jc w:val="right"/>
              <w:rPr>
                <w:sz w:val="14"/>
              </w:rPr>
            </w:pPr>
            <w:r>
              <w:rPr>
                <w:w w:val="95"/>
                <w:sz w:val="14"/>
              </w:rPr>
              <w:t>16,100</w:t>
            </w:r>
          </w:p>
        </w:tc>
      </w:tr>
    </w:tbl>
    <w:p>
      <w:pPr>
        <w:pStyle w:val="BodyText"/>
        <w:spacing w:before="8"/>
        <w:rPr>
          <w:rFonts w:ascii="Arial"/>
          <w:b/>
          <w:sz w:val="9"/>
        </w:rPr>
      </w:pPr>
      <w:r>
        <w:rPr/>
        <w:pict>
          <v:line style="position:absolute;mso-position-horizontal-relative:page;mso-position-vertical-relative:paragraph;z-index:8;mso-wrap-distance-left:0;mso-wrap-distance-right:0" from="50.880001pt,8.543468pt" to="790.560001pt,8.543468pt" stroked="true" strokeweight="1.92pt" strokecolor="#000000">
            <v:stroke dashstyle="solid"/>
            <w10:wrap type="topAndBottom"/>
          </v:line>
        </w:pict>
      </w:r>
    </w:p>
    <w:p>
      <w:pPr>
        <w:tabs>
          <w:tab w:pos="9782" w:val="left" w:leader="none"/>
          <w:tab w:pos="13416" w:val="left" w:leader="none"/>
        </w:tabs>
        <w:spacing w:before="45" w:after="119"/>
        <w:ind w:left="704" w:right="0" w:firstLine="0"/>
        <w:jc w:val="left"/>
        <w:rPr>
          <w:rFonts w:ascii="Arial"/>
          <w:b/>
          <w:sz w:val="14"/>
        </w:rPr>
      </w:pPr>
      <w:r>
        <w:rPr>
          <w:rFonts w:ascii="Arial"/>
          <w:b/>
          <w:sz w:val="14"/>
        </w:rPr>
        <w:t>GRAND</w:t>
      </w:r>
      <w:r>
        <w:rPr>
          <w:rFonts w:ascii="Arial"/>
          <w:b/>
          <w:spacing w:val="8"/>
          <w:sz w:val="14"/>
        </w:rPr>
        <w:t> </w:t>
      </w:r>
      <w:r>
        <w:rPr>
          <w:rFonts w:ascii="Arial"/>
          <w:b/>
          <w:sz w:val="14"/>
        </w:rPr>
        <w:t>TOTAL</w:t>
        <w:tab/>
      </w:r>
      <w:r>
        <w:rPr>
          <w:rFonts w:ascii="Arial"/>
          <w:b/>
          <w:spacing w:val="6"/>
          <w:sz w:val="14"/>
        </w:rPr>
        <w:t>1,813,625     1,060,031  </w:t>
      </w:r>
      <w:r>
        <w:rPr>
          <w:rFonts w:ascii="Arial"/>
          <w:b/>
          <w:spacing w:val="13"/>
          <w:sz w:val="14"/>
        </w:rPr>
        <w:t> </w:t>
      </w:r>
      <w:r>
        <w:rPr>
          <w:rFonts w:ascii="Arial"/>
          <w:b/>
          <w:spacing w:val="5"/>
          <w:sz w:val="14"/>
        </w:rPr>
        <w:t>1,851,307   </w:t>
      </w:r>
      <w:r>
        <w:rPr>
          <w:rFonts w:ascii="Arial"/>
          <w:b/>
          <w:spacing w:val="24"/>
          <w:sz w:val="14"/>
        </w:rPr>
        <w:t> </w:t>
      </w:r>
      <w:r>
        <w:rPr>
          <w:rFonts w:ascii="Arial"/>
          <w:b/>
          <w:spacing w:val="5"/>
          <w:sz w:val="14"/>
        </w:rPr>
        <w:t>1,326,060</w:t>
        <w:tab/>
      </w:r>
      <w:r>
        <w:rPr>
          <w:rFonts w:ascii="Arial"/>
          <w:b/>
          <w:spacing w:val="4"/>
          <w:sz w:val="14"/>
        </w:rPr>
        <w:t>2,059,000</w:t>
      </w:r>
      <w:r>
        <w:rPr>
          <w:rFonts w:ascii="Arial"/>
          <w:b/>
          <w:spacing w:val="34"/>
          <w:sz w:val="14"/>
        </w:rPr>
        <w:t> </w:t>
      </w:r>
      <w:r>
        <w:rPr>
          <w:rFonts w:ascii="Arial"/>
          <w:b/>
          <w:spacing w:val="4"/>
          <w:sz w:val="14"/>
        </w:rPr>
        <w:t>1,660,000</w:t>
      </w:r>
    </w:p>
    <w:p>
      <w:pPr>
        <w:pStyle w:val="BodyText"/>
        <w:spacing w:line="20" w:lineRule="exact"/>
        <w:ind w:left="132"/>
        <w:rPr>
          <w:rFonts w:ascii="Arial"/>
          <w:sz w:val="2"/>
        </w:rPr>
      </w:pPr>
      <w:r>
        <w:rPr/>
        <w:pict>
          <v:line style="position:absolute;mso-position-horizontal-relative:page;mso-position-vertical-relative:paragraph;z-index:56;mso-wrap-distance-left:0;mso-wrap-distance-right:0" from="50.880001pt,6.01pt" to="790.560001pt,6.01pt" stroked="true" strokeweight=".48pt" strokecolor="#000000">
            <v:stroke dashstyle="solid"/>
            <w10:wrap type="topAndBottom"/>
          </v:line>
        </w:pict>
      </w:r>
      <w:r>
        <w:rPr>
          <w:rFonts w:ascii="Arial"/>
          <w:sz w:val="2"/>
        </w:rPr>
        <w:pict>
          <v:group style="width:739.7pt;height:.5pt;mso-position-horizontal-relative:char;mso-position-vertical-relative:line" coordorigin="0,0" coordsize="14794,10">
            <v:line style="position:absolute" from="0,5" to="14794,5" stroked="true" strokeweight=".48pt" strokecolor="#000000">
              <v:stroke dashstyle="solid"/>
            </v:line>
          </v:group>
        </w:pict>
      </w:r>
      <w:r>
        <w:rPr>
          <w:rFonts w:ascii="Arial"/>
          <w:sz w:val="2"/>
        </w:rPr>
      </w:r>
    </w:p>
    <w:p>
      <w:pPr>
        <w:spacing w:after="0" w:line="20" w:lineRule="exact"/>
        <w:rPr>
          <w:rFonts w:ascii="Arial"/>
          <w:sz w:val="2"/>
        </w:rPr>
        <w:sectPr>
          <w:pgSz w:w="16840" w:h="11900" w:orient="landscape"/>
          <w:pgMar w:header="1107" w:footer="0" w:top="2060" w:bottom="280" w:left="880" w:right="920"/>
        </w:sectPr>
      </w:pPr>
    </w:p>
    <w:p>
      <w:pPr>
        <w:pStyle w:val="BodyText"/>
        <w:spacing w:before="8"/>
        <w:rPr>
          <w:rFonts w:ascii="Arial"/>
          <w:b/>
          <w:sz w:val="28"/>
        </w:rPr>
      </w:pPr>
    </w:p>
    <w:p>
      <w:pPr>
        <w:spacing w:before="0"/>
        <w:ind w:left="138" w:right="0" w:firstLine="0"/>
        <w:jc w:val="left"/>
        <w:rPr>
          <w:rFonts w:ascii="Arial"/>
          <w:b/>
          <w:sz w:val="17"/>
        </w:rPr>
      </w:pPr>
      <w:r>
        <w:rPr>
          <w:rFonts w:ascii="Arial"/>
          <w:b/>
          <w:w w:val="105"/>
          <w:sz w:val="17"/>
        </w:rPr>
        <w:t>In Millions of Leones</w:t>
      </w:r>
    </w:p>
    <w:p>
      <w:pPr>
        <w:pStyle w:val="BodyText"/>
        <w:rPr>
          <w:rFonts w:ascii="Arial"/>
          <w:b/>
          <w:sz w:val="21"/>
        </w:rPr>
      </w:pPr>
    </w:p>
    <w:p>
      <w:pPr>
        <w:spacing w:before="0"/>
        <w:ind w:left="286" w:right="0" w:firstLine="0"/>
        <w:jc w:val="left"/>
        <w:rPr>
          <w:rFonts w:ascii="Arial"/>
          <w:b/>
          <w:sz w:val="20"/>
        </w:rPr>
      </w:pPr>
      <w:r>
        <w:rPr>
          <w:rFonts w:ascii="Arial"/>
          <w:b/>
          <w:sz w:val="20"/>
        </w:rPr>
        <w:t>Particulars</w:t>
      </w:r>
    </w:p>
    <w:p>
      <w:pPr>
        <w:spacing w:before="114"/>
        <w:ind w:left="138" w:right="0" w:firstLine="0"/>
        <w:jc w:val="left"/>
        <w:rPr>
          <w:rFonts w:ascii="Arial" w:hAnsi="Arial"/>
          <w:b/>
          <w:sz w:val="17"/>
        </w:rPr>
      </w:pPr>
      <w:r>
        <w:rPr/>
        <w:br w:type="column"/>
      </w:r>
      <w:r>
        <w:rPr>
          <w:rFonts w:ascii="Arial" w:hAnsi="Arial"/>
          <w:b/>
          <w:w w:val="105"/>
          <w:sz w:val="17"/>
        </w:rPr>
        <w:t>ANNEX 5a– ALLOCATIONS TO EDUCATION FY2018- 2022</w:t>
      </w:r>
    </w:p>
    <w:p>
      <w:pPr>
        <w:pStyle w:val="BodyText"/>
        <w:spacing w:before="9"/>
        <w:rPr>
          <w:rFonts w:ascii="Arial"/>
          <w:b/>
          <w:sz w:val="26"/>
        </w:rPr>
      </w:pPr>
    </w:p>
    <w:p>
      <w:pPr>
        <w:tabs>
          <w:tab w:pos="4651" w:val="left" w:leader="none"/>
          <w:tab w:pos="6125" w:val="left" w:leader="none"/>
          <w:tab w:pos="7598" w:val="left" w:leader="none"/>
          <w:tab w:pos="9355" w:val="left" w:leader="none"/>
        </w:tabs>
        <w:spacing w:line="160" w:lineRule="exact" w:before="0"/>
        <w:ind w:left="3235" w:right="0" w:firstLine="0"/>
        <w:jc w:val="left"/>
        <w:rPr>
          <w:rFonts w:ascii="Arial"/>
          <w:b/>
          <w:sz w:val="14"/>
        </w:rPr>
      </w:pPr>
      <w:r>
        <w:rPr/>
        <w:pict>
          <v:line style="position:absolute;mso-position-horizontal-relative:page;mso-position-vertical-relative:paragraph;z-index:2224" from="50.880001pt,-.514084pt" to="790.560001pt,-.514084pt" stroked="true" strokeweight="2.16pt" strokecolor="#000000">
            <v:stroke dashstyle="solid"/>
            <w10:wrap type="none"/>
          </v:line>
        </w:pict>
      </w:r>
      <w:r>
        <w:rPr>
          <w:rFonts w:ascii="Arial"/>
          <w:b/>
          <w:spacing w:val="4"/>
          <w:sz w:val="14"/>
        </w:rPr>
        <w:t>FY2018</w:t>
        <w:tab/>
        <w:t>FY2019</w:t>
        <w:tab/>
        <w:t>FY2020</w:t>
        <w:tab/>
        <w:t>FY2021</w:t>
        <w:tab/>
        <w:t>FY2022</w:t>
      </w:r>
    </w:p>
    <w:p>
      <w:pPr>
        <w:tabs>
          <w:tab w:pos="4612" w:val="left" w:leader="none"/>
          <w:tab w:pos="6153" w:val="left" w:leader="none"/>
          <w:tab w:pos="7512" w:val="left" w:leader="none"/>
          <w:tab w:pos="9269" w:val="left" w:leader="none"/>
        </w:tabs>
        <w:spacing w:line="160" w:lineRule="exact" w:before="0"/>
        <w:ind w:left="3278" w:right="0" w:firstLine="0"/>
        <w:jc w:val="left"/>
        <w:rPr>
          <w:rFonts w:ascii="Arial"/>
          <w:b/>
          <w:sz w:val="14"/>
        </w:rPr>
      </w:pPr>
      <w:r>
        <w:rPr>
          <w:rFonts w:ascii="Arial"/>
          <w:b/>
          <w:spacing w:val="2"/>
          <w:sz w:val="14"/>
        </w:rPr>
        <w:t>Actual</w:t>
        <w:tab/>
      </w:r>
      <w:r>
        <w:rPr>
          <w:rFonts w:ascii="Arial"/>
          <w:b/>
          <w:sz w:val="14"/>
        </w:rPr>
        <w:t>Estimate</w:t>
        <w:tab/>
        <w:t>Budget</w:t>
        <w:tab/>
      </w:r>
      <w:r>
        <w:rPr>
          <w:rFonts w:ascii="Arial"/>
          <w:b/>
          <w:spacing w:val="4"/>
          <w:sz w:val="14"/>
        </w:rPr>
        <w:t>Indicative</w:t>
        <w:tab/>
        <w:t>Indicative</w:t>
      </w:r>
    </w:p>
    <w:p>
      <w:pPr>
        <w:spacing w:after="0" w:line="160" w:lineRule="exact"/>
        <w:jc w:val="left"/>
        <w:rPr>
          <w:rFonts w:ascii="Arial"/>
          <w:sz w:val="14"/>
        </w:rPr>
        <w:sectPr>
          <w:headerReference w:type="default" r:id="rId13"/>
          <w:pgSz w:w="16840" w:h="11900" w:orient="landscape"/>
          <w:pgMar w:header="0" w:footer="0" w:top="1100" w:bottom="280" w:left="880" w:right="920"/>
          <w:cols w:num="2" w:equalWidth="0">
            <w:col w:w="2219" w:space="2455"/>
            <w:col w:w="10366"/>
          </w:cols>
        </w:sectPr>
      </w:pPr>
    </w:p>
    <w:p>
      <w:pPr>
        <w:pStyle w:val="BodyText"/>
        <w:spacing w:before="2"/>
        <w:rPr>
          <w:rFonts w:ascii="Arial"/>
          <w:b/>
          <w:sz w:val="17"/>
        </w:rPr>
      </w:pPr>
      <w:r>
        <w:rPr/>
        <w:pict>
          <v:shape style="position:absolute;margin-left:27.140491pt;margin-top:281.550018pt;width:14.35pt;height:28.2pt;mso-position-horizontal-relative:page;mso-position-vertical-relative:page;z-index:2248" type="#_x0000_t202" filled="false" stroked="false">
            <v:textbox inset="0,0,0,0" style="layout-flow:vertical">
              <w:txbxContent>
                <w:p>
                  <w:pPr>
                    <w:spacing w:before="13"/>
                    <w:ind w:left="20" w:right="0" w:firstLine="0"/>
                    <w:jc w:val="left"/>
                    <w:rPr>
                      <w:rFonts w:ascii="Arial"/>
                      <w:sz w:val="22"/>
                    </w:rPr>
                  </w:pPr>
                  <w:r>
                    <w:rPr>
                      <w:rFonts w:ascii="Arial"/>
                      <w:sz w:val="22"/>
                    </w:rPr>
                    <w:t>xxxix</w:t>
                  </w:r>
                </w:p>
              </w:txbxContent>
            </v:textbox>
            <w10:wrap type="none"/>
          </v:shape>
        </w:pict>
      </w:r>
    </w:p>
    <w:p>
      <w:pPr>
        <w:pStyle w:val="BodyText"/>
        <w:spacing w:line="44" w:lineRule="exact"/>
        <w:ind w:left="115"/>
        <w:rPr>
          <w:rFonts w:ascii="Arial"/>
          <w:sz w:val="4"/>
        </w:rPr>
      </w:pPr>
      <w:r>
        <w:rPr>
          <w:rFonts w:ascii="Arial"/>
          <w:position w:val="0"/>
          <w:sz w:val="4"/>
        </w:rPr>
        <w:pict>
          <v:group style="width:739.7pt;height:2.2pt;mso-position-horizontal-relative:char;mso-position-vertical-relative:line" coordorigin="0,0" coordsize="14794,44">
            <v:line style="position:absolute" from="0,22" to="14794,22" stroked="true" strokeweight="2.16pt" strokecolor="#000000">
              <v:stroke dashstyle="solid"/>
            </v:line>
          </v:group>
        </w:pict>
      </w:r>
      <w:r>
        <w:rPr>
          <w:rFonts w:ascii="Arial"/>
          <w:position w:val="0"/>
          <w:sz w:val="4"/>
        </w:rPr>
      </w:r>
    </w:p>
    <w:p>
      <w:pPr>
        <w:pStyle w:val="BodyText"/>
        <w:spacing w:before="4"/>
        <w:rPr>
          <w:rFonts w:ascii="Arial"/>
          <w:b/>
          <w:sz w:val="25"/>
        </w:rPr>
      </w:pPr>
    </w:p>
    <w:tbl>
      <w:tblPr>
        <w:tblW w:w="0" w:type="auto"/>
        <w:jc w:val="lef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3"/>
        <w:gridCol w:w="3097"/>
        <w:gridCol w:w="1314"/>
        <w:gridCol w:w="1507"/>
        <w:gridCol w:w="1532"/>
        <w:gridCol w:w="1469"/>
        <w:gridCol w:w="1435"/>
      </w:tblGrid>
      <w:tr>
        <w:trPr>
          <w:trHeight w:val="243" w:hRule="atLeast"/>
        </w:trPr>
        <w:tc>
          <w:tcPr>
            <w:tcW w:w="4253" w:type="dxa"/>
          </w:tcPr>
          <w:p>
            <w:pPr>
              <w:pStyle w:val="TableParagraph"/>
              <w:spacing w:before="28"/>
              <w:ind w:left="34"/>
              <w:rPr>
                <w:sz w:val="16"/>
              </w:rPr>
            </w:pPr>
            <w:r>
              <w:rPr>
                <w:sz w:val="16"/>
              </w:rPr>
              <w:t>Wages and Salaries</w:t>
            </w:r>
          </w:p>
        </w:tc>
        <w:tc>
          <w:tcPr>
            <w:tcW w:w="3097" w:type="dxa"/>
          </w:tcPr>
          <w:p>
            <w:pPr>
              <w:pStyle w:val="TableParagraph"/>
              <w:rPr>
                <w:rFonts w:ascii="Times New Roman"/>
                <w:sz w:val="14"/>
              </w:rPr>
            </w:pPr>
          </w:p>
        </w:tc>
        <w:tc>
          <w:tcPr>
            <w:tcW w:w="1314" w:type="dxa"/>
          </w:tcPr>
          <w:p>
            <w:pPr>
              <w:pStyle w:val="TableParagraph"/>
              <w:spacing w:before="28"/>
              <w:ind w:right="339"/>
              <w:jc w:val="right"/>
              <w:rPr>
                <w:sz w:val="16"/>
              </w:rPr>
            </w:pPr>
            <w:r>
              <w:rPr>
                <w:sz w:val="16"/>
              </w:rPr>
              <w:t>2, 056 , 689</w:t>
            </w:r>
          </w:p>
        </w:tc>
        <w:tc>
          <w:tcPr>
            <w:tcW w:w="1507" w:type="dxa"/>
          </w:tcPr>
          <w:p>
            <w:pPr>
              <w:pStyle w:val="TableParagraph"/>
              <w:spacing w:before="28"/>
              <w:ind w:left="342"/>
              <w:rPr>
                <w:sz w:val="16"/>
              </w:rPr>
            </w:pPr>
            <w:r>
              <w:rPr>
                <w:sz w:val="16"/>
              </w:rPr>
              <w:t>2, 587, 945</w:t>
            </w:r>
          </w:p>
        </w:tc>
        <w:tc>
          <w:tcPr>
            <w:tcW w:w="1532" w:type="dxa"/>
          </w:tcPr>
          <w:p>
            <w:pPr>
              <w:pStyle w:val="TableParagraph"/>
              <w:spacing w:before="28"/>
              <w:ind w:right="368"/>
              <w:jc w:val="right"/>
              <w:rPr>
                <w:sz w:val="16"/>
              </w:rPr>
            </w:pPr>
            <w:r>
              <w:rPr>
                <w:sz w:val="16"/>
              </w:rPr>
              <w:t>3, 174, 476</w:t>
            </w:r>
          </w:p>
        </w:tc>
        <w:tc>
          <w:tcPr>
            <w:tcW w:w="1469" w:type="dxa"/>
          </w:tcPr>
          <w:p>
            <w:pPr>
              <w:pStyle w:val="TableParagraph"/>
              <w:spacing w:before="28"/>
              <w:ind w:left="351"/>
              <w:rPr>
                <w:sz w:val="16"/>
              </w:rPr>
            </w:pPr>
            <w:r>
              <w:rPr>
                <w:sz w:val="16"/>
              </w:rPr>
              <w:t>3, 493 , 187</w:t>
            </w:r>
          </w:p>
        </w:tc>
        <w:tc>
          <w:tcPr>
            <w:tcW w:w="1435" w:type="dxa"/>
          </w:tcPr>
          <w:p>
            <w:pPr>
              <w:pStyle w:val="TableParagraph"/>
              <w:spacing w:before="28"/>
              <w:ind w:left="313"/>
              <w:rPr>
                <w:sz w:val="16"/>
              </w:rPr>
            </w:pPr>
            <w:r>
              <w:rPr>
                <w:sz w:val="16"/>
              </w:rPr>
              <w:t>3, 630, 940</w:t>
            </w:r>
          </w:p>
        </w:tc>
      </w:tr>
      <w:tr>
        <w:trPr>
          <w:trHeight w:val="240" w:hRule="atLeast"/>
        </w:trPr>
        <w:tc>
          <w:tcPr>
            <w:tcW w:w="4253" w:type="dxa"/>
          </w:tcPr>
          <w:p>
            <w:pPr>
              <w:pStyle w:val="TableParagraph"/>
              <w:spacing w:before="25"/>
              <w:ind w:left="34"/>
              <w:rPr>
                <w:sz w:val="16"/>
              </w:rPr>
            </w:pPr>
            <w:r>
              <w:rPr>
                <w:sz w:val="16"/>
              </w:rPr>
              <w:t>Non-Salary, Non- Interest, Recurrent Expenditures</w:t>
            </w:r>
          </w:p>
        </w:tc>
        <w:tc>
          <w:tcPr>
            <w:tcW w:w="3097" w:type="dxa"/>
          </w:tcPr>
          <w:p>
            <w:pPr>
              <w:pStyle w:val="TableParagraph"/>
              <w:rPr>
                <w:rFonts w:ascii="Times New Roman"/>
                <w:sz w:val="14"/>
              </w:rPr>
            </w:pPr>
          </w:p>
        </w:tc>
        <w:tc>
          <w:tcPr>
            <w:tcW w:w="1314" w:type="dxa"/>
          </w:tcPr>
          <w:p>
            <w:pPr>
              <w:pStyle w:val="TableParagraph"/>
              <w:spacing w:before="25"/>
              <w:ind w:right="339"/>
              <w:jc w:val="right"/>
              <w:rPr>
                <w:sz w:val="16"/>
              </w:rPr>
            </w:pPr>
            <w:r>
              <w:rPr>
                <w:sz w:val="16"/>
              </w:rPr>
              <w:t>2, 145 , 953</w:t>
            </w:r>
          </w:p>
        </w:tc>
        <w:tc>
          <w:tcPr>
            <w:tcW w:w="1507" w:type="dxa"/>
          </w:tcPr>
          <w:p>
            <w:pPr>
              <w:pStyle w:val="TableParagraph"/>
              <w:spacing w:before="25"/>
              <w:ind w:left="342"/>
              <w:rPr>
                <w:sz w:val="16"/>
              </w:rPr>
            </w:pPr>
            <w:r>
              <w:rPr>
                <w:sz w:val="16"/>
              </w:rPr>
              <w:t>2, 139, 431</w:t>
            </w:r>
          </w:p>
        </w:tc>
        <w:tc>
          <w:tcPr>
            <w:tcW w:w="1532" w:type="dxa"/>
          </w:tcPr>
          <w:p>
            <w:pPr>
              <w:pStyle w:val="TableParagraph"/>
              <w:spacing w:before="25"/>
              <w:ind w:right="368"/>
              <w:jc w:val="right"/>
              <w:rPr>
                <w:sz w:val="16"/>
              </w:rPr>
            </w:pPr>
            <w:r>
              <w:rPr>
                <w:sz w:val="16"/>
              </w:rPr>
              <w:t>2, 079, 730</w:t>
            </w:r>
          </w:p>
        </w:tc>
        <w:tc>
          <w:tcPr>
            <w:tcW w:w="1469" w:type="dxa"/>
          </w:tcPr>
          <w:p>
            <w:pPr>
              <w:pStyle w:val="TableParagraph"/>
              <w:spacing w:before="25"/>
              <w:ind w:left="351"/>
              <w:rPr>
                <w:sz w:val="16"/>
              </w:rPr>
            </w:pPr>
            <w:r>
              <w:rPr>
                <w:sz w:val="16"/>
              </w:rPr>
              <w:t>2, 488 , 180</w:t>
            </w:r>
          </w:p>
        </w:tc>
        <w:tc>
          <w:tcPr>
            <w:tcW w:w="1435" w:type="dxa"/>
          </w:tcPr>
          <w:p>
            <w:pPr>
              <w:pStyle w:val="TableParagraph"/>
              <w:spacing w:before="25"/>
              <w:ind w:left="313"/>
              <w:rPr>
                <w:sz w:val="16"/>
              </w:rPr>
            </w:pPr>
            <w:r>
              <w:rPr>
                <w:sz w:val="16"/>
              </w:rPr>
              <w:t>2, 917, 308</w:t>
            </w:r>
          </w:p>
        </w:tc>
      </w:tr>
      <w:tr>
        <w:trPr>
          <w:trHeight w:val="387" w:hRule="atLeast"/>
        </w:trPr>
        <w:tc>
          <w:tcPr>
            <w:tcW w:w="4253" w:type="dxa"/>
          </w:tcPr>
          <w:p>
            <w:pPr>
              <w:pStyle w:val="TableParagraph"/>
              <w:spacing w:before="25"/>
              <w:ind w:left="35"/>
              <w:rPr>
                <w:sz w:val="16"/>
              </w:rPr>
            </w:pPr>
            <w:r>
              <w:rPr>
                <w:sz w:val="16"/>
              </w:rPr>
              <w:t>Domestic Capital</w:t>
            </w:r>
          </w:p>
        </w:tc>
        <w:tc>
          <w:tcPr>
            <w:tcW w:w="3097" w:type="dxa"/>
          </w:tcPr>
          <w:p>
            <w:pPr>
              <w:pStyle w:val="TableParagraph"/>
              <w:rPr>
                <w:rFonts w:ascii="Times New Roman"/>
                <w:sz w:val="14"/>
              </w:rPr>
            </w:pPr>
          </w:p>
        </w:tc>
        <w:tc>
          <w:tcPr>
            <w:tcW w:w="1314" w:type="dxa"/>
            <w:tcBorders>
              <w:bottom w:val="single" w:sz="18" w:space="0" w:color="000000"/>
            </w:tcBorders>
          </w:tcPr>
          <w:p>
            <w:pPr>
              <w:pStyle w:val="TableParagraph"/>
              <w:spacing w:before="25"/>
              <w:ind w:right="330"/>
              <w:jc w:val="right"/>
              <w:rPr>
                <w:sz w:val="16"/>
              </w:rPr>
            </w:pPr>
            <w:r>
              <w:rPr>
                <w:sz w:val="16"/>
              </w:rPr>
              <w:t>674, 137</w:t>
            </w:r>
          </w:p>
        </w:tc>
        <w:tc>
          <w:tcPr>
            <w:tcW w:w="1507" w:type="dxa"/>
            <w:tcBorders>
              <w:bottom w:val="single" w:sz="18" w:space="0" w:color="000000"/>
            </w:tcBorders>
          </w:tcPr>
          <w:p>
            <w:pPr>
              <w:pStyle w:val="TableParagraph"/>
              <w:spacing w:before="25"/>
              <w:ind w:right="363"/>
              <w:jc w:val="right"/>
              <w:rPr>
                <w:sz w:val="16"/>
              </w:rPr>
            </w:pPr>
            <w:r>
              <w:rPr>
                <w:sz w:val="16"/>
              </w:rPr>
              <w:t>899, 006</w:t>
            </w:r>
          </w:p>
        </w:tc>
        <w:tc>
          <w:tcPr>
            <w:tcW w:w="1532" w:type="dxa"/>
            <w:tcBorders>
              <w:bottom w:val="single" w:sz="18" w:space="0" w:color="000000"/>
            </w:tcBorders>
          </w:tcPr>
          <w:p>
            <w:pPr>
              <w:pStyle w:val="TableParagraph"/>
              <w:spacing w:before="25"/>
              <w:ind w:right="368"/>
              <w:jc w:val="right"/>
              <w:rPr>
                <w:sz w:val="16"/>
              </w:rPr>
            </w:pPr>
            <w:r>
              <w:rPr>
                <w:sz w:val="16"/>
              </w:rPr>
              <w:t>1, 060, 031</w:t>
            </w:r>
          </w:p>
        </w:tc>
        <w:tc>
          <w:tcPr>
            <w:tcW w:w="1469" w:type="dxa"/>
            <w:tcBorders>
              <w:bottom w:val="single" w:sz="18" w:space="0" w:color="000000"/>
            </w:tcBorders>
          </w:tcPr>
          <w:p>
            <w:pPr>
              <w:pStyle w:val="TableParagraph"/>
              <w:spacing w:before="25"/>
              <w:ind w:left="351"/>
              <w:rPr>
                <w:sz w:val="16"/>
              </w:rPr>
            </w:pPr>
            <w:r>
              <w:rPr>
                <w:sz w:val="16"/>
              </w:rPr>
              <w:t>1, 500 , 061</w:t>
            </w:r>
          </w:p>
        </w:tc>
        <w:tc>
          <w:tcPr>
            <w:tcW w:w="1435" w:type="dxa"/>
            <w:tcBorders>
              <w:bottom w:val="single" w:sz="18" w:space="0" w:color="000000"/>
            </w:tcBorders>
          </w:tcPr>
          <w:p>
            <w:pPr>
              <w:pStyle w:val="TableParagraph"/>
              <w:spacing w:before="25"/>
              <w:ind w:left="313"/>
              <w:rPr>
                <w:sz w:val="16"/>
              </w:rPr>
            </w:pPr>
            <w:r>
              <w:rPr>
                <w:sz w:val="16"/>
              </w:rPr>
              <w:t>1, 603, 500</w:t>
            </w:r>
          </w:p>
        </w:tc>
      </w:tr>
      <w:tr>
        <w:trPr>
          <w:trHeight w:val="295" w:hRule="atLeast"/>
        </w:trPr>
        <w:tc>
          <w:tcPr>
            <w:tcW w:w="4253" w:type="dxa"/>
          </w:tcPr>
          <w:p>
            <w:pPr>
              <w:pStyle w:val="TableParagraph"/>
              <w:spacing w:before="72"/>
              <w:ind w:left="35"/>
              <w:rPr>
                <w:b/>
                <w:sz w:val="16"/>
              </w:rPr>
            </w:pPr>
            <w:r>
              <w:rPr>
                <w:b/>
                <w:sz w:val="16"/>
              </w:rPr>
              <w:t>Total Government Discretionary Budget</w:t>
            </w:r>
          </w:p>
        </w:tc>
        <w:tc>
          <w:tcPr>
            <w:tcW w:w="3097" w:type="dxa"/>
          </w:tcPr>
          <w:p>
            <w:pPr>
              <w:pStyle w:val="TableParagraph"/>
              <w:rPr>
                <w:rFonts w:ascii="Times New Roman"/>
                <w:sz w:val="14"/>
              </w:rPr>
            </w:pPr>
          </w:p>
        </w:tc>
        <w:tc>
          <w:tcPr>
            <w:tcW w:w="1314" w:type="dxa"/>
            <w:tcBorders>
              <w:top w:val="single" w:sz="18" w:space="0" w:color="000000"/>
              <w:bottom w:val="single" w:sz="18" w:space="0" w:color="000000"/>
            </w:tcBorders>
          </w:tcPr>
          <w:p>
            <w:pPr>
              <w:pStyle w:val="TableParagraph"/>
              <w:spacing w:before="72"/>
              <w:ind w:right="370"/>
              <w:jc w:val="right"/>
              <w:rPr>
                <w:b/>
                <w:sz w:val="16"/>
              </w:rPr>
            </w:pPr>
            <w:r>
              <w:rPr>
                <w:b/>
                <w:w w:val="95"/>
                <w:sz w:val="16"/>
              </w:rPr>
              <w:t>4,876,779</w:t>
            </w:r>
          </w:p>
        </w:tc>
        <w:tc>
          <w:tcPr>
            <w:tcW w:w="1507" w:type="dxa"/>
            <w:tcBorders>
              <w:top w:val="single" w:sz="18" w:space="0" w:color="000000"/>
              <w:bottom w:val="single" w:sz="18" w:space="0" w:color="000000"/>
            </w:tcBorders>
          </w:tcPr>
          <w:p>
            <w:pPr>
              <w:pStyle w:val="TableParagraph"/>
              <w:spacing w:before="72"/>
              <w:ind w:left="305"/>
              <w:rPr>
                <w:b/>
                <w:sz w:val="16"/>
              </w:rPr>
            </w:pPr>
            <w:r>
              <w:rPr>
                <w:b/>
                <w:sz w:val="16"/>
              </w:rPr>
              <w:t>5,626,382</w:t>
            </w:r>
          </w:p>
        </w:tc>
        <w:tc>
          <w:tcPr>
            <w:tcW w:w="1532" w:type="dxa"/>
            <w:tcBorders>
              <w:top w:val="single" w:sz="18" w:space="0" w:color="000000"/>
              <w:bottom w:val="single" w:sz="18" w:space="0" w:color="000000"/>
            </w:tcBorders>
          </w:tcPr>
          <w:p>
            <w:pPr>
              <w:pStyle w:val="TableParagraph"/>
              <w:spacing w:before="72"/>
              <w:ind w:right="404"/>
              <w:jc w:val="right"/>
              <w:rPr>
                <w:b/>
                <w:sz w:val="16"/>
              </w:rPr>
            </w:pPr>
            <w:r>
              <w:rPr>
                <w:b/>
                <w:w w:val="95"/>
                <w:sz w:val="16"/>
              </w:rPr>
              <w:t>6,314,237</w:t>
            </w:r>
          </w:p>
        </w:tc>
        <w:tc>
          <w:tcPr>
            <w:tcW w:w="1469" w:type="dxa"/>
            <w:tcBorders>
              <w:top w:val="single" w:sz="18" w:space="0" w:color="000000"/>
              <w:bottom w:val="single" w:sz="18" w:space="0" w:color="000000"/>
            </w:tcBorders>
          </w:tcPr>
          <w:p>
            <w:pPr>
              <w:pStyle w:val="TableParagraph"/>
              <w:spacing w:before="72"/>
              <w:ind w:left="352"/>
              <w:rPr>
                <w:b/>
                <w:sz w:val="16"/>
              </w:rPr>
            </w:pPr>
            <w:r>
              <w:rPr>
                <w:b/>
                <w:sz w:val="16"/>
              </w:rPr>
              <w:t>7,481,428</w:t>
            </w:r>
          </w:p>
        </w:tc>
        <w:tc>
          <w:tcPr>
            <w:tcW w:w="1435" w:type="dxa"/>
            <w:tcBorders>
              <w:top w:val="single" w:sz="18" w:space="0" w:color="000000"/>
              <w:bottom w:val="single" w:sz="18" w:space="0" w:color="000000"/>
            </w:tcBorders>
          </w:tcPr>
          <w:p>
            <w:pPr>
              <w:pStyle w:val="TableParagraph"/>
              <w:spacing w:before="72"/>
              <w:ind w:left="294"/>
              <w:rPr>
                <w:b/>
                <w:sz w:val="16"/>
              </w:rPr>
            </w:pPr>
            <w:r>
              <w:rPr>
                <w:b/>
                <w:sz w:val="16"/>
              </w:rPr>
              <w:t>8,151,748</w:t>
            </w:r>
          </w:p>
        </w:tc>
      </w:tr>
      <w:tr>
        <w:trPr>
          <w:trHeight w:val="426" w:hRule="atLeast"/>
        </w:trPr>
        <w:tc>
          <w:tcPr>
            <w:tcW w:w="4253" w:type="dxa"/>
          </w:tcPr>
          <w:p>
            <w:pPr>
              <w:pStyle w:val="TableParagraph"/>
              <w:spacing w:before="4"/>
              <w:rPr>
                <w:b/>
                <w:sz w:val="18"/>
              </w:rPr>
            </w:pPr>
          </w:p>
          <w:p>
            <w:pPr>
              <w:pStyle w:val="TableParagraph"/>
              <w:ind w:left="35"/>
              <w:rPr>
                <w:b/>
                <w:sz w:val="16"/>
              </w:rPr>
            </w:pPr>
            <w:r>
              <w:rPr>
                <w:b/>
                <w:sz w:val="16"/>
              </w:rPr>
              <w:t>Education Sector Programmes</w:t>
            </w:r>
          </w:p>
        </w:tc>
        <w:tc>
          <w:tcPr>
            <w:tcW w:w="3097" w:type="dxa"/>
          </w:tcPr>
          <w:p>
            <w:pPr>
              <w:pStyle w:val="TableParagraph"/>
              <w:rPr>
                <w:rFonts w:ascii="Times New Roman"/>
                <w:sz w:val="14"/>
              </w:rPr>
            </w:pPr>
          </w:p>
        </w:tc>
        <w:tc>
          <w:tcPr>
            <w:tcW w:w="1314" w:type="dxa"/>
            <w:tcBorders>
              <w:top w:val="single" w:sz="18" w:space="0" w:color="000000"/>
            </w:tcBorders>
          </w:tcPr>
          <w:p>
            <w:pPr>
              <w:pStyle w:val="TableParagraph"/>
              <w:rPr>
                <w:rFonts w:ascii="Times New Roman"/>
                <w:sz w:val="14"/>
              </w:rPr>
            </w:pPr>
          </w:p>
        </w:tc>
        <w:tc>
          <w:tcPr>
            <w:tcW w:w="1507" w:type="dxa"/>
            <w:tcBorders>
              <w:top w:val="single" w:sz="18" w:space="0" w:color="000000"/>
            </w:tcBorders>
          </w:tcPr>
          <w:p>
            <w:pPr>
              <w:pStyle w:val="TableParagraph"/>
              <w:rPr>
                <w:rFonts w:ascii="Times New Roman"/>
                <w:sz w:val="14"/>
              </w:rPr>
            </w:pPr>
          </w:p>
        </w:tc>
        <w:tc>
          <w:tcPr>
            <w:tcW w:w="1532" w:type="dxa"/>
            <w:tcBorders>
              <w:top w:val="single" w:sz="18" w:space="0" w:color="000000"/>
            </w:tcBorders>
          </w:tcPr>
          <w:p>
            <w:pPr>
              <w:pStyle w:val="TableParagraph"/>
              <w:rPr>
                <w:rFonts w:ascii="Times New Roman"/>
                <w:sz w:val="14"/>
              </w:rPr>
            </w:pPr>
          </w:p>
        </w:tc>
        <w:tc>
          <w:tcPr>
            <w:tcW w:w="1469" w:type="dxa"/>
            <w:tcBorders>
              <w:top w:val="single" w:sz="18" w:space="0" w:color="000000"/>
            </w:tcBorders>
          </w:tcPr>
          <w:p>
            <w:pPr>
              <w:pStyle w:val="TableParagraph"/>
              <w:rPr>
                <w:rFonts w:ascii="Times New Roman"/>
                <w:sz w:val="14"/>
              </w:rPr>
            </w:pPr>
          </w:p>
        </w:tc>
        <w:tc>
          <w:tcPr>
            <w:tcW w:w="1435" w:type="dxa"/>
            <w:tcBorders>
              <w:top w:val="single" w:sz="18" w:space="0" w:color="000000"/>
            </w:tcBorders>
          </w:tcPr>
          <w:p>
            <w:pPr>
              <w:pStyle w:val="TableParagraph"/>
              <w:rPr>
                <w:rFonts w:ascii="Times New Roman"/>
                <w:sz w:val="14"/>
              </w:rPr>
            </w:pPr>
          </w:p>
        </w:tc>
      </w:tr>
      <w:tr>
        <w:trPr>
          <w:trHeight w:val="240" w:hRule="atLeast"/>
        </w:trPr>
        <w:tc>
          <w:tcPr>
            <w:tcW w:w="4253" w:type="dxa"/>
          </w:tcPr>
          <w:p>
            <w:pPr>
              <w:pStyle w:val="TableParagraph"/>
              <w:spacing w:before="25"/>
              <w:ind w:left="202"/>
              <w:rPr>
                <w:sz w:val="16"/>
              </w:rPr>
            </w:pPr>
            <w:r>
              <w:rPr>
                <w:sz w:val="16"/>
              </w:rPr>
              <w:t>Salaries for Teachers</w:t>
            </w:r>
          </w:p>
        </w:tc>
        <w:tc>
          <w:tcPr>
            <w:tcW w:w="3097" w:type="dxa"/>
          </w:tcPr>
          <w:p>
            <w:pPr>
              <w:pStyle w:val="TableParagraph"/>
              <w:rPr>
                <w:rFonts w:ascii="Times New Roman"/>
                <w:sz w:val="14"/>
              </w:rPr>
            </w:pPr>
          </w:p>
        </w:tc>
        <w:tc>
          <w:tcPr>
            <w:tcW w:w="1314" w:type="dxa"/>
          </w:tcPr>
          <w:p>
            <w:pPr>
              <w:pStyle w:val="TableParagraph"/>
              <w:spacing w:before="25"/>
              <w:ind w:right="330"/>
              <w:jc w:val="right"/>
              <w:rPr>
                <w:sz w:val="16"/>
              </w:rPr>
            </w:pPr>
            <w:r>
              <w:rPr>
                <w:sz w:val="16"/>
              </w:rPr>
              <w:t>438 , 172</w:t>
            </w:r>
          </w:p>
        </w:tc>
        <w:tc>
          <w:tcPr>
            <w:tcW w:w="1507" w:type="dxa"/>
          </w:tcPr>
          <w:p>
            <w:pPr>
              <w:pStyle w:val="TableParagraph"/>
              <w:spacing w:before="25"/>
              <w:ind w:right="363"/>
              <w:jc w:val="right"/>
              <w:rPr>
                <w:sz w:val="16"/>
              </w:rPr>
            </w:pPr>
            <w:r>
              <w:rPr>
                <w:sz w:val="16"/>
              </w:rPr>
              <w:t>476, 506</w:t>
            </w:r>
          </w:p>
        </w:tc>
        <w:tc>
          <w:tcPr>
            <w:tcW w:w="1532" w:type="dxa"/>
          </w:tcPr>
          <w:p>
            <w:pPr>
              <w:pStyle w:val="TableParagraph"/>
              <w:spacing w:before="25"/>
              <w:ind w:right="364"/>
              <w:jc w:val="right"/>
              <w:rPr>
                <w:sz w:val="16"/>
              </w:rPr>
            </w:pPr>
            <w:r>
              <w:rPr>
                <w:sz w:val="16"/>
              </w:rPr>
              <w:t>675, 584</w:t>
            </w:r>
          </w:p>
        </w:tc>
        <w:tc>
          <w:tcPr>
            <w:tcW w:w="1469" w:type="dxa"/>
          </w:tcPr>
          <w:p>
            <w:pPr>
              <w:pStyle w:val="TableParagraph"/>
              <w:spacing w:before="25"/>
              <w:ind w:left="385"/>
              <w:rPr>
                <w:sz w:val="16"/>
              </w:rPr>
            </w:pPr>
            <w:r>
              <w:rPr>
                <w:sz w:val="16"/>
              </w:rPr>
              <w:t>779 , 520</w:t>
            </w:r>
          </w:p>
        </w:tc>
        <w:tc>
          <w:tcPr>
            <w:tcW w:w="1435" w:type="dxa"/>
          </w:tcPr>
          <w:p>
            <w:pPr>
              <w:pStyle w:val="TableParagraph"/>
              <w:spacing w:before="25"/>
              <w:ind w:right="321"/>
              <w:jc w:val="right"/>
              <w:rPr>
                <w:sz w:val="16"/>
              </w:rPr>
            </w:pPr>
            <w:r>
              <w:rPr>
                <w:sz w:val="16"/>
              </w:rPr>
              <w:t>892, 106</w:t>
            </w:r>
          </w:p>
        </w:tc>
      </w:tr>
      <w:tr>
        <w:trPr>
          <w:trHeight w:val="240" w:hRule="atLeast"/>
        </w:trPr>
        <w:tc>
          <w:tcPr>
            <w:tcW w:w="4253" w:type="dxa"/>
          </w:tcPr>
          <w:p>
            <w:pPr>
              <w:pStyle w:val="TableParagraph"/>
              <w:spacing w:before="25"/>
              <w:ind w:left="202"/>
              <w:rPr>
                <w:sz w:val="16"/>
              </w:rPr>
            </w:pPr>
            <w:r>
              <w:rPr>
                <w:sz w:val="16"/>
              </w:rPr>
              <w:t>Salar ies for Teaching Service Commission Staffs</w:t>
            </w:r>
          </w:p>
        </w:tc>
        <w:tc>
          <w:tcPr>
            <w:tcW w:w="3097" w:type="dxa"/>
          </w:tcPr>
          <w:p>
            <w:pPr>
              <w:pStyle w:val="TableParagraph"/>
              <w:rPr>
                <w:rFonts w:ascii="Times New Roman"/>
                <w:sz w:val="14"/>
              </w:rPr>
            </w:pPr>
          </w:p>
        </w:tc>
        <w:tc>
          <w:tcPr>
            <w:tcW w:w="1314" w:type="dxa"/>
          </w:tcPr>
          <w:p>
            <w:pPr>
              <w:pStyle w:val="TableParagraph"/>
              <w:spacing w:before="25"/>
              <w:ind w:right="320"/>
              <w:jc w:val="right"/>
              <w:rPr>
                <w:sz w:val="16"/>
              </w:rPr>
            </w:pPr>
            <w:r>
              <w:rPr>
                <w:sz w:val="16"/>
              </w:rPr>
              <w:t>3, 387</w:t>
            </w:r>
          </w:p>
        </w:tc>
        <w:tc>
          <w:tcPr>
            <w:tcW w:w="1507" w:type="dxa"/>
          </w:tcPr>
          <w:p>
            <w:pPr>
              <w:pStyle w:val="TableParagraph"/>
              <w:spacing w:before="25"/>
              <w:ind w:right="348"/>
              <w:jc w:val="right"/>
              <w:rPr>
                <w:sz w:val="16"/>
              </w:rPr>
            </w:pPr>
            <w:r>
              <w:rPr>
                <w:sz w:val="16"/>
              </w:rPr>
              <w:t>9, 005</w:t>
            </w:r>
          </w:p>
        </w:tc>
        <w:tc>
          <w:tcPr>
            <w:tcW w:w="1532" w:type="dxa"/>
          </w:tcPr>
          <w:p>
            <w:pPr>
              <w:pStyle w:val="TableParagraph"/>
              <w:spacing w:before="25"/>
              <w:ind w:right="349"/>
              <w:jc w:val="right"/>
              <w:rPr>
                <w:sz w:val="16"/>
              </w:rPr>
            </w:pPr>
            <w:r>
              <w:rPr>
                <w:sz w:val="16"/>
              </w:rPr>
              <w:t>9, 721</w:t>
            </w:r>
          </w:p>
        </w:tc>
        <w:tc>
          <w:tcPr>
            <w:tcW w:w="1469" w:type="dxa"/>
          </w:tcPr>
          <w:p>
            <w:pPr>
              <w:pStyle w:val="TableParagraph"/>
              <w:spacing w:before="25"/>
              <w:ind w:left="486"/>
              <w:rPr>
                <w:sz w:val="16"/>
              </w:rPr>
            </w:pPr>
            <w:r>
              <w:rPr>
                <w:sz w:val="16"/>
              </w:rPr>
              <w:t>10 , 208</w:t>
            </w:r>
          </w:p>
        </w:tc>
        <w:tc>
          <w:tcPr>
            <w:tcW w:w="1435" w:type="dxa"/>
          </w:tcPr>
          <w:p>
            <w:pPr>
              <w:pStyle w:val="TableParagraph"/>
              <w:spacing w:before="25"/>
              <w:ind w:right="311"/>
              <w:jc w:val="right"/>
              <w:rPr>
                <w:sz w:val="16"/>
              </w:rPr>
            </w:pPr>
            <w:r>
              <w:rPr>
                <w:sz w:val="16"/>
              </w:rPr>
              <w:t>10, 718</w:t>
            </w:r>
          </w:p>
        </w:tc>
      </w:tr>
      <w:tr>
        <w:trPr>
          <w:trHeight w:val="240" w:hRule="atLeast"/>
        </w:trPr>
        <w:tc>
          <w:tcPr>
            <w:tcW w:w="4253" w:type="dxa"/>
          </w:tcPr>
          <w:p>
            <w:pPr>
              <w:pStyle w:val="TableParagraph"/>
              <w:spacing w:before="25"/>
              <w:ind w:left="202" w:right="-15"/>
              <w:rPr>
                <w:sz w:val="16"/>
              </w:rPr>
            </w:pPr>
            <w:r>
              <w:rPr>
                <w:spacing w:val="6"/>
                <w:sz w:val="16"/>
              </w:rPr>
              <w:t>Salaries </w:t>
            </w:r>
            <w:r>
              <w:rPr>
                <w:spacing w:val="4"/>
                <w:sz w:val="16"/>
              </w:rPr>
              <w:t>for </w:t>
            </w:r>
            <w:r>
              <w:rPr>
                <w:spacing w:val="8"/>
                <w:sz w:val="16"/>
              </w:rPr>
              <w:t>Tertiary </w:t>
            </w:r>
            <w:r>
              <w:rPr>
                <w:spacing w:val="6"/>
                <w:sz w:val="16"/>
              </w:rPr>
              <w:t>Education Commission</w:t>
            </w:r>
            <w:r>
              <w:rPr>
                <w:spacing w:val="2"/>
                <w:sz w:val="16"/>
              </w:rPr>
              <w:t> </w:t>
            </w:r>
            <w:r>
              <w:rPr>
                <w:spacing w:val="7"/>
                <w:sz w:val="16"/>
              </w:rPr>
              <w:t>Staffs</w:t>
            </w:r>
          </w:p>
        </w:tc>
        <w:tc>
          <w:tcPr>
            <w:tcW w:w="3097" w:type="dxa"/>
          </w:tcPr>
          <w:p>
            <w:pPr>
              <w:pStyle w:val="TableParagraph"/>
              <w:rPr>
                <w:rFonts w:ascii="Times New Roman"/>
                <w:sz w:val="14"/>
              </w:rPr>
            </w:pPr>
          </w:p>
        </w:tc>
        <w:tc>
          <w:tcPr>
            <w:tcW w:w="1314" w:type="dxa"/>
          </w:tcPr>
          <w:p>
            <w:pPr>
              <w:pStyle w:val="TableParagraph"/>
              <w:spacing w:before="25"/>
              <w:ind w:right="320"/>
              <w:jc w:val="right"/>
              <w:rPr>
                <w:sz w:val="16"/>
              </w:rPr>
            </w:pPr>
            <w:r>
              <w:rPr>
                <w:sz w:val="16"/>
              </w:rPr>
              <w:t>2, 297</w:t>
            </w:r>
          </w:p>
        </w:tc>
        <w:tc>
          <w:tcPr>
            <w:tcW w:w="1507" w:type="dxa"/>
          </w:tcPr>
          <w:p>
            <w:pPr>
              <w:pStyle w:val="TableParagraph"/>
              <w:spacing w:before="25"/>
              <w:ind w:right="348"/>
              <w:jc w:val="right"/>
              <w:rPr>
                <w:sz w:val="16"/>
              </w:rPr>
            </w:pPr>
            <w:r>
              <w:rPr>
                <w:sz w:val="16"/>
              </w:rPr>
              <w:t>2, 280</w:t>
            </w:r>
          </w:p>
        </w:tc>
        <w:tc>
          <w:tcPr>
            <w:tcW w:w="1532" w:type="dxa"/>
          </w:tcPr>
          <w:p>
            <w:pPr>
              <w:pStyle w:val="TableParagraph"/>
              <w:spacing w:before="25"/>
              <w:ind w:right="349"/>
              <w:jc w:val="right"/>
              <w:rPr>
                <w:sz w:val="16"/>
              </w:rPr>
            </w:pPr>
            <w:r>
              <w:rPr>
                <w:sz w:val="16"/>
              </w:rPr>
              <w:t>2, 334</w:t>
            </w:r>
          </w:p>
        </w:tc>
        <w:tc>
          <w:tcPr>
            <w:tcW w:w="1469" w:type="dxa"/>
          </w:tcPr>
          <w:p>
            <w:pPr>
              <w:pStyle w:val="TableParagraph"/>
              <w:spacing w:before="25"/>
              <w:ind w:left="625"/>
              <w:rPr>
                <w:sz w:val="16"/>
              </w:rPr>
            </w:pPr>
            <w:r>
              <w:rPr>
                <w:sz w:val="16"/>
              </w:rPr>
              <w:t>2, 381</w:t>
            </w:r>
          </w:p>
        </w:tc>
        <w:tc>
          <w:tcPr>
            <w:tcW w:w="1435" w:type="dxa"/>
          </w:tcPr>
          <w:p>
            <w:pPr>
              <w:pStyle w:val="TableParagraph"/>
              <w:spacing w:before="25"/>
              <w:ind w:right="306"/>
              <w:jc w:val="right"/>
              <w:rPr>
                <w:sz w:val="16"/>
              </w:rPr>
            </w:pPr>
            <w:r>
              <w:rPr>
                <w:sz w:val="16"/>
              </w:rPr>
              <w:t>2, 500</w:t>
            </w:r>
          </w:p>
        </w:tc>
      </w:tr>
      <w:tr>
        <w:trPr>
          <w:trHeight w:val="240" w:hRule="atLeast"/>
        </w:trPr>
        <w:tc>
          <w:tcPr>
            <w:tcW w:w="4253" w:type="dxa"/>
          </w:tcPr>
          <w:p>
            <w:pPr>
              <w:pStyle w:val="TableParagraph"/>
              <w:spacing w:before="25"/>
              <w:ind w:left="202"/>
              <w:rPr>
                <w:sz w:val="16"/>
              </w:rPr>
            </w:pPr>
            <w:r>
              <w:rPr>
                <w:sz w:val="16"/>
              </w:rPr>
              <w:t>Salar ies for Tertiary Education Institutions</w:t>
            </w:r>
          </w:p>
        </w:tc>
        <w:tc>
          <w:tcPr>
            <w:tcW w:w="3097" w:type="dxa"/>
          </w:tcPr>
          <w:p>
            <w:pPr>
              <w:pStyle w:val="TableParagraph"/>
              <w:rPr>
                <w:rFonts w:ascii="Times New Roman"/>
                <w:sz w:val="14"/>
              </w:rPr>
            </w:pPr>
          </w:p>
        </w:tc>
        <w:tc>
          <w:tcPr>
            <w:tcW w:w="1314" w:type="dxa"/>
          </w:tcPr>
          <w:p>
            <w:pPr>
              <w:pStyle w:val="TableParagraph"/>
              <w:spacing w:before="25"/>
              <w:ind w:right="303"/>
              <w:jc w:val="right"/>
              <w:rPr>
                <w:sz w:val="16"/>
              </w:rPr>
            </w:pPr>
            <w:r>
              <w:rPr>
                <w:w w:val="99"/>
                <w:sz w:val="16"/>
              </w:rPr>
              <w:t>-</w:t>
            </w:r>
          </w:p>
        </w:tc>
        <w:tc>
          <w:tcPr>
            <w:tcW w:w="1507" w:type="dxa"/>
          </w:tcPr>
          <w:p>
            <w:pPr>
              <w:pStyle w:val="TableParagraph"/>
              <w:spacing w:before="25"/>
              <w:ind w:right="363"/>
              <w:jc w:val="right"/>
              <w:rPr>
                <w:sz w:val="16"/>
              </w:rPr>
            </w:pPr>
            <w:r>
              <w:rPr>
                <w:sz w:val="16"/>
              </w:rPr>
              <w:t>128, 694</w:t>
            </w:r>
          </w:p>
        </w:tc>
        <w:tc>
          <w:tcPr>
            <w:tcW w:w="1532" w:type="dxa"/>
          </w:tcPr>
          <w:p>
            <w:pPr>
              <w:pStyle w:val="TableParagraph"/>
              <w:spacing w:before="25"/>
              <w:ind w:right="364"/>
              <w:jc w:val="right"/>
              <w:rPr>
                <w:sz w:val="16"/>
              </w:rPr>
            </w:pPr>
            <w:r>
              <w:rPr>
                <w:sz w:val="16"/>
              </w:rPr>
              <w:t>200, 513</w:t>
            </w:r>
          </w:p>
        </w:tc>
        <w:tc>
          <w:tcPr>
            <w:tcW w:w="1469" w:type="dxa"/>
          </w:tcPr>
          <w:p>
            <w:pPr>
              <w:pStyle w:val="TableParagraph"/>
              <w:spacing w:before="25"/>
              <w:ind w:left="385"/>
              <w:rPr>
                <w:sz w:val="16"/>
              </w:rPr>
            </w:pPr>
            <w:r>
              <w:rPr>
                <w:sz w:val="16"/>
              </w:rPr>
              <w:t>260 , 667</w:t>
            </w:r>
          </w:p>
        </w:tc>
        <w:tc>
          <w:tcPr>
            <w:tcW w:w="1435" w:type="dxa"/>
          </w:tcPr>
          <w:p>
            <w:pPr>
              <w:pStyle w:val="TableParagraph"/>
              <w:spacing w:before="25"/>
              <w:ind w:right="321"/>
              <w:jc w:val="right"/>
              <w:rPr>
                <w:sz w:val="16"/>
              </w:rPr>
            </w:pPr>
            <w:r>
              <w:rPr>
                <w:sz w:val="16"/>
              </w:rPr>
              <w:t>260, 667</w:t>
            </w:r>
          </w:p>
        </w:tc>
      </w:tr>
      <w:tr>
        <w:trPr>
          <w:trHeight w:val="240" w:hRule="atLeast"/>
        </w:trPr>
        <w:tc>
          <w:tcPr>
            <w:tcW w:w="4253" w:type="dxa"/>
          </w:tcPr>
          <w:p>
            <w:pPr>
              <w:pStyle w:val="TableParagraph"/>
              <w:spacing w:before="25"/>
              <w:ind w:left="202"/>
              <w:rPr>
                <w:sz w:val="16"/>
              </w:rPr>
            </w:pPr>
            <w:r>
              <w:rPr>
                <w:sz w:val="16"/>
              </w:rPr>
              <w:t>Recurrent Expenditure for Basic Education</w:t>
            </w:r>
          </w:p>
        </w:tc>
        <w:tc>
          <w:tcPr>
            <w:tcW w:w="3097" w:type="dxa"/>
          </w:tcPr>
          <w:p>
            <w:pPr>
              <w:pStyle w:val="TableParagraph"/>
              <w:rPr>
                <w:rFonts w:ascii="Times New Roman"/>
                <w:sz w:val="14"/>
              </w:rPr>
            </w:pPr>
          </w:p>
        </w:tc>
        <w:tc>
          <w:tcPr>
            <w:tcW w:w="1314" w:type="dxa"/>
          </w:tcPr>
          <w:p>
            <w:pPr>
              <w:pStyle w:val="TableParagraph"/>
              <w:spacing w:before="25"/>
              <w:ind w:right="330"/>
              <w:jc w:val="right"/>
              <w:rPr>
                <w:sz w:val="16"/>
              </w:rPr>
            </w:pPr>
            <w:r>
              <w:rPr>
                <w:sz w:val="16"/>
              </w:rPr>
              <w:t>130 , 214</w:t>
            </w:r>
          </w:p>
        </w:tc>
        <w:tc>
          <w:tcPr>
            <w:tcW w:w="1507" w:type="dxa"/>
          </w:tcPr>
          <w:p>
            <w:pPr>
              <w:pStyle w:val="TableParagraph"/>
              <w:spacing w:before="25"/>
              <w:ind w:right="363"/>
              <w:jc w:val="right"/>
              <w:rPr>
                <w:sz w:val="16"/>
              </w:rPr>
            </w:pPr>
            <w:r>
              <w:rPr>
                <w:sz w:val="16"/>
              </w:rPr>
              <w:t>164, 806</w:t>
            </w:r>
          </w:p>
        </w:tc>
        <w:tc>
          <w:tcPr>
            <w:tcW w:w="1532" w:type="dxa"/>
          </w:tcPr>
          <w:p>
            <w:pPr>
              <w:pStyle w:val="TableParagraph"/>
              <w:spacing w:before="25"/>
              <w:ind w:right="354"/>
              <w:jc w:val="right"/>
              <w:rPr>
                <w:sz w:val="16"/>
              </w:rPr>
            </w:pPr>
            <w:r>
              <w:rPr>
                <w:sz w:val="16"/>
              </w:rPr>
              <w:t>33, 068</w:t>
            </w:r>
          </w:p>
        </w:tc>
        <w:tc>
          <w:tcPr>
            <w:tcW w:w="1469" w:type="dxa"/>
          </w:tcPr>
          <w:p>
            <w:pPr>
              <w:pStyle w:val="TableParagraph"/>
              <w:spacing w:before="25"/>
              <w:ind w:left="486"/>
              <w:rPr>
                <w:sz w:val="16"/>
              </w:rPr>
            </w:pPr>
            <w:r>
              <w:rPr>
                <w:sz w:val="16"/>
              </w:rPr>
              <w:t>41 , 813</w:t>
            </w:r>
          </w:p>
        </w:tc>
        <w:tc>
          <w:tcPr>
            <w:tcW w:w="1435" w:type="dxa"/>
          </w:tcPr>
          <w:p>
            <w:pPr>
              <w:pStyle w:val="TableParagraph"/>
              <w:spacing w:before="25"/>
              <w:ind w:right="311"/>
              <w:jc w:val="right"/>
              <w:rPr>
                <w:sz w:val="16"/>
              </w:rPr>
            </w:pPr>
            <w:r>
              <w:rPr>
                <w:sz w:val="16"/>
              </w:rPr>
              <w:t>44, 318</w:t>
            </w:r>
          </w:p>
        </w:tc>
      </w:tr>
      <w:tr>
        <w:trPr>
          <w:trHeight w:val="240" w:hRule="atLeast"/>
        </w:trPr>
        <w:tc>
          <w:tcPr>
            <w:tcW w:w="4253" w:type="dxa"/>
          </w:tcPr>
          <w:p>
            <w:pPr>
              <w:pStyle w:val="TableParagraph"/>
              <w:spacing w:before="25"/>
              <w:ind w:left="202"/>
              <w:rPr>
                <w:sz w:val="16"/>
              </w:rPr>
            </w:pPr>
            <w:r>
              <w:rPr>
                <w:sz w:val="16"/>
              </w:rPr>
              <w:t>Recur rent Expenditure for Technical and Higher</w:t>
            </w:r>
          </w:p>
        </w:tc>
        <w:tc>
          <w:tcPr>
            <w:tcW w:w="3097" w:type="dxa"/>
          </w:tcPr>
          <w:p>
            <w:pPr>
              <w:pStyle w:val="TableParagraph"/>
              <w:spacing w:before="25"/>
              <w:ind w:left="16"/>
              <w:rPr>
                <w:sz w:val="16"/>
              </w:rPr>
            </w:pPr>
            <w:r>
              <w:rPr>
                <w:sz w:val="16"/>
              </w:rPr>
              <w:t>Education</w:t>
            </w:r>
          </w:p>
        </w:tc>
        <w:tc>
          <w:tcPr>
            <w:tcW w:w="1314" w:type="dxa"/>
          </w:tcPr>
          <w:p>
            <w:pPr>
              <w:pStyle w:val="TableParagraph"/>
              <w:spacing w:before="25"/>
              <w:ind w:right="330"/>
              <w:jc w:val="right"/>
              <w:rPr>
                <w:sz w:val="16"/>
              </w:rPr>
            </w:pPr>
            <w:r>
              <w:rPr>
                <w:sz w:val="16"/>
              </w:rPr>
              <w:t>251 , 957</w:t>
            </w:r>
          </w:p>
        </w:tc>
        <w:tc>
          <w:tcPr>
            <w:tcW w:w="1507" w:type="dxa"/>
          </w:tcPr>
          <w:p>
            <w:pPr>
              <w:pStyle w:val="TableParagraph"/>
              <w:spacing w:before="25"/>
              <w:ind w:right="363"/>
              <w:jc w:val="right"/>
              <w:rPr>
                <w:sz w:val="16"/>
              </w:rPr>
            </w:pPr>
            <w:r>
              <w:rPr>
                <w:sz w:val="16"/>
              </w:rPr>
              <w:t>156, 211</w:t>
            </w:r>
          </w:p>
        </w:tc>
        <w:tc>
          <w:tcPr>
            <w:tcW w:w="1532" w:type="dxa"/>
          </w:tcPr>
          <w:p>
            <w:pPr>
              <w:pStyle w:val="TableParagraph"/>
              <w:spacing w:before="25"/>
              <w:ind w:right="364"/>
              <w:jc w:val="right"/>
              <w:rPr>
                <w:sz w:val="16"/>
              </w:rPr>
            </w:pPr>
            <w:r>
              <w:rPr>
                <w:sz w:val="16"/>
              </w:rPr>
              <w:t>133, 155</w:t>
            </w:r>
          </w:p>
        </w:tc>
        <w:tc>
          <w:tcPr>
            <w:tcW w:w="1469" w:type="dxa"/>
          </w:tcPr>
          <w:p>
            <w:pPr>
              <w:pStyle w:val="TableParagraph"/>
              <w:spacing w:before="25"/>
              <w:ind w:left="385"/>
              <w:rPr>
                <w:sz w:val="16"/>
              </w:rPr>
            </w:pPr>
            <w:r>
              <w:rPr>
                <w:sz w:val="16"/>
              </w:rPr>
              <w:t>155 , 140</w:t>
            </w:r>
          </w:p>
        </w:tc>
        <w:tc>
          <w:tcPr>
            <w:tcW w:w="1435" w:type="dxa"/>
          </w:tcPr>
          <w:p>
            <w:pPr>
              <w:pStyle w:val="TableParagraph"/>
              <w:spacing w:before="25"/>
              <w:ind w:right="321"/>
              <w:jc w:val="right"/>
              <w:rPr>
                <w:sz w:val="16"/>
              </w:rPr>
            </w:pPr>
            <w:r>
              <w:rPr>
                <w:sz w:val="16"/>
              </w:rPr>
              <w:t>176, 528</w:t>
            </w:r>
          </w:p>
        </w:tc>
      </w:tr>
      <w:tr>
        <w:trPr>
          <w:trHeight w:val="240" w:hRule="atLeast"/>
        </w:trPr>
        <w:tc>
          <w:tcPr>
            <w:tcW w:w="4253" w:type="dxa"/>
          </w:tcPr>
          <w:p>
            <w:pPr>
              <w:pStyle w:val="TableParagraph"/>
              <w:spacing w:before="25"/>
              <w:ind w:left="203"/>
              <w:rPr>
                <w:sz w:val="16"/>
              </w:rPr>
            </w:pPr>
            <w:r>
              <w:rPr>
                <w:sz w:val="16"/>
              </w:rPr>
              <w:t>Grants for Devolved Education Services to Local</w:t>
            </w:r>
          </w:p>
        </w:tc>
        <w:tc>
          <w:tcPr>
            <w:tcW w:w="3097" w:type="dxa"/>
          </w:tcPr>
          <w:p>
            <w:pPr>
              <w:pStyle w:val="TableParagraph"/>
              <w:spacing w:before="25"/>
              <w:ind w:left="-1"/>
              <w:rPr>
                <w:sz w:val="16"/>
              </w:rPr>
            </w:pPr>
            <w:r>
              <w:rPr>
                <w:sz w:val="16"/>
              </w:rPr>
              <w:t>Councils</w:t>
            </w:r>
          </w:p>
        </w:tc>
        <w:tc>
          <w:tcPr>
            <w:tcW w:w="1314" w:type="dxa"/>
          </w:tcPr>
          <w:p>
            <w:pPr>
              <w:pStyle w:val="TableParagraph"/>
              <w:spacing w:before="25"/>
              <w:ind w:right="325"/>
              <w:jc w:val="right"/>
              <w:rPr>
                <w:sz w:val="16"/>
              </w:rPr>
            </w:pPr>
            <w:r>
              <w:rPr>
                <w:sz w:val="16"/>
              </w:rPr>
              <w:t>80 , 172</w:t>
            </w:r>
          </w:p>
        </w:tc>
        <w:tc>
          <w:tcPr>
            <w:tcW w:w="1507" w:type="dxa"/>
          </w:tcPr>
          <w:p>
            <w:pPr>
              <w:pStyle w:val="TableParagraph"/>
              <w:spacing w:before="25"/>
              <w:ind w:right="353"/>
              <w:jc w:val="right"/>
              <w:rPr>
                <w:sz w:val="16"/>
              </w:rPr>
            </w:pPr>
            <w:r>
              <w:rPr>
                <w:sz w:val="16"/>
              </w:rPr>
              <w:t>98, 057</w:t>
            </w:r>
          </w:p>
        </w:tc>
        <w:tc>
          <w:tcPr>
            <w:tcW w:w="1532" w:type="dxa"/>
          </w:tcPr>
          <w:p>
            <w:pPr>
              <w:pStyle w:val="TableParagraph"/>
              <w:spacing w:before="25"/>
              <w:ind w:right="354"/>
              <w:jc w:val="right"/>
              <w:rPr>
                <w:sz w:val="16"/>
              </w:rPr>
            </w:pPr>
            <w:r>
              <w:rPr>
                <w:sz w:val="16"/>
              </w:rPr>
              <w:t>33, 907</w:t>
            </w:r>
          </w:p>
        </w:tc>
        <w:tc>
          <w:tcPr>
            <w:tcW w:w="1469" w:type="dxa"/>
          </w:tcPr>
          <w:p>
            <w:pPr>
              <w:pStyle w:val="TableParagraph"/>
              <w:spacing w:before="25"/>
              <w:ind w:left="486"/>
              <w:rPr>
                <w:sz w:val="16"/>
              </w:rPr>
            </w:pPr>
            <w:r>
              <w:rPr>
                <w:sz w:val="16"/>
              </w:rPr>
              <w:t>34 , 746</w:t>
            </w:r>
          </w:p>
        </w:tc>
        <w:tc>
          <w:tcPr>
            <w:tcW w:w="1435" w:type="dxa"/>
          </w:tcPr>
          <w:p>
            <w:pPr>
              <w:pStyle w:val="TableParagraph"/>
              <w:spacing w:before="25"/>
              <w:ind w:right="311"/>
              <w:jc w:val="right"/>
              <w:rPr>
                <w:sz w:val="16"/>
              </w:rPr>
            </w:pPr>
            <w:r>
              <w:rPr>
                <w:sz w:val="16"/>
              </w:rPr>
              <w:t>36, 527</w:t>
            </w:r>
          </w:p>
        </w:tc>
      </w:tr>
      <w:tr>
        <w:trPr>
          <w:trHeight w:val="240" w:hRule="atLeast"/>
        </w:trPr>
        <w:tc>
          <w:tcPr>
            <w:tcW w:w="7350" w:type="dxa"/>
            <w:gridSpan w:val="2"/>
          </w:tcPr>
          <w:p>
            <w:pPr>
              <w:pStyle w:val="TableParagraph"/>
              <w:spacing w:before="25"/>
              <w:ind w:left="202"/>
              <w:rPr>
                <w:sz w:val="16"/>
              </w:rPr>
            </w:pPr>
            <w:r>
              <w:rPr>
                <w:sz w:val="16"/>
              </w:rPr>
              <w:t>Recur rent Expendit ure for Teaching Service Commission</w:t>
            </w:r>
          </w:p>
        </w:tc>
        <w:tc>
          <w:tcPr>
            <w:tcW w:w="1314" w:type="dxa"/>
          </w:tcPr>
          <w:p>
            <w:pPr>
              <w:pStyle w:val="TableParagraph"/>
              <w:spacing w:before="25"/>
              <w:ind w:right="320"/>
              <w:jc w:val="right"/>
              <w:rPr>
                <w:sz w:val="16"/>
              </w:rPr>
            </w:pPr>
            <w:r>
              <w:rPr>
                <w:sz w:val="16"/>
              </w:rPr>
              <w:t>1, 306</w:t>
            </w:r>
          </w:p>
        </w:tc>
        <w:tc>
          <w:tcPr>
            <w:tcW w:w="1507" w:type="dxa"/>
          </w:tcPr>
          <w:p>
            <w:pPr>
              <w:pStyle w:val="TableParagraph"/>
              <w:spacing w:before="25"/>
              <w:ind w:right="348"/>
              <w:jc w:val="right"/>
              <w:rPr>
                <w:sz w:val="16"/>
              </w:rPr>
            </w:pPr>
            <w:r>
              <w:rPr>
                <w:sz w:val="16"/>
              </w:rPr>
              <w:t>6, 522</w:t>
            </w:r>
          </w:p>
        </w:tc>
        <w:tc>
          <w:tcPr>
            <w:tcW w:w="1532" w:type="dxa"/>
          </w:tcPr>
          <w:p>
            <w:pPr>
              <w:pStyle w:val="TableParagraph"/>
              <w:spacing w:before="25"/>
              <w:ind w:right="349"/>
              <w:jc w:val="right"/>
              <w:rPr>
                <w:sz w:val="16"/>
              </w:rPr>
            </w:pPr>
            <w:r>
              <w:rPr>
                <w:sz w:val="16"/>
              </w:rPr>
              <w:t>2, 930</w:t>
            </w:r>
          </w:p>
        </w:tc>
        <w:tc>
          <w:tcPr>
            <w:tcW w:w="1469" w:type="dxa"/>
          </w:tcPr>
          <w:p>
            <w:pPr>
              <w:pStyle w:val="TableParagraph"/>
              <w:spacing w:before="25"/>
              <w:ind w:left="486"/>
              <w:rPr>
                <w:sz w:val="16"/>
              </w:rPr>
            </w:pPr>
            <w:r>
              <w:rPr>
                <w:sz w:val="16"/>
              </w:rPr>
              <w:t>12 , 818</w:t>
            </w:r>
          </w:p>
        </w:tc>
        <w:tc>
          <w:tcPr>
            <w:tcW w:w="1435" w:type="dxa"/>
          </w:tcPr>
          <w:p>
            <w:pPr>
              <w:pStyle w:val="TableParagraph"/>
              <w:spacing w:before="25"/>
              <w:ind w:right="311"/>
              <w:jc w:val="right"/>
              <w:rPr>
                <w:sz w:val="16"/>
              </w:rPr>
            </w:pPr>
            <w:r>
              <w:rPr>
                <w:sz w:val="16"/>
              </w:rPr>
              <w:t>13, 585</w:t>
            </w:r>
          </w:p>
        </w:tc>
      </w:tr>
      <w:tr>
        <w:trPr>
          <w:trHeight w:val="240" w:hRule="atLeast"/>
        </w:trPr>
        <w:tc>
          <w:tcPr>
            <w:tcW w:w="7350" w:type="dxa"/>
            <w:gridSpan w:val="2"/>
          </w:tcPr>
          <w:p>
            <w:pPr>
              <w:pStyle w:val="TableParagraph"/>
              <w:spacing w:before="25"/>
              <w:ind w:left="202"/>
              <w:rPr>
                <w:sz w:val="16"/>
              </w:rPr>
            </w:pPr>
            <w:r>
              <w:rPr>
                <w:sz w:val="16"/>
              </w:rPr>
              <w:t>Recurrent Expenditure for Teaching Hospitals Complex</w:t>
            </w:r>
          </w:p>
        </w:tc>
        <w:tc>
          <w:tcPr>
            <w:tcW w:w="1314" w:type="dxa"/>
          </w:tcPr>
          <w:p>
            <w:pPr>
              <w:pStyle w:val="TableParagraph"/>
              <w:spacing w:before="25"/>
              <w:ind w:right="315"/>
              <w:jc w:val="right"/>
              <w:rPr>
                <w:sz w:val="16"/>
              </w:rPr>
            </w:pPr>
            <w:r>
              <w:rPr>
                <w:sz w:val="16"/>
              </w:rPr>
              <w:t>1, 500</w:t>
            </w:r>
          </w:p>
        </w:tc>
        <w:tc>
          <w:tcPr>
            <w:tcW w:w="1507" w:type="dxa"/>
          </w:tcPr>
          <w:p>
            <w:pPr>
              <w:pStyle w:val="TableParagraph"/>
              <w:spacing w:before="25"/>
              <w:ind w:right="336"/>
              <w:jc w:val="right"/>
              <w:rPr>
                <w:sz w:val="16"/>
              </w:rPr>
            </w:pPr>
            <w:r>
              <w:rPr>
                <w:w w:val="99"/>
                <w:sz w:val="16"/>
              </w:rPr>
              <w:t>-</w:t>
            </w:r>
          </w:p>
        </w:tc>
        <w:tc>
          <w:tcPr>
            <w:tcW w:w="1532" w:type="dxa"/>
          </w:tcPr>
          <w:p>
            <w:pPr>
              <w:pStyle w:val="TableParagraph"/>
              <w:spacing w:before="25"/>
              <w:ind w:right="349"/>
              <w:jc w:val="right"/>
              <w:rPr>
                <w:sz w:val="16"/>
              </w:rPr>
            </w:pPr>
            <w:r>
              <w:rPr>
                <w:sz w:val="16"/>
              </w:rPr>
              <w:t>2, 112</w:t>
            </w:r>
          </w:p>
        </w:tc>
        <w:tc>
          <w:tcPr>
            <w:tcW w:w="1469" w:type="dxa"/>
          </w:tcPr>
          <w:p>
            <w:pPr>
              <w:pStyle w:val="TableParagraph"/>
              <w:spacing w:before="25"/>
              <w:ind w:left="625"/>
              <w:rPr>
                <w:sz w:val="16"/>
              </w:rPr>
            </w:pPr>
            <w:r>
              <w:rPr>
                <w:sz w:val="16"/>
              </w:rPr>
              <w:t>7, 031</w:t>
            </w:r>
          </w:p>
        </w:tc>
        <w:tc>
          <w:tcPr>
            <w:tcW w:w="1435" w:type="dxa"/>
          </w:tcPr>
          <w:p>
            <w:pPr>
              <w:pStyle w:val="TableParagraph"/>
              <w:spacing w:before="25"/>
              <w:ind w:right="306"/>
              <w:jc w:val="right"/>
              <w:rPr>
                <w:sz w:val="16"/>
              </w:rPr>
            </w:pPr>
            <w:r>
              <w:rPr>
                <w:sz w:val="16"/>
              </w:rPr>
              <w:t>7, 452</w:t>
            </w:r>
          </w:p>
        </w:tc>
      </w:tr>
      <w:tr>
        <w:trPr>
          <w:trHeight w:val="243" w:hRule="atLeast"/>
        </w:trPr>
        <w:tc>
          <w:tcPr>
            <w:tcW w:w="7350" w:type="dxa"/>
            <w:gridSpan w:val="2"/>
          </w:tcPr>
          <w:p>
            <w:pPr>
              <w:pStyle w:val="TableParagraph"/>
              <w:spacing w:line="184" w:lineRule="exact" w:before="25"/>
              <w:ind w:left="203"/>
              <w:rPr>
                <w:sz w:val="16"/>
              </w:rPr>
            </w:pPr>
            <w:r>
              <w:rPr>
                <w:sz w:val="16"/>
              </w:rPr>
              <w:t>Domestic Capital budget allocation to Education</w:t>
            </w:r>
          </w:p>
        </w:tc>
        <w:tc>
          <w:tcPr>
            <w:tcW w:w="1314" w:type="dxa"/>
          </w:tcPr>
          <w:p>
            <w:pPr>
              <w:pStyle w:val="TableParagraph"/>
              <w:spacing w:line="184" w:lineRule="exact" w:before="25"/>
              <w:ind w:right="320"/>
              <w:jc w:val="right"/>
              <w:rPr>
                <w:sz w:val="16"/>
              </w:rPr>
            </w:pPr>
            <w:r>
              <w:rPr>
                <w:sz w:val="16"/>
              </w:rPr>
              <w:t>3, 000</w:t>
            </w:r>
          </w:p>
        </w:tc>
        <w:tc>
          <w:tcPr>
            <w:tcW w:w="1507" w:type="dxa"/>
          </w:tcPr>
          <w:p>
            <w:pPr>
              <w:pStyle w:val="TableParagraph"/>
              <w:spacing w:line="184" w:lineRule="exact" w:before="25"/>
              <w:ind w:right="353"/>
              <w:jc w:val="right"/>
              <w:rPr>
                <w:sz w:val="16"/>
              </w:rPr>
            </w:pPr>
            <w:r>
              <w:rPr>
                <w:sz w:val="16"/>
              </w:rPr>
              <w:t>74, 557</w:t>
            </w:r>
          </w:p>
        </w:tc>
        <w:tc>
          <w:tcPr>
            <w:tcW w:w="1532" w:type="dxa"/>
          </w:tcPr>
          <w:p>
            <w:pPr>
              <w:pStyle w:val="TableParagraph"/>
              <w:spacing w:line="184" w:lineRule="exact" w:before="25"/>
              <w:ind w:right="364"/>
              <w:jc w:val="right"/>
              <w:rPr>
                <w:sz w:val="16"/>
              </w:rPr>
            </w:pPr>
            <w:r>
              <w:rPr>
                <w:sz w:val="16"/>
              </w:rPr>
              <w:t>317, 200</w:t>
            </w:r>
          </w:p>
        </w:tc>
        <w:tc>
          <w:tcPr>
            <w:tcW w:w="1469" w:type="dxa"/>
          </w:tcPr>
          <w:p>
            <w:pPr>
              <w:pStyle w:val="TableParagraph"/>
              <w:spacing w:line="184" w:lineRule="exact" w:before="25"/>
              <w:ind w:left="385"/>
              <w:rPr>
                <w:sz w:val="16"/>
              </w:rPr>
            </w:pPr>
            <w:r>
              <w:rPr>
                <w:sz w:val="16"/>
              </w:rPr>
              <w:t>605 , 202</w:t>
            </w:r>
          </w:p>
        </w:tc>
        <w:tc>
          <w:tcPr>
            <w:tcW w:w="1435" w:type="dxa"/>
          </w:tcPr>
          <w:p>
            <w:pPr>
              <w:pStyle w:val="TableParagraph"/>
              <w:spacing w:line="184" w:lineRule="exact" w:before="25"/>
              <w:ind w:right="321"/>
              <w:jc w:val="right"/>
              <w:rPr>
                <w:sz w:val="16"/>
              </w:rPr>
            </w:pPr>
            <w:r>
              <w:rPr>
                <w:sz w:val="16"/>
              </w:rPr>
              <w:t>630, 135</w:t>
            </w:r>
          </w:p>
        </w:tc>
      </w:tr>
    </w:tbl>
    <w:p>
      <w:pPr>
        <w:pStyle w:val="BodyText"/>
        <w:spacing w:before="1"/>
        <w:rPr>
          <w:rFonts w:ascii="Arial"/>
          <w:b/>
          <w:sz w:val="8"/>
        </w:rPr>
      </w:pPr>
      <w:r>
        <w:rPr/>
        <w:pict>
          <v:line style="position:absolute;mso-position-horizontal-relative:page;mso-position-vertical-relative:paragraph;z-index:128;mso-wrap-distance-left:0;mso-wrap-distance-right:0" from="430.559998pt,7.62003pt" to="790.559998pt,7.62003pt" stroked="true" strokeweight="1.92pt" strokecolor="#000000">
            <v:stroke dashstyle="solid"/>
            <w10:wrap type="topAndBottom"/>
          </v:line>
        </w:pict>
      </w:r>
    </w:p>
    <w:p>
      <w:pPr>
        <w:tabs>
          <w:tab w:pos="7890" w:val="left" w:leader="none"/>
          <w:tab w:pos="9259" w:val="left" w:leader="none"/>
          <w:tab w:pos="10771" w:val="left" w:leader="none"/>
          <w:tab w:pos="12325" w:val="left" w:leader="none"/>
          <w:tab w:pos="13718" w:val="left" w:leader="none"/>
        </w:tabs>
        <w:spacing w:before="60" w:after="81"/>
        <w:ind w:left="474" w:right="0" w:firstLine="0"/>
        <w:jc w:val="left"/>
        <w:rPr>
          <w:rFonts w:ascii="Arial"/>
          <w:b/>
          <w:sz w:val="16"/>
        </w:rPr>
      </w:pPr>
      <w:r>
        <w:rPr>
          <w:rFonts w:ascii="Arial"/>
          <w:b/>
          <w:spacing w:val="7"/>
          <w:sz w:val="16"/>
        </w:rPr>
        <w:t>Total  Allocations  </w:t>
      </w:r>
      <w:r>
        <w:rPr>
          <w:rFonts w:ascii="Arial"/>
          <w:b/>
          <w:spacing w:val="6"/>
          <w:sz w:val="16"/>
        </w:rPr>
        <w:t>to</w:t>
      </w:r>
      <w:r>
        <w:rPr>
          <w:rFonts w:ascii="Arial"/>
          <w:b/>
          <w:spacing w:val="18"/>
          <w:sz w:val="16"/>
        </w:rPr>
        <w:t> </w:t>
      </w:r>
      <w:r>
        <w:rPr>
          <w:rFonts w:ascii="Arial"/>
          <w:b/>
          <w:spacing w:val="7"/>
          <w:sz w:val="16"/>
        </w:rPr>
        <w:t>Education</w:t>
      </w:r>
      <w:r>
        <w:rPr>
          <w:rFonts w:ascii="Arial"/>
          <w:b/>
          <w:spacing w:val="49"/>
          <w:sz w:val="16"/>
        </w:rPr>
        <w:t> </w:t>
      </w:r>
      <w:r>
        <w:rPr>
          <w:rFonts w:ascii="Arial"/>
          <w:b/>
          <w:spacing w:val="6"/>
          <w:sz w:val="16"/>
        </w:rPr>
        <w:t>Sector</w:t>
        <w:tab/>
      </w:r>
      <w:r>
        <w:rPr>
          <w:rFonts w:ascii="Arial"/>
          <w:b/>
          <w:spacing w:val="12"/>
          <w:sz w:val="16"/>
        </w:rPr>
        <w:t>912</w:t>
      </w:r>
      <w:r>
        <w:rPr>
          <w:rFonts w:ascii="Arial"/>
          <w:b/>
          <w:spacing w:val="-27"/>
          <w:sz w:val="16"/>
        </w:rPr>
        <w:t> </w:t>
      </w:r>
      <w:r>
        <w:rPr>
          <w:rFonts w:ascii="Arial"/>
          <w:b/>
          <w:sz w:val="16"/>
        </w:rPr>
        <w:t>,</w:t>
      </w:r>
      <w:r>
        <w:rPr>
          <w:rFonts w:ascii="Arial"/>
          <w:b/>
          <w:spacing w:val="-27"/>
          <w:sz w:val="16"/>
        </w:rPr>
        <w:t> </w:t>
      </w:r>
      <w:r>
        <w:rPr>
          <w:rFonts w:ascii="Arial"/>
          <w:b/>
          <w:spacing w:val="12"/>
          <w:sz w:val="16"/>
        </w:rPr>
        <w:t>005</w:t>
        <w:tab/>
      </w:r>
      <w:r>
        <w:rPr>
          <w:rFonts w:ascii="Arial"/>
          <w:b/>
          <w:spacing w:val="8"/>
          <w:sz w:val="16"/>
        </w:rPr>
        <w:t>1,116,637</w:t>
        <w:tab/>
      </w:r>
      <w:r>
        <w:rPr>
          <w:rFonts w:ascii="Arial"/>
          <w:b/>
          <w:spacing w:val="9"/>
          <w:sz w:val="16"/>
        </w:rPr>
        <w:t>1,410,525</w:t>
        <w:tab/>
      </w:r>
      <w:r>
        <w:rPr>
          <w:rFonts w:ascii="Arial"/>
          <w:b/>
          <w:spacing w:val="6"/>
          <w:sz w:val="16"/>
        </w:rPr>
        <w:t>1,</w:t>
      </w:r>
      <w:r>
        <w:rPr>
          <w:rFonts w:ascii="Arial"/>
          <w:b/>
          <w:spacing w:val="-32"/>
          <w:sz w:val="16"/>
        </w:rPr>
        <w:t> </w:t>
      </w:r>
      <w:r>
        <w:rPr>
          <w:rFonts w:ascii="Arial"/>
          <w:b/>
          <w:spacing w:val="11"/>
          <w:sz w:val="16"/>
        </w:rPr>
        <w:t>909,</w:t>
      </w:r>
      <w:r>
        <w:rPr>
          <w:rFonts w:ascii="Arial"/>
          <w:b/>
          <w:spacing w:val="-31"/>
          <w:sz w:val="16"/>
        </w:rPr>
        <w:t> </w:t>
      </w:r>
      <w:r>
        <w:rPr>
          <w:rFonts w:ascii="Arial"/>
          <w:b/>
          <w:spacing w:val="10"/>
          <w:sz w:val="16"/>
        </w:rPr>
        <w:t>526</w:t>
        <w:tab/>
      </w:r>
      <w:r>
        <w:rPr>
          <w:rFonts w:ascii="Arial"/>
          <w:b/>
          <w:spacing w:val="9"/>
          <w:sz w:val="16"/>
        </w:rPr>
        <w:t>2,074,536</w:t>
      </w:r>
    </w:p>
    <w:p>
      <w:pPr>
        <w:pStyle w:val="BodyText"/>
        <w:spacing w:line="44" w:lineRule="exact"/>
        <w:ind w:left="7709"/>
        <w:rPr>
          <w:rFonts w:ascii="Arial"/>
          <w:sz w:val="4"/>
        </w:rPr>
      </w:pPr>
      <w:r>
        <w:rPr>
          <w:rFonts w:ascii="Arial"/>
          <w:position w:val="0"/>
          <w:sz w:val="4"/>
        </w:rPr>
        <w:pict>
          <v:group style="width:360pt;height:2.2pt;mso-position-horizontal-relative:char;mso-position-vertical-relative:line" coordorigin="0,0" coordsize="7200,44">
            <v:line style="position:absolute" from="0,22" to="7200,22" stroked="true" strokeweight="2.16pt" strokecolor="#000000">
              <v:stroke dashstyle="solid"/>
            </v:line>
          </v:group>
        </w:pict>
      </w:r>
      <w:r>
        <w:rPr>
          <w:rFonts w:ascii="Arial"/>
          <w:position w:val="0"/>
          <w:sz w:val="4"/>
        </w:rPr>
      </w:r>
    </w:p>
    <w:p>
      <w:pPr>
        <w:pStyle w:val="BodyText"/>
        <w:rPr>
          <w:rFonts w:ascii="Arial"/>
          <w:b/>
          <w:sz w:val="18"/>
        </w:rPr>
      </w:pPr>
    </w:p>
    <w:p>
      <w:pPr>
        <w:pStyle w:val="BodyText"/>
        <w:spacing w:before="8"/>
        <w:rPr>
          <w:rFonts w:ascii="Arial"/>
          <w:b/>
          <w:sz w:val="17"/>
        </w:rPr>
      </w:pPr>
    </w:p>
    <w:p>
      <w:pPr>
        <w:tabs>
          <w:tab w:pos="8264" w:val="left" w:leader="none"/>
          <w:tab w:pos="9709" w:val="left" w:leader="none"/>
          <w:tab w:pos="11240" w:val="left" w:leader="none"/>
          <w:tab w:pos="12671" w:val="left" w:leader="none"/>
          <w:tab w:pos="14202" w:val="left" w:leader="none"/>
        </w:tabs>
        <w:spacing w:before="0"/>
        <w:ind w:left="474" w:right="0" w:firstLine="0"/>
        <w:jc w:val="left"/>
        <w:rPr>
          <w:rFonts w:ascii="Arial"/>
          <w:b/>
          <w:sz w:val="16"/>
        </w:rPr>
      </w:pPr>
      <w:r>
        <w:rPr>
          <w:rFonts w:ascii="Arial"/>
          <w:b/>
          <w:sz w:val="16"/>
        </w:rPr>
        <w:t>%  </w:t>
      </w:r>
      <w:r>
        <w:rPr>
          <w:rFonts w:ascii="Arial"/>
          <w:b/>
          <w:spacing w:val="6"/>
          <w:sz w:val="16"/>
        </w:rPr>
        <w:t>Government  </w:t>
      </w:r>
      <w:r>
        <w:rPr>
          <w:rFonts w:ascii="Arial"/>
          <w:b/>
          <w:spacing w:val="7"/>
          <w:sz w:val="16"/>
        </w:rPr>
        <w:t>Budgetary  </w:t>
      </w:r>
      <w:r>
        <w:rPr>
          <w:rFonts w:ascii="Arial"/>
          <w:b/>
          <w:spacing w:val="6"/>
          <w:sz w:val="16"/>
        </w:rPr>
        <w:t>Allocations to</w:t>
      </w:r>
      <w:r>
        <w:rPr>
          <w:rFonts w:ascii="Arial"/>
          <w:b/>
          <w:spacing w:val="56"/>
          <w:sz w:val="16"/>
        </w:rPr>
        <w:t> </w:t>
      </w:r>
      <w:r>
        <w:rPr>
          <w:rFonts w:ascii="Arial"/>
          <w:b/>
          <w:spacing w:val="6"/>
          <w:sz w:val="16"/>
        </w:rPr>
        <w:t>the</w:t>
      </w:r>
      <w:r>
        <w:rPr>
          <w:rFonts w:ascii="Arial"/>
          <w:b/>
          <w:spacing w:val="29"/>
          <w:sz w:val="16"/>
        </w:rPr>
        <w:t> </w:t>
      </w:r>
      <w:r>
        <w:rPr>
          <w:rFonts w:ascii="Arial"/>
          <w:b/>
          <w:spacing w:val="7"/>
          <w:sz w:val="16"/>
        </w:rPr>
        <w:t>Education</w:t>
      </w:r>
      <w:r>
        <w:rPr>
          <w:rFonts w:ascii="Arial"/>
          <w:b/>
          <w:spacing w:val="44"/>
          <w:sz w:val="16"/>
        </w:rPr>
        <w:t> </w:t>
      </w:r>
      <w:r>
        <w:rPr>
          <w:rFonts w:ascii="Arial"/>
          <w:b/>
          <w:spacing w:val="5"/>
          <w:sz w:val="16"/>
        </w:rPr>
        <w:t>Sector</w:t>
        <w:tab/>
      </w:r>
      <w:r>
        <w:rPr>
          <w:rFonts w:ascii="Arial"/>
          <w:b/>
          <w:spacing w:val="6"/>
          <w:sz w:val="16"/>
        </w:rPr>
        <w:t>19</w:t>
      </w:r>
      <w:r>
        <w:rPr>
          <w:rFonts w:ascii="Arial"/>
          <w:b/>
          <w:spacing w:val="-28"/>
          <w:sz w:val="16"/>
        </w:rPr>
        <w:t> </w:t>
      </w:r>
      <w:r>
        <w:rPr>
          <w:rFonts w:ascii="Arial"/>
          <w:b/>
          <w:sz w:val="16"/>
        </w:rPr>
        <w:t>%</w:t>
        <w:tab/>
        <w:t>2</w:t>
      </w:r>
      <w:r>
        <w:rPr>
          <w:rFonts w:ascii="Arial"/>
          <w:b/>
          <w:spacing w:val="-17"/>
          <w:sz w:val="16"/>
        </w:rPr>
        <w:t> </w:t>
      </w:r>
      <w:r>
        <w:rPr>
          <w:rFonts w:ascii="Arial"/>
          <w:b/>
          <w:sz w:val="16"/>
        </w:rPr>
        <w:t>0</w:t>
      </w:r>
      <w:r>
        <w:rPr>
          <w:rFonts w:ascii="Arial"/>
          <w:b/>
          <w:spacing w:val="-13"/>
          <w:sz w:val="16"/>
        </w:rPr>
        <w:t> </w:t>
      </w:r>
      <w:r>
        <w:rPr>
          <w:rFonts w:ascii="Arial"/>
          <w:b/>
          <w:sz w:val="16"/>
        </w:rPr>
        <w:t>%</w:t>
        <w:tab/>
        <w:t>2</w:t>
      </w:r>
      <w:r>
        <w:rPr>
          <w:rFonts w:ascii="Arial"/>
          <w:b/>
          <w:spacing w:val="-17"/>
          <w:sz w:val="16"/>
        </w:rPr>
        <w:t> </w:t>
      </w:r>
      <w:r>
        <w:rPr>
          <w:rFonts w:ascii="Arial"/>
          <w:b/>
          <w:sz w:val="16"/>
        </w:rPr>
        <w:t>2</w:t>
      </w:r>
      <w:r>
        <w:rPr>
          <w:rFonts w:ascii="Arial"/>
          <w:b/>
          <w:spacing w:val="-13"/>
          <w:sz w:val="16"/>
        </w:rPr>
        <w:t> </w:t>
      </w:r>
      <w:r>
        <w:rPr>
          <w:rFonts w:ascii="Arial"/>
          <w:b/>
          <w:sz w:val="16"/>
        </w:rPr>
        <w:t>%</w:t>
        <w:tab/>
        <w:t>2</w:t>
      </w:r>
      <w:r>
        <w:rPr>
          <w:rFonts w:ascii="Arial"/>
          <w:b/>
          <w:spacing w:val="-22"/>
          <w:sz w:val="16"/>
        </w:rPr>
        <w:t> </w:t>
      </w:r>
      <w:r>
        <w:rPr>
          <w:rFonts w:ascii="Arial"/>
          <w:b/>
          <w:sz w:val="16"/>
        </w:rPr>
        <w:t>6</w:t>
      </w:r>
      <w:r>
        <w:rPr>
          <w:rFonts w:ascii="Arial"/>
          <w:b/>
          <w:spacing w:val="-22"/>
          <w:sz w:val="16"/>
        </w:rPr>
        <w:t> </w:t>
      </w:r>
      <w:r>
        <w:rPr>
          <w:rFonts w:ascii="Arial"/>
          <w:b/>
          <w:sz w:val="16"/>
        </w:rPr>
        <w:t>%</w:t>
        <w:tab/>
        <w:t>2</w:t>
      </w:r>
      <w:r>
        <w:rPr>
          <w:rFonts w:ascii="Arial"/>
          <w:b/>
          <w:spacing w:val="-21"/>
          <w:sz w:val="16"/>
        </w:rPr>
        <w:t> </w:t>
      </w:r>
      <w:r>
        <w:rPr>
          <w:rFonts w:ascii="Arial"/>
          <w:b/>
          <w:sz w:val="16"/>
        </w:rPr>
        <w:t>5</w:t>
      </w:r>
      <w:r>
        <w:rPr>
          <w:rFonts w:ascii="Arial"/>
          <w:b/>
          <w:spacing w:val="-22"/>
          <w:sz w:val="16"/>
        </w:rPr>
        <w:t> </w:t>
      </w:r>
      <w:r>
        <w:rPr>
          <w:rFonts w:ascii="Arial"/>
          <w:b/>
          <w:sz w:val="16"/>
        </w:rPr>
        <w:t>%</w:t>
      </w:r>
    </w:p>
    <w:p>
      <w:pPr>
        <w:spacing w:after="0"/>
        <w:jc w:val="left"/>
        <w:rPr>
          <w:rFonts w:ascii="Arial"/>
          <w:sz w:val="16"/>
        </w:rPr>
        <w:sectPr>
          <w:type w:val="continuous"/>
          <w:pgSz w:w="16840" w:h="11900" w:orient="landscape"/>
          <w:pgMar w:top="1600" w:bottom="280" w:left="880" w:right="920"/>
        </w:sectPr>
      </w:pPr>
    </w:p>
    <w:p>
      <w:pPr>
        <w:spacing w:before="85"/>
        <w:ind w:left="4961" w:right="0" w:firstLine="0"/>
        <w:jc w:val="left"/>
        <w:rPr>
          <w:rFonts w:ascii="Arial" w:hAnsi="Arial"/>
          <w:b/>
          <w:sz w:val="17"/>
        </w:rPr>
      </w:pPr>
      <w:r>
        <w:rPr/>
        <w:pict>
          <v:shape style="position:absolute;margin-left:27.140491pt;margin-top:290.910004pt;width:14.35pt;height:10.4pt;mso-position-horizontal-relative:page;mso-position-vertical-relative:page;z-index:2272" type="#_x0000_t202" filled="false" stroked="false">
            <v:textbox inset="0,0,0,0" style="layout-flow:vertical">
              <w:txbxContent>
                <w:p>
                  <w:pPr>
                    <w:spacing w:before="13"/>
                    <w:ind w:left="20" w:right="0" w:firstLine="0"/>
                    <w:jc w:val="left"/>
                    <w:rPr>
                      <w:rFonts w:ascii="Arial"/>
                      <w:sz w:val="22"/>
                    </w:rPr>
                  </w:pPr>
                  <w:r>
                    <w:rPr>
                      <w:rFonts w:ascii="Arial"/>
                      <w:sz w:val="22"/>
                    </w:rPr>
                    <w:t>xl</w:t>
                  </w:r>
                </w:p>
              </w:txbxContent>
            </v:textbox>
            <w10:wrap type="none"/>
          </v:shape>
        </w:pict>
      </w:r>
      <w:r>
        <w:rPr>
          <w:rFonts w:ascii="Arial" w:hAnsi="Arial"/>
          <w:b/>
          <w:w w:val="105"/>
          <w:sz w:val="17"/>
        </w:rPr>
        <w:t>ANNEX 5b– ALLOCATIONS TO HEALTH FY 2018-2022</w:t>
      </w:r>
    </w:p>
    <w:p>
      <w:pPr>
        <w:spacing w:before="21"/>
        <w:ind w:left="138" w:right="0" w:firstLine="0"/>
        <w:jc w:val="left"/>
        <w:rPr>
          <w:rFonts w:ascii="Arial"/>
          <w:b/>
          <w:sz w:val="17"/>
        </w:rPr>
      </w:pPr>
      <w:r>
        <w:rPr>
          <w:rFonts w:ascii="Arial"/>
          <w:b/>
          <w:w w:val="105"/>
          <w:sz w:val="17"/>
        </w:rPr>
        <w:t>In Millions of Leones</w:t>
      </w:r>
    </w:p>
    <w:p>
      <w:pPr>
        <w:pStyle w:val="BodyText"/>
        <w:rPr>
          <w:rFonts w:ascii="Arial"/>
          <w:b/>
          <w:sz w:val="7"/>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94"/>
        <w:gridCol w:w="1205"/>
        <w:gridCol w:w="1508"/>
        <w:gridCol w:w="1485"/>
        <w:gridCol w:w="1515"/>
        <w:gridCol w:w="1488"/>
      </w:tblGrid>
      <w:tr>
        <w:trPr>
          <w:trHeight w:val="502" w:hRule="atLeast"/>
        </w:trPr>
        <w:tc>
          <w:tcPr>
            <w:tcW w:w="7594" w:type="dxa"/>
            <w:tcBorders>
              <w:top w:val="single" w:sz="18" w:space="0" w:color="000000"/>
              <w:bottom w:val="single" w:sz="18" w:space="0" w:color="000000"/>
            </w:tcBorders>
          </w:tcPr>
          <w:p>
            <w:pPr>
              <w:pStyle w:val="TableParagraph"/>
              <w:spacing w:before="75"/>
              <w:ind w:left="95"/>
              <w:rPr>
                <w:b/>
                <w:sz w:val="20"/>
              </w:rPr>
            </w:pPr>
            <w:r>
              <w:rPr>
                <w:b/>
                <w:sz w:val="20"/>
              </w:rPr>
              <w:t>Particulars</w:t>
            </w:r>
          </w:p>
        </w:tc>
        <w:tc>
          <w:tcPr>
            <w:tcW w:w="1205" w:type="dxa"/>
            <w:tcBorders>
              <w:top w:val="single" w:sz="18" w:space="0" w:color="000000"/>
              <w:bottom w:val="single" w:sz="18" w:space="0" w:color="000000"/>
            </w:tcBorders>
          </w:tcPr>
          <w:p>
            <w:pPr>
              <w:pStyle w:val="TableParagraph"/>
              <w:spacing w:line="147" w:lineRule="exact"/>
              <w:ind w:left="345"/>
              <w:rPr>
                <w:b/>
                <w:sz w:val="14"/>
              </w:rPr>
            </w:pPr>
            <w:r>
              <w:rPr>
                <w:b/>
                <w:spacing w:val="4"/>
                <w:sz w:val="14"/>
              </w:rPr>
              <w:t>FY2018</w:t>
            </w:r>
          </w:p>
          <w:p>
            <w:pPr>
              <w:pStyle w:val="TableParagraph"/>
              <w:spacing w:line="160" w:lineRule="exact"/>
              <w:ind w:left="393"/>
              <w:rPr>
                <w:b/>
                <w:sz w:val="14"/>
              </w:rPr>
            </w:pPr>
            <w:r>
              <w:rPr>
                <w:b/>
                <w:spacing w:val="2"/>
                <w:sz w:val="14"/>
              </w:rPr>
              <w:t>Actual</w:t>
            </w:r>
          </w:p>
        </w:tc>
        <w:tc>
          <w:tcPr>
            <w:tcW w:w="1508" w:type="dxa"/>
            <w:tcBorders>
              <w:top w:val="single" w:sz="18" w:space="0" w:color="000000"/>
              <w:bottom w:val="single" w:sz="18" w:space="0" w:color="000000"/>
            </w:tcBorders>
          </w:tcPr>
          <w:p>
            <w:pPr>
              <w:pStyle w:val="TableParagraph"/>
              <w:spacing w:line="147" w:lineRule="exact"/>
              <w:ind w:left="614"/>
              <w:rPr>
                <w:b/>
                <w:sz w:val="14"/>
              </w:rPr>
            </w:pPr>
            <w:r>
              <w:rPr>
                <w:b/>
                <w:spacing w:val="4"/>
                <w:sz w:val="14"/>
              </w:rPr>
              <w:t>FY2019</w:t>
            </w:r>
          </w:p>
          <w:p>
            <w:pPr>
              <w:pStyle w:val="TableParagraph"/>
              <w:spacing w:line="160" w:lineRule="exact"/>
              <w:ind w:left="580"/>
              <w:rPr>
                <w:b/>
                <w:sz w:val="14"/>
              </w:rPr>
            </w:pPr>
            <w:r>
              <w:rPr>
                <w:b/>
                <w:sz w:val="14"/>
              </w:rPr>
              <w:t>Estimate</w:t>
            </w:r>
          </w:p>
        </w:tc>
        <w:tc>
          <w:tcPr>
            <w:tcW w:w="1485" w:type="dxa"/>
            <w:tcBorders>
              <w:top w:val="single" w:sz="18" w:space="0" w:color="000000"/>
              <w:bottom w:val="single" w:sz="18" w:space="0" w:color="000000"/>
            </w:tcBorders>
          </w:tcPr>
          <w:p>
            <w:pPr>
              <w:pStyle w:val="TableParagraph"/>
              <w:spacing w:line="147" w:lineRule="exact"/>
              <w:ind w:left="527"/>
              <w:rPr>
                <w:b/>
                <w:sz w:val="14"/>
              </w:rPr>
            </w:pPr>
            <w:r>
              <w:rPr>
                <w:b/>
                <w:spacing w:val="4"/>
                <w:sz w:val="14"/>
              </w:rPr>
              <w:t>FY2020</w:t>
            </w:r>
          </w:p>
          <w:p>
            <w:pPr>
              <w:pStyle w:val="TableParagraph"/>
              <w:spacing w:line="160" w:lineRule="exact"/>
              <w:ind w:left="555"/>
              <w:rPr>
                <w:b/>
                <w:sz w:val="14"/>
              </w:rPr>
            </w:pPr>
            <w:r>
              <w:rPr>
                <w:b/>
                <w:sz w:val="14"/>
              </w:rPr>
              <w:t>Budget</w:t>
            </w:r>
          </w:p>
        </w:tc>
        <w:tc>
          <w:tcPr>
            <w:tcW w:w="1515" w:type="dxa"/>
            <w:tcBorders>
              <w:top w:val="single" w:sz="18" w:space="0" w:color="000000"/>
              <w:bottom w:val="single" w:sz="18" w:space="0" w:color="000000"/>
            </w:tcBorders>
          </w:tcPr>
          <w:p>
            <w:pPr>
              <w:pStyle w:val="TableParagraph"/>
              <w:spacing w:line="147" w:lineRule="exact"/>
              <w:ind w:left="515"/>
              <w:rPr>
                <w:b/>
                <w:sz w:val="14"/>
              </w:rPr>
            </w:pPr>
            <w:r>
              <w:rPr>
                <w:b/>
                <w:sz w:val="14"/>
              </w:rPr>
              <w:t>FY2021</w:t>
            </w:r>
          </w:p>
          <w:p>
            <w:pPr>
              <w:pStyle w:val="TableParagraph"/>
              <w:spacing w:line="160" w:lineRule="exact"/>
              <w:ind w:left="425"/>
              <w:rPr>
                <w:b/>
                <w:sz w:val="14"/>
              </w:rPr>
            </w:pPr>
            <w:r>
              <w:rPr>
                <w:b/>
                <w:sz w:val="14"/>
              </w:rPr>
              <w:t>Indicative</w:t>
            </w:r>
          </w:p>
        </w:tc>
        <w:tc>
          <w:tcPr>
            <w:tcW w:w="1488" w:type="dxa"/>
            <w:tcBorders>
              <w:top w:val="single" w:sz="18" w:space="0" w:color="000000"/>
              <w:bottom w:val="single" w:sz="18" w:space="0" w:color="000000"/>
            </w:tcBorders>
          </w:tcPr>
          <w:p>
            <w:pPr>
              <w:pStyle w:val="TableParagraph"/>
              <w:spacing w:line="147" w:lineRule="exact"/>
              <w:ind w:left="584"/>
              <w:rPr>
                <w:b/>
                <w:sz w:val="14"/>
              </w:rPr>
            </w:pPr>
            <w:r>
              <w:rPr>
                <w:b/>
                <w:sz w:val="14"/>
              </w:rPr>
              <w:t>FY2022</w:t>
            </w:r>
          </w:p>
          <w:p>
            <w:pPr>
              <w:pStyle w:val="TableParagraph"/>
              <w:spacing w:line="160" w:lineRule="exact"/>
              <w:ind w:left="499"/>
              <w:rPr>
                <w:b/>
                <w:sz w:val="14"/>
              </w:rPr>
            </w:pPr>
            <w:r>
              <w:rPr>
                <w:b/>
                <w:sz w:val="14"/>
              </w:rPr>
              <w:t>Indicative</w:t>
            </w:r>
          </w:p>
        </w:tc>
      </w:tr>
      <w:tr>
        <w:trPr>
          <w:trHeight w:val="376" w:hRule="atLeast"/>
        </w:trPr>
        <w:tc>
          <w:tcPr>
            <w:tcW w:w="7594" w:type="dxa"/>
            <w:tcBorders>
              <w:top w:val="single" w:sz="18" w:space="0" w:color="000000"/>
            </w:tcBorders>
          </w:tcPr>
          <w:p>
            <w:pPr>
              <w:pStyle w:val="TableParagraph"/>
              <w:spacing w:before="161"/>
              <w:ind w:left="167"/>
              <w:rPr>
                <w:sz w:val="16"/>
              </w:rPr>
            </w:pPr>
            <w:r>
              <w:rPr>
                <w:sz w:val="16"/>
              </w:rPr>
              <w:t>Wages and Salaries</w:t>
            </w:r>
          </w:p>
        </w:tc>
        <w:tc>
          <w:tcPr>
            <w:tcW w:w="1205" w:type="dxa"/>
            <w:tcBorders>
              <w:top w:val="single" w:sz="18" w:space="0" w:color="000000"/>
            </w:tcBorders>
          </w:tcPr>
          <w:p>
            <w:pPr>
              <w:pStyle w:val="TableParagraph"/>
              <w:spacing w:before="161"/>
              <w:ind w:right="341"/>
              <w:jc w:val="right"/>
              <w:rPr>
                <w:sz w:val="16"/>
              </w:rPr>
            </w:pPr>
            <w:r>
              <w:rPr>
                <w:sz w:val="16"/>
              </w:rPr>
              <w:t>2, 056 , 689</w:t>
            </w:r>
          </w:p>
        </w:tc>
        <w:tc>
          <w:tcPr>
            <w:tcW w:w="1508" w:type="dxa"/>
            <w:tcBorders>
              <w:top w:val="single" w:sz="18" w:space="0" w:color="000000"/>
            </w:tcBorders>
          </w:tcPr>
          <w:p>
            <w:pPr>
              <w:pStyle w:val="TableParagraph"/>
              <w:spacing w:before="161"/>
              <w:ind w:left="341"/>
              <w:rPr>
                <w:sz w:val="16"/>
              </w:rPr>
            </w:pPr>
            <w:r>
              <w:rPr>
                <w:sz w:val="16"/>
              </w:rPr>
              <w:t>2, 587, 945</w:t>
            </w:r>
          </w:p>
        </w:tc>
        <w:tc>
          <w:tcPr>
            <w:tcW w:w="1485" w:type="dxa"/>
            <w:tcBorders>
              <w:top w:val="single" w:sz="18" w:space="0" w:color="000000"/>
            </w:tcBorders>
          </w:tcPr>
          <w:p>
            <w:pPr>
              <w:pStyle w:val="TableParagraph"/>
              <w:spacing w:before="161"/>
              <w:ind w:right="324"/>
              <w:jc w:val="right"/>
              <w:rPr>
                <w:sz w:val="16"/>
              </w:rPr>
            </w:pPr>
            <w:r>
              <w:rPr>
                <w:sz w:val="16"/>
              </w:rPr>
              <w:t>3, 174, 476</w:t>
            </w:r>
          </w:p>
        </w:tc>
        <w:tc>
          <w:tcPr>
            <w:tcW w:w="1515" w:type="dxa"/>
            <w:tcBorders>
              <w:top w:val="single" w:sz="18" w:space="0" w:color="000000"/>
            </w:tcBorders>
          </w:tcPr>
          <w:p>
            <w:pPr>
              <w:pStyle w:val="TableParagraph"/>
              <w:spacing w:before="161"/>
              <w:ind w:right="294"/>
              <w:jc w:val="right"/>
              <w:rPr>
                <w:sz w:val="16"/>
              </w:rPr>
            </w:pPr>
            <w:r>
              <w:rPr>
                <w:sz w:val="16"/>
              </w:rPr>
              <w:t>3, 493 , 187</w:t>
            </w:r>
          </w:p>
        </w:tc>
        <w:tc>
          <w:tcPr>
            <w:tcW w:w="1488" w:type="dxa"/>
            <w:tcBorders>
              <w:top w:val="single" w:sz="18" w:space="0" w:color="000000"/>
            </w:tcBorders>
          </w:tcPr>
          <w:p>
            <w:pPr>
              <w:pStyle w:val="TableParagraph"/>
              <w:spacing w:before="161"/>
              <w:ind w:left="311"/>
              <w:rPr>
                <w:sz w:val="16"/>
              </w:rPr>
            </w:pPr>
            <w:r>
              <w:rPr>
                <w:sz w:val="16"/>
              </w:rPr>
              <w:t>3, 630, 940</w:t>
            </w:r>
          </w:p>
        </w:tc>
      </w:tr>
      <w:tr>
        <w:trPr>
          <w:trHeight w:val="240" w:hRule="atLeast"/>
        </w:trPr>
        <w:tc>
          <w:tcPr>
            <w:tcW w:w="7594" w:type="dxa"/>
          </w:tcPr>
          <w:p>
            <w:pPr>
              <w:pStyle w:val="TableParagraph"/>
              <w:spacing w:before="25"/>
              <w:ind w:left="167"/>
              <w:rPr>
                <w:sz w:val="16"/>
              </w:rPr>
            </w:pPr>
            <w:r>
              <w:rPr>
                <w:sz w:val="16"/>
              </w:rPr>
              <w:t>Non-Salary, Non- Interest, Recurrent Expenditures</w:t>
            </w:r>
          </w:p>
        </w:tc>
        <w:tc>
          <w:tcPr>
            <w:tcW w:w="1205" w:type="dxa"/>
          </w:tcPr>
          <w:p>
            <w:pPr>
              <w:pStyle w:val="TableParagraph"/>
              <w:spacing w:before="25"/>
              <w:ind w:right="341"/>
              <w:jc w:val="right"/>
              <w:rPr>
                <w:sz w:val="16"/>
              </w:rPr>
            </w:pPr>
            <w:r>
              <w:rPr>
                <w:sz w:val="16"/>
              </w:rPr>
              <w:t>2, 145 , 953</w:t>
            </w:r>
          </w:p>
        </w:tc>
        <w:tc>
          <w:tcPr>
            <w:tcW w:w="1508" w:type="dxa"/>
          </w:tcPr>
          <w:p>
            <w:pPr>
              <w:pStyle w:val="TableParagraph"/>
              <w:spacing w:before="25"/>
              <w:ind w:left="341"/>
              <w:rPr>
                <w:sz w:val="16"/>
              </w:rPr>
            </w:pPr>
            <w:r>
              <w:rPr>
                <w:sz w:val="16"/>
              </w:rPr>
              <w:t>2, 139, 431</w:t>
            </w:r>
          </w:p>
        </w:tc>
        <w:tc>
          <w:tcPr>
            <w:tcW w:w="1485" w:type="dxa"/>
          </w:tcPr>
          <w:p>
            <w:pPr>
              <w:pStyle w:val="TableParagraph"/>
              <w:spacing w:before="25"/>
              <w:ind w:right="324"/>
              <w:jc w:val="right"/>
              <w:rPr>
                <w:sz w:val="16"/>
              </w:rPr>
            </w:pPr>
            <w:r>
              <w:rPr>
                <w:sz w:val="16"/>
              </w:rPr>
              <w:t>2, 079, 730</w:t>
            </w:r>
          </w:p>
        </w:tc>
        <w:tc>
          <w:tcPr>
            <w:tcW w:w="1515" w:type="dxa"/>
          </w:tcPr>
          <w:p>
            <w:pPr>
              <w:pStyle w:val="TableParagraph"/>
              <w:spacing w:before="25"/>
              <w:ind w:right="294"/>
              <w:jc w:val="right"/>
              <w:rPr>
                <w:sz w:val="16"/>
              </w:rPr>
            </w:pPr>
            <w:r>
              <w:rPr>
                <w:sz w:val="16"/>
              </w:rPr>
              <w:t>2, 488 , 180</w:t>
            </w:r>
          </w:p>
        </w:tc>
        <w:tc>
          <w:tcPr>
            <w:tcW w:w="1488" w:type="dxa"/>
          </w:tcPr>
          <w:p>
            <w:pPr>
              <w:pStyle w:val="TableParagraph"/>
              <w:spacing w:before="25"/>
              <w:ind w:left="311"/>
              <w:rPr>
                <w:sz w:val="16"/>
              </w:rPr>
            </w:pPr>
            <w:r>
              <w:rPr>
                <w:sz w:val="16"/>
              </w:rPr>
              <w:t>2, 917, 308</w:t>
            </w:r>
          </w:p>
        </w:tc>
      </w:tr>
      <w:tr>
        <w:trPr>
          <w:trHeight w:val="380" w:hRule="atLeast"/>
        </w:trPr>
        <w:tc>
          <w:tcPr>
            <w:tcW w:w="7594" w:type="dxa"/>
          </w:tcPr>
          <w:p>
            <w:pPr>
              <w:pStyle w:val="TableParagraph"/>
              <w:spacing w:before="25"/>
              <w:ind w:left="168"/>
              <w:rPr>
                <w:sz w:val="16"/>
              </w:rPr>
            </w:pPr>
            <w:r>
              <w:rPr>
                <w:sz w:val="16"/>
              </w:rPr>
              <w:t>Domestic Capital</w:t>
            </w:r>
          </w:p>
        </w:tc>
        <w:tc>
          <w:tcPr>
            <w:tcW w:w="1205" w:type="dxa"/>
            <w:tcBorders>
              <w:bottom w:val="single" w:sz="18" w:space="0" w:color="000000"/>
            </w:tcBorders>
          </w:tcPr>
          <w:p>
            <w:pPr>
              <w:pStyle w:val="TableParagraph"/>
              <w:spacing w:before="25"/>
              <w:ind w:right="332"/>
              <w:jc w:val="right"/>
              <w:rPr>
                <w:sz w:val="16"/>
              </w:rPr>
            </w:pPr>
            <w:r>
              <w:rPr>
                <w:sz w:val="16"/>
              </w:rPr>
              <w:t>674, 137</w:t>
            </w:r>
          </w:p>
        </w:tc>
        <w:tc>
          <w:tcPr>
            <w:tcW w:w="1508" w:type="dxa"/>
            <w:tcBorders>
              <w:bottom w:val="single" w:sz="18" w:space="0" w:color="000000"/>
            </w:tcBorders>
          </w:tcPr>
          <w:p>
            <w:pPr>
              <w:pStyle w:val="TableParagraph"/>
              <w:spacing w:before="25"/>
              <w:ind w:right="366"/>
              <w:jc w:val="right"/>
              <w:rPr>
                <w:sz w:val="16"/>
              </w:rPr>
            </w:pPr>
            <w:r>
              <w:rPr>
                <w:sz w:val="16"/>
              </w:rPr>
              <w:t>899, 006</w:t>
            </w:r>
          </w:p>
        </w:tc>
        <w:tc>
          <w:tcPr>
            <w:tcW w:w="1485" w:type="dxa"/>
            <w:tcBorders>
              <w:bottom w:val="single" w:sz="18" w:space="0" w:color="000000"/>
            </w:tcBorders>
          </w:tcPr>
          <w:p>
            <w:pPr>
              <w:pStyle w:val="TableParagraph"/>
              <w:spacing w:before="25"/>
              <w:ind w:right="324"/>
              <w:jc w:val="right"/>
              <w:rPr>
                <w:sz w:val="16"/>
              </w:rPr>
            </w:pPr>
            <w:r>
              <w:rPr>
                <w:sz w:val="16"/>
              </w:rPr>
              <w:t>1, 060, 031</w:t>
            </w:r>
          </w:p>
        </w:tc>
        <w:tc>
          <w:tcPr>
            <w:tcW w:w="1515" w:type="dxa"/>
            <w:tcBorders>
              <w:bottom w:val="single" w:sz="18" w:space="0" w:color="000000"/>
            </w:tcBorders>
          </w:tcPr>
          <w:p>
            <w:pPr>
              <w:pStyle w:val="TableParagraph"/>
              <w:spacing w:before="25"/>
              <w:ind w:right="294"/>
              <w:jc w:val="right"/>
              <w:rPr>
                <w:sz w:val="16"/>
              </w:rPr>
            </w:pPr>
            <w:r>
              <w:rPr>
                <w:sz w:val="16"/>
              </w:rPr>
              <w:t>1, 500 , 061</w:t>
            </w:r>
          </w:p>
        </w:tc>
        <w:tc>
          <w:tcPr>
            <w:tcW w:w="1488" w:type="dxa"/>
            <w:tcBorders>
              <w:bottom w:val="single" w:sz="18" w:space="0" w:color="000000"/>
            </w:tcBorders>
          </w:tcPr>
          <w:p>
            <w:pPr>
              <w:pStyle w:val="TableParagraph"/>
              <w:spacing w:before="25"/>
              <w:ind w:left="311"/>
              <w:rPr>
                <w:sz w:val="16"/>
              </w:rPr>
            </w:pPr>
            <w:r>
              <w:rPr>
                <w:sz w:val="16"/>
              </w:rPr>
              <w:t>1, 603, 500</w:t>
            </w:r>
          </w:p>
        </w:tc>
      </w:tr>
      <w:tr>
        <w:trPr>
          <w:trHeight w:val="350" w:hRule="atLeast"/>
        </w:trPr>
        <w:tc>
          <w:tcPr>
            <w:tcW w:w="7594" w:type="dxa"/>
          </w:tcPr>
          <w:p>
            <w:pPr>
              <w:pStyle w:val="TableParagraph"/>
              <w:spacing w:before="79"/>
              <w:ind w:left="168"/>
              <w:rPr>
                <w:b/>
                <w:sz w:val="16"/>
              </w:rPr>
            </w:pPr>
            <w:r>
              <w:rPr>
                <w:b/>
                <w:sz w:val="16"/>
              </w:rPr>
              <w:t>Total Government Discretionary Budget</w:t>
            </w:r>
          </w:p>
        </w:tc>
        <w:tc>
          <w:tcPr>
            <w:tcW w:w="1205" w:type="dxa"/>
            <w:tcBorders>
              <w:top w:val="single" w:sz="18" w:space="0" w:color="000000"/>
              <w:bottom w:val="single" w:sz="18" w:space="0" w:color="000000"/>
            </w:tcBorders>
          </w:tcPr>
          <w:p>
            <w:pPr>
              <w:pStyle w:val="TableParagraph"/>
              <w:spacing w:before="79"/>
              <w:ind w:right="371"/>
              <w:jc w:val="right"/>
              <w:rPr>
                <w:b/>
                <w:sz w:val="16"/>
              </w:rPr>
            </w:pPr>
            <w:r>
              <w:rPr>
                <w:b/>
                <w:w w:val="95"/>
                <w:sz w:val="16"/>
              </w:rPr>
              <w:t>4,876,779</w:t>
            </w:r>
          </w:p>
        </w:tc>
        <w:tc>
          <w:tcPr>
            <w:tcW w:w="1508" w:type="dxa"/>
            <w:tcBorders>
              <w:top w:val="single" w:sz="18" w:space="0" w:color="000000"/>
              <w:bottom w:val="single" w:sz="18" w:space="0" w:color="000000"/>
            </w:tcBorders>
          </w:tcPr>
          <w:p>
            <w:pPr>
              <w:pStyle w:val="TableParagraph"/>
              <w:spacing w:before="79"/>
              <w:ind w:left="303"/>
              <w:rPr>
                <w:b/>
                <w:sz w:val="16"/>
              </w:rPr>
            </w:pPr>
            <w:r>
              <w:rPr>
                <w:b/>
                <w:sz w:val="16"/>
              </w:rPr>
              <w:t>5,626,382</w:t>
            </w:r>
          </w:p>
        </w:tc>
        <w:tc>
          <w:tcPr>
            <w:tcW w:w="1485" w:type="dxa"/>
            <w:tcBorders>
              <w:top w:val="single" w:sz="18" w:space="0" w:color="000000"/>
              <w:bottom w:val="single" w:sz="18" w:space="0" w:color="000000"/>
            </w:tcBorders>
          </w:tcPr>
          <w:p>
            <w:pPr>
              <w:pStyle w:val="TableParagraph"/>
              <w:spacing w:before="79"/>
              <w:ind w:right="359"/>
              <w:jc w:val="right"/>
              <w:rPr>
                <w:b/>
                <w:sz w:val="16"/>
              </w:rPr>
            </w:pPr>
            <w:r>
              <w:rPr>
                <w:b/>
                <w:w w:val="95"/>
                <w:sz w:val="16"/>
              </w:rPr>
              <w:t>6,314,237</w:t>
            </w:r>
          </w:p>
        </w:tc>
        <w:tc>
          <w:tcPr>
            <w:tcW w:w="1515" w:type="dxa"/>
            <w:tcBorders>
              <w:top w:val="single" w:sz="18" w:space="0" w:color="000000"/>
              <w:bottom w:val="single" w:sz="18" w:space="0" w:color="000000"/>
            </w:tcBorders>
          </w:tcPr>
          <w:p>
            <w:pPr>
              <w:pStyle w:val="TableParagraph"/>
              <w:spacing w:before="79"/>
              <w:ind w:right="311"/>
              <w:jc w:val="right"/>
              <w:rPr>
                <w:b/>
                <w:sz w:val="16"/>
              </w:rPr>
            </w:pPr>
            <w:r>
              <w:rPr>
                <w:b/>
                <w:w w:val="95"/>
                <w:sz w:val="16"/>
              </w:rPr>
              <w:t>7,481,428</w:t>
            </w:r>
          </w:p>
        </w:tc>
        <w:tc>
          <w:tcPr>
            <w:tcW w:w="1488" w:type="dxa"/>
            <w:tcBorders>
              <w:top w:val="single" w:sz="18" w:space="0" w:color="000000"/>
              <w:bottom w:val="single" w:sz="18" w:space="0" w:color="000000"/>
            </w:tcBorders>
          </w:tcPr>
          <w:p>
            <w:pPr>
              <w:pStyle w:val="TableParagraph"/>
              <w:spacing w:before="79"/>
              <w:ind w:left="292"/>
              <w:rPr>
                <w:b/>
                <w:sz w:val="16"/>
              </w:rPr>
            </w:pPr>
            <w:r>
              <w:rPr>
                <w:b/>
                <w:sz w:val="16"/>
              </w:rPr>
              <w:t>8,151,748</w:t>
            </w:r>
          </w:p>
        </w:tc>
      </w:tr>
      <w:tr>
        <w:trPr>
          <w:trHeight w:val="378" w:hRule="atLeast"/>
        </w:trPr>
        <w:tc>
          <w:tcPr>
            <w:tcW w:w="7594" w:type="dxa"/>
          </w:tcPr>
          <w:p>
            <w:pPr>
              <w:pStyle w:val="TableParagraph"/>
              <w:spacing w:before="2"/>
              <w:rPr>
                <w:b/>
                <w:sz w:val="14"/>
              </w:rPr>
            </w:pPr>
          </w:p>
          <w:p>
            <w:pPr>
              <w:pStyle w:val="TableParagraph"/>
              <w:ind w:left="168"/>
              <w:rPr>
                <w:b/>
                <w:sz w:val="16"/>
              </w:rPr>
            </w:pPr>
            <w:r>
              <w:rPr>
                <w:b/>
                <w:sz w:val="16"/>
              </w:rPr>
              <w:t>Health Sector Programmes</w:t>
            </w:r>
          </w:p>
        </w:tc>
        <w:tc>
          <w:tcPr>
            <w:tcW w:w="1205" w:type="dxa"/>
            <w:tcBorders>
              <w:top w:val="single" w:sz="18" w:space="0" w:color="000000"/>
            </w:tcBorders>
          </w:tcPr>
          <w:p>
            <w:pPr>
              <w:pStyle w:val="TableParagraph"/>
              <w:rPr>
                <w:rFonts w:ascii="Times New Roman"/>
                <w:sz w:val="14"/>
              </w:rPr>
            </w:pPr>
          </w:p>
        </w:tc>
        <w:tc>
          <w:tcPr>
            <w:tcW w:w="1508" w:type="dxa"/>
            <w:tcBorders>
              <w:top w:val="single" w:sz="18" w:space="0" w:color="000000"/>
            </w:tcBorders>
          </w:tcPr>
          <w:p>
            <w:pPr>
              <w:pStyle w:val="TableParagraph"/>
              <w:rPr>
                <w:rFonts w:ascii="Times New Roman"/>
                <w:sz w:val="14"/>
              </w:rPr>
            </w:pPr>
          </w:p>
        </w:tc>
        <w:tc>
          <w:tcPr>
            <w:tcW w:w="1485" w:type="dxa"/>
            <w:tcBorders>
              <w:top w:val="single" w:sz="18" w:space="0" w:color="000000"/>
            </w:tcBorders>
          </w:tcPr>
          <w:p>
            <w:pPr>
              <w:pStyle w:val="TableParagraph"/>
              <w:rPr>
                <w:rFonts w:ascii="Times New Roman"/>
                <w:sz w:val="14"/>
              </w:rPr>
            </w:pPr>
          </w:p>
        </w:tc>
        <w:tc>
          <w:tcPr>
            <w:tcW w:w="1515" w:type="dxa"/>
            <w:tcBorders>
              <w:top w:val="single" w:sz="18" w:space="0" w:color="000000"/>
            </w:tcBorders>
          </w:tcPr>
          <w:p>
            <w:pPr>
              <w:pStyle w:val="TableParagraph"/>
              <w:rPr>
                <w:rFonts w:ascii="Times New Roman"/>
                <w:sz w:val="14"/>
              </w:rPr>
            </w:pPr>
          </w:p>
        </w:tc>
        <w:tc>
          <w:tcPr>
            <w:tcW w:w="1488" w:type="dxa"/>
            <w:tcBorders>
              <w:top w:val="single" w:sz="18" w:space="0" w:color="000000"/>
            </w:tcBorders>
          </w:tcPr>
          <w:p>
            <w:pPr>
              <w:pStyle w:val="TableParagraph"/>
              <w:rPr>
                <w:rFonts w:ascii="Times New Roman"/>
                <w:sz w:val="14"/>
              </w:rPr>
            </w:pPr>
          </w:p>
        </w:tc>
      </w:tr>
      <w:tr>
        <w:trPr>
          <w:trHeight w:val="240" w:hRule="atLeast"/>
        </w:trPr>
        <w:tc>
          <w:tcPr>
            <w:tcW w:w="7594" w:type="dxa"/>
          </w:tcPr>
          <w:p>
            <w:pPr>
              <w:pStyle w:val="TableParagraph"/>
              <w:spacing w:before="25"/>
              <w:ind w:left="336"/>
              <w:rPr>
                <w:sz w:val="16"/>
              </w:rPr>
            </w:pPr>
            <w:r>
              <w:rPr>
                <w:sz w:val="16"/>
              </w:rPr>
              <w:t>Salaries for Health Workers</w:t>
            </w:r>
          </w:p>
        </w:tc>
        <w:tc>
          <w:tcPr>
            <w:tcW w:w="1205" w:type="dxa"/>
          </w:tcPr>
          <w:p>
            <w:pPr>
              <w:pStyle w:val="TableParagraph"/>
              <w:spacing w:before="25"/>
              <w:ind w:right="332"/>
              <w:jc w:val="right"/>
              <w:rPr>
                <w:sz w:val="16"/>
              </w:rPr>
            </w:pPr>
            <w:r>
              <w:rPr>
                <w:sz w:val="16"/>
              </w:rPr>
              <w:t>165 , 733</w:t>
            </w:r>
          </w:p>
        </w:tc>
        <w:tc>
          <w:tcPr>
            <w:tcW w:w="1508" w:type="dxa"/>
          </w:tcPr>
          <w:p>
            <w:pPr>
              <w:pStyle w:val="TableParagraph"/>
              <w:spacing w:before="25"/>
              <w:ind w:right="366"/>
              <w:jc w:val="right"/>
              <w:rPr>
                <w:sz w:val="16"/>
              </w:rPr>
            </w:pPr>
            <w:r>
              <w:rPr>
                <w:sz w:val="16"/>
              </w:rPr>
              <w:t>290, 999</w:t>
            </w:r>
          </w:p>
        </w:tc>
        <w:tc>
          <w:tcPr>
            <w:tcW w:w="1485" w:type="dxa"/>
          </w:tcPr>
          <w:p>
            <w:pPr>
              <w:pStyle w:val="TableParagraph"/>
              <w:spacing w:before="25"/>
              <w:ind w:right="320"/>
              <w:jc w:val="right"/>
              <w:rPr>
                <w:sz w:val="16"/>
              </w:rPr>
            </w:pPr>
            <w:r>
              <w:rPr>
                <w:sz w:val="16"/>
              </w:rPr>
              <w:t>345, 052</w:t>
            </w:r>
          </w:p>
        </w:tc>
        <w:tc>
          <w:tcPr>
            <w:tcW w:w="1515" w:type="dxa"/>
          </w:tcPr>
          <w:p>
            <w:pPr>
              <w:pStyle w:val="TableParagraph"/>
              <w:spacing w:before="25"/>
              <w:ind w:left="429"/>
              <w:rPr>
                <w:sz w:val="16"/>
              </w:rPr>
            </w:pPr>
            <w:r>
              <w:rPr>
                <w:sz w:val="16"/>
              </w:rPr>
              <w:t>374 , 862</w:t>
            </w:r>
          </w:p>
        </w:tc>
        <w:tc>
          <w:tcPr>
            <w:tcW w:w="1488" w:type="dxa"/>
          </w:tcPr>
          <w:p>
            <w:pPr>
              <w:pStyle w:val="TableParagraph"/>
              <w:spacing w:before="25"/>
              <w:ind w:right="376"/>
              <w:jc w:val="right"/>
              <w:rPr>
                <w:sz w:val="16"/>
              </w:rPr>
            </w:pPr>
            <w:r>
              <w:rPr>
                <w:sz w:val="16"/>
              </w:rPr>
              <w:t>374, 862</w:t>
            </w:r>
          </w:p>
        </w:tc>
      </w:tr>
      <w:tr>
        <w:trPr>
          <w:trHeight w:val="240" w:hRule="atLeast"/>
        </w:trPr>
        <w:tc>
          <w:tcPr>
            <w:tcW w:w="7594" w:type="dxa"/>
          </w:tcPr>
          <w:p>
            <w:pPr>
              <w:pStyle w:val="TableParagraph"/>
              <w:spacing w:before="25"/>
              <w:ind w:left="336"/>
              <w:rPr>
                <w:sz w:val="16"/>
              </w:rPr>
            </w:pPr>
            <w:r>
              <w:rPr>
                <w:sz w:val="16"/>
              </w:rPr>
              <w:t>Salaries for National Medical Supplies Agency</w:t>
            </w:r>
          </w:p>
        </w:tc>
        <w:tc>
          <w:tcPr>
            <w:tcW w:w="1205" w:type="dxa"/>
          </w:tcPr>
          <w:p>
            <w:pPr>
              <w:pStyle w:val="TableParagraph"/>
              <w:spacing w:before="25"/>
              <w:ind w:right="304"/>
              <w:jc w:val="right"/>
              <w:rPr>
                <w:sz w:val="16"/>
              </w:rPr>
            </w:pPr>
            <w:r>
              <w:rPr>
                <w:w w:val="99"/>
                <w:sz w:val="16"/>
              </w:rPr>
              <w:t>-</w:t>
            </w:r>
          </w:p>
        </w:tc>
        <w:tc>
          <w:tcPr>
            <w:tcW w:w="1508" w:type="dxa"/>
          </w:tcPr>
          <w:p>
            <w:pPr>
              <w:pStyle w:val="TableParagraph"/>
              <w:spacing w:before="25"/>
              <w:ind w:right="351"/>
              <w:jc w:val="right"/>
              <w:rPr>
                <w:sz w:val="16"/>
              </w:rPr>
            </w:pPr>
            <w:r>
              <w:rPr>
                <w:sz w:val="16"/>
              </w:rPr>
              <w:t>1, 858</w:t>
            </w:r>
          </w:p>
        </w:tc>
        <w:tc>
          <w:tcPr>
            <w:tcW w:w="1485" w:type="dxa"/>
          </w:tcPr>
          <w:p>
            <w:pPr>
              <w:pStyle w:val="TableParagraph"/>
              <w:spacing w:before="25"/>
              <w:ind w:right="305"/>
              <w:jc w:val="right"/>
              <w:rPr>
                <w:sz w:val="16"/>
              </w:rPr>
            </w:pPr>
            <w:r>
              <w:rPr>
                <w:sz w:val="16"/>
              </w:rPr>
              <w:t>4, 233</w:t>
            </w:r>
          </w:p>
        </w:tc>
        <w:tc>
          <w:tcPr>
            <w:tcW w:w="1515" w:type="dxa"/>
          </w:tcPr>
          <w:p>
            <w:pPr>
              <w:pStyle w:val="TableParagraph"/>
              <w:spacing w:before="25"/>
              <w:ind w:left="650"/>
              <w:rPr>
                <w:sz w:val="16"/>
              </w:rPr>
            </w:pPr>
            <w:r>
              <w:rPr>
                <w:sz w:val="16"/>
              </w:rPr>
              <w:t>4, 444</w:t>
            </w:r>
          </w:p>
        </w:tc>
        <w:tc>
          <w:tcPr>
            <w:tcW w:w="1488" w:type="dxa"/>
          </w:tcPr>
          <w:p>
            <w:pPr>
              <w:pStyle w:val="TableParagraph"/>
              <w:spacing w:before="25"/>
              <w:ind w:right="361"/>
              <w:jc w:val="right"/>
              <w:rPr>
                <w:sz w:val="16"/>
              </w:rPr>
            </w:pPr>
            <w:r>
              <w:rPr>
                <w:sz w:val="16"/>
              </w:rPr>
              <w:t>4, 667</w:t>
            </w:r>
          </w:p>
        </w:tc>
      </w:tr>
      <w:tr>
        <w:trPr>
          <w:trHeight w:val="240" w:hRule="atLeast"/>
        </w:trPr>
        <w:tc>
          <w:tcPr>
            <w:tcW w:w="7594" w:type="dxa"/>
          </w:tcPr>
          <w:p>
            <w:pPr>
              <w:pStyle w:val="TableParagraph"/>
              <w:spacing w:before="25"/>
              <w:ind w:left="336"/>
              <w:rPr>
                <w:sz w:val="16"/>
              </w:rPr>
            </w:pPr>
            <w:r>
              <w:rPr>
                <w:sz w:val="16"/>
              </w:rPr>
              <w:t>Salaries for Health Service Commission</w:t>
            </w:r>
          </w:p>
        </w:tc>
        <w:tc>
          <w:tcPr>
            <w:tcW w:w="1205" w:type="dxa"/>
          </w:tcPr>
          <w:p>
            <w:pPr>
              <w:pStyle w:val="TableParagraph"/>
              <w:spacing w:before="25"/>
              <w:ind w:right="313"/>
              <w:jc w:val="right"/>
              <w:rPr>
                <w:sz w:val="16"/>
              </w:rPr>
            </w:pPr>
            <w:r>
              <w:rPr>
                <w:w w:val="95"/>
                <w:sz w:val="16"/>
              </w:rPr>
              <w:t>413</w:t>
            </w:r>
          </w:p>
        </w:tc>
        <w:tc>
          <w:tcPr>
            <w:tcW w:w="1508" w:type="dxa"/>
          </w:tcPr>
          <w:p>
            <w:pPr>
              <w:pStyle w:val="TableParagraph"/>
              <w:spacing w:before="25"/>
              <w:ind w:right="347"/>
              <w:jc w:val="right"/>
              <w:rPr>
                <w:sz w:val="16"/>
              </w:rPr>
            </w:pPr>
            <w:r>
              <w:rPr>
                <w:w w:val="95"/>
                <w:sz w:val="16"/>
              </w:rPr>
              <w:t>900</w:t>
            </w:r>
          </w:p>
        </w:tc>
        <w:tc>
          <w:tcPr>
            <w:tcW w:w="1485" w:type="dxa"/>
          </w:tcPr>
          <w:p>
            <w:pPr>
              <w:pStyle w:val="TableParagraph"/>
              <w:spacing w:before="25"/>
              <w:ind w:right="305"/>
              <w:jc w:val="right"/>
              <w:rPr>
                <w:sz w:val="16"/>
              </w:rPr>
            </w:pPr>
            <w:r>
              <w:rPr>
                <w:sz w:val="16"/>
              </w:rPr>
              <w:t>2, 000</w:t>
            </w:r>
          </w:p>
        </w:tc>
        <w:tc>
          <w:tcPr>
            <w:tcW w:w="1515" w:type="dxa"/>
          </w:tcPr>
          <w:p>
            <w:pPr>
              <w:pStyle w:val="TableParagraph"/>
              <w:spacing w:before="25"/>
              <w:ind w:left="650"/>
              <w:rPr>
                <w:sz w:val="16"/>
              </w:rPr>
            </w:pPr>
            <w:r>
              <w:rPr>
                <w:sz w:val="16"/>
              </w:rPr>
              <w:t>2, 100</w:t>
            </w:r>
          </w:p>
        </w:tc>
        <w:tc>
          <w:tcPr>
            <w:tcW w:w="1488" w:type="dxa"/>
          </w:tcPr>
          <w:p>
            <w:pPr>
              <w:pStyle w:val="TableParagraph"/>
              <w:spacing w:before="25"/>
              <w:ind w:right="361"/>
              <w:jc w:val="right"/>
              <w:rPr>
                <w:sz w:val="16"/>
              </w:rPr>
            </w:pPr>
            <w:r>
              <w:rPr>
                <w:sz w:val="16"/>
              </w:rPr>
              <w:t>2, 205</w:t>
            </w:r>
          </w:p>
        </w:tc>
      </w:tr>
      <w:tr>
        <w:trPr>
          <w:trHeight w:val="240" w:hRule="atLeast"/>
        </w:trPr>
        <w:tc>
          <w:tcPr>
            <w:tcW w:w="7594" w:type="dxa"/>
          </w:tcPr>
          <w:p>
            <w:pPr>
              <w:pStyle w:val="TableParagraph"/>
              <w:spacing w:before="25"/>
              <w:ind w:left="336"/>
              <w:rPr>
                <w:sz w:val="16"/>
              </w:rPr>
            </w:pPr>
            <w:r>
              <w:rPr>
                <w:sz w:val="16"/>
              </w:rPr>
              <w:t>Salaries for National HIV &amp; AIDS Commission</w:t>
            </w:r>
          </w:p>
        </w:tc>
        <w:tc>
          <w:tcPr>
            <w:tcW w:w="1205" w:type="dxa"/>
          </w:tcPr>
          <w:p>
            <w:pPr>
              <w:pStyle w:val="TableParagraph"/>
              <w:spacing w:before="25"/>
              <w:ind w:right="317"/>
              <w:jc w:val="right"/>
              <w:rPr>
                <w:sz w:val="16"/>
              </w:rPr>
            </w:pPr>
            <w:r>
              <w:rPr>
                <w:sz w:val="16"/>
              </w:rPr>
              <w:t>1, 973</w:t>
            </w:r>
          </w:p>
        </w:tc>
        <w:tc>
          <w:tcPr>
            <w:tcW w:w="1508" w:type="dxa"/>
          </w:tcPr>
          <w:p>
            <w:pPr>
              <w:pStyle w:val="TableParagraph"/>
              <w:spacing w:before="25"/>
              <w:ind w:right="351"/>
              <w:jc w:val="right"/>
              <w:rPr>
                <w:sz w:val="16"/>
              </w:rPr>
            </w:pPr>
            <w:r>
              <w:rPr>
                <w:sz w:val="16"/>
              </w:rPr>
              <w:t>2, 479</w:t>
            </w:r>
          </w:p>
        </w:tc>
        <w:tc>
          <w:tcPr>
            <w:tcW w:w="1485" w:type="dxa"/>
          </w:tcPr>
          <w:p>
            <w:pPr>
              <w:pStyle w:val="TableParagraph"/>
              <w:spacing w:before="25"/>
              <w:ind w:right="305"/>
              <w:jc w:val="right"/>
              <w:rPr>
                <w:sz w:val="16"/>
              </w:rPr>
            </w:pPr>
            <w:r>
              <w:rPr>
                <w:sz w:val="16"/>
              </w:rPr>
              <w:t>6, 500</w:t>
            </w:r>
          </w:p>
        </w:tc>
        <w:tc>
          <w:tcPr>
            <w:tcW w:w="1515" w:type="dxa"/>
          </w:tcPr>
          <w:p>
            <w:pPr>
              <w:pStyle w:val="TableParagraph"/>
              <w:spacing w:before="25"/>
              <w:ind w:left="650"/>
              <w:rPr>
                <w:sz w:val="16"/>
              </w:rPr>
            </w:pPr>
            <w:r>
              <w:rPr>
                <w:sz w:val="16"/>
              </w:rPr>
              <w:t>6, 825</w:t>
            </w:r>
          </w:p>
        </w:tc>
        <w:tc>
          <w:tcPr>
            <w:tcW w:w="1488" w:type="dxa"/>
          </w:tcPr>
          <w:p>
            <w:pPr>
              <w:pStyle w:val="TableParagraph"/>
              <w:spacing w:before="25"/>
              <w:ind w:right="361"/>
              <w:jc w:val="right"/>
              <w:rPr>
                <w:sz w:val="16"/>
              </w:rPr>
            </w:pPr>
            <w:r>
              <w:rPr>
                <w:sz w:val="16"/>
              </w:rPr>
              <w:t>7, 166</w:t>
            </w:r>
          </w:p>
        </w:tc>
      </w:tr>
      <w:tr>
        <w:trPr>
          <w:trHeight w:val="240" w:hRule="atLeast"/>
        </w:trPr>
        <w:tc>
          <w:tcPr>
            <w:tcW w:w="7594" w:type="dxa"/>
          </w:tcPr>
          <w:p>
            <w:pPr>
              <w:pStyle w:val="TableParagraph"/>
              <w:spacing w:before="25"/>
              <w:ind w:left="336"/>
              <w:rPr>
                <w:sz w:val="16"/>
              </w:rPr>
            </w:pPr>
            <w:r>
              <w:rPr>
                <w:sz w:val="16"/>
              </w:rPr>
              <w:t>Salar ies for Teaching Hospitals Complex Administration</w:t>
            </w:r>
          </w:p>
        </w:tc>
        <w:tc>
          <w:tcPr>
            <w:tcW w:w="1205" w:type="dxa"/>
          </w:tcPr>
          <w:p>
            <w:pPr>
              <w:pStyle w:val="TableParagraph"/>
              <w:spacing w:before="25"/>
              <w:ind w:right="304"/>
              <w:jc w:val="right"/>
              <w:rPr>
                <w:sz w:val="16"/>
              </w:rPr>
            </w:pPr>
            <w:r>
              <w:rPr>
                <w:w w:val="99"/>
                <w:sz w:val="16"/>
              </w:rPr>
              <w:t>-</w:t>
            </w:r>
          </w:p>
        </w:tc>
        <w:tc>
          <w:tcPr>
            <w:tcW w:w="1508" w:type="dxa"/>
          </w:tcPr>
          <w:p>
            <w:pPr>
              <w:pStyle w:val="TableParagraph"/>
              <w:spacing w:before="25"/>
              <w:ind w:right="339"/>
              <w:jc w:val="right"/>
              <w:rPr>
                <w:sz w:val="16"/>
              </w:rPr>
            </w:pPr>
            <w:r>
              <w:rPr>
                <w:w w:val="99"/>
                <w:sz w:val="16"/>
              </w:rPr>
              <w:t>-</w:t>
            </w:r>
          </w:p>
        </w:tc>
        <w:tc>
          <w:tcPr>
            <w:tcW w:w="1485" w:type="dxa"/>
          </w:tcPr>
          <w:p>
            <w:pPr>
              <w:pStyle w:val="TableParagraph"/>
              <w:spacing w:before="25"/>
              <w:ind w:right="305"/>
              <w:jc w:val="right"/>
              <w:rPr>
                <w:sz w:val="16"/>
              </w:rPr>
            </w:pPr>
            <w:r>
              <w:rPr>
                <w:sz w:val="16"/>
              </w:rPr>
              <w:t>1, 000</w:t>
            </w:r>
          </w:p>
        </w:tc>
        <w:tc>
          <w:tcPr>
            <w:tcW w:w="1515" w:type="dxa"/>
          </w:tcPr>
          <w:p>
            <w:pPr>
              <w:pStyle w:val="TableParagraph"/>
              <w:spacing w:before="25"/>
              <w:ind w:left="650"/>
              <w:rPr>
                <w:sz w:val="16"/>
              </w:rPr>
            </w:pPr>
            <w:r>
              <w:rPr>
                <w:sz w:val="16"/>
              </w:rPr>
              <w:t>1, 200</w:t>
            </w:r>
          </w:p>
        </w:tc>
        <w:tc>
          <w:tcPr>
            <w:tcW w:w="1488" w:type="dxa"/>
          </w:tcPr>
          <w:p>
            <w:pPr>
              <w:pStyle w:val="TableParagraph"/>
              <w:spacing w:before="25"/>
              <w:ind w:right="361"/>
              <w:jc w:val="right"/>
              <w:rPr>
                <w:sz w:val="16"/>
              </w:rPr>
            </w:pPr>
            <w:r>
              <w:rPr>
                <w:sz w:val="16"/>
              </w:rPr>
              <w:t>1, 260</w:t>
            </w:r>
          </w:p>
        </w:tc>
      </w:tr>
      <w:tr>
        <w:trPr>
          <w:trHeight w:val="240" w:hRule="atLeast"/>
        </w:trPr>
        <w:tc>
          <w:tcPr>
            <w:tcW w:w="7594" w:type="dxa"/>
          </w:tcPr>
          <w:p>
            <w:pPr>
              <w:pStyle w:val="TableParagraph"/>
              <w:spacing w:before="25"/>
              <w:ind w:left="336"/>
              <w:rPr>
                <w:sz w:val="16"/>
              </w:rPr>
            </w:pPr>
            <w:r>
              <w:rPr>
                <w:sz w:val="16"/>
              </w:rPr>
              <w:t>Salaries for Pharmacy Board Services</w:t>
            </w:r>
          </w:p>
        </w:tc>
        <w:tc>
          <w:tcPr>
            <w:tcW w:w="1205" w:type="dxa"/>
          </w:tcPr>
          <w:p>
            <w:pPr>
              <w:pStyle w:val="TableParagraph"/>
              <w:spacing w:before="25"/>
              <w:ind w:right="322"/>
              <w:jc w:val="right"/>
              <w:rPr>
                <w:sz w:val="16"/>
              </w:rPr>
            </w:pPr>
            <w:r>
              <w:rPr>
                <w:sz w:val="16"/>
              </w:rPr>
              <w:t>1, 926</w:t>
            </w:r>
          </w:p>
        </w:tc>
        <w:tc>
          <w:tcPr>
            <w:tcW w:w="1508" w:type="dxa"/>
          </w:tcPr>
          <w:p>
            <w:pPr>
              <w:pStyle w:val="TableParagraph"/>
              <w:spacing w:before="25"/>
              <w:ind w:right="351"/>
              <w:jc w:val="right"/>
              <w:rPr>
                <w:sz w:val="16"/>
              </w:rPr>
            </w:pPr>
            <w:r>
              <w:rPr>
                <w:sz w:val="16"/>
              </w:rPr>
              <w:t>2, 479</w:t>
            </w:r>
          </w:p>
        </w:tc>
        <w:tc>
          <w:tcPr>
            <w:tcW w:w="1485" w:type="dxa"/>
          </w:tcPr>
          <w:p>
            <w:pPr>
              <w:pStyle w:val="TableParagraph"/>
              <w:spacing w:before="25"/>
              <w:ind w:right="305"/>
              <w:jc w:val="right"/>
              <w:rPr>
                <w:sz w:val="16"/>
              </w:rPr>
            </w:pPr>
            <w:r>
              <w:rPr>
                <w:sz w:val="16"/>
              </w:rPr>
              <w:t>2, 000</w:t>
            </w:r>
          </w:p>
        </w:tc>
        <w:tc>
          <w:tcPr>
            <w:tcW w:w="1515" w:type="dxa"/>
          </w:tcPr>
          <w:p>
            <w:pPr>
              <w:pStyle w:val="TableParagraph"/>
              <w:spacing w:before="25"/>
              <w:ind w:left="650"/>
              <w:rPr>
                <w:sz w:val="16"/>
              </w:rPr>
            </w:pPr>
            <w:r>
              <w:rPr>
                <w:sz w:val="16"/>
              </w:rPr>
              <w:t>2, 400</w:t>
            </w:r>
          </w:p>
        </w:tc>
        <w:tc>
          <w:tcPr>
            <w:tcW w:w="1488" w:type="dxa"/>
          </w:tcPr>
          <w:p>
            <w:pPr>
              <w:pStyle w:val="TableParagraph"/>
              <w:spacing w:before="25"/>
              <w:ind w:right="361"/>
              <w:jc w:val="right"/>
              <w:rPr>
                <w:sz w:val="16"/>
              </w:rPr>
            </w:pPr>
            <w:r>
              <w:rPr>
                <w:sz w:val="16"/>
              </w:rPr>
              <w:t>2, 520</w:t>
            </w:r>
          </w:p>
        </w:tc>
      </w:tr>
      <w:tr>
        <w:trPr>
          <w:trHeight w:val="240" w:hRule="atLeast"/>
        </w:trPr>
        <w:tc>
          <w:tcPr>
            <w:tcW w:w="7594" w:type="dxa"/>
          </w:tcPr>
          <w:p>
            <w:pPr>
              <w:pStyle w:val="TableParagraph"/>
              <w:spacing w:before="25"/>
              <w:ind w:left="336"/>
              <w:rPr>
                <w:sz w:val="16"/>
              </w:rPr>
            </w:pPr>
            <w:r>
              <w:rPr>
                <w:sz w:val="16"/>
              </w:rPr>
              <w:t>Grants for Devolved Health Services to Local Councils</w:t>
            </w:r>
          </w:p>
        </w:tc>
        <w:tc>
          <w:tcPr>
            <w:tcW w:w="1205" w:type="dxa"/>
          </w:tcPr>
          <w:p>
            <w:pPr>
              <w:pStyle w:val="TableParagraph"/>
              <w:spacing w:before="25"/>
              <w:ind w:right="327"/>
              <w:jc w:val="right"/>
              <w:rPr>
                <w:sz w:val="16"/>
              </w:rPr>
            </w:pPr>
            <w:r>
              <w:rPr>
                <w:sz w:val="16"/>
              </w:rPr>
              <w:t>21 , 478</w:t>
            </w:r>
          </w:p>
        </w:tc>
        <w:tc>
          <w:tcPr>
            <w:tcW w:w="1508" w:type="dxa"/>
          </w:tcPr>
          <w:p>
            <w:pPr>
              <w:pStyle w:val="TableParagraph"/>
              <w:spacing w:before="25"/>
              <w:ind w:right="339"/>
              <w:jc w:val="right"/>
              <w:rPr>
                <w:sz w:val="16"/>
              </w:rPr>
            </w:pPr>
            <w:r>
              <w:rPr>
                <w:w w:val="99"/>
                <w:sz w:val="16"/>
              </w:rPr>
              <w:t>-</w:t>
            </w:r>
          </w:p>
        </w:tc>
        <w:tc>
          <w:tcPr>
            <w:tcW w:w="1485" w:type="dxa"/>
          </w:tcPr>
          <w:p>
            <w:pPr>
              <w:pStyle w:val="TableParagraph"/>
              <w:spacing w:before="25"/>
              <w:ind w:right="320"/>
              <w:jc w:val="right"/>
              <w:rPr>
                <w:sz w:val="16"/>
              </w:rPr>
            </w:pPr>
            <w:r>
              <w:rPr>
                <w:sz w:val="16"/>
              </w:rPr>
              <w:t>102, 300</w:t>
            </w:r>
          </w:p>
        </w:tc>
        <w:tc>
          <w:tcPr>
            <w:tcW w:w="1515" w:type="dxa"/>
          </w:tcPr>
          <w:p>
            <w:pPr>
              <w:pStyle w:val="TableParagraph"/>
              <w:spacing w:before="25"/>
              <w:ind w:left="530"/>
              <w:rPr>
                <w:sz w:val="16"/>
              </w:rPr>
            </w:pPr>
            <w:r>
              <w:rPr>
                <w:sz w:val="16"/>
              </w:rPr>
              <w:t>85 , 364</w:t>
            </w:r>
          </w:p>
        </w:tc>
        <w:tc>
          <w:tcPr>
            <w:tcW w:w="1488" w:type="dxa"/>
          </w:tcPr>
          <w:p>
            <w:pPr>
              <w:pStyle w:val="TableParagraph"/>
              <w:spacing w:before="25"/>
              <w:ind w:right="376"/>
              <w:jc w:val="right"/>
              <w:rPr>
                <w:sz w:val="16"/>
              </w:rPr>
            </w:pPr>
            <w:r>
              <w:rPr>
                <w:sz w:val="16"/>
              </w:rPr>
              <w:t>103, 203</w:t>
            </w:r>
          </w:p>
        </w:tc>
      </w:tr>
      <w:tr>
        <w:trPr>
          <w:trHeight w:val="240" w:hRule="atLeast"/>
        </w:trPr>
        <w:tc>
          <w:tcPr>
            <w:tcW w:w="7594" w:type="dxa"/>
          </w:tcPr>
          <w:p>
            <w:pPr>
              <w:pStyle w:val="TableParagraph"/>
              <w:spacing w:before="25"/>
              <w:ind w:left="336"/>
              <w:rPr>
                <w:sz w:val="16"/>
              </w:rPr>
            </w:pPr>
            <w:r>
              <w:rPr>
                <w:sz w:val="16"/>
              </w:rPr>
              <w:t>Recurrent Expenditure for Health</w:t>
            </w:r>
          </w:p>
        </w:tc>
        <w:tc>
          <w:tcPr>
            <w:tcW w:w="1205" w:type="dxa"/>
          </w:tcPr>
          <w:p>
            <w:pPr>
              <w:pStyle w:val="TableParagraph"/>
              <w:spacing w:before="25"/>
              <w:ind w:right="332"/>
              <w:jc w:val="right"/>
              <w:rPr>
                <w:sz w:val="16"/>
              </w:rPr>
            </w:pPr>
            <w:r>
              <w:rPr>
                <w:sz w:val="16"/>
              </w:rPr>
              <w:t>108 , 544</w:t>
            </w:r>
          </w:p>
        </w:tc>
        <w:tc>
          <w:tcPr>
            <w:tcW w:w="1508" w:type="dxa"/>
          </w:tcPr>
          <w:p>
            <w:pPr>
              <w:pStyle w:val="TableParagraph"/>
              <w:spacing w:before="25"/>
              <w:ind w:right="356"/>
              <w:jc w:val="right"/>
              <w:rPr>
                <w:sz w:val="16"/>
              </w:rPr>
            </w:pPr>
            <w:r>
              <w:rPr>
                <w:sz w:val="16"/>
              </w:rPr>
              <w:t>98, 512</w:t>
            </w:r>
          </w:p>
        </w:tc>
        <w:tc>
          <w:tcPr>
            <w:tcW w:w="1485" w:type="dxa"/>
          </w:tcPr>
          <w:p>
            <w:pPr>
              <w:pStyle w:val="TableParagraph"/>
              <w:spacing w:before="25"/>
              <w:ind w:right="310"/>
              <w:jc w:val="right"/>
              <w:rPr>
                <w:sz w:val="16"/>
              </w:rPr>
            </w:pPr>
            <w:r>
              <w:rPr>
                <w:sz w:val="16"/>
              </w:rPr>
              <w:t>65, 634</w:t>
            </w:r>
          </w:p>
        </w:tc>
        <w:tc>
          <w:tcPr>
            <w:tcW w:w="1515" w:type="dxa"/>
          </w:tcPr>
          <w:p>
            <w:pPr>
              <w:pStyle w:val="TableParagraph"/>
              <w:spacing w:before="25"/>
              <w:ind w:left="530"/>
              <w:rPr>
                <w:sz w:val="16"/>
              </w:rPr>
            </w:pPr>
            <w:r>
              <w:rPr>
                <w:sz w:val="16"/>
              </w:rPr>
              <w:t>63 , 114</w:t>
            </w:r>
          </w:p>
        </w:tc>
        <w:tc>
          <w:tcPr>
            <w:tcW w:w="1488" w:type="dxa"/>
          </w:tcPr>
          <w:p>
            <w:pPr>
              <w:pStyle w:val="TableParagraph"/>
              <w:spacing w:before="25"/>
              <w:ind w:right="366"/>
              <w:jc w:val="right"/>
              <w:rPr>
                <w:sz w:val="16"/>
              </w:rPr>
            </w:pPr>
            <w:r>
              <w:rPr>
                <w:sz w:val="16"/>
              </w:rPr>
              <w:t>66, 894</w:t>
            </w:r>
          </w:p>
        </w:tc>
      </w:tr>
      <w:tr>
        <w:trPr>
          <w:trHeight w:val="240" w:hRule="atLeast"/>
        </w:trPr>
        <w:tc>
          <w:tcPr>
            <w:tcW w:w="7594" w:type="dxa"/>
          </w:tcPr>
          <w:p>
            <w:pPr>
              <w:pStyle w:val="TableParagraph"/>
              <w:spacing w:before="25"/>
              <w:ind w:left="336"/>
              <w:rPr>
                <w:sz w:val="16"/>
              </w:rPr>
            </w:pPr>
            <w:r>
              <w:rPr>
                <w:sz w:val="16"/>
              </w:rPr>
              <w:t>Recurrent Expenditure for Teaching Hospitals Complex</w:t>
            </w:r>
          </w:p>
        </w:tc>
        <w:tc>
          <w:tcPr>
            <w:tcW w:w="1205" w:type="dxa"/>
          </w:tcPr>
          <w:p>
            <w:pPr>
              <w:pStyle w:val="TableParagraph"/>
              <w:spacing w:before="25"/>
              <w:ind w:right="304"/>
              <w:jc w:val="right"/>
              <w:rPr>
                <w:sz w:val="16"/>
              </w:rPr>
            </w:pPr>
            <w:r>
              <w:rPr>
                <w:w w:val="99"/>
                <w:sz w:val="16"/>
              </w:rPr>
              <w:t>-</w:t>
            </w:r>
          </w:p>
        </w:tc>
        <w:tc>
          <w:tcPr>
            <w:tcW w:w="1508" w:type="dxa"/>
          </w:tcPr>
          <w:p>
            <w:pPr>
              <w:pStyle w:val="TableParagraph"/>
              <w:spacing w:before="25"/>
              <w:ind w:right="347"/>
              <w:jc w:val="right"/>
              <w:rPr>
                <w:sz w:val="16"/>
              </w:rPr>
            </w:pPr>
            <w:r>
              <w:rPr>
                <w:w w:val="99"/>
                <w:sz w:val="16"/>
              </w:rPr>
              <w:t>0</w:t>
            </w:r>
          </w:p>
        </w:tc>
        <w:tc>
          <w:tcPr>
            <w:tcW w:w="1485" w:type="dxa"/>
          </w:tcPr>
          <w:p>
            <w:pPr>
              <w:pStyle w:val="TableParagraph"/>
              <w:spacing w:before="25"/>
              <w:ind w:right="305"/>
              <w:jc w:val="right"/>
              <w:rPr>
                <w:sz w:val="16"/>
              </w:rPr>
            </w:pPr>
            <w:r>
              <w:rPr>
                <w:sz w:val="16"/>
              </w:rPr>
              <w:t>2, 112</w:t>
            </w:r>
          </w:p>
        </w:tc>
        <w:tc>
          <w:tcPr>
            <w:tcW w:w="1515" w:type="dxa"/>
          </w:tcPr>
          <w:p>
            <w:pPr>
              <w:pStyle w:val="TableParagraph"/>
              <w:spacing w:before="25"/>
              <w:ind w:left="650"/>
              <w:rPr>
                <w:sz w:val="16"/>
              </w:rPr>
            </w:pPr>
            <w:r>
              <w:rPr>
                <w:sz w:val="16"/>
              </w:rPr>
              <w:t>7, 031</w:t>
            </w:r>
          </w:p>
        </w:tc>
        <w:tc>
          <w:tcPr>
            <w:tcW w:w="1488" w:type="dxa"/>
          </w:tcPr>
          <w:p>
            <w:pPr>
              <w:pStyle w:val="TableParagraph"/>
              <w:spacing w:before="25"/>
              <w:ind w:right="361"/>
              <w:jc w:val="right"/>
              <w:rPr>
                <w:sz w:val="16"/>
              </w:rPr>
            </w:pPr>
            <w:r>
              <w:rPr>
                <w:sz w:val="16"/>
              </w:rPr>
              <w:t>7, 452</w:t>
            </w:r>
          </w:p>
        </w:tc>
      </w:tr>
      <w:tr>
        <w:trPr>
          <w:trHeight w:val="240" w:hRule="atLeast"/>
        </w:trPr>
        <w:tc>
          <w:tcPr>
            <w:tcW w:w="7594" w:type="dxa"/>
          </w:tcPr>
          <w:p>
            <w:pPr>
              <w:pStyle w:val="TableParagraph"/>
              <w:spacing w:before="25"/>
              <w:ind w:left="336"/>
              <w:rPr>
                <w:sz w:val="16"/>
              </w:rPr>
            </w:pPr>
            <w:r>
              <w:rPr>
                <w:sz w:val="16"/>
              </w:rPr>
              <w:t>Domestic Capital budget allocation to Health</w:t>
            </w:r>
          </w:p>
        </w:tc>
        <w:tc>
          <w:tcPr>
            <w:tcW w:w="1205" w:type="dxa"/>
          </w:tcPr>
          <w:p>
            <w:pPr>
              <w:pStyle w:val="TableParagraph"/>
              <w:spacing w:before="25"/>
              <w:ind w:right="303"/>
              <w:jc w:val="right"/>
              <w:rPr>
                <w:sz w:val="16"/>
              </w:rPr>
            </w:pPr>
            <w:r>
              <w:rPr>
                <w:w w:val="99"/>
                <w:sz w:val="16"/>
              </w:rPr>
              <w:t>5</w:t>
            </w:r>
          </w:p>
        </w:tc>
        <w:tc>
          <w:tcPr>
            <w:tcW w:w="1508" w:type="dxa"/>
          </w:tcPr>
          <w:p>
            <w:pPr>
              <w:pStyle w:val="TableParagraph"/>
              <w:spacing w:before="25"/>
              <w:ind w:right="351"/>
              <w:jc w:val="right"/>
              <w:rPr>
                <w:sz w:val="16"/>
              </w:rPr>
            </w:pPr>
            <w:r>
              <w:rPr>
                <w:sz w:val="16"/>
              </w:rPr>
              <w:t>2, 400</w:t>
            </w:r>
          </w:p>
        </w:tc>
        <w:tc>
          <w:tcPr>
            <w:tcW w:w="1485" w:type="dxa"/>
          </w:tcPr>
          <w:p>
            <w:pPr>
              <w:pStyle w:val="TableParagraph"/>
              <w:spacing w:before="25"/>
              <w:ind w:right="320"/>
              <w:jc w:val="right"/>
              <w:rPr>
                <w:sz w:val="16"/>
              </w:rPr>
            </w:pPr>
            <w:r>
              <w:rPr>
                <w:sz w:val="16"/>
              </w:rPr>
              <w:t>130, 700</w:t>
            </w:r>
          </w:p>
        </w:tc>
        <w:tc>
          <w:tcPr>
            <w:tcW w:w="1515" w:type="dxa"/>
          </w:tcPr>
          <w:p>
            <w:pPr>
              <w:pStyle w:val="TableParagraph"/>
              <w:spacing w:before="25"/>
              <w:ind w:left="300"/>
              <w:rPr>
                <w:sz w:val="16"/>
              </w:rPr>
            </w:pPr>
            <w:r>
              <w:rPr>
                <w:sz w:val="16"/>
              </w:rPr>
              <w:t>1 26 , 111</w:t>
            </w:r>
          </w:p>
        </w:tc>
        <w:tc>
          <w:tcPr>
            <w:tcW w:w="1488" w:type="dxa"/>
          </w:tcPr>
          <w:p>
            <w:pPr>
              <w:pStyle w:val="TableParagraph"/>
              <w:spacing w:before="25"/>
              <w:ind w:right="376"/>
              <w:jc w:val="right"/>
              <w:rPr>
                <w:sz w:val="16"/>
              </w:rPr>
            </w:pPr>
            <w:r>
              <w:rPr>
                <w:sz w:val="16"/>
              </w:rPr>
              <w:t>101, 318</w:t>
            </w:r>
          </w:p>
        </w:tc>
      </w:tr>
      <w:tr>
        <w:trPr>
          <w:trHeight w:val="240" w:hRule="atLeast"/>
        </w:trPr>
        <w:tc>
          <w:tcPr>
            <w:tcW w:w="7594" w:type="dxa"/>
          </w:tcPr>
          <w:p>
            <w:pPr>
              <w:pStyle w:val="TableParagraph"/>
              <w:spacing w:before="25"/>
              <w:ind w:left="336"/>
              <w:rPr>
                <w:sz w:val="16"/>
              </w:rPr>
            </w:pPr>
            <w:r>
              <w:rPr>
                <w:sz w:val="16"/>
              </w:rPr>
              <w:t>Recurrent Expenditure for Pharmacy Board Services</w:t>
            </w:r>
          </w:p>
        </w:tc>
        <w:tc>
          <w:tcPr>
            <w:tcW w:w="1205" w:type="dxa"/>
          </w:tcPr>
          <w:p>
            <w:pPr>
              <w:pStyle w:val="TableParagraph"/>
              <w:spacing w:before="25"/>
              <w:ind w:right="322"/>
              <w:jc w:val="right"/>
              <w:rPr>
                <w:sz w:val="16"/>
              </w:rPr>
            </w:pPr>
            <w:r>
              <w:rPr>
                <w:sz w:val="16"/>
              </w:rPr>
              <w:t>3, 170</w:t>
            </w:r>
          </w:p>
        </w:tc>
        <w:tc>
          <w:tcPr>
            <w:tcW w:w="1508" w:type="dxa"/>
          </w:tcPr>
          <w:p>
            <w:pPr>
              <w:pStyle w:val="TableParagraph"/>
              <w:spacing w:before="25"/>
              <w:ind w:right="351"/>
              <w:jc w:val="right"/>
              <w:rPr>
                <w:sz w:val="16"/>
              </w:rPr>
            </w:pPr>
            <w:r>
              <w:rPr>
                <w:sz w:val="16"/>
              </w:rPr>
              <w:t>2, 452</w:t>
            </w:r>
          </w:p>
        </w:tc>
        <w:tc>
          <w:tcPr>
            <w:tcW w:w="1485" w:type="dxa"/>
          </w:tcPr>
          <w:p>
            <w:pPr>
              <w:pStyle w:val="TableParagraph"/>
              <w:spacing w:before="25"/>
              <w:ind w:right="305"/>
              <w:jc w:val="right"/>
              <w:rPr>
                <w:sz w:val="16"/>
              </w:rPr>
            </w:pPr>
            <w:r>
              <w:rPr>
                <w:sz w:val="16"/>
              </w:rPr>
              <w:t>5, 138</w:t>
            </w:r>
          </w:p>
        </w:tc>
        <w:tc>
          <w:tcPr>
            <w:tcW w:w="1515" w:type="dxa"/>
          </w:tcPr>
          <w:p>
            <w:pPr>
              <w:pStyle w:val="TableParagraph"/>
              <w:spacing w:before="25"/>
              <w:ind w:left="650"/>
              <w:rPr>
                <w:sz w:val="16"/>
              </w:rPr>
            </w:pPr>
            <w:r>
              <w:rPr>
                <w:sz w:val="16"/>
              </w:rPr>
              <w:t>4, 941</w:t>
            </w:r>
          </w:p>
        </w:tc>
        <w:tc>
          <w:tcPr>
            <w:tcW w:w="1488" w:type="dxa"/>
          </w:tcPr>
          <w:p>
            <w:pPr>
              <w:pStyle w:val="TableParagraph"/>
              <w:spacing w:before="25"/>
              <w:ind w:right="361"/>
              <w:jc w:val="right"/>
              <w:rPr>
                <w:sz w:val="16"/>
              </w:rPr>
            </w:pPr>
            <w:r>
              <w:rPr>
                <w:sz w:val="16"/>
              </w:rPr>
              <w:t>5, 237</w:t>
            </w:r>
          </w:p>
        </w:tc>
      </w:tr>
      <w:tr>
        <w:trPr>
          <w:trHeight w:val="240" w:hRule="atLeast"/>
        </w:trPr>
        <w:tc>
          <w:tcPr>
            <w:tcW w:w="7594" w:type="dxa"/>
          </w:tcPr>
          <w:p>
            <w:pPr>
              <w:pStyle w:val="TableParagraph"/>
              <w:spacing w:before="25"/>
              <w:ind w:left="336"/>
              <w:rPr>
                <w:sz w:val="16"/>
              </w:rPr>
            </w:pPr>
            <w:r>
              <w:rPr>
                <w:sz w:val="16"/>
              </w:rPr>
              <w:t>Recurrent Expendit ure for National Medical Supplies Agency</w:t>
            </w:r>
          </w:p>
        </w:tc>
        <w:tc>
          <w:tcPr>
            <w:tcW w:w="1205" w:type="dxa"/>
          </w:tcPr>
          <w:p>
            <w:pPr>
              <w:pStyle w:val="TableParagraph"/>
              <w:spacing w:before="25"/>
              <w:ind w:right="308"/>
              <w:jc w:val="right"/>
              <w:rPr>
                <w:sz w:val="16"/>
              </w:rPr>
            </w:pPr>
            <w:r>
              <w:rPr>
                <w:sz w:val="16"/>
              </w:rPr>
              <w:t>8 6</w:t>
            </w:r>
          </w:p>
        </w:tc>
        <w:tc>
          <w:tcPr>
            <w:tcW w:w="1508" w:type="dxa"/>
          </w:tcPr>
          <w:p>
            <w:pPr>
              <w:pStyle w:val="TableParagraph"/>
              <w:spacing w:before="25"/>
              <w:ind w:right="347"/>
              <w:jc w:val="right"/>
              <w:rPr>
                <w:sz w:val="16"/>
              </w:rPr>
            </w:pPr>
            <w:r>
              <w:rPr>
                <w:w w:val="95"/>
                <w:sz w:val="16"/>
              </w:rPr>
              <w:t>503</w:t>
            </w:r>
          </w:p>
        </w:tc>
        <w:tc>
          <w:tcPr>
            <w:tcW w:w="1485" w:type="dxa"/>
          </w:tcPr>
          <w:p>
            <w:pPr>
              <w:pStyle w:val="TableParagraph"/>
              <w:spacing w:before="25"/>
              <w:ind w:right="305"/>
              <w:jc w:val="right"/>
              <w:rPr>
                <w:sz w:val="16"/>
              </w:rPr>
            </w:pPr>
            <w:r>
              <w:rPr>
                <w:sz w:val="16"/>
              </w:rPr>
              <w:t>2, 406</w:t>
            </w:r>
          </w:p>
        </w:tc>
        <w:tc>
          <w:tcPr>
            <w:tcW w:w="1515" w:type="dxa"/>
          </w:tcPr>
          <w:p>
            <w:pPr>
              <w:pStyle w:val="TableParagraph"/>
              <w:spacing w:before="25"/>
              <w:ind w:left="650"/>
              <w:rPr>
                <w:sz w:val="16"/>
              </w:rPr>
            </w:pPr>
            <w:r>
              <w:rPr>
                <w:sz w:val="16"/>
              </w:rPr>
              <w:t>7, 314</w:t>
            </w:r>
          </w:p>
        </w:tc>
        <w:tc>
          <w:tcPr>
            <w:tcW w:w="1488" w:type="dxa"/>
          </w:tcPr>
          <w:p>
            <w:pPr>
              <w:pStyle w:val="TableParagraph"/>
              <w:spacing w:before="25"/>
              <w:ind w:right="361"/>
              <w:jc w:val="right"/>
              <w:rPr>
                <w:sz w:val="16"/>
              </w:rPr>
            </w:pPr>
            <w:r>
              <w:rPr>
                <w:sz w:val="16"/>
              </w:rPr>
              <w:t>7, 752</w:t>
            </w:r>
          </w:p>
        </w:tc>
      </w:tr>
      <w:tr>
        <w:trPr>
          <w:trHeight w:val="240" w:hRule="atLeast"/>
        </w:trPr>
        <w:tc>
          <w:tcPr>
            <w:tcW w:w="7594" w:type="dxa"/>
          </w:tcPr>
          <w:p>
            <w:pPr>
              <w:pStyle w:val="TableParagraph"/>
              <w:spacing w:before="25"/>
              <w:ind w:left="336"/>
              <w:rPr>
                <w:sz w:val="16"/>
              </w:rPr>
            </w:pPr>
            <w:r>
              <w:rPr>
                <w:sz w:val="16"/>
              </w:rPr>
              <w:t>Recurrent Expenditure for Health Service Commission</w:t>
            </w:r>
          </w:p>
        </w:tc>
        <w:tc>
          <w:tcPr>
            <w:tcW w:w="1205" w:type="dxa"/>
          </w:tcPr>
          <w:p>
            <w:pPr>
              <w:pStyle w:val="TableParagraph"/>
              <w:spacing w:before="25"/>
              <w:ind w:right="309"/>
              <w:jc w:val="right"/>
              <w:rPr>
                <w:sz w:val="16"/>
              </w:rPr>
            </w:pPr>
            <w:r>
              <w:rPr>
                <w:w w:val="95"/>
                <w:sz w:val="16"/>
              </w:rPr>
              <w:t>826</w:t>
            </w:r>
          </w:p>
        </w:tc>
        <w:tc>
          <w:tcPr>
            <w:tcW w:w="1508" w:type="dxa"/>
          </w:tcPr>
          <w:p>
            <w:pPr>
              <w:pStyle w:val="TableParagraph"/>
              <w:spacing w:before="25"/>
              <w:ind w:right="347"/>
              <w:jc w:val="right"/>
              <w:rPr>
                <w:sz w:val="16"/>
              </w:rPr>
            </w:pPr>
            <w:r>
              <w:rPr>
                <w:w w:val="95"/>
                <w:sz w:val="16"/>
              </w:rPr>
              <w:t>463</w:t>
            </w:r>
          </w:p>
        </w:tc>
        <w:tc>
          <w:tcPr>
            <w:tcW w:w="1485" w:type="dxa"/>
          </w:tcPr>
          <w:p>
            <w:pPr>
              <w:pStyle w:val="TableParagraph"/>
              <w:spacing w:before="25"/>
              <w:ind w:right="301"/>
              <w:jc w:val="right"/>
              <w:rPr>
                <w:sz w:val="16"/>
              </w:rPr>
            </w:pPr>
            <w:r>
              <w:rPr>
                <w:w w:val="95"/>
                <w:sz w:val="16"/>
              </w:rPr>
              <w:t>940</w:t>
            </w:r>
          </w:p>
        </w:tc>
        <w:tc>
          <w:tcPr>
            <w:tcW w:w="1515" w:type="dxa"/>
          </w:tcPr>
          <w:p>
            <w:pPr>
              <w:pStyle w:val="TableParagraph"/>
              <w:spacing w:before="25"/>
              <w:ind w:left="530"/>
              <w:rPr>
                <w:sz w:val="16"/>
              </w:rPr>
            </w:pPr>
            <w:r>
              <w:rPr>
                <w:sz w:val="16"/>
              </w:rPr>
              <w:t>10 , 904</w:t>
            </w:r>
          </w:p>
        </w:tc>
        <w:tc>
          <w:tcPr>
            <w:tcW w:w="1488" w:type="dxa"/>
          </w:tcPr>
          <w:p>
            <w:pPr>
              <w:pStyle w:val="TableParagraph"/>
              <w:spacing w:before="25"/>
              <w:ind w:right="366"/>
              <w:jc w:val="right"/>
              <w:rPr>
                <w:sz w:val="16"/>
              </w:rPr>
            </w:pPr>
            <w:r>
              <w:rPr>
                <w:sz w:val="16"/>
              </w:rPr>
              <w:t>11, 557</w:t>
            </w:r>
          </w:p>
        </w:tc>
      </w:tr>
      <w:tr>
        <w:trPr>
          <w:trHeight w:val="240" w:hRule="atLeast"/>
        </w:trPr>
        <w:tc>
          <w:tcPr>
            <w:tcW w:w="7594" w:type="dxa"/>
          </w:tcPr>
          <w:p>
            <w:pPr>
              <w:pStyle w:val="TableParagraph"/>
              <w:spacing w:before="25"/>
              <w:ind w:left="336"/>
              <w:rPr>
                <w:sz w:val="16"/>
              </w:rPr>
            </w:pPr>
            <w:r>
              <w:rPr>
                <w:sz w:val="16"/>
              </w:rPr>
              <w:t>Recurrent Expenditure for National HIV &amp; AIDS Commission</w:t>
            </w:r>
          </w:p>
        </w:tc>
        <w:tc>
          <w:tcPr>
            <w:tcW w:w="1205" w:type="dxa"/>
          </w:tcPr>
          <w:p>
            <w:pPr>
              <w:pStyle w:val="TableParagraph"/>
              <w:spacing w:before="25"/>
              <w:ind w:right="322"/>
              <w:jc w:val="right"/>
              <w:rPr>
                <w:sz w:val="16"/>
              </w:rPr>
            </w:pPr>
            <w:r>
              <w:rPr>
                <w:sz w:val="16"/>
              </w:rPr>
              <w:t>1, 705</w:t>
            </w:r>
          </w:p>
        </w:tc>
        <w:tc>
          <w:tcPr>
            <w:tcW w:w="1508" w:type="dxa"/>
          </w:tcPr>
          <w:p>
            <w:pPr>
              <w:pStyle w:val="TableParagraph"/>
              <w:spacing w:before="25"/>
              <w:ind w:right="351"/>
              <w:jc w:val="right"/>
              <w:rPr>
                <w:sz w:val="16"/>
              </w:rPr>
            </w:pPr>
            <w:r>
              <w:rPr>
                <w:sz w:val="16"/>
              </w:rPr>
              <w:t>1, 044</w:t>
            </w:r>
          </w:p>
        </w:tc>
        <w:tc>
          <w:tcPr>
            <w:tcW w:w="1485" w:type="dxa"/>
          </w:tcPr>
          <w:p>
            <w:pPr>
              <w:pStyle w:val="TableParagraph"/>
              <w:spacing w:before="25"/>
              <w:ind w:right="305"/>
              <w:jc w:val="right"/>
              <w:rPr>
                <w:sz w:val="16"/>
              </w:rPr>
            </w:pPr>
            <w:r>
              <w:rPr>
                <w:sz w:val="16"/>
              </w:rPr>
              <w:t>2, 401</w:t>
            </w:r>
          </w:p>
        </w:tc>
        <w:tc>
          <w:tcPr>
            <w:tcW w:w="1515" w:type="dxa"/>
          </w:tcPr>
          <w:p>
            <w:pPr>
              <w:pStyle w:val="TableParagraph"/>
              <w:spacing w:before="25"/>
              <w:ind w:left="650"/>
              <w:rPr>
                <w:sz w:val="16"/>
              </w:rPr>
            </w:pPr>
            <w:r>
              <w:rPr>
                <w:sz w:val="16"/>
              </w:rPr>
              <w:t>7, 309</w:t>
            </w:r>
          </w:p>
        </w:tc>
        <w:tc>
          <w:tcPr>
            <w:tcW w:w="1488" w:type="dxa"/>
          </w:tcPr>
          <w:p>
            <w:pPr>
              <w:pStyle w:val="TableParagraph"/>
              <w:spacing w:before="25"/>
              <w:ind w:right="361"/>
              <w:jc w:val="right"/>
              <w:rPr>
                <w:sz w:val="16"/>
              </w:rPr>
            </w:pPr>
            <w:r>
              <w:rPr>
                <w:sz w:val="16"/>
              </w:rPr>
              <w:t>7, 747</w:t>
            </w:r>
          </w:p>
        </w:tc>
      </w:tr>
      <w:tr>
        <w:trPr>
          <w:trHeight w:val="240" w:hRule="atLeast"/>
        </w:trPr>
        <w:tc>
          <w:tcPr>
            <w:tcW w:w="7594" w:type="dxa"/>
          </w:tcPr>
          <w:p>
            <w:pPr>
              <w:pStyle w:val="TableParagraph"/>
              <w:spacing w:before="25"/>
              <w:ind w:left="336"/>
              <w:rPr>
                <w:sz w:val="16"/>
              </w:rPr>
            </w:pPr>
            <w:r>
              <w:rPr>
                <w:sz w:val="16"/>
              </w:rPr>
              <w:t>Recurrent Expenditure for Post Graduate College of Health Specialists</w:t>
            </w:r>
          </w:p>
        </w:tc>
        <w:tc>
          <w:tcPr>
            <w:tcW w:w="1205" w:type="dxa"/>
          </w:tcPr>
          <w:p>
            <w:pPr>
              <w:pStyle w:val="TableParagraph"/>
              <w:spacing w:before="25"/>
              <w:ind w:right="304"/>
              <w:jc w:val="right"/>
              <w:rPr>
                <w:sz w:val="16"/>
              </w:rPr>
            </w:pPr>
            <w:r>
              <w:rPr>
                <w:w w:val="99"/>
                <w:sz w:val="16"/>
              </w:rPr>
              <w:t>-</w:t>
            </w:r>
          </w:p>
        </w:tc>
        <w:tc>
          <w:tcPr>
            <w:tcW w:w="1508" w:type="dxa"/>
          </w:tcPr>
          <w:p>
            <w:pPr>
              <w:pStyle w:val="TableParagraph"/>
              <w:spacing w:before="25"/>
              <w:ind w:right="339"/>
              <w:jc w:val="right"/>
              <w:rPr>
                <w:sz w:val="16"/>
              </w:rPr>
            </w:pPr>
            <w:r>
              <w:rPr>
                <w:w w:val="99"/>
                <w:sz w:val="16"/>
              </w:rPr>
              <w:t>-</w:t>
            </w:r>
          </w:p>
        </w:tc>
        <w:tc>
          <w:tcPr>
            <w:tcW w:w="1485" w:type="dxa"/>
          </w:tcPr>
          <w:p>
            <w:pPr>
              <w:pStyle w:val="TableParagraph"/>
              <w:spacing w:before="25"/>
              <w:ind w:right="305"/>
              <w:jc w:val="right"/>
              <w:rPr>
                <w:sz w:val="16"/>
              </w:rPr>
            </w:pPr>
            <w:r>
              <w:rPr>
                <w:sz w:val="16"/>
              </w:rPr>
              <w:t>1, 510</w:t>
            </w:r>
          </w:p>
        </w:tc>
        <w:tc>
          <w:tcPr>
            <w:tcW w:w="1515" w:type="dxa"/>
          </w:tcPr>
          <w:p>
            <w:pPr>
              <w:pStyle w:val="TableParagraph"/>
              <w:spacing w:before="25"/>
              <w:ind w:left="650"/>
              <w:rPr>
                <w:sz w:val="16"/>
              </w:rPr>
            </w:pPr>
            <w:r>
              <w:rPr>
                <w:sz w:val="16"/>
              </w:rPr>
              <w:t>1, 452</w:t>
            </w:r>
          </w:p>
        </w:tc>
        <w:tc>
          <w:tcPr>
            <w:tcW w:w="1488" w:type="dxa"/>
          </w:tcPr>
          <w:p>
            <w:pPr>
              <w:pStyle w:val="TableParagraph"/>
              <w:spacing w:before="25"/>
              <w:ind w:right="361"/>
              <w:jc w:val="right"/>
              <w:rPr>
                <w:sz w:val="16"/>
              </w:rPr>
            </w:pPr>
            <w:r>
              <w:rPr>
                <w:sz w:val="16"/>
              </w:rPr>
              <w:t>5, 237</w:t>
            </w:r>
          </w:p>
        </w:tc>
      </w:tr>
      <w:tr>
        <w:trPr>
          <w:trHeight w:val="399" w:hRule="atLeast"/>
        </w:trPr>
        <w:tc>
          <w:tcPr>
            <w:tcW w:w="7594" w:type="dxa"/>
          </w:tcPr>
          <w:p>
            <w:pPr>
              <w:pStyle w:val="TableParagraph"/>
              <w:spacing w:before="25"/>
              <w:ind w:left="336"/>
              <w:rPr>
                <w:sz w:val="16"/>
              </w:rPr>
            </w:pPr>
            <w:r>
              <w:rPr>
                <w:sz w:val="16"/>
              </w:rPr>
              <w:t>Recurrent Expenditure for Dental and Medical Board</w:t>
            </w:r>
          </w:p>
        </w:tc>
        <w:tc>
          <w:tcPr>
            <w:tcW w:w="1205" w:type="dxa"/>
            <w:tcBorders>
              <w:bottom w:val="single" w:sz="18" w:space="0" w:color="000000"/>
            </w:tcBorders>
          </w:tcPr>
          <w:p>
            <w:pPr>
              <w:pStyle w:val="TableParagraph"/>
              <w:spacing w:before="25"/>
              <w:ind w:right="308"/>
              <w:jc w:val="right"/>
              <w:rPr>
                <w:sz w:val="16"/>
              </w:rPr>
            </w:pPr>
            <w:r>
              <w:rPr>
                <w:sz w:val="16"/>
              </w:rPr>
              <w:t>8 6</w:t>
            </w:r>
          </w:p>
        </w:tc>
        <w:tc>
          <w:tcPr>
            <w:tcW w:w="1508" w:type="dxa"/>
            <w:tcBorders>
              <w:bottom w:val="single" w:sz="18" w:space="0" w:color="000000"/>
            </w:tcBorders>
          </w:tcPr>
          <w:p>
            <w:pPr>
              <w:pStyle w:val="TableParagraph"/>
              <w:spacing w:before="25"/>
              <w:ind w:right="347"/>
              <w:jc w:val="right"/>
              <w:rPr>
                <w:sz w:val="16"/>
              </w:rPr>
            </w:pPr>
            <w:r>
              <w:rPr>
                <w:w w:val="95"/>
                <w:sz w:val="16"/>
              </w:rPr>
              <w:t>202</w:t>
            </w:r>
          </w:p>
        </w:tc>
        <w:tc>
          <w:tcPr>
            <w:tcW w:w="1485" w:type="dxa"/>
            <w:tcBorders>
              <w:bottom w:val="single" w:sz="18" w:space="0" w:color="000000"/>
            </w:tcBorders>
          </w:tcPr>
          <w:p>
            <w:pPr>
              <w:pStyle w:val="TableParagraph"/>
              <w:spacing w:before="25"/>
              <w:ind w:right="301"/>
              <w:jc w:val="right"/>
              <w:rPr>
                <w:sz w:val="16"/>
              </w:rPr>
            </w:pPr>
            <w:r>
              <w:rPr>
                <w:w w:val="95"/>
                <w:sz w:val="16"/>
              </w:rPr>
              <w:t>309</w:t>
            </w:r>
          </w:p>
        </w:tc>
        <w:tc>
          <w:tcPr>
            <w:tcW w:w="1515" w:type="dxa"/>
            <w:tcBorders>
              <w:bottom w:val="single" w:sz="18" w:space="0" w:color="000000"/>
            </w:tcBorders>
          </w:tcPr>
          <w:p>
            <w:pPr>
              <w:pStyle w:val="TableParagraph"/>
              <w:spacing w:before="25"/>
              <w:ind w:right="396"/>
              <w:jc w:val="right"/>
              <w:rPr>
                <w:sz w:val="16"/>
              </w:rPr>
            </w:pPr>
            <w:r>
              <w:rPr>
                <w:w w:val="95"/>
                <w:sz w:val="16"/>
              </w:rPr>
              <w:t>297</w:t>
            </w:r>
          </w:p>
        </w:tc>
        <w:tc>
          <w:tcPr>
            <w:tcW w:w="1488" w:type="dxa"/>
            <w:tcBorders>
              <w:bottom w:val="single" w:sz="18" w:space="0" w:color="000000"/>
            </w:tcBorders>
          </w:tcPr>
          <w:p>
            <w:pPr>
              <w:pStyle w:val="TableParagraph"/>
              <w:spacing w:before="25"/>
              <w:ind w:right="357"/>
              <w:jc w:val="right"/>
              <w:rPr>
                <w:sz w:val="16"/>
              </w:rPr>
            </w:pPr>
            <w:r>
              <w:rPr>
                <w:w w:val="95"/>
                <w:sz w:val="16"/>
              </w:rPr>
              <w:t>315</w:t>
            </w:r>
          </w:p>
        </w:tc>
      </w:tr>
      <w:tr>
        <w:trPr>
          <w:trHeight w:val="293" w:hRule="atLeast"/>
        </w:trPr>
        <w:tc>
          <w:tcPr>
            <w:tcW w:w="7594" w:type="dxa"/>
          </w:tcPr>
          <w:p>
            <w:pPr>
              <w:pStyle w:val="TableParagraph"/>
              <w:spacing w:before="60"/>
              <w:ind w:left="336"/>
              <w:rPr>
                <w:b/>
                <w:sz w:val="16"/>
              </w:rPr>
            </w:pPr>
            <w:r>
              <w:rPr>
                <w:b/>
                <w:sz w:val="16"/>
              </w:rPr>
              <w:t>Total Allocations to Health Sector</w:t>
            </w:r>
          </w:p>
        </w:tc>
        <w:tc>
          <w:tcPr>
            <w:tcW w:w="1205" w:type="dxa"/>
            <w:tcBorders>
              <w:top w:val="single" w:sz="18" w:space="0" w:color="000000"/>
              <w:bottom w:val="single" w:sz="18" w:space="0" w:color="000000"/>
            </w:tcBorders>
          </w:tcPr>
          <w:p>
            <w:pPr>
              <w:pStyle w:val="TableParagraph"/>
              <w:spacing w:before="60"/>
              <w:ind w:right="353"/>
              <w:jc w:val="right"/>
              <w:rPr>
                <w:b/>
                <w:sz w:val="16"/>
              </w:rPr>
            </w:pPr>
            <w:r>
              <w:rPr>
                <w:b/>
                <w:w w:val="95"/>
                <w:sz w:val="16"/>
              </w:rPr>
              <w:t>305,944</w:t>
            </w:r>
          </w:p>
        </w:tc>
        <w:tc>
          <w:tcPr>
            <w:tcW w:w="1508" w:type="dxa"/>
            <w:tcBorders>
              <w:top w:val="single" w:sz="18" w:space="0" w:color="000000"/>
              <w:bottom w:val="single" w:sz="18" w:space="0" w:color="000000"/>
            </w:tcBorders>
          </w:tcPr>
          <w:p>
            <w:pPr>
              <w:pStyle w:val="TableParagraph"/>
              <w:spacing w:before="60"/>
              <w:ind w:right="388"/>
              <w:jc w:val="right"/>
              <w:rPr>
                <w:b/>
                <w:sz w:val="16"/>
              </w:rPr>
            </w:pPr>
            <w:r>
              <w:rPr>
                <w:b/>
                <w:sz w:val="16"/>
              </w:rPr>
              <w:t>404,292</w:t>
            </w:r>
          </w:p>
        </w:tc>
        <w:tc>
          <w:tcPr>
            <w:tcW w:w="1485" w:type="dxa"/>
            <w:tcBorders>
              <w:top w:val="single" w:sz="18" w:space="0" w:color="000000"/>
              <w:bottom w:val="single" w:sz="18" w:space="0" w:color="000000"/>
            </w:tcBorders>
          </w:tcPr>
          <w:p>
            <w:pPr>
              <w:pStyle w:val="TableParagraph"/>
              <w:spacing w:before="60"/>
              <w:ind w:right="341"/>
              <w:jc w:val="right"/>
              <w:rPr>
                <w:b/>
                <w:sz w:val="16"/>
              </w:rPr>
            </w:pPr>
            <w:r>
              <w:rPr>
                <w:b/>
                <w:w w:val="95"/>
                <w:sz w:val="16"/>
              </w:rPr>
              <w:t>674,235</w:t>
            </w:r>
          </w:p>
        </w:tc>
        <w:tc>
          <w:tcPr>
            <w:tcW w:w="1515" w:type="dxa"/>
            <w:tcBorders>
              <w:top w:val="single" w:sz="18" w:space="0" w:color="000000"/>
              <w:bottom w:val="single" w:sz="18" w:space="0" w:color="000000"/>
            </w:tcBorders>
          </w:tcPr>
          <w:p>
            <w:pPr>
              <w:pStyle w:val="TableParagraph"/>
              <w:spacing w:before="60"/>
              <w:ind w:left="410"/>
              <w:rPr>
                <w:b/>
                <w:sz w:val="16"/>
              </w:rPr>
            </w:pPr>
            <w:r>
              <w:rPr>
                <w:b/>
                <w:sz w:val="16"/>
              </w:rPr>
              <w:t>705, 668</w:t>
            </w:r>
          </w:p>
        </w:tc>
        <w:tc>
          <w:tcPr>
            <w:tcW w:w="1488" w:type="dxa"/>
            <w:tcBorders>
              <w:top w:val="single" w:sz="18" w:space="0" w:color="000000"/>
              <w:bottom w:val="single" w:sz="18" w:space="0" w:color="000000"/>
            </w:tcBorders>
          </w:tcPr>
          <w:p>
            <w:pPr>
              <w:pStyle w:val="TableParagraph"/>
              <w:spacing w:before="60"/>
              <w:ind w:right="397"/>
              <w:jc w:val="right"/>
              <w:rPr>
                <w:b/>
                <w:sz w:val="16"/>
              </w:rPr>
            </w:pPr>
            <w:r>
              <w:rPr>
                <w:b/>
                <w:w w:val="95"/>
                <w:sz w:val="16"/>
              </w:rPr>
              <w:t>709,391</w:t>
            </w:r>
          </w:p>
        </w:tc>
      </w:tr>
      <w:tr>
        <w:trPr>
          <w:trHeight w:val="660" w:hRule="atLeast"/>
        </w:trPr>
        <w:tc>
          <w:tcPr>
            <w:tcW w:w="7594" w:type="dxa"/>
          </w:tcPr>
          <w:p>
            <w:pPr>
              <w:pStyle w:val="TableParagraph"/>
              <w:rPr>
                <w:b/>
                <w:sz w:val="18"/>
              </w:rPr>
            </w:pPr>
          </w:p>
          <w:p>
            <w:pPr>
              <w:pStyle w:val="TableParagraph"/>
              <w:spacing w:before="4"/>
              <w:rPr>
                <w:b/>
                <w:sz w:val="20"/>
              </w:rPr>
            </w:pPr>
          </w:p>
          <w:p>
            <w:pPr>
              <w:pStyle w:val="TableParagraph"/>
              <w:spacing w:line="184" w:lineRule="exact" w:before="1"/>
              <w:ind w:left="336"/>
              <w:rPr>
                <w:b/>
                <w:sz w:val="16"/>
              </w:rPr>
            </w:pPr>
            <w:r>
              <w:rPr>
                <w:b/>
                <w:sz w:val="16"/>
              </w:rPr>
              <w:t>% Government Budgetary Allocations to the Health Sector</w:t>
            </w:r>
          </w:p>
        </w:tc>
        <w:tc>
          <w:tcPr>
            <w:tcW w:w="1205" w:type="dxa"/>
            <w:tcBorders>
              <w:top w:val="single" w:sz="18" w:space="0" w:color="000000"/>
            </w:tcBorders>
          </w:tcPr>
          <w:p>
            <w:pPr>
              <w:pStyle w:val="TableParagraph"/>
              <w:rPr>
                <w:b/>
                <w:sz w:val="18"/>
              </w:rPr>
            </w:pPr>
          </w:p>
          <w:p>
            <w:pPr>
              <w:pStyle w:val="TableParagraph"/>
              <w:spacing w:before="4"/>
              <w:rPr>
                <w:b/>
                <w:sz w:val="20"/>
              </w:rPr>
            </w:pPr>
          </w:p>
          <w:p>
            <w:pPr>
              <w:pStyle w:val="TableParagraph"/>
              <w:spacing w:line="184" w:lineRule="exact" w:before="1"/>
              <w:ind w:right="311"/>
              <w:jc w:val="right"/>
              <w:rPr>
                <w:b/>
                <w:sz w:val="16"/>
              </w:rPr>
            </w:pPr>
            <w:r>
              <w:rPr>
                <w:b/>
                <w:sz w:val="16"/>
              </w:rPr>
              <w:t>6 %</w:t>
            </w:r>
          </w:p>
        </w:tc>
        <w:tc>
          <w:tcPr>
            <w:tcW w:w="1508" w:type="dxa"/>
            <w:tcBorders>
              <w:top w:val="single" w:sz="18" w:space="0" w:color="000000"/>
            </w:tcBorders>
          </w:tcPr>
          <w:p>
            <w:pPr>
              <w:pStyle w:val="TableParagraph"/>
              <w:rPr>
                <w:b/>
                <w:sz w:val="18"/>
              </w:rPr>
            </w:pPr>
          </w:p>
          <w:p>
            <w:pPr>
              <w:pStyle w:val="TableParagraph"/>
              <w:spacing w:before="4"/>
              <w:rPr>
                <w:b/>
                <w:sz w:val="20"/>
              </w:rPr>
            </w:pPr>
          </w:p>
          <w:p>
            <w:pPr>
              <w:pStyle w:val="TableParagraph"/>
              <w:spacing w:line="184" w:lineRule="exact" w:before="1"/>
              <w:ind w:right="346"/>
              <w:jc w:val="right"/>
              <w:rPr>
                <w:b/>
                <w:sz w:val="16"/>
              </w:rPr>
            </w:pPr>
            <w:r>
              <w:rPr>
                <w:b/>
                <w:sz w:val="16"/>
              </w:rPr>
              <w:t>7 %</w:t>
            </w:r>
          </w:p>
        </w:tc>
        <w:tc>
          <w:tcPr>
            <w:tcW w:w="1485" w:type="dxa"/>
            <w:tcBorders>
              <w:top w:val="single" w:sz="18" w:space="0" w:color="000000"/>
            </w:tcBorders>
          </w:tcPr>
          <w:p>
            <w:pPr>
              <w:pStyle w:val="TableParagraph"/>
              <w:rPr>
                <w:b/>
                <w:sz w:val="18"/>
              </w:rPr>
            </w:pPr>
          </w:p>
          <w:p>
            <w:pPr>
              <w:pStyle w:val="TableParagraph"/>
              <w:spacing w:before="4"/>
              <w:rPr>
                <w:b/>
                <w:sz w:val="20"/>
              </w:rPr>
            </w:pPr>
          </w:p>
          <w:p>
            <w:pPr>
              <w:pStyle w:val="TableParagraph"/>
              <w:spacing w:line="184" w:lineRule="exact" w:before="1"/>
              <w:ind w:right="308"/>
              <w:jc w:val="right"/>
              <w:rPr>
                <w:b/>
                <w:sz w:val="16"/>
              </w:rPr>
            </w:pPr>
            <w:r>
              <w:rPr>
                <w:b/>
                <w:sz w:val="16"/>
              </w:rPr>
              <w:t>11 %</w:t>
            </w:r>
          </w:p>
        </w:tc>
        <w:tc>
          <w:tcPr>
            <w:tcW w:w="1515" w:type="dxa"/>
            <w:tcBorders>
              <w:top w:val="single" w:sz="18" w:space="0" w:color="000000"/>
            </w:tcBorders>
          </w:tcPr>
          <w:p>
            <w:pPr>
              <w:pStyle w:val="TableParagraph"/>
              <w:rPr>
                <w:b/>
                <w:sz w:val="18"/>
              </w:rPr>
            </w:pPr>
          </w:p>
          <w:p>
            <w:pPr>
              <w:pStyle w:val="TableParagraph"/>
              <w:spacing w:before="4"/>
              <w:rPr>
                <w:b/>
                <w:sz w:val="20"/>
              </w:rPr>
            </w:pPr>
          </w:p>
          <w:p>
            <w:pPr>
              <w:pStyle w:val="TableParagraph"/>
              <w:spacing w:line="184" w:lineRule="exact" w:before="1"/>
              <w:ind w:right="399"/>
              <w:jc w:val="right"/>
              <w:rPr>
                <w:b/>
                <w:sz w:val="16"/>
              </w:rPr>
            </w:pPr>
            <w:r>
              <w:rPr>
                <w:b/>
                <w:sz w:val="16"/>
              </w:rPr>
              <w:t>9 %</w:t>
            </w:r>
          </w:p>
        </w:tc>
        <w:tc>
          <w:tcPr>
            <w:tcW w:w="1488" w:type="dxa"/>
            <w:tcBorders>
              <w:top w:val="single" w:sz="18" w:space="0" w:color="000000"/>
            </w:tcBorders>
          </w:tcPr>
          <w:p>
            <w:pPr>
              <w:pStyle w:val="TableParagraph"/>
              <w:rPr>
                <w:b/>
                <w:sz w:val="18"/>
              </w:rPr>
            </w:pPr>
          </w:p>
          <w:p>
            <w:pPr>
              <w:pStyle w:val="TableParagraph"/>
              <w:spacing w:before="4"/>
              <w:rPr>
                <w:b/>
                <w:sz w:val="20"/>
              </w:rPr>
            </w:pPr>
          </w:p>
          <w:p>
            <w:pPr>
              <w:pStyle w:val="TableParagraph"/>
              <w:spacing w:line="184" w:lineRule="exact" w:before="1"/>
              <w:ind w:right="355"/>
              <w:jc w:val="right"/>
              <w:rPr>
                <w:b/>
                <w:sz w:val="16"/>
              </w:rPr>
            </w:pPr>
            <w:r>
              <w:rPr>
                <w:b/>
                <w:sz w:val="16"/>
              </w:rPr>
              <w:t>9 %</w:t>
            </w:r>
          </w:p>
        </w:tc>
      </w:tr>
    </w:tbl>
    <w:p>
      <w:pPr>
        <w:spacing w:after="0" w:line="184" w:lineRule="exact"/>
        <w:jc w:val="right"/>
        <w:rPr>
          <w:sz w:val="16"/>
        </w:rPr>
        <w:sectPr>
          <w:headerReference w:type="default" r:id="rId14"/>
          <w:pgSz w:w="16840" w:h="11900" w:orient="landscape"/>
          <w:pgMar w:header="0" w:footer="0" w:top="1100" w:bottom="280" w:left="880" w:right="920"/>
        </w:sectPr>
      </w:pPr>
    </w:p>
    <w:p>
      <w:pPr>
        <w:spacing w:before="128"/>
        <w:ind w:left="4664" w:right="0" w:firstLine="0"/>
        <w:jc w:val="left"/>
        <w:rPr>
          <w:rFonts w:ascii="Arial" w:hAnsi="Arial"/>
          <w:b/>
          <w:sz w:val="17"/>
        </w:rPr>
      </w:pPr>
      <w:r>
        <w:rPr/>
        <w:pict>
          <v:shape style="position:absolute;margin-left:27.140491pt;margin-top:289.230011pt;width:14.35pt;height:13.3pt;mso-position-horizontal-relative:page;mso-position-vertical-relative:page;z-index:2296" type="#_x0000_t202" filled="false" stroked="false">
            <v:textbox inset="0,0,0,0" style="layout-flow:vertical">
              <w:txbxContent>
                <w:p>
                  <w:pPr>
                    <w:spacing w:before="13"/>
                    <w:ind w:left="20" w:right="0" w:firstLine="0"/>
                    <w:jc w:val="left"/>
                    <w:rPr>
                      <w:rFonts w:ascii="Arial"/>
                      <w:sz w:val="22"/>
                    </w:rPr>
                  </w:pPr>
                  <w:r>
                    <w:rPr>
                      <w:rFonts w:ascii="Arial"/>
                      <w:sz w:val="22"/>
                    </w:rPr>
                    <w:t>xli</w:t>
                  </w:r>
                </w:p>
              </w:txbxContent>
            </v:textbox>
            <w10:wrap type="none"/>
          </v:shape>
        </w:pict>
      </w:r>
      <w:r>
        <w:rPr>
          <w:rFonts w:ascii="Arial" w:hAnsi="Arial"/>
          <w:b/>
          <w:w w:val="105"/>
          <w:sz w:val="17"/>
        </w:rPr>
        <w:t>ANNEX 5c– ALLOCATIONS TO AGRICULTURE, FY 2018-2022</w:t>
      </w:r>
    </w:p>
    <w:p>
      <w:pPr>
        <w:spacing w:before="21"/>
        <w:ind w:left="138" w:right="0" w:firstLine="0"/>
        <w:jc w:val="left"/>
        <w:rPr>
          <w:rFonts w:ascii="Arial"/>
          <w:b/>
          <w:sz w:val="17"/>
        </w:rPr>
      </w:pPr>
      <w:r>
        <w:rPr>
          <w:rFonts w:ascii="Arial"/>
          <w:b/>
          <w:w w:val="105"/>
          <w:sz w:val="17"/>
        </w:rPr>
        <w:t>In Millions of Leones</w:t>
      </w:r>
    </w:p>
    <w:p>
      <w:pPr>
        <w:pStyle w:val="BodyText"/>
        <w:spacing w:before="1"/>
        <w:rPr>
          <w:rFonts w:ascii="Arial"/>
          <w:b/>
          <w:sz w:val="7"/>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94"/>
        <w:gridCol w:w="49"/>
        <w:gridCol w:w="1158"/>
        <w:gridCol w:w="1508"/>
        <w:gridCol w:w="1533"/>
        <w:gridCol w:w="1467"/>
        <w:gridCol w:w="1489"/>
      </w:tblGrid>
      <w:tr>
        <w:trPr>
          <w:trHeight w:val="578" w:hRule="atLeast"/>
        </w:trPr>
        <w:tc>
          <w:tcPr>
            <w:tcW w:w="8801" w:type="dxa"/>
            <w:gridSpan w:val="3"/>
            <w:tcBorders>
              <w:top w:val="single" w:sz="18" w:space="0" w:color="000000"/>
              <w:bottom w:val="single" w:sz="18" w:space="0" w:color="000000"/>
            </w:tcBorders>
          </w:tcPr>
          <w:p>
            <w:pPr>
              <w:pStyle w:val="TableParagraph"/>
              <w:tabs>
                <w:tab w:pos="7843" w:val="left" w:leader="none"/>
              </w:tabs>
              <w:spacing w:line="195" w:lineRule="exact" w:before="67"/>
              <w:ind w:right="344"/>
              <w:jc w:val="right"/>
              <w:rPr>
                <w:b/>
                <w:sz w:val="14"/>
              </w:rPr>
            </w:pPr>
            <w:r>
              <w:rPr>
                <w:b/>
                <w:spacing w:val="3"/>
                <w:sz w:val="20"/>
              </w:rPr>
              <w:t>Particulars</w:t>
              <w:tab/>
            </w:r>
            <w:r>
              <w:rPr>
                <w:b/>
                <w:spacing w:val="4"/>
                <w:w w:val="95"/>
                <w:position w:val="6"/>
                <w:sz w:val="14"/>
              </w:rPr>
              <w:t>FY2018</w:t>
            </w:r>
          </w:p>
          <w:p>
            <w:pPr>
              <w:pStyle w:val="TableParagraph"/>
              <w:spacing w:line="122" w:lineRule="exact"/>
              <w:ind w:right="370"/>
              <w:jc w:val="right"/>
              <w:rPr>
                <w:b/>
                <w:sz w:val="14"/>
              </w:rPr>
            </w:pPr>
            <w:r>
              <w:rPr>
                <w:b/>
                <w:spacing w:val="2"/>
                <w:w w:val="95"/>
                <w:sz w:val="14"/>
              </w:rPr>
              <w:t>Actual</w:t>
            </w:r>
          </w:p>
        </w:tc>
        <w:tc>
          <w:tcPr>
            <w:tcW w:w="1508" w:type="dxa"/>
            <w:tcBorders>
              <w:top w:val="single" w:sz="18" w:space="0" w:color="000000"/>
              <w:bottom w:val="single" w:sz="18" w:space="0" w:color="000000"/>
            </w:tcBorders>
          </w:tcPr>
          <w:p>
            <w:pPr>
              <w:pStyle w:val="TableParagraph"/>
              <w:spacing w:line="160" w:lineRule="exact" w:before="64"/>
              <w:ind w:left="612"/>
              <w:rPr>
                <w:b/>
                <w:sz w:val="14"/>
              </w:rPr>
            </w:pPr>
            <w:r>
              <w:rPr>
                <w:b/>
                <w:spacing w:val="4"/>
                <w:sz w:val="14"/>
              </w:rPr>
              <w:t>FY2019</w:t>
            </w:r>
          </w:p>
          <w:p>
            <w:pPr>
              <w:pStyle w:val="TableParagraph"/>
              <w:spacing w:line="160" w:lineRule="exact"/>
              <w:ind w:left="578"/>
              <w:rPr>
                <w:b/>
                <w:sz w:val="14"/>
              </w:rPr>
            </w:pPr>
            <w:r>
              <w:rPr>
                <w:b/>
                <w:sz w:val="14"/>
              </w:rPr>
              <w:t>Estimate</w:t>
            </w:r>
          </w:p>
        </w:tc>
        <w:tc>
          <w:tcPr>
            <w:tcW w:w="1533" w:type="dxa"/>
            <w:tcBorders>
              <w:top w:val="single" w:sz="18" w:space="0" w:color="000000"/>
              <w:bottom w:val="single" w:sz="18" w:space="0" w:color="000000"/>
            </w:tcBorders>
          </w:tcPr>
          <w:p>
            <w:pPr>
              <w:pStyle w:val="TableParagraph"/>
              <w:spacing w:line="160" w:lineRule="exact" w:before="64"/>
              <w:ind w:left="525"/>
              <w:rPr>
                <w:b/>
                <w:sz w:val="14"/>
              </w:rPr>
            </w:pPr>
            <w:r>
              <w:rPr>
                <w:b/>
                <w:spacing w:val="4"/>
                <w:sz w:val="14"/>
              </w:rPr>
              <w:t>FY2020</w:t>
            </w:r>
          </w:p>
          <w:p>
            <w:pPr>
              <w:pStyle w:val="TableParagraph"/>
              <w:spacing w:line="160" w:lineRule="exact"/>
              <w:ind w:left="553"/>
              <w:rPr>
                <w:b/>
                <w:sz w:val="14"/>
              </w:rPr>
            </w:pPr>
            <w:r>
              <w:rPr>
                <w:b/>
                <w:sz w:val="14"/>
              </w:rPr>
              <w:t>Budget</w:t>
            </w:r>
          </w:p>
        </w:tc>
        <w:tc>
          <w:tcPr>
            <w:tcW w:w="1467" w:type="dxa"/>
            <w:tcBorders>
              <w:top w:val="single" w:sz="18" w:space="0" w:color="000000"/>
              <w:bottom w:val="single" w:sz="18" w:space="0" w:color="000000"/>
            </w:tcBorders>
          </w:tcPr>
          <w:p>
            <w:pPr>
              <w:pStyle w:val="TableParagraph"/>
              <w:spacing w:line="160" w:lineRule="exact" w:before="64"/>
              <w:ind w:left="465"/>
              <w:rPr>
                <w:b/>
                <w:sz w:val="14"/>
              </w:rPr>
            </w:pPr>
            <w:r>
              <w:rPr>
                <w:b/>
                <w:sz w:val="14"/>
              </w:rPr>
              <w:t>FY2021</w:t>
            </w:r>
          </w:p>
          <w:p>
            <w:pPr>
              <w:pStyle w:val="TableParagraph"/>
              <w:spacing w:line="160" w:lineRule="exact"/>
              <w:ind w:left="375"/>
              <w:rPr>
                <w:b/>
                <w:sz w:val="14"/>
              </w:rPr>
            </w:pPr>
            <w:r>
              <w:rPr>
                <w:b/>
                <w:sz w:val="14"/>
              </w:rPr>
              <w:t>Indicative</w:t>
            </w:r>
          </w:p>
        </w:tc>
        <w:tc>
          <w:tcPr>
            <w:tcW w:w="1489" w:type="dxa"/>
            <w:tcBorders>
              <w:top w:val="single" w:sz="18" w:space="0" w:color="000000"/>
              <w:bottom w:val="single" w:sz="18" w:space="0" w:color="000000"/>
            </w:tcBorders>
          </w:tcPr>
          <w:p>
            <w:pPr>
              <w:pStyle w:val="TableParagraph"/>
              <w:spacing w:line="160" w:lineRule="exact" w:before="64"/>
              <w:ind w:left="582"/>
              <w:rPr>
                <w:b/>
                <w:sz w:val="14"/>
              </w:rPr>
            </w:pPr>
            <w:r>
              <w:rPr>
                <w:b/>
                <w:sz w:val="14"/>
              </w:rPr>
              <w:t>FY2022</w:t>
            </w:r>
          </w:p>
          <w:p>
            <w:pPr>
              <w:pStyle w:val="TableParagraph"/>
              <w:spacing w:line="160" w:lineRule="exact"/>
              <w:ind w:left="497"/>
              <w:rPr>
                <w:b/>
                <w:sz w:val="14"/>
              </w:rPr>
            </w:pPr>
            <w:r>
              <w:rPr>
                <w:b/>
                <w:sz w:val="14"/>
              </w:rPr>
              <w:t>Indicative</w:t>
            </w:r>
          </w:p>
        </w:tc>
      </w:tr>
      <w:tr>
        <w:trPr>
          <w:trHeight w:val="390" w:hRule="atLeast"/>
        </w:trPr>
        <w:tc>
          <w:tcPr>
            <w:tcW w:w="7594" w:type="dxa"/>
            <w:tcBorders>
              <w:top w:val="single" w:sz="18" w:space="0" w:color="000000"/>
            </w:tcBorders>
          </w:tcPr>
          <w:p>
            <w:pPr>
              <w:pStyle w:val="TableParagraph"/>
              <w:spacing w:before="137"/>
              <w:ind w:left="167"/>
              <w:rPr>
                <w:sz w:val="16"/>
              </w:rPr>
            </w:pPr>
            <w:r>
              <w:rPr>
                <w:sz w:val="16"/>
              </w:rPr>
              <w:t>Wages and Salaries</w:t>
            </w:r>
          </w:p>
        </w:tc>
        <w:tc>
          <w:tcPr>
            <w:tcW w:w="49" w:type="dxa"/>
            <w:tcBorders>
              <w:top w:val="single" w:sz="18" w:space="0" w:color="000000"/>
            </w:tcBorders>
          </w:tcPr>
          <w:p>
            <w:pPr>
              <w:pStyle w:val="TableParagraph"/>
              <w:rPr>
                <w:rFonts w:ascii="Times New Roman"/>
                <w:sz w:val="14"/>
              </w:rPr>
            </w:pPr>
          </w:p>
        </w:tc>
        <w:tc>
          <w:tcPr>
            <w:tcW w:w="1158" w:type="dxa"/>
            <w:tcBorders>
              <w:top w:val="single" w:sz="18" w:space="0" w:color="000000"/>
            </w:tcBorders>
          </w:tcPr>
          <w:p>
            <w:pPr>
              <w:pStyle w:val="TableParagraph"/>
              <w:spacing w:before="137"/>
              <w:ind w:left="-7" w:right="343"/>
              <w:jc w:val="right"/>
              <w:rPr>
                <w:sz w:val="16"/>
              </w:rPr>
            </w:pPr>
            <w:r>
              <w:rPr>
                <w:spacing w:val="6"/>
                <w:sz w:val="16"/>
              </w:rPr>
              <w:t>2,</w:t>
            </w:r>
            <w:r>
              <w:rPr>
                <w:spacing w:val="-28"/>
                <w:sz w:val="16"/>
              </w:rPr>
              <w:t> </w:t>
            </w:r>
            <w:r>
              <w:rPr>
                <w:spacing w:val="8"/>
                <w:sz w:val="16"/>
              </w:rPr>
              <w:t>056</w:t>
            </w:r>
            <w:r>
              <w:rPr>
                <w:spacing w:val="-30"/>
                <w:sz w:val="16"/>
              </w:rPr>
              <w:t> </w:t>
            </w:r>
            <w:r>
              <w:rPr>
                <w:sz w:val="16"/>
              </w:rPr>
              <w:t>,</w:t>
            </w:r>
            <w:r>
              <w:rPr>
                <w:spacing w:val="-31"/>
                <w:sz w:val="16"/>
              </w:rPr>
              <w:t> </w:t>
            </w:r>
            <w:r>
              <w:rPr>
                <w:spacing w:val="3"/>
                <w:sz w:val="16"/>
              </w:rPr>
              <w:t>689</w:t>
            </w:r>
          </w:p>
        </w:tc>
        <w:tc>
          <w:tcPr>
            <w:tcW w:w="1508" w:type="dxa"/>
            <w:tcBorders>
              <w:top w:val="single" w:sz="18" w:space="0" w:color="000000"/>
            </w:tcBorders>
          </w:tcPr>
          <w:p>
            <w:pPr>
              <w:pStyle w:val="TableParagraph"/>
              <w:spacing w:before="137"/>
              <w:ind w:left="339"/>
              <w:rPr>
                <w:sz w:val="16"/>
              </w:rPr>
            </w:pPr>
            <w:r>
              <w:rPr>
                <w:sz w:val="16"/>
              </w:rPr>
              <w:t>2, 587, 945</w:t>
            </w:r>
          </w:p>
        </w:tc>
        <w:tc>
          <w:tcPr>
            <w:tcW w:w="1533" w:type="dxa"/>
            <w:tcBorders>
              <w:top w:val="single" w:sz="18" w:space="0" w:color="000000"/>
            </w:tcBorders>
          </w:tcPr>
          <w:p>
            <w:pPr>
              <w:pStyle w:val="TableParagraph"/>
              <w:spacing w:before="137"/>
              <w:ind w:right="374"/>
              <w:jc w:val="right"/>
              <w:rPr>
                <w:sz w:val="16"/>
              </w:rPr>
            </w:pPr>
            <w:r>
              <w:rPr>
                <w:sz w:val="16"/>
              </w:rPr>
              <w:t>3, 174, 476</w:t>
            </w:r>
          </w:p>
        </w:tc>
        <w:tc>
          <w:tcPr>
            <w:tcW w:w="1467" w:type="dxa"/>
            <w:tcBorders>
              <w:top w:val="single" w:sz="18" w:space="0" w:color="000000"/>
            </w:tcBorders>
          </w:tcPr>
          <w:p>
            <w:pPr>
              <w:pStyle w:val="TableParagraph"/>
              <w:spacing w:before="137"/>
              <w:ind w:left="345"/>
              <w:rPr>
                <w:sz w:val="16"/>
              </w:rPr>
            </w:pPr>
            <w:r>
              <w:rPr>
                <w:sz w:val="16"/>
              </w:rPr>
              <w:t>3, 493 , 187</w:t>
            </w:r>
          </w:p>
        </w:tc>
        <w:tc>
          <w:tcPr>
            <w:tcW w:w="1489" w:type="dxa"/>
            <w:tcBorders>
              <w:top w:val="single" w:sz="18" w:space="0" w:color="000000"/>
            </w:tcBorders>
          </w:tcPr>
          <w:p>
            <w:pPr>
              <w:pStyle w:val="TableParagraph"/>
              <w:spacing w:before="137"/>
              <w:ind w:left="309"/>
              <w:rPr>
                <w:sz w:val="16"/>
              </w:rPr>
            </w:pPr>
            <w:r>
              <w:rPr>
                <w:sz w:val="16"/>
              </w:rPr>
              <w:t>3, 630, 940</w:t>
            </w:r>
          </w:p>
        </w:tc>
      </w:tr>
      <w:tr>
        <w:trPr>
          <w:trHeight w:val="319" w:hRule="atLeast"/>
        </w:trPr>
        <w:tc>
          <w:tcPr>
            <w:tcW w:w="7594" w:type="dxa"/>
          </w:tcPr>
          <w:p>
            <w:pPr>
              <w:pStyle w:val="TableParagraph"/>
              <w:spacing w:before="63"/>
              <w:ind w:left="167"/>
              <w:rPr>
                <w:sz w:val="16"/>
              </w:rPr>
            </w:pPr>
            <w:r>
              <w:rPr>
                <w:sz w:val="16"/>
              </w:rPr>
              <w:t>Non-Salary, Non- Interest, Recurrent Expenditures</w:t>
            </w:r>
          </w:p>
        </w:tc>
        <w:tc>
          <w:tcPr>
            <w:tcW w:w="49" w:type="dxa"/>
          </w:tcPr>
          <w:p>
            <w:pPr>
              <w:pStyle w:val="TableParagraph"/>
              <w:rPr>
                <w:rFonts w:ascii="Times New Roman"/>
                <w:sz w:val="14"/>
              </w:rPr>
            </w:pPr>
          </w:p>
        </w:tc>
        <w:tc>
          <w:tcPr>
            <w:tcW w:w="1158" w:type="dxa"/>
          </w:tcPr>
          <w:p>
            <w:pPr>
              <w:pStyle w:val="TableParagraph"/>
              <w:spacing w:before="63"/>
              <w:ind w:left="-7" w:right="343"/>
              <w:jc w:val="right"/>
              <w:rPr>
                <w:sz w:val="16"/>
              </w:rPr>
            </w:pPr>
            <w:r>
              <w:rPr>
                <w:spacing w:val="6"/>
                <w:sz w:val="16"/>
              </w:rPr>
              <w:t>2,</w:t>
            </w:r>
            <w:r>
              <w:rPr>
                <w:spacing w:val="-28"/>
                <w:sz w:val="16"/>
              </w:rPr>
              <w:t> </w:t>
            </w:r>
            <w:r>
              <w:rPr>
                <w:spacing w:val="8"/>
                <w:sz w:val="16"/>
              </w:rPr>
              <w:t>145</w:t>
            </w:r>
            <w:r>
              <w:rPr>
                <w:spacing w:val="-30"/>
                <w:sz w:val="16"/>
              </w:rPr>
              <w:t> </w:t>
            </w:r>
            <w:r>
              <w:rPr>
                <w:sz w:val="16"/>
              </w:rPr>
              <w:t>,</w:t>
            </w:r>
            <w:r>
              <w:rPr>
                <w:spacing w:val="-31"/>
                <w:sz w:val="16"/>
              </w:rPr>
              <w:t> </w:t>
            </w:r>
            <w:r>
              <w:rPr>
                <w:spacing w:val="3"/>
                <w:sz w:val="16"/>
              </w:rPr>
              <w:t>953</w:t>
            </w:r>
          </w:p>
        </w:tc>
        <w:tc>
          <w:tcPr>
            <w:tcW w:w="1508" w:type="dxa"/>
          </w:tcPr>
          <w:p>
            <w:pPr>
              <w:pStyle w:val="TableParagraph"/>
              <w:spacing w:before="63"/>
              <w:ind w:left="339"/>
              <w:rPr>
                <w:sz w:val="16"/>
              </w:rPr>
            </w:pPr>
            <w:r>
              <w:rPr>
                <w:sz w:val="16"/>
              </w:rPr>
              <w:t>2, 139, 431</w:t>
            </w:r>
          </w:p>
        </w:tc>
        <w:tc>
          <w:tcPr>
            <w:tcW w:w="1533" w:type="dxa"/>
          </w:tcPr>
          <w:p>
            <w:pPr>
              <w:pStyle w:val="TableParagraph"/>
              <w:spacing w:before="63"/>
              <w:ind w:right="374"/>
              <w:jc w:val="right"/>
              <w:rPr>
                <w:sz w:val="16"/>
              </w:rPr>
            </w:pPr>
            <w:r>
              <w:rPr>
                <w:sz w:val="16"/>
              </w:rPr>
              <w:t>2, 079, 730</w:t>
            </w:r>
          </w:p>
        </w:tc>
        <w:tc>
          <w:tcPr>
            <w:tcW w:w="1467" w:type="dxa"/>
          </w:tcPr>
          <w:p>
            <w:pPr>
              <w:pStyle w:val="TableParagraph"/>
              <w:spacing w:before="63"/>
              <w:ind w:left="345"/>
              <w:rPr>
                <w:sz w:val="16"/>
              </w:rPr>
            </w:pPr>
            <w:r>
              <w:rPr>
                <w:sz w:val="16"/>
              </w:rPr>
              <w:t>2, 488 , 180</w:t>
            </w:r>
          </w:p>
        </w:tc>
        <w:tc>
          <w:tcPr>
            <w:tcW w:w="1489" w:type="dxa"/>
          </w:tcPr>
          <w:p>
            <w:pPr>
              <w:pStyle w:val="TableParagraph"/>
              <w:spacing w:before="63"/>
              <w:ind w:left="309"/>
              <w:rPr>
                <w:sz w:val="16"/>
              </w:rPr>
            </w:pPr>
            <w:r>
              <w:rPr>
                <w:sz w:val="16"/>
              </w:rPr>
              <w:t>2, 917, 308</w:t>
            </w:r>
          </w:p>
        </w:tc>
      </w:tr>
      <w:tr>
        <w:trPr>
          <w:trHeight w:val="543" w:hRule="atLeast"/>
        </w:trPr>
        <w:tc>
          <w:tcPr>
            <w:tcW w:w="7594" w:type="dxa"/>
          </w:tcPr>
          <w:p>
            <w:pPr>
              <w:pStyle w:val="TableParagraph"/>
              <w:spacing w:before="65"/>
              <w:ind w:left="168"/>
              <w:rPr>
                <w:sz w:val="16"/>
              </w:rPr>
            </w:pPr>
            <w:r>
              <w:rPr>
                <w:sz w:val="16"/>
              </w:rPr>
              <w:t>Domestic Capital</w:t>
            </w:r>
          </w:p>
        </w:tc>
        <w:tc>
          <w:tcPr>
            <w:tcW w:w="49" w:type="dxa"/>
          </w:tcPr>
          <w:p>
            <w:pPr>
              <w:pStyle w:val="TableParagraph"/>
              <w:rPr>
                <w:rFonts w:ascii="Times New Roman"/>
                <w:sz w:val="14"/>
              </w:rPr>
            </w:pPr>
          </w:p>
        </w:tc>
        <w:tc>
          <w:tcPr>
            <w:tcW w:w="1158" w:type="dxa"/>
            <w:tcBorders>
              <w:bottom w:val="single" w:sz="18" w:space="0" w:color="000000"/>
            </w:tcBorders>
          </w:tcPr>
          <w:p>
            <w:pPr>
              <w:pStyle w:val="TableParagraph"/>
              <w:spacing w:before="65"/>
              <w:ind w:left="-7" w:right="334"/>
              <w:jc w:val="right"/>
              <w:rPr>
                <w:sz w:val="16"/>
              </w:rPr>
            </w:pPr>
            <w:r>
              <w:rPr>
                <w:sz w:val="16"/>
              </w:rPr>
              <w:t>674 , 137</w:t>
            </w:r>
          </w:p>
        </w:tc>
        <w:tc>
          <w:tcPr>
            <w:tcW w:w="1508" w:type="dxa"/>
            <w:tcBorders>
              <w:bottom w:val="single" w:sz="18" w:space="0" w:color="000000"/>
            </w:tcBorders>
          </w:tcPr>
          <w:p>
            <w:pPr>
              <w:pStyle w:val="TableParagraph"/>
              <w:spacing w:before="65"/>
              <w:ind w:right="368"/>
              <w:jc w:val="right"/>
              <w:rPr>
                <w:sz w:val="16"/>
              </w:rPr>
            </w:pPr>
            <w:r>
              <w:rPr>
                <w:sz w:val="16"/>
              </w:rPr>
              <w:t>899, 006</w:t>
            </w:r>
          </w:p>
        </w:tc>
        <w:tc>
          <w:tcPr>
            <w:tcW w:w="1533" w:type="dxa"/>
            <w:tcBorders>
              <w:bottom w:val="single" w:sz="18" w:space="0" w:color="000000"/>
            </w:tcBorders>
          </w:tcPr>
          <w:p>
            <w:pPr>
              <w:pStyle w:val="TableParagraph"/>
              <w:spacing w:before="65"/>
              <w:ind w:right="374"/>
              <w:jc w:val="right"/>
              <w:rPr>
                <w:sz w:val="16"/>
              </w:rPr>
            </w:pPr>
            <w:r>
              <w:rPr>
                <w:sz w:val="16"/>
              </w:rPr>
              <w:t>1, 060, 031</w:t>
            </w:r>
          </w:p>
        </w:tc>
        <w:tc>
          <w:tcPr>
            <w:tcW w:w="1467" w:type="dxa"/>
            <w:tcBorders>
              <w:bottom w:val="single" w:sz="18" w:space="0" w:color="000000"/>
            </w:tcBorders>
          </w:tcPr>
          <w:p>
            <w:pPr>
              <w:pStyle w:val="TableParagraph"/>
              <w:spacing w:before="65"/>
              <w:ind w:left="345"/>
              <w:rPr>
                <w:sz w:val="16"/>
              </w:rPr>
            </w:pPr>
            <w:r>
              <w:rPr>
                <w:sz w:val="16"/>
              </w:rPr>
              <w:t>1, 500 , 061</w:t>
            </w:r>
          </w:p>
        </w:tc>
        <w:tc>
          <w:tcPr>
            <w:tcW w:w="1489" w:type="dxa"/>
            <w:tcBorders>
              <w:bottom w:val="single" w:sz="18" w:space="0" w:color="000000"/>
            </w:tcBorders>
          </w:tcPr>
          <w:p>
            <w:pPr>
              <w:pStyle w:val="TableParagraph"/>
              <w:spacing w:before="65"/>
              <w:ind w:left="309"/>
              <w:rPr>
                <w:sz w:val="16"/>
              </w:rPr>
            </w:pPr>
            <w:r>
              <w:rPr>
                <w:sz w:val="16"/>
              </w:rPr>
              <w:t>1, 603, 500</w:t>
            </w:r>
          </w:p>
        </w:tc>
      </w:tr>
      <w:tr>
        <w:trPr>
          <w:trHeight w:val="353" w:hRule="atLeast"/>
        </w:trPr>
        <w:tc>
          <w:tcPr>
            <w:tcW w:w="7594" w:type="dxa"/>
          </w:tcPr>
          <w:p>
            <w:pPr>
              <w:pStyle w:val="TableParagraph"/>
              <w:spacing w:before="115"/>
              <w:ind w:left="168"/>
              <w:rPr>
                <w:b/>
                <w:sz w:val="16"/>
              </w:rPr>
            </w:pPr>
            <w:r>
              <w:rPr>
                <w:b/>
                <w:sz w:val="16"/>
              </w:rPr>
              <w:t>Total Government Discretionary Budget</w:t>
            </w:r>
          </w:p>
        </w:tc>
        <w:tc>
          <w:tcPr>
            <w:tcW w:w="49" w:type="dxa"/>
            <w:tcBorders>
              <w:bottom w:val="single" w:sz="18" w:space="0" w:color="000000"/>
            </w:tcBorders>
          </w:tcPr>
          <w:p>
            <w:pPr>
              <w:pStyle w:val="TableParagraph"/>
              <w:rPr>
                <w:rFonts w:ascii="Times New Roman"/>
                <w:sz w:val="14"/>
              </w:rPr>
            </w:pPr>
          </w:p>
        </w:tc>
        <w:tc>
          <w:tcPr>
            <w:tcW w:w="1158" w:type="dxa"/>
            <w:tcBorders>
              <w:top w:val="single" w:sz="18" w:space="0" w:color="000000"/>
              <w:bottom w:val="single" w:sz="18" w:space="0" w:color="000000"/>
            </w:tcBorders>
          </w:tcPr>
          <w:p>
            <w:pPr>
              <w:pStyle w:val="TableParagraph"/>
              <w:spacing w:before="115"/>
              <w:ind w:left="-7" w:right="373"/>
              <w:jc w:val="right"/>
              <w:rPr>
                <w:b/>
                <w:sz w:val="16"/>
              </w:rPr>
            </w:pPr>
            <w:r>
              <w:rPr>
                <w:b/>
                <w:w w:val="95"/>
                <w:sz w:val="16"/>
              </w:rPr>
              <w:t>4,876,779</w:t>
            </w:r>
          </w:p>
        </w:tc>
        <w:tc>
          <w:tcPr>
            <w:tcW w:w="1508" w:type="dxa"/>
            <w:tcBorders>
              <w:top w:val="single" w:sz="18" w:space="0" w:color="000000"/>
              <w:bottom w:val="single" w:sz="18" w:space="0" w:color="000000"/>
            </w:tcBorders>
          </w:tcPr>
          <w:p>
            <w:pPr>
              <w:pStyle w:val="TableParagraph"/>
              <w:spacing w:before="115"/>
              <w:ind w:left="301"/>
              <w:rPr>
                <w:b/>
                <w:sz w:val="16"/>
              </w:rPr>
            </w:pPr>
            <w:r>
              <w:rPr>
                <w:b/>
                <w:sz w:val="16"/>
              </w:rPr>
              <w:t>5,626,382</w:t>
            </w:r>
          </w:p>
        </w:tc>
        <w:tc>
          <w:tcPr>
            <w:tcW w:w="1533" w:type="dxa"/>
            <w:tcBorders>
              <w:top w:val="single" w:sz="18" w:space="0" w:color="000000"/>
              <w:bottom w:val="single" w:sz="18" w:space="0" w:color="000000"/>
            </w:tcBorders>
          </w:tcPr>
          <w:p>
            <w:pPr>
              <w:pStyle w:val="TableParagraph"/>
              <w:spacing w:before="115"/>
              <w:ind w:right="409"/>
              <w:jc w:val="right"/>
              <w:rPr>
                <w:b/>
                <w:sz w:val="16"/>
              </w:rPr>
            </w:pPr>
            <w:r>
              <w:rPr>
                <w:b/>
                <w:w w:val="95"/>
                <w:sz w:val="16"/>
              </w:rPr>
              <w:t>6,314,237</w:t>
            </w:r>
          </w:p>
        </w:tc>
        <w:tc>
          <w:tcPr>
            <w:tcW w:w="1467" w:type="dxa"/>
            <w:tcBorders>
              <w:top w:val="single" w:sz="18" w:space="0" w:color="000000"/>
              <w:bottom w:val="single" w:sz="18" w:space="0" w:color="000000"/>
            </w:tcBorders>
          </w:tcPr>
          <w:p>
            <w:pPr>
              <w:pStyle w:val="TableParagraph"/>
              <w:spacing w:before="115"/>
              <w:ind w:left="346"/>
              <w:rPr>
                <w:b/>
                <w:sz w:val="16"/>
              </w:rPr>
            </w:pPr>
            <w:r>
              <w:rPr>
                <w:b/>
                <w:sz w:val="16"/>
              </w:rPr>
              <w:t>7,481,428</w:t>
            </w:r>
          </w:p>
        </w:tc>
        <w:tc>
          <w:tcPr>
            <w:tcW w:w="1489" w:type="dxa"/>
            <w:tcBorders>
              <w:top w:val="single" w:sz="18" w:space="0" w:color="000000"/>
              <w:bottom w:val="single" w:sz="18" w:space="0" w:color="000000"/>
            </w:tcBorders>
          </w:tcPr>
          <w:p>
            <w:pPr>
              <w:pStyle w:val="TableParagraph"/>
              <w:spacing w:before="115"/>
              <w:ind w:left="290"/>
              <w:rPr>
                <w:b/>
                <w:sz w:val="16"/>
              </w:rPr>
            </w:pPr>
            <w:r>
              <w:rPr>
                <w:b/>
                <w:sz w:val="16"/>
              </w:rPr>
              <w:t>8,151,748</w:t>
            </w:r>
          </w:p>
        </w:tc>
      </w:tr>
      <w:tr>
        <w:trPr>
          <w:trHeight w:val="932" w:hRule="atLeast"/>
        </w:trPr>
        <w:tc>
          <w:tcPr>
            <w:tcW w:w="7594" w:type="dxa"/>
          </w:tcPr>
          <w:p>
            <w:pPr>
              <w:pStyle w:val="TableParagraph"/>
              <w:rPr>
                <w:b/>
                <w:sz w:val="18"/>
              </w:rPr>
            </w:pPr>
          </w:p>
          <w:p>
            <w:pPr>
              <w:pStyle w:val="TableParagraph"/>
              <w:spacing w:before="153"/>
              <w:ind w:left="167"/>
              <w:rPr>
                <w:b/>
                <w:sz w:val="16"/>
              </w:rPr>
            </w:pPr>
            <w:r>
              <w:rPr>
                <w:b/>
                <w:sz w:val="16"/>
              </w:rPr>
              <w:t>Agriculture Sector Programmes</w:t>
            </w:r>
          </w:p>
          <w:p>
            <w:pPr>
              <w:pStyle w:val="TableParagraph"/>
              <w:spacing w:before="133"/>
              <w:ind w:left="336"/>
              <w:rPr>
                <w:sz w:val="16"/>
              </w:rPr>
            </w:pPr>
            <w:r>
              <w:rPr>
                <w:sz w:val="16"/>
              </w:rPr>
              <w:t>Salaries for Agriculture Workers</w:t>
            </w:r>
          </w:p>
        </w:tc>
        <w:tc>
          <w:tcPr>
            <w:tcW w:w="49" w:type="dxa"/>
            <w:tcBorders>
              <w:top w:val="single" w:sz="18" w:space="0" w:color="000000"/>
            </w:tcBorders>
          </w:tcPr>
          <w:p>
            <w:pPr>
              <w:pStyle w:val="TableParagraph"/>
              <w:rPr>
                <w:rFonts w:ascii="Times New Roman"/>
                <w:sz w:val="14"/>
              </w:rPr>
            </w:pPr>
          </w:p>
        </w:tc>
        <w:tc>
          <w:tcPr>
            <w:tcW w:w="1158" w:type="dxa"/>
            <w:tcBorders>
              <w:top w:val="single" w:sz="18" w:space="0" w:color="000000"/>
            </w:tcBorders>
          </w:tcPr>
          <w:p>
            <w:pPr>
              <w:pStyle w:val="TableParagraph"/>
              <w:rPr>
                <w:b/>
                <w:sz w:val="18"/>
              </w:rPr>
            </w:pPr>
          </w:p>
          <w:p>
            <w:pPr>
              <w:pStyle w:val="TableParagraph"/>
              <w:rPr>
                <w:b/>
                <w:sz w:val="18"/>
              </w:rPr>
            </w:pPr>
          </w:p>
          <w:p>
            <w:pPr>
              <w:pStyle w:val="TableParagraph"/>
              <w:spacing w:before="10"/>
              <w:rPr>
                <w:b/>
                <w:sz w:val="22"/>
              </w:rPr>
            </w:pPr>
          </w:p>
          <w:p>
            <w:pPr>
              <w:pStyle w:val="TableParagraph"/>
              <w:ind w:left="-7" w:right="329"/>
              <w:jc w:val="right"/>
              <w:rPr>
                <w:sz w:val="16"/>
              </w:rPr>
            </w:pPr>
            <w:r>
              <w:rPr>
                <w:sz w:val="16"/>
              </w:rPr>
              <w:t>12 , 907</w:t>
            </w:r>
          </w:p>
        </w:tc>
        <w:tc>
          <w:tcPr>
            <w:tcW w:w="1508" w:type="dxa"/>
            <w:tcBorders>
              <w:top w:val="single" w:sz="18" w:space="0" w:color="000000"/>
            </w:tcBorders>
          </w:tcPr>
          <w:p>
            <w:pPr>
              <w:pStyle w:val="TableParagraph"/>
              <w:rPr>
                <w:b/>
                <w:sz w:val="18"/>
              </w:rPr>
            </w:pPr>
          </w:p>
          <w:p>
            <w:pPr>
              <w:pStyle w:val="TableParagraph"/>
              <w:rPr>
                <w:b/>
                <w:sz w:val="18"/>
              </w:rPr>
            </w:pPr>
          </w:p>
          <w:p>
            <w:pPr>
              <w:pStyle w:val="TableParagraph"/>
              <w:spacing w:before="10"/>
              <w:rPr>
                <w:b/>
                <w:sz w:val="22"/>
              </w:rPr>
            </w:pPr>
          </w:p>
          <w:p>
            <w:pPr>
              <w:pStyle w:val="TableParagraph"/>
              <w:ind w:right="358"/>
              <w:jc w:val="right"/>
              <w:rPr>
                <w:sz w:val="16"/>
              </w:rPr>
            </w:pPr>
            <w:r>
              <w:rPr>
                <w:sz w:val="16"/>
              </w:rPr>
              <w:t>13, 647</w:t>
            </w:r>
          </w:p>
        </w:tc>
        <w:tc>
          <w:tcPr>
            <w:tcW w:w="1533" w:type="dxa"/>
            <w:tcBorders>
              <w:top w:val="single" w:sz="18" w:space="0" w:color="000000"/>
            </w:tcBorders>
          </w:tcPr>
          <w:p>
            <w:pPr>
              <w:pStyle w:val="TableParagraph"/>
              <w:rPr>
                <w:b/>
                <w:sz w:val="18"/>
              </w:rPr>
            </w:pPr>
          </w:p>
          <w:p>
            <w:pPr>
              <w:pStyle w:val="TableParagraph"/>
              <w:rPr>
                <w:b/>
                <w:sz w:val="18"/>
              </w:rPr>
            </w:pPr>
          </w:p>
          <w:p>
            <w:pPr>
              <w:pStyle w:val="TableParagraph"/>
              <w:spacing w:before="10"/>
              <w:rPr>
                <w:b/>
                <w:sz w:val="22"/>
              </w:rPr>
            </w:pPr>
          </w:p>
          <w:p>
            <w:pPr>
              <w:pStyle w:val="TableParagraph"/>
              <w:ind w:right="360"/>
              <w:jc w:val="right"/>
              <w:rPr>
                <w:sz w:val="16"/>
              </w:rPr>
            </w:pPr>
            <w:r>
              <w:rPr>
                <w:sz w:val="16"/>
              </w:rPr>
              <w:t>17, 293</w:t>
            </w:r>
          </w:p>
        </w:tc>
        <w:tc>
          <w:tcPr>
            <w:tcW w:w="1467" w:type="dxa"/>
            <w:tcBorders>
              <w:top w:val="single" w:sz="18" w:space="0" w:color="000000"/>
            </w:tcBorders>
          </w:tcPr>
          <w:p>
            <w:pPr>
              <w:pStyle w:val="TableParagraph"/>
              <w:rPr>
                <w:b/>
                <w:sz w:val="18"/>
              </w:rPr>
            </w:pPr>
          </w:p>
          <w:p>
            <w:pPr>
              <w:pStyle w:val="TableParagraph"/>
              <w:rPr>
                <w:b/>
                <w:sz w:val="18"/>
              </w:rPr>
            </w:pPr>
          </w:p>
          <w:p>
            <w:pPr>
              <w:pStyle w:val="TableParagraph"/>
              <w:spacing w:before="10"/>
              <w:rPr>
                <w:b/>
                <w:sz w:val="22"/>
              </w:rPr>
            </w:pPr>
          </w:p>
          <w:p>
            <w:pPr>
              <w:pStyle w:val="TableParagraph"/>
              <w:ind w:left="480"/>
              <w:rPr>
                <w:sz w:val="16"/>
              </w:rPr>
            </w:pPr>
            <w:r>
              <w:rPr>
                <w:sz w:val="16"/>
              </w:rPr>
              <w:t>18 , 158</w:t>
            </w:r>
          </w:p>
        </w:tc>
        <w:tc>
          <w:tcPr>
            <w:tcW w:w="1489" w:type="dxa"/>
            <w:tcBorders>
              <w:top w:val="single" w:sz="18" w:space="0" w:color="000000"/>
            </w:tcBorders>
          </w:tcPr>
          <w:p>
            <w:pPr>
              <w:pStyle w:val="TableParagraph"/>
              <w:rPr>
                <w:b/>
                <w:sz w:val="18"/>
              </w:rPr>
            </w:pPr>
          </w:p>
          <w:p>
            <w:pPr>
              <w:pStyle w:val="TableParagraph"/>
              <w:rPr>
                <w:b/>
                <w:sz w:val="18"/>
              </w:rPr>
            </w:pPr>
          </w:p>
          <w:p>
            <w:pPr>
              <w:pStyle w:val="TableParagraph"/>
              <w:spacing w:before="10"/>
              <w:rPr>
                <w:b/>
                <w:sz w:val="22"/>
              </w:rPr>
            </w:pPr>
          </w:p>
          <w:p>
            <w:pPr>
              <w:pStyle w:val="TableParagraph"/>
              <w:ind w:right="369"/>
              <w:jc w:val="right"/>
              <w:rPr>
                <w:sz w:val="16"/>
              </w:rPr>
            </w:pPr>
            <w:r>
              <w:rPr>
                <w:sz w:val="16"/>
              </w:rPr>
              <w:t>19, 066</w:t>
            </w:r>
          </w:p>
        </w:tc>
      </w:tr>
      <w:tr>
        <w:trPr>
          <w:trHeight w:val="321" w:hRule="atLeast"/>
        </w:trPr>
        <w:tc>
          <w:tcPr>
            <w:tcW w:w="7594" w:type="dxa"/>
          </w:tcPr>
          <w:p>
            <w:pPr>
              <w:pStyle w:val="TableParagraph"/>
              <w:spacing w:before="65"/>
              <w:ind w:left="336"/>
              <w:rPr>
                <w:sz w:val="16"/>
              </w:rPr>
            </w:pPr>
            <w:r>
              <w:rPr>
                <w:sz w:val="16"/>
              </w:rPr>
              <w:t>Salaries for Fisheries and Marine Workers</w:t>
            </w:r>
          </w:p>
        </w:tc>
        <w:tc>
          <w:tcPr>
            <w:tcW w:w="49" w:type="dxa"/>
          </w:tcPr>
          <w:p>
            <w:pPr>
              <w:pStyle w:val="TableParagraph"/>
              <w:rPr>
                <w:rFonts w:ascii="Times New Roman"/>
                <w:sz w:val="14"/>
              </w:rPr>
            </w:pPr>
          </w:p>
        </w:tc>
        <w:tc>
          <w:tcPr>
            <w:tcW w:w="1158" w:type="dxa"/>
          </w:tcPr>
          <w:p>
            <w:pPr>
              <w:pStyle w:val="TableParagraph"/>
              <w:spacing w:before="65"/>
              <w:ind w:left="-7" w:right="319"/>
              <w:jc w:val="right"/>
              <w:rPr>
                <w:sz w:val="16"/>
              </w:rPr>
            </w:pPr>
            <w:r>
              <w:rPr>
                <w:sz w:val="16"/>
              </w:rPr>
              <w:t>1, 235</w:t>
            </w:r>
          </w:p>
        </w:tc>
        <w:tc>
          <w:tcPr>
            <w:tcW w:w="1508" w:type="dxa"/>
          </w:tcPr>
          <w:p>
            <w:pPr>
              <w:pStyle w:val="TableParagraph"/>
              <w:spacing w:before="65"/>
              <w:ind w:right="358"/>
              <w:jc w:val="right"/>
              <w:rPr>
                <w:sz w:val="16"/>
              </w:rPr>
            </w:pPr>
            <w:r>
              <w:rPr>
                <w:sz w:val="16"/>
              </w:rPr>
              <w:t>29, 390</w:t>
            </w:r>
          </w:p>
        </w:tc>
        <w:tc>
          <w:tcPr>
            <w:tcW w:w="1533" w:type="dxa"/>
          </w:tcPr>
          <w:p>
            <w:pPr>
              <w:pStyle w:val="TableParagraph"/>
              <w:spacing w:before="65"/>
              <w:ind w:right="355"/>
              <w:jc w:val="right"/>
              <w:rPr>
                <w:sz w:val="16"/>
              </w:rPr>
            </w:pPr>
            <w:r>
              <w:rPr>
                <w:sz w:val="16"/>
              </w:rPr>
              <w:t>2, 671</w:t>
            </w:r>
          </w:p>
        </w:tc>
        <w:tc>
          <w:tcPr>
            <w:tcW w:w="1467" w:type="dxa"/>
          </w:tcPr>
          <w:p>
            <w:pPr>
              <w:pStyle w:val="TableParagraph"/>
              <w:spacing w:before="65"/>
              <w:ind w:left="619"/>
              <w:rPr>
                <w:sz w:val="16"/>
              </w:rPr>
            </w:pPr>
            <w:r>
              <w:rPr>
                <w:sz w:val="16"/>
              </w:rPr>
              <w:t>2, 804</w:t>
            </w:r>
          </w:p>
        </w:tc>
        <w:tc>
          <w:tcPr>
            <w:tcW w:w="1489" w:type="dxa"/>
          </w:tcPr>
          <w:p>
            <w:pPr>
              <w:pStyle w:val="TableParagraph"/>
              <w:spacing w:before="65"/>
              <w:ind w:right="364"/>
              <w:jc w:val="right"/>
              <w:rPr>
                <w:sz w:val="16"/>
              </w:rPr>
            </w:pPr>
            <w:r>
              <w:rPr>
                <w:sz w:val="16"/>
              </w:rPr>
              <w:t>2, 945</w:t>
            </w:r>
          </w:p>
        </w:tc>
      </w:tr>
      <w:tr>
        <w:trPr>
          <w:trHeight w:val="319" w:hRule="atLeast"/>
        </w:trPr>
        <w:tc>
          <w:tcPr>
            <w:tcW w:w="7594" w:type="dxa"/>
          </w:tcPr>
          <w:p>
            <w:pPr>
              <w:pStyle w:val="TableParagraph"/>
              <w:spacing w:before="65"/>
              <w:ind w:left="336"/>
              <w:rPr>
                <w:sz w:val="16"/>
              </w:rPr>
            </w:pPr>
            <w:r>
              <w:rPr>
                <w:sz w:val="16"/>
              </w:rPr>
              <w:t>Salaries for National Protected Area Authority</w:t>
            </w:r>
          </w:p>
        </w:tc>
        <w:tc>
          <w:tcPr>
            <w:tcW w:w="49" w:type="dxa"/>
          </w:tcPr>
          <w:p>
            <w:pPr>
              <w:pStyle w:val="TableParagraph"/>
              <w:rPr>
                <w:rFonts w:ascii="Times New Roman"/>
                <w:sz w:val="14"/>
              </w:rPr>
            </w:pPr>
          </w:p>
        </w:tc>
        <w:tc>
          <w:tcPr>
            <w:tcW w:w="1158" w:type="dxa"/>
          </w:tcPr>
          <w:p>
            <w:pPr>
              <w:pStyle w:val="TableParagraph"/>
              <w:spacing w:before="65"/>
              <w:ind w:left="-7" w:right="324"/>
              <w:jc w:val="right"/>
              <w:rPr>
                <w:sz w:val="16"/>
              </w:rPr>
            </w:pPr>
            <w:r>
              <w:rPr>
                <w:sz w:val="16"/>
              </w:rPr>
              <w:t>10, 625</w:t>
            </w:r>
          </w:p>
        </w:tc>
        <w:tc>
          <w:tcPr>
            <w:tcW w:w="1508" w:type="dxa"/>
          </w:tcPr>
          <w:p>
            <w:pPr>
              <w:pStyle w:val="TableParagraph"/>
              <w:spacing w:before="65"/>
              <w:ind w:right="358"/>
              <w:jc w:val="right"/>
              <w:rPr>
                <w:sz w:val="16"/>
              </w:rPr>
            </w:pPr>
            <w:r>
              <w:rPr>
                <w:sz w:val="16"/>
              </w:rPr>
              <w:t>10, 587</w:t>
            </w:r>
          </w:p>
        </w:tc>
        <w:tc>
          <w:tcPr>
            <w:tcW w:w="1533" w:type="dxa"/>
          </w:tcPr>
          <w:p>
            <w:pPr>
              <w:pStyle w:val="TableParagraph"/>
              <w:spacing w:before="65"/>
              <w:ind w:right="360"/>
              <w:jc w:val="right"/>
              <w:rPr>
                <w:sz w:val="16"/>
              </w:rPr>
            </w:pPr>
            <w:r>
              <w:rPr>
                <w:sz w:val="16"/>
              </w:rPr>
              <w:t>11, 735</w:t>
            </w:r>
          </w:p>
        </w:tc>
        <w:tc>
          <w:tcPr>
            <w:tcW w:w="1467" w:type="dxa"/>
          </w:tcPr>
          <w:p>
            <w:pPr>
              <w:pStyle w:val="TableParagraph"/>
              <w:spacing w:before="65"/>
              <w:ind w:left="480"/>
              <w:rPr>
                <w:sz w:val="16"/>
              </w:rPr>
            </w:pPr>
            <w:r>
              <w:rPr>
                <w:sz w:val="16"/>
              </w:rPr>
              <w:t>12 , 321</w:t>
            </w:r>
          </w:p>
        </w:tc>
        <w:tc>
          <w:tcPr>
            <w:tcW w:w="1489" w:type="dxa"/>
          </w:tcPr>
          <w:p>
            <w:pPr>
              <w:pStyle w:val="TableParagraph"/>
              <w:spacing w:before="65"/>
              <w:ind w:right="369"/>
              <w:jc w:val="right"/>
              <w:rPr>
                <w:sz w:val="16"/>
              </w:rPr>
            </w:pPr>
            <w:r>
              <w:rPr>
                <w:sz w:val="16"/>
              </w:rPr>
              <w:t>12, 938</w:t>
            </w:r>
          </w:p>
        </w:tc>
      </w:tr>
      <w:tr>
        <w:trPr>
          <w:trHeight w:val="319" w:hRule="atLeast"/>
        </w:trPr>
        <w:tc>
          <w:tcPr>
            <w:tcW w:w="7594" w:type="dxa"/>
          </w:tcPr>
          <w:p>
            <w:pPr>
              <w:pStyle w:val="TableParagraph"/>
              <w:spacing w:before="63"/>
              <w:ind w:left="336"/>
              <w:rPr>
                <w:sz w:val="16"/>
              </w:rPr>
            </w:pPr>
            <w:r>
              <w:rPr>
                <w:sz w:val="16"/>
              </w:rPr>
              <w:t>Salaries for Sierra Leone Agricultural Research Institute</w:t>
            </w:r>
          </w:p>
        </w:tc>
        <w:tc>
          <w:tcPr>
            <w:tcW w:w="49" w:type="dxa"/>
          </w:tcPr>
          <w:p>
            <w:pPr>
              <w:pStyle w:val="TableParagraph"/>
              <w:rPr>
                <w:rFonts w:ascii="Times New Roman"/>
                <w:sz w:val="14"/>
              </w:rPr>
            </w:pPr>
          </w:p>
        </w:tc>
        <w:tc>
          <w:tcPr>
            <w:tcW w:w="1158" w:type="dxa"/>
          </w:tcPr>
          <w:p>
            <w:pPr>
              <w:pStyle w:val="TableParagraph"/>
              <w:spacing w:before="63"/>
              <w:ind w:left="-7" w:right="329"/>
              <w:jc w:val="right"/>
              <w:rPr>
                <w:sz w:val="16"/>
              </w:rPr>
            </w:pPr>
            <w:r>
              <w:rPr>
                <w:sz w:val="16"/>
              </w:rPr>
              <w:t>16 , 859</w:t>
            </w:r>
          </w:p>
        </w:tc>
        <w:tc>
          <w:tcPr>
            <w:tcW w:w="1508" w:type="dxa"/>
          </w:tcPr>
          <w:p>
            <w:pPr>
              <w:pStyle w:val="TableParagraph"/>
              <w:spacing w:before="63"/>
              <w:ind w:right="358"/>
              <w:jc w:val="right"/>
              <w:rPr>
                <w:sz w:val="16"/>
              </w:rPr>
            </w:pPr>
            <w:r>
              <w:rPr>
                <w:sz w:val="16"/>
              </w:rPr>
              <w:t>15, 427</w:t>
            </w:r>
          </w:p>
        </w:tc>
        <w:tc>
          <w:tcPr>
            <w:tcW w:w="1533" w:type="dxa"/>
          </w:tcPr>
          <w:p>
            <w:pPr>
              <w:pStyle w:val="TableParagraph"/>
              <w:spacing w:before="63"/>
              <w:ind w:right="360"/>
              <w:jc w:val="right"/>
              <w:rPr>
                <w:sz w:val="16"/>
              </w:rPr>
            </w:pPr>
            <w:r>
              <w:rPr>
                <w:sz w:val="16"/>
              </w:rPr>
              <w:t>16, 490</w:t>
            </w:r>
          </w:p>
        </w:tc>
        <w:tc>
          <w:tcPr>
            <w:tcW w:w="1467" w:type="dxa"/>
          </w:tcPr>
          <w:p>
            <w:pPr>
              <w:pStyle w:val="TableParagraph"/>
              <w:spacing w:before="63"/>
              <w:ind w:left="480"/>
              <w:rPr>
                <w:sz w:val="16"/>
              </w:rPr>
            </w:pPr>
            <w:r>
              <w:rPr>
                <w:sz w:val="16"/>
              </w:rPr>
              <w:t>17 , 315</w:t>
            </w:r>
          </w:p>
        </w:tc>
        <w:tc>
          <w:tcPr>
            <w:tcW w:w="1489" w:type="dxa"/>
          </w:tcPr>
          <w:p>
            <w:pPr>
              <w:pStyle w:val="TableParagraph"/>
              <w:spacing w:before="63"/>
              <w:ind w:right="369"/>
              <w:jc w:val="right"/>
              <w:rPr>
                <w:sz w:val="16"/>
              </w:rPr>
            </w:pPr>
            <w:r>
              <w:rPr>
                <w:sz w:val="16"/>
              </w:rPr>
              <w:t>18, 180</w:t>
            </w:r>
          </w:p>
        </w:tc>
      </w:tr>
      <w:tr>
        <w:trPr>
          <w:trHeight w:val="321" w:hRule="atLeast"/>
        </w:trPr>
        <w:tc>
          <w:tcPr>
            <w:tcW w:w="7594" w:type="dxa"/>
          </w:tcPr>
          <w:p>
            <w:pPr>
              <w:pStyle w:val="TableParagraph"/>
              <w:spacing w:before="65"/>
              <w:ind w:left="336"/>
              <w:rPr>
                <w:sz w:val="16"/>
              </w:rPr>
            </w:pPr>
            <w:r>
              <w:rPr>
                <w:sz w:val="16"/>
              </w:rPr>
              <w:t>Recur rent Expenditure for National Protected Area Authority</w:t>
            </w:r>
          </w:p>
        </w:tc>
        <w:tc>
          <w:tcPr>
            <w:tcW w:w="49" w:type="dxa"/>
          </w:tcPr>
          <w:p>
            <w:pPr>
              <w:pStyle w:val="TableParagraph"/>
              <w:rPr>
                <w:rFonts w:ascii="Times New Roman"/>
                <w:sz w:val="14"/>
              </w:rPr>
            </w:pPr>
          </w:p>
        </w:tc>
        <w:tc>
          <w:tcPr>
            <w:tcW w:w="1158" w:type="dxa"/>
          </w:tcPr>
          <w:p>
            <w:pPr>
              <w:pStyle w:val="TableParagraph"/>
              <w:spacing w:before="65"/>
              <w:ind w:left="-7" w:right="311"/>
              <w:jc w:val="right"/>
              <w:rPr>
                <w:sz w:val="16"/>
              </w:rPr>
            </w:pPr>
            <w:r>
              <w:rPr>
                <w:w w:val="95"/>
                <w:sz w:val="16"/>
              </w:rPr>
              <w:t>711</w:t>
            </w:r>
          </w:p>
        </w:tc>
        <w:tc>
          <w:tcPr>
            <w:tcW w:w="1508" w:type="dxa"/>
          </w:tcPr>
          <w:p>
            <w:pPr>
              <w:pStyle w:val="TableParagraph"/>
              <w:spacing w:before="65"/>
              <w:ind w:right="353"/>
              <w:jc w:val="right"/>
              <w:rPr>
                <w:sz w:val="16"/>
              </w:rPr>
            </w:pPr>
            <w:r>
              <w:rPr>
                <w:sz w:val="16"/>
              </w:rPr>
              <w:t>1, 391</w:t>
            </w:r>
          </w:p>
        </w:tc>
        <w:tc>
          <w:tcPr>
            <w:tcW w:w="1533" w:type="dxa"/>
          </w:tcPr>
          <w:p>
            <w:pPr>
              <w:pStyle w:val="TableParagraph"/>
              <w:spacing w:before="65"/>
              <w:ind w:right="355"/>
              <w:jc w:val="right"/>
              <w:rPr>
                <w:sz w:val="16"/>
              </w:rPr>
            </w:pPr>
            <w:r>
              <w:rPr>
                <w:sz w:val="16"/>
              </w:rPr>
              <w:t>1, 943</w:t>
            </w:r>
          </w:p>
        </w:tc>
        <w:tc>
          <w:tcPr>
            <w:tcW w:w="1467" w:type="dxa"/>
          </w:tcPr>
          <w:p>
            <w:pPr>
              <w:pStyle w:val="TableParagraph"/>
              <w:spacing w:before="65"/>
              <w:ind w:left="600"/>
              <w:rPr>
                <w:sz w:val="16"/>
              </w:rPr>
            </w:pPr>
            <w:r>
              <w:rPr>
                <w:sz w:val="16"/>
              </w:rPr>
              <w:t>1, 868</w:t>
            </w:r>
          </w:p>
        </w:tc>
        <w:tc>
          <w:tcPr>
            <w:tcW w:w="1489" w:type="dxa"/>
          </w:tcPr>
          <w:p>
            <w:pPr>
              <w:pStyle w:val="TableParagraph"/>
              <w:spacing w:before="65"/>
              <w:ind w:right="364"/>
              <w:jc w:val="right"/>
              <w:rPr>
                <w:sz w:val="16"/>
              </w:rPr>
            </w:pPr>
            <w:r>
              <w:rPr>
                <w:sz w:val="16"/>
              </w:rPr>
              <w:t>1, 980</w:t>
            </w:r>
          </w:p>
        </w:tc>
      </w:tr>
      <w:tr>
        <w:trPr>
          <w:trHeight w:val="319" w:hRule="atLeast"/>
        </w:trPr>
        <w:tc>
          <w:tcPr>
            <w:tcW w:w="7594" w:type="dxa"/>
          </w:tcPr>
          <w:p>
            <w:pPr>
              <w:pStyle w:val="TableParagraph"/>
              <w:spacing w:before="65"/>
              <w:ind w:left="336"/>
              <w:rPr>
                <w:sz w:val="16"/>
              </w:rPr>
            </w:pPr>
            <w:r>
              <w:rPr>
                <w:sz w:val="16"/>
              </w:rPr>
              <w:t>Recur rent Expenditure for Sierra Leone Agricultural Research Institute</w:t>
            </w:r>
          </w:p>
        </w:tc>
        <w:tc>
          <w:tcPr>
            <w:tcW w:w="49" w:type="dxa"/>
          </w:tcPr>
          <w:p>
            <w:pPr>
              <w:pStyle w:val="TableParagraph"/>
              <w:rPr>
                <w:rFonts w:ascii="Times New Roman"/>
                <w:sz w:val="14"/>
              </w:rPr>
            </w:pPr>
          </w:p>
        </w:tc>
        <w:tc>
          <w:tcPr>
            <w:tcW w:w="1158" w:type="dxa"/>
          </w:tcPr>
          <w:p>
            <w:pPr>
              <w:pStyle w:val="TableParagraph"/>
              <w:spacing w:before="65"/>
              <w:ind w:left="-7" w:right="324"/>
              <w:jc w:val="right"/>
              <w:rPr>
                <w:sz w:val="16"/>
              </w:rPr>
            </w:pPr>
            <w:r>
              <w:rPr>
                <w:sz w:val="16"/>
              </w:rPr>
              <w:t>2, 964</w:t>
            </w:r>
          </w:p>
        </w:tc>
        <w:tc>
          <w:tcPr>
            <w:tcW w:w="1508" w:type="dxa"/>
          </w:tcPr>
          <w:p>
            <w:pPr>
              <w:pStyle w:val="TableParagraph"/>
              <w:spacing w:before="65"/>
              <w:ind w:right="353"/>
              <w:jc w:val="right"/>
              <w:rPr>
                <w:sz w:val="16"/>
              </w:rPr>
            </w:pPr>
            <w:r>
              <w:rPr>
                <w:sz w:val="16"/>
              </w:rPr>
              <w:t>2, 000</w:t>
            </w:r>
          </w:p>
        </w:tc>
        <w:tc>
          <w:tcPr>
            <w:tcW w:w="1533" w:type="dxa"/>
          </w:tcPr>
          <w:p>
            <w:pPr>
              <w:pStyle w:val="TableParagraph"/>
              <w:spacing w:before="65"/>
              <w:ind w:right="355"/>
              <w:jc w:val="right"/>
              <w:rPr>
                <w:sz w:val="16"/>
              </w:rPr>
            </w:pPr>
            <w:r>
              <w:rPr>
                <w:sz w:val="16"/>
              </w:rPr>
              <w:t>3, 993</w:t>
            </w:r>
          </w:p>
        </w:tc>
        <w:tc>
          <w:tcPr>
            <w:tcW w:w="1467" w:type="dxa"/>
          </w:tcPr>
          <w:p>
            <w:pPr>
              <w:pStyle w:val="TableParagraph"/>
              <w:spacing w:before="65"/>
              <w:ind w:left="600"/>
              <w:rPr>
                <w:sz w:val="16"/>
              </w:rPr>
            </w:pPr>
            <w:r>
              <w:rPr>
                <w:sz w:val="16"/>
              </w:rPr>
              <w:t>3, 840</w:t>
            </w:r>
          </w:p>
        </w:tc>
        <w:tc>
          <w:tcPr>
            <w:tcW w:w="1489" w:type="dxa"/>
          </w:tcPr>
          <w:p>
            <w:pPr>
              <w:pStyle w:val="TableParagraph"/>
              <w:spacing w:before="65"/>
              <w:ind w:right="364"/>
              <w:jc w:val="right"/>
              <w:rPr>
                <w:sz w:val="16"/>
              </w:rPr>
            </w:pPr>
            <w:r>
              <w:rPr>
                <w:sz w:val="16"/>
              </w:rPr>
              <w:t>4, 070</w:t>
            </w:r>
          </w:p>
        </w:tc>
      </w:tr>
      <w:tr>
        <w:trPr>
          <w:trHeight w:val="319" w:hRule="atLeast"/>
        </w:trPr>
        <w:tc>
          <w:tcPr>
            <w:tcW w:w="7594" w:type="dxa"/>
          </w:tcPr>
          <w:p>
            <w:pPr>
              <w:pStyle w:val="TableParagraph"/>
              <w:spacing w:before="63"/>
              <w:ind w:right="1384"/>
              <w:jc w:val="right"/>
              <w:rPr>
                <w:sz w:val="16"/>
              </w:rPr>
            </w:pPr>
            <w:r>
              <w:rPr>
                <w:sz w:val="16"/>
              </w:rPr>
              <w:t>Recurrent Expenditure for Sier ra Leone Environment Protection Agency</w:t>
            </w:r>
          </w:p>
        </w:tc>
        <w:tc>
          <w:tcPr>
            <w:tcW w:w="49" w:type="dxa"/>
          </w:tcPr>
          <w:p>
            <w:pPr>
              <w:pStyle w:val="TableParagraph"/>
              <w:rPr>
                <w:rFonts w:ascii="Times New Roman"/>
                <w:sz w:val="14"/>
              </w:rPr>
            </w:pPr>
          </w:p>
        </w:tc>
        <w:tc>
          <w:tcPr>
            <w:tcW w:w="1158" w:type="dxa"/>
          </w:tcPr>
          <w:p>
            <w:pPr>
              <w:pStyle w:val="TableParagraph"/>
              <w:spacing w:before="63"/>
              <w:ind w:left="-7" w:right="329"/>
              <w:jc w:val="right"/>
              <w:rPr>
                <w:sz w:val="16"/>
              </w:rPr>
            </w:pPr>
            <w:r>
              <w:rPr>
                <w:sz w:val="16"/>
              </w:rPr>
              <w:t>13 , 751</w:t>
            </w:r>
          </w:p>
        </w:tc>
        <w:tc>
          <w:tcPr>
            <w:tcW w:w="1508" w:type="dxa"/>
          </w:tcPr>
          <w:p>
            <w:pPr>
              <w:pStyle w:val="TableParagraph"/>
              <w:spacing w:before="63"/>
              <w:ind w:right="358"/>
              <w:jc w:val="right"/>
              <w:rPr>
                <w:sz w:val="16"/>
              </w:rPr>
            </w:pPr>
            <w:r>
              <w:rPr>
                <w:sz w:val="16"/>
              </w:rPr>
              <w:t>27, 014</w:t>
            </w:r>
          </w:p>
        </w:tc>
        <w:tc>
          <w:tcPr>
            <w:tcW w:w="1533" w:type="dxa"/>
          </w:tcPr>
          <w:p>
            <w:pPr>
              <w:pStyle w:val="TableParagraph"/>
              <w:spacing w:before="63"/>
              <w:ind w:right="360"/>
              <w:jc w:val="right"/>
              <w:rPr>
                <w:sz w:val="16"/>
              </w:rPr>
            </w:pPr>
            <w:r>
              <w:rPr>
                <w:sz w:val="16"/>
              </w:rPr>
              <w:t>28, 542</w:t>
            </w:r>
          </w:p>
        </w:tc>
        <w:tc>
          <w:tcPr>
            <w:tcW w:w="1467" w:type="dxa"/>
          </w:tcPr>
          <w:p>
            <w:pPr>
              <w:pStyle w:val="TableParagraph"/>
              <w:spacing w:before="63"/>
              <w:ind w:left="480"/>
              <w:rPr>
                <w:sz w:val="16"/>
              </w:rPr>
            </w:pPr>
            <w:r>
              <w:rPr>
                <w:sz w:val="16"/>
              </w:rPr>
              <w:t>26 , 088</w:t>
            </w:r>
          </w:p>
        </w:tc>
        <w:tc>
          <w:tcPr>
            <w:tcW w:w="1489" w:type="dxa"/>
          </w:tcPr>
          <w:p>
            <w:pPr>
              <w:pStyle w:val="TableParagraph"/>
              <w:spacing w:before="63"/>
              <w:ind w:right="369"/>
              <w:jc w:val="right"/>
              <w:rPr>
                <w:sz w:val="16"/>
              </w:rPr>
            </w:pPr>
            <w:r>
              <w:rPr>
                <w:sz w:val="16"/>
              </w:rPr>
              <w:t>30, 622</w:t>
            </w:r>
          </w:p>
        </w:tc>
      </w:tr>
      <w:tr>
        <w:trPr>
          <w:trHeight w:val="321" w:hRule="atLeast"/>
        </w:trPr>
        <w:tc>
          <w:tcPr>
            <w:tcW w:w="7594" w:type="dxa"/>
          </w:tcPr>
          <w:p>
            <w:pPr>
              <w:pStyle w:val="TableParagraph"/>
              <w:spacing w:before="65"/>
              <w:ind w:left="336"/>
              <w:rPr>
                <w:sz w:val="16"/>
              </w:rPr>
            </w:pPr>
            <w:r>
              <w:rPr>
                <w:sz w:val="16"/>
              </w:rPr>
              <w:t>Recurrent Expenditure for Agr icult ure Workers</w:t>
            </w:r>
          </w:p>
        </w:tc>
        <w:tc>
          <w:tcPr>
            <w:tcW w:w="49" w:type="dxa"/>
          </w:tcPr>
          <w:p>
            <w:pPr>
              <w:pStyle w:val="TableParagraph"/>
              <w:rPr>
                <w:rFonts w:ascii="Times New Roman"/>
                <w:sz w:val="14"/>
              </w:rPr>
            </w:pPr>
          </w:p>
        </w:tc>
        <w:tc>
          <w:tcPr>
            <w:tcW w:w="1158" w:type="dxa"/>
          </w:tcPr>
          <w:p>
            <w:pPr>
              <w:pStyle w:val="TableParagraph"/>
              <w:spacing w:before="65"/>
              <w:ind w:left="-7" w:right="329"/>
              <w:jc w:val="right"/>
              <w:rPr>
                <w:sz w:val="16"/>
              </w:rPr>
            </w:pPr>
            <w:r>
              <w:rPr>
                <w:sz w:val="16"/>
              </w:rPr>
              <w:t>17 , 465</w:t>
            </w:r>
          </w:p>
        </w:tc>
        <w:tc>
          <w:tcPr>
            <w:tcW w:w="1508" w:type="dxa"/>
          </w:tcPr>
          <w:p>
            <w:pPr>
              <w:pStyle w:val="TableParagraph"/>
              <w:spacing w:before="65"/>
              <w:ind w:right="358"/>
              <w:jc w:val="right"/>
              <w:rPr>
                <w:sz w:val="16"/>
              </w:rPr>
            </w:pPr>
            <w:r>
              <w:rPr>
                <w:sz w:val="16"/>
              </w:rPr>
              <w:t>52, 089</w:t>
            </w:r>
          </w:p>
        </w:tc>
        <w:tc>
          <w:tcPr>
            <w:tcW w:w="1533" w:type="dxa"/>
          </w:tcPr>
          <w:p>
            <w:pPr>
              <w:pStyle w:val="TableParagraph"/>
              <w:spacing w:before="65"/>
              <w:ind w:right="360"/>
              <w:jc w:val="right"/>
              <w:rPr>
                <w:sz w:val="16"/>
              </w:rPr>
            </w:pPr>
            <w:r>
              <w:rPr>
                <w:sz w:val="16"/>
              </w:rPr>
              <w:t>34, 655</w:t>
            </w:r>
          </w:p>
        </w:tc>
        <w:tc>
          <w:tcPr>
            <w:tcW w:w="1467" w:type="dxa"/>
          </w:tcPr>
          <w:p>
            <w:pPr>
              <w:pStyle w:val="TableParagraph"/>
              <w:spacing w:before="65"/>
              <w:ind w:left="480"/>
              <w:rPr>
                <w:sz w:val="16"/>
              </w:rPr>
            </w:pPr>
            <w:r>
              <w:rPr>
                <w:sz w:val="16"/>
              </w:rPr>
              <w:t>33 , 324</w:t>
            </w:r>
          </w:p>
        </w:tc>
        <w:tc>
          <w:tcPr>
            <w:tcW w:w="1489" w:type="dxa"/>
          </w:tcPr>
          <w:p>
            <w:pPr>
              <w:pStyle w:val="TableParagraph"/>
              <w:spacing w:before="65"/>
              <w:ind w:right="369"/>
              <w:jc w:val="right"/>
              <w:rPr>
                <w:sz w:val="16"/>
              </w:rPr>
            </w:pPr>
            <w:r>
              <w:rPr>
                <w:sz w:val="16"/>
              </w:rPr>
              <w:t>35, 320</w:t>
            </w:r>
          </w:p>
        </w:tc>
      </w:tr>
      <w:tr>
        <w:trPr>
          <w:trHeight w:val="319" w:hRule="atLeast"/>
        </w:trPr>
        <w:tc>
          <w:tcPr>
            <w:tcW w:w="7594" w:type="dxa"/>
          </w:tcPr>
          <w:p>
            <w:pPr>
              <w:pStyle w:val="TableParagraph"/>
              <w:spacing w:before="65"/>
              <w:ind w:left="336"/>
              <w:rPr>
                <w:sz w:val="16"/>
              </w:rPr>
            </w:pPr>
            <w:r>
              <w:rPr>
                <w:sz w:val="16"/>
              </w:rPr>
              <w:t>Recur rent Expenditure for Fisheries and Marine Resources</w:t>
            </w:r>
          </w:p>
        </w:tc>
        <w:tc>
          <w:tcPr>
            <w:tcW w:w="49" w:type="dxa"/>
          </w:tcPr>
          <w:p>
            <w:pPr>
              <w:pStyle w:val="TableParagraph"/>
              <w:rPr>
                <w:rFonts w:ascii="Times New Roman"/>
                <w:sz w:val="14"/>
              </w:rPr>
            </w:pPr>
          </w:p>
        </w:tc>
        <w:tc>
          <w:tcPr>
            <w:tcW w:w="1158" w:type="dxa"/>
          </w:tcPr>
          <w:p>
            <w:pPr>
              <w:pStyle w:val="TableParagraph"/>
              <w:spacing w:before="65"/>
              <w:ind w:left="-7" w:right="319"/>
              <w:jc w:val="right"/>
              <w:rPr>
                <w:sz w:val="16"/>
              </w:rPr>
            </w:pPr>
            <w:r>
              <w:rPr>
                <w:sz w:val="16"/>
              </w:rPr>
              <w:t>4, 405</w:t>
            </w:r>
          </w:p>
        </w:tc>
        <w:tc>
          <w:tcPr>
            <w:tcW w:w="1508" w:type="dxa"/>
          </w:tcPr>
          <w:p>
            <w:pPr>
              <w:pStyle w:val="TableParagraph"/>
              <w:spacing w:before="65"/>
              <w:ind w:right="353"/>
              <w:jc w:val="right"/>
              <w:rPr>
                <w:sz w:val="16"/>
              </w:rPr>
            </w:pPr>
            <w:r>
              <w:rPr>
                <w:sz w:val="16"/>
              </w:rPr>
              <w:t>1, 385</w:t>
            </w:r>
          </w:p>
        </w:tc>
        <w:tc>
          <w:tcPr>
            <w:tcW w:w="1533" w:type="dxa"/>
          </w:tcPr>
          <w:p>
            <w:pPr>
              <w:pStyle w:val="TableParagraph"/>
              <w:spacing w:before="65"/>
              <w:ind w:right="360"/>
              <w:jc w:val="right"/>
              <w:rPr>
                <w:sz w:val="16"/>
              </w:rPr>
            </w:pPr>
            <w:r>
              <w:rPr>
                <w:sz w:val="16"/>
              </w:rPr>
              <w:t>15, 600</w:t>
            </w:r>
          </w:p>
        </w:tc>
        <w:tc>
          <w:tcPr>
            <w:tcW w:w="1467" w:type="dxa"/>
          </w:tcPr>
          <w:p>
            <w:pPr>
              <w:pStyle w:val="TableParagraph"/>
              <w:spacing w:before="65"/>
              <w:ind w:left="480"/>
              <w:rPr>
                <w:sz w:val="16"/>
              </w:rPr>
            </w:pPr>
            <w:r>
              <w:rPr>
                <w:sz w:val="16"/>
              </w:rPr>
              <w:t>15 , 001</w:t>
            </w:r>
          </w:p>
        </w:tc>
        <w:tc>
          <w:tcPr>
            <w:tcW w:w="1489" w:type="dxa"/>
          </w:tcPr>
          <w:p>
            <w:pPr>
              <w:pStyle w:val="TableParagraph"/>
              <w:spacing w:before="65"/>
              <w:ind w:right="369"/>
              <w:jc w:val="right"/>
              <w:rPr>
                <w:sz w:val="16"/>
              </w:rPr>
            </w:pPr>
            <w:r>
              <w:rPr>
                <w:sz w:val="16"/>
              </w:rPr>
              <w:t>15, 900</w:t>
            </w:r>
          </w:p>
        </w:tc>
      </w:tr>
      <w:tr>
        <w:trPr>
          <w:trHeight w:val="319" w:hRule="atLeast"/>
        </w:trPr>
        <w:tc>
          <w:tcPr>
            <w:tcW w:w="7594" w:type="dxa"/>
          </w:tcPr>
          <w:p>
            <w:pPr>
              <w:pStyle w:val="TableParagraph"/>
              <w:spacing w:before="63"/>
              <w:ind w:left="336"/>
              <w:rPr>
                <w:sz w:val="16"/>
              </w:rPr>
            </w:pPr>
            <w:r>
              <w:rPr>
                <w:sz w:val="16"/>
              </w:rPr>
              <w:t>Domestic Capital budget allocation to Agriculture</w:t>
            </w:r>
          </w:p>
        </w:tc>
        <w:tc>
          <w:tcPr>
            <w:tcW w:w="49" w:type="dxa"/>
          </w:tcPr>
          <w:p>
            <w:pPr>
              <w:pStyle w:val="TableParagraph"/>
              <w:rPr>
                <w:rFonts w:ascii="Times New Roman"/>
                <w:sz w:val="14"/>
              </w:rPr>
            </w:pPr>
          </w:p>
        </w:tc>
        <w:tc>
          <w:tcPr>
            <w:tcW w:w="1158" w:type="dxa"/>
          </w:tcPr>
          <w:p>
            <w:pPr>
              <w:pStyle w:val="TableParagraph"/>
              <w:spacing w:before="63"/>
              <w:ind w:left="-7" w:right="324"/>
              <w:jc w:val="right"/>
              <w:rPr>
                <w:sz w:val="16"/>
              </w:rPr>
            </w:pPr>
            <w:r>
              <w:rPr>
                <w:sz w:val="16"/>
              </w:rPr>
              <w:t>7, 625</w:t>
            </w:r>
          </w:p>
        </w:tc>
        <w:tc>
          <w:tcPr>
            <w:tcW w:w="1508" w:type="dxa"/>
          </w:tcPr>
          <w:p>
            <w:pPr>
              <w:pStyle w:val="TableParagraph"/>
              <w:spacing w:before="63"/>
              <w:ind w:right="353"/>
              <w:jc w:val="right"/>
              <w:rPr>
                <w:sz w:val="16"/>
              </w:rPr>
            </w:pPr>
            <w:r>
              <w:rPr>
                <w:sz w:val="16"/>
              </w:rPr>
              <w:t>6, 118</w:t>
            </w:r>
          </w:p>
        </w:tc>
        <w:tc>
          <w:tcPr>
            <w:tcW w:w="1533" w:type="dxa"/>
          </w:tcPr>
          <w:p>
            <w:pPr>
              <w:pStyle w:val="TableParagraph"/>
              <w:spacing w:before="63"/>
              <w:ind w:right="370"/>
              <w:jc w:val="right"/>
              <w:rPr>
                <w:sz w:val="16"/>
              </w:rPr>
            </w:pPr>
            <w:r>
              <w:rPr>
                <w:sz w:val="16"/>
              </w:rPr>
              <w:t>178, 522</w:t>
            </w:r>
          </w:p>
        </w:tc>
        <w:tc>
          <w:tcPr>
            <w:tcW w:w="1467" w:type="dxa"/>
          </w:tcPr>
          <w:p>
            <w:pPr>
              <w:pStyle w:val="TableParagraph"/>
              <w:spacing w:before="63"/>
              <w:ind w:left="379"/>
              <w:rPr>
                <w:sz w:val="16"/>
              </w:rPr>
            </w:pPr>
            <w:r>
              <w:rPr>
                <w:sz w:val="16"/>
              </w:rPr>
              <w:t>164 , 704</w:t>
            </w:r>
          </w:p>
        </w:tc>
        <w:tc>
          <w:tcPr>
            <w:tcW w:w="1489" w:type="dxa"/>
          </w:tcPr>
          <w:p>
            <w:pPr>
              <w:pStyle w:val="TableParagraph"/>
              <w:spacing w:before="63"/>
              <w:ind w:right="379"/>
              <w:jc w:val="right"/>
              <w:rPr>
                <w:sz w:val="16"/>
              </w:rPr>
            </w:pPr>
            <w:r>
              <w:rPr>
                <w:sz w:val="16"/>
              </w:rPr>
              <w:t>191, 161</w:t>
            </w:r>
          </w:p>
        </w:tc>
      </w:tr>
      <w:tr>
        <w:trPr>
          <w:trHeight w:val="321" w:hRule="atLeast"/>
        </w:trPr>
        <w:tc>
          <w:tcPr>
            <w:tcW w:w="7594" w:type="dxa"/>
          </w:tcPr>
          <w:p>
            <w:pPr>
              <w:pStyle w:val="TableParagraph"/>
              <w:spacing w:before="65"/>
              <w:ind w:left="336"/>
              <w:rPr>
                <w:sz w:val="16"/>
              </w:rPr>
            </w:pPr>
            <w:r>
              <w:rPr>
                <w:sz w:val="16"/>
              </w:rPr>
              <w:t>Domestic Capital Budget for Fisheries and Marine Resources</w:t>
            </w:r>
          </w:p>
        </w:tc>
        <w:tc>
          <w:tcPr>
            <w:tcW w:w="49" w:type="dxa"/>
          </w:tcPr>
          <w:p>
            <w:pPr>
              <w:pStyle w:val="TableParagraph"/>
              <w:rPr>
                <w:rFonts w:ascii="Times New Roman"/>
                <w:sz w:val="14"/>
              </w:rPr>
            </w:pPr>
          </w:p>
        </w:tc>
        <w:tc>
          <w:tcPr>
            <w:tcW w:w="1158" w:type="dxa"/>
          </w:tcPr>
          <w:p>
            <w:pPr>
              <w:pStyle w:val="TableParagraph"/>
              <w:spacing w:before="65"/>
              <w:ind w:right="302"/>
              <w:jc w:val="right"/>
              <w:rPr>
                <w:sz w:val="16"/>
              </w:rPr>
            </w:pPr>
            <w:r>
              <w:rPr>
                <w:w w:val="99"/>
                <w:sz w:val="16"/>
              </w:rPr>
              <w:t>-</w:t>
            </w:r>
          </w:p>
        </w:tc>
        <w:tc>
          <w:tcPr>
            <w:tcW w:w="1508" w:type="dxa"/>
          </w:tcPr>
          <w:p>
            <w:pPr>
              <w:pStyle w:val="TableParagraph"/>
              <w:spacing w:before="65"/>
              <w:ind w:right="336"/>
              <w:jc w:val="right"/>
              <w:rPr>
                <w:sz w:val="16"/>
              </w:rPr>
            </w:pPr>
            <w:r>
              <w:rPr>
                <w:w w:val="99"/>
                <w:sz w:val="16"/>
              </w:rPr>
              <w:t>-</w:t>
            </w:r>
          </w:p>
        </w:tc>
        <w:tc>
          <w:tcPr>
            <w:tcW w:w="1533" w:type="dxa"/>
          </w:tcPr>
          <w:p>
            <w:pPr>
              <w:pStyle w:val="TableParagraph"/>
              <w:spacing w:before="65"/>
              <w:ind w:right="360"/>
              <w:jc w:val="right"/>
              <w:rPr>
                <w:sz w:val="16"/>
              </w:rPr>
            </w:pPr>
            <w:r>
              <w:rPr>
                <w:sz w:val="16"/>
              </w:rPr>
              <w:t>7, 500</w:t>
            </w:r>
          </w:p>
        </w:tc>
        <w:tc>
          <w:tcPr>
            <w:tcW w:w="1467" w:type="dxa"/>
          </w:tcPr>
          <w:p>
            <w:pPr>
              <w:pStyle w:val="TableParagraph"/>
              <w:spacing w:before="65"/>
              <w:ind w:left="600"/>
              <w:rPr>
                <w:sz w:val="16"/>
              </w:rPr>
            </w:pPr>
            <w:r>
              <w:rPr>
                <w:sz w:val="16"/>
              </w:rPr>
              <w:t>8, 250</w:t>
            </w:r>
          </w:p>
        </w:tc>
        <w:tc>
          <w:tcPr>
            <w:tcW w:w="1489" w:type="dxa"/>
          </w:tcPr>
          <w:p>
            <w:pPr>
              <w:pStyle w:val="TableParagraph"/>
              <w:spacing w:before="65"/>
              <w:ind w:right="364"/>
              <w:jc w:val="right"/>
              <w:rPr>
                <w:sz w:val="16"/>
              </w:rPr>
            </w:pPr>
            <w:r>
              <w:rPr>
                <w:sz w:val="16"/>
              </w:rPr>
              <w:t>9, 075</w:t>
            </w:r>
          </w:p>
        </w:tc>
      </w:tr>
      <w:tr>
        <w:trPr>
          <w:trHeight w:val="319" w:hRule="atLeast"/>
        </w:trPr>
        <w:tc>
          <w:tcPr>
            <w:tcW w:w="7594" w:type="dxa"/>
          </w:tcPr>
          <w:p>
            <w:pPr>
              <w:pStyle w:val="TableParagraph"/>
              <w:spacing w:before="65"/>
              <w:ind w:left="336"/>
              <w:rPr>
                <w:sz w:val="16"/>
              </w:rPr>
            </w:pPr>
            <w:r>
              <w:rPr>
                <w:sz w:val="16"/>
              </w:rPr>
              <w:t>Establishment of Youth Farms</w:t>
            </w:r>
          </w:p>
        </w:tc>
        <w:tc>
          <w:tcPr>
            <w:tcW w:w="49" w:type="dxa"/>
          </w:tcPr>
          <w:p>
            <w:pPr>
              <w:pStyle w:val="TableParagraph"/>
              <w:rPr>
                <w:rFonts w:ascii="Times New Roman"/>
                <w:sz w:val="14"/>
              </w:rPr>
            </w:pPr>
          </w:p>
        </w:tc>
        <w:tc>
          <w:tcPr>
            <w:tcW w:w="1158" w:type="dxa"/>
          </w:tcPr>
          <w:p>
            <w:pPr>
              <w:pStyle w:val="TableParagraph"/>
              <w:spacing w:before="65"/>
              <w:ind w:right="302"/>
              <w:jc w:val="right"/>
              <w:rPr>
                <w:sz w:val="16"/>
              </w:rPr>
            </w:pPr>
            <w:r>
              <w:rPr>
                <w:w w:val="99"/>
                <w:sz w:val="16"/>
              </w:rPr>
              <w:t>-</w:t>
            </w:r>
          </w:p>
        </w:tc>
        <w:tc>
          <w:tcPr>
            <w:tcW w:w="1508" w:type="dxa"/>
          </w:tcPr>
          <w:p>
            <w:pPr>
              <w:pStyle w:val="TableParagraph"/>
              <w:spacing w:before="65"/>
              <w:ind w:right="336"/>
              <w:jc w:val="right"/>
              <w:rPr>
                <w:sz w:val="16"/>
              </w:rPr>
            </w:pPr>
            <w:r>
              <w:rPr>
                <w:w w:val="99"/>
                <w:sz w:val="16"/>
              </w:rPr>
              <w:t>-</w:t>
            </w:r>
          </w:p>
        </w:tc>
        <w:tc>
          <w:tcPr>
            <w:tcW w:w="1533" w:type="dxa"/>
          </w:tcPr>
          <w:p>
            <w:pPr>
              <w:pStyle w:val="TableParagraph"/>
              <w:spacing w:before="65"/>
              <w:ind w:right="365"/>
              <w:jc w:val="right"/>
              <w:rPr>
                <w:sz w:val="16"/>
              </w:rPr>
            </w:pPr>
            <w:r>
              <w:rPr>
                <w:sz w:val="16"/>
              </w:rPr>
              <w:t>21 , 000</w:t>
            </w:r>
          </w:p>
        </w:tc>
        <w:tc>
          <w:tcPr>
            <w:tcW w:w="1467" w:type="dxa"/>
          </w:tcPr>
          <w:p>
            <w:pPr>
              <w:pStyle w:val="TableParagraph"/>
              <w:spacing w:before="65"/>
              <w:ind w:left="480"/>
              <w:rPr>
                <w:sz w:val="16"/>
              </w:rPr>
            </w:pPr>
            <w:r>
              <w:rPr>
                <w:sz w:val="16"/>
              </w:rPr>
              <w:t>16 , 600</w:t>
            </w:r>
          </w:p>
        </w:tc>
        <w:tc>
          <w:tcPr>
            <w:tcW w:w="1489" w:type="dxa"/>
          </w:tcPr>
          <w:p>
            <w:pPr>
              <w:pStyle w:val="TableParagraph"/>
              <w:spacing w:before="65"/>
              <w:ind w:right="369"/>
              <w:jc w:val="right"/>
              <w:rPr>
                <w:sz w:val="16"/>
              </w:rPr>
            </w:pPr>
            <w:r>
              <w:rPr>
                <w:sz w:val="16"/>
              </w:rPr>
              <w:t>18, 260</w:t>
            </w:r>
          </w:p>
        </w:tc>
      </w:tr>
      <w:tr>
        <w:trPr>
          <w:trHeight w:val="488" w:hRule="atLeast"/>
        </w:trPr>
        <w:tc>
          <w:tcPr>
            <w:tcW w:w="7594" w:type="dxa"/>
          </w:tcPr>
          <w:p>
            <w:pPr>
              <w:pStyle w:val="TableParagraph"/>
              <w:spacing w:before="63"/>
              <w:ind w:right="1399"/>
              <w:jc w:val="right"/>
              <w:rPr>
                <w:sz w:val="16"/>
              </w:rPr>
            </w:pPr>
            <w:r>
              <w:rPr>
                <w:sz w:val="16"/>
              </w:rPr>
              <w:t>Grants for Devolved Agriculture and Fishing Services to Local Councils</w:t>
            </w:r>
          </w:p>
        </w:tc>
        <w:tc>
          <w:tcPr>
            <w:tcW w:w="49" w:type="dxa"/>
          </w:tcPr>
          <w:p>
            <w:pPr>
              <w:pStyle w:val="TableParagraph"/>
              <w:rPr>
                <w:rFonts w:ascii="Times New Roman"/>
                <w:sz w:val="14"/>
              </w:rPr>
            </w:pPr>
          </w:p>
        </w:tc>
        <w:tc>
          <w:tcPr>
            <w:tcW w:w="1158" w:type="dxa"/>
            <w:tcBorders>
              <w:bottom w:val="single" w:sz="18" w:space="0" w:color="000000"/>
            </w:tcBorders>
          </w:tcPr>
          <w:p>
            <w:pPr>
              <w:pStyle w:val="TableParagraph"/>
              <w:spacing w:before="63"/>
              <w:ind w:right="306"/>
              <w:jc w:val="right"/>
              <w:rPr>
                <w:sz w:val="16"/>
              </w:rPr>
            </w:pPr>
            <w:r>
              <w:rPr>
                <w:w w:val="99"/>
                <w:sz w:val="16"/>
              </w:rPr>
              <w:t>-</w:t>
            </w:r>
          </w:p>
        </w:tc>
        <w:tc>
          <w:tcPr>
            <w:tcW w:w="1508" w:type="dxa"/>
            <w:tcBorders>
              <w:bottom w:val="single" w:sz="18" w:space="0" w:color="000000"/>
            </w:tcBorders>
          </w:tcPr>
          <w:p>
            <w:pPr>
              <w:pStyle w:val="TableParagraph"/>
              <w:spacing w:before="63"/>
              <w:ind w:right="336"/>
              <w:jc w:val="right"/>
              <w:rPr>
                <w:sz w:val="16"/>
              </w:rPr>
            </w:pPr>
            <w:r>
              <w:rPr>
                <w:w w:val="99"/>
                <w:sz w:val="16"/>
              </w:rPr>
              <w:t>-</w:t>
            </w:r>
          </w:p>
        </w:tc>
        <w:tc>
          <w:tcPr>
            <w:tcW w:w="1533" w:type="dxa"/>
            <w:tcBorders>
              <w:bottom w:val="single" w:sz="18" w:space="0" w:color="000000"/>
            </w:tcBorders>
          </w:tcPr>
          <w:p>
            <w:pPr>
              <w:pStyle w:val="TableParagraph"/>
              <w:spacing w:before="63"/>
              <w:ind w:right="360"/>
              <w:jc w:val="right"/>
              <w:rPr>
                <w:sz w:val="16"/>
              </w:rPr>
            </w:pPr>
            <w:r>
              <w:rPr>
                <w:sz w:val="16"/>
              </w:rPr>
              <w:t>8, 884</w:t>
            </w:r>
          </w:p>
        </w:tc>
        <w:tc>
          <w:tcPr>
            <w:tcW w:w="1467" w:type="dxa"/>
            <w:tcBorders>
              <w:bottom w:val="single" w:sz="18" w:space="0" w:color="000000"/>
            </w:tcBorders>
          </w:tcPr>
          <w:p>
            <w:pPr>
              <w:pStyle w:val="TableParagraph"/>
              <w:spacing w:before="63"/>
              <w:ind w:left="600"/>
              <w:rPr>
                <w:sz w:val="16"/>
              </w:rPr>
            </w:pPr>
            <w:r>
              <w:rPr>
                <w:sz w:val="16"/>
              </w:rPr>
              <w:t>9, 677</w:t>
            </w:r>
          </w:p>
        </w:tc>
        <w:tc>
          <w:tcPr>
            <w:tcW w:w="1489" w:type="dxa"/>
            <w:tcBorders>
              <w:bottom w:val="single" w:sz="18" w:space="0" w:color="000000"/>
            </w:tcBorders>
          </w:tcPr>
          <w:p>
            <w:pPr>
              <w:pStyle w:val="TableParagraph"/>
              <w:spacing w:before="63"/>
              <w:ind w:right="369"/>
              <w:jc w:val="right"/>
              <w:rPr>
                <w:sz w:val="16"/>
              </w:rPr>
            </w:pPr>
            <w:r>
              <w:rPr>
                <w:sz w:val="16"/>
              </w:rPr>
              <w:t>11, 359</w:t>
            </w:r>
          </w:p>
        </w:tc>
      </w:tr>
      <w:tr>
        <w:trPr>
          <w:trHeight w:val="408" w:hRule="atLeast"/>
        </w:trPr>
        <w:tc>
          <w:tcPr>
            <w:tcW w:w="7594" w:type="dxa"/>
          </w:tcPr>
          <w:p>
            <w:pPr>
              <w:pStyle w:val="TableParagraph"/>
              <w:spacing w:before="72"/>
              <w:ind w:left="168"/>
              <w:rPr>
                <w:b/>
                <w:sz w:val="16"/>
              </w:rPr>
            </w:pPr>
            <w:r>
              <w:rPr>
                <w:b/>
                <w:sz w:val="16"/>
              </w:rPr>
              <w:t>Total Allocations to Agriculture Sector</w:t>
            </w:r>
          </w:p>
        </w:tc>
        <w:tc>
          <w:tcPr>
            <w:tcW w:w="49" w:type="dxa"/>
          </w:tcPr>
          <w:p>
            <w:pPr>
              <w:pStyle w:val="TableParagraph"/>
              <w:rPr>
                <w:rFonts w:ascii="Times New Roman"/>
                <w:sz w:val="14"/>
              </w:rPr>
            </w:pPr>
          </w:p>
        </w:tc>
        <w:tc>
          <w:tcPr>
            <w:tcW w:w="1158" w:type="dxa"/>
            <w:tcBorders>
              <w:top w:val="single" w:sz="18" w:space="0" w:color="000000"/>
              <w:bottom w:val="single" w:sz="18" w:space="0" w:color="000000"/>
            </w:tcBorders>
          </w:tcPr>
          <w:p>
            <w:pPr>
              <w:pStyle w:val="TableParagraph"/>
              <w:spacing w:before="72"/>
              <w:ind w:left="-7" w:right="347"/>
              <w:jc w:val="right"/>
              <w:rPr>
                <w:b/>
                <w:sz w:val="16"/>
              </w:rPr>
            </w:pPr>
            <w:r>
              <w:rPr>
                <w:b/>
                <w:sz w:val="16"/>
              </w:rPr>
              <w:t>88,547</w:t>
            </w:r>
          </w:p>
        </w:tc>
        <w:tc>
          <w:tcPr>
            <w:tcW w:w="1508" w:type="dxa"/>
            <w:tcBorders>
              <w:top w:val="single" w:sz="18" w:space="0" w:color="000000"/>
              <w:bottom w:val="single" w:sz="18" w:space="0" w:color="000000"/>
            </w:tcBorders>
          </w:tcPr>
          <w:p>
            <w:pPr>
              <w:pStyle w:val="TableParagraph"/>
              <w:spacing w:before="72"/>
              <w:ind w:right="390"/>
              <w:jc w:val="right"/>
              <w:rPr>
                <w:b/>
                <w:sz w:val="16"/>
              </w:rPr>
            </w:pPr>
            <w:r>
              <w:rPr>
                <w:b/>
                <w:w w:val="95"/>
                <w:sz w:val="16"/>
              </w:rPr>
              <w:t>159,047</w:t>
            </w:r>
          </w:p>
        </w:tc>
        <w:tc>
          <w:tcPr>
            <w:tcW w:w="1533" w:type="dxa"/>
            <w:tcBorders>
              <w:top w:val="single" w:sz="18" w:space="0" w:color="000000"/>
              <w:bottom w:val="single" w:sz="18" w:space="0" w:color="000000"/>
            </w:tcBorders>
          </w:tcPr>
          <w:p>
            <w:pPr>
              <w:pStyle w:val="TableParagraph"/>
              <w:spacing w:before="72"/>
              <w:ind w:right="391"/>
              <w:jc w:val="right"/>
              <w:rPr>
                <w:b/>
                <w:sz w:val="16"/>
              </w:rPr>
            </w:pPr>
            <w:r>
              <w:rPr>
                <w:b/>
                <w:w w:val="95"/>
                <w:sz w:val="16"/>
              </w:rPr>
              <w:t>348,828</w:t>
            </w:r>
          </w:p>
        </w:tc>
        <w:tc>
          <w:tcPr>
            <w:tcW w:w="1467" w:type="dxa"/>
            <w:tcBorders>
              <w:top w:val="single" w:sz="18" w:space="0" w:color="000000"/>
              <w:bottom w:val="single" w:sz="18" w:space="0" w:color="000000"/>
            </w:tcBorders>
          </w:tcPr>
          <w:p>
            <w:pPr>
              <w:pStyle w:val="TableParagraph"/>
              <w:spacing w:before="72"/>
              <w:ind w:left="346"/>
              <w:rPr>
                <w:b/>
                <w:sz w:val="16"/>
              </w:rPr>
            </w:pPr>
            <w:r>
              <w:rPr>
                <w:b/>
                <w:sz w:val="16"/>
              </w:rPr>
              <w:t>329 , 950</w:t>
            </w:r>
          </w:p>
        </w:tc>
        <w:tc>
          <w:tcPr>
            <w:tcW w:w="1489" w:type="dxa"/>
            <w:tcBorders>
              <w:top w:val="single" w:sz="18" w:space="0" w:color="000000"/>
              <w:bottom w:val="single" w:sz="18" w:space="0" w:color="000000"/>
            </w:tcBorders>
          </w:tcPr>
          <w:p>
            <w:pPr>
              <w:pStyle w:val="TableParagraph"/>
              <w:spacing w:before="72"/>
              <w:ind w:right="400"/>
              <w:jc w:val="right"/>
              <w:rPr>
                <w:b/>
                <w:sz w:val="16"/>
              </w:rPr>
            </w:pPr>
            <w:r>
              <w:rPr>
                <w:b/>
                <w:w w:val="95"/>
                <w:sz w:val="16"/>
              </w:rPr>
              <w:t>370,874</w:t>
            </w:r>
          </w:p>
        </w:tc>
      </w:tr>
      <w:tr>
        <w:trPr>
          <w:trHeight w:val="619" w:hRule="atLeast"/>
        </w:trPr>
        <w:tc>
          <w:tcPr>
            <w:tcW w:w="7594" w:type="dxa"/>
          </w:tcPr>
          <w:p>
            <w:pPr>
              <w:pStyle w:val="TableParagraph"/>
              <w:rPr>
                <w:b/>
                <w:sz w:val="18"/>
              </w:rPr>
            </w:pPr>
          </w:p>
          <w:p>
            <w:pPr>
              <w:pStyle w:val="TableParagraph"/>
              <w:spacing w:before="10"/>
              <w:rPr>
                <w:b/>
                <w:sz w:val="16"/>
              </w:rPr>
            </w:pPr>
          </w:p>
          <w:p>
            <w:pPr>
              <w:pStyle w:val="TableParagraph"/>
              <w:spacing w:line="184" w:lineRule="exact"/>
              <w:ind w:left="168"/>
              <w:rPr>
                <w:b/>
                <w:sz w:val="16"/>
              </w:rPr>
            </w:pPr>
            <w:r>
              <w:rPr>
                <w:b/>
                <w:sz w:val="16"/>
              </w:rPr>
              <w:t>% Government Budgetary Allocations to the Agriculture Sector</w:t>
            </w:r>
          </w:p>
        </w:tc>
        <w:tc>
          <w:tcPr>
            <w:tcW w:w="49" w:type="dxa"/>
          </w:tcPr>
          <w:p>
            <w:pPr>
              <w:pStyle w:val="TableParagraph"/>
              <w:rPr>
                <w:rFonts w:ascii="Times New Roman"/>
                <w:sz w:val="14"/>
              </w:rPr>
            </w:pPr>
          </w:p>
        </w:tc>
        <w:tc>
          <w:tcPr>
            <w:tcW w:w="1158" w:type="dxa"/>
            <w:tcBorders>
              <w:top w:val="single" w:sz="18" w:space="0" w:color="000000"/>
            </w:tcBorders>
          </w:tcPr>
          <w:p>
            <w:pPr>
              <w:pStyle w:val="TableParagraph"/>
              <w:rPr>
                <w:b/>
                <w:sz w:val="18"/>
              </w:rPr>
            </w:pPr>
          </w:p>
          <w:p>
            <w:pPr>
              <w:pStyle w:val="TableParagraph"/>
              <w:spacing w:before="10"/>
              <w:rPr>
                <w:b/>
                <w:sz w:val="16"/>
              </w:rPr>
            </w:pPr>
          </w:p>
          <w:p>
            <w:pPr>
              <w:pStyle w:val="TableParagraph"/>
              <w:spacing w:line="184" w:lineRule="exact"/>
              <w:ind w:left="-7" w:right="313"/>
              <w:jc w:val="right"/>
              <w:rPr>
                <w:b/>
                <w:sz w:val="16"/>
              </w:rPr>
            </w:pPr>
            <w:r>
              <w:rPr>
                <w:b/>
                <w:sz w:val="16"/>
              </w:rPr>
              <w:t>2 %</w:t>
            </w:r>
          </w:p>
        </w:tc>
        <w:tc>
          <w:tcPr>
            <w:tcW w:w="1508" w:type="dxa"/>
            <w:tcBorders>
              <w:top w:val="single" w:sz="18" w:space="0" w:color="000000"/>
            </w:tcBorders>
          </w:tcPr>
          <w:p>
            <w:pPr>
              <w:pStyle w:val="TableParagraph"/>
              <w:rPr>
                <w:b/>
                <w:sz w:val="18"/>
              </w:rPr>
            </w:pPr>
          </w:p>
          <w:p>
            <w:pPr>
              <w:pStyle w:val="TableParagraph"/>
              <w:spacing w:before="10"/>
              <w:rPr>
                <w:b/>
                <w:sz w:val="16"/>
              </w:rPr>
            </w:pPr>
          </w:p>
          <w:p>
            <w:pPr>
              <w:pStyle w:val="TableParagraph"/>
              <w:spacing w:line="184" w:lineRule="exact"/>
              <w:ind w:right="348"/>
              <w:jc w:val="right"/>
              <w:rPr>
                <w:b/>
                <w:sz w:val="16"/>
              </w:rPr>
            </w:pPr>
            <w:r>
              <w:rPr>
                <w:b/>
                <w:sz w:val="16"/>
              </w:rPr>
              <w:t>3 %</w:t>
            </w:r>
          </w:p>
        </w:tc>
        <w:tc>
          <w:tcPr>
            <w:tcW w:w="1533" w:type="dxa"/>
            <w:tcBorders>
              <w:top w:val="single" w:sz="18" w:space="0" w:color="000000"/>
            </w:tcBorders>
          </w:tcPr>
          <w:p>
            <w:pPr>
              <w:pStyle w:val="TableParagraph"/>
              <w:rPr>
                <w:b/>
                <w:sz w:val="18"/>
              </w:rPr>
            </w:pPr>
          </w:p>
          <w:p>
            <w:pPr>
              <w:pStyle w:val="TableParagraph"/>
              <w:spacing w:before="10"/>
              <w:rPr>
                <w:b/>
                <w:sz w:val="16"/>
              </w:rPr>
            </w:pPr>
          </w:p>
          <w:p>
            <w:pPr>
              <w:pStyle w:val="TableParagraph"/>
              <w:spacing w:line="184" w:lineRule="exact"/>
              <w:ind w:right="350"/>
              <w:jc w:val="right"/>
              <w:rPr>
                <w:b/>
                <w:sz w:val="16"/>
              </w:rPr>
            </w:pPr>
            <w:r>
              <w:rPr>
                <w:b/>
                <w:sz w:val="16"/>
              </w:rPr>
              <w:t>6 %</w:t>
            </w:r>
          </w:p>
        </w:tc>
        <w:tc>
          <w:tcPr>
            <w:tcW w:w="1467" w:type="dxa"/>
            <w:tcBorders>
              <w:top w:val="single" w:sz="18" w:space="0" w:color="000000"/>
            </w:tcBorders>
          </w:tcPr>
          <w:p>
            <w:pPr>
              <w:pStyle w:val="TableParagraph"/>
              <w:rPr>
                <w:b/>
                <w:sz w:val="18"/>
              </w:rPr>
            </w:pPr>
          </w:p>
          <w:p>
            <w:pPr>
              <w:pStyle w:val="TableParagraph"/>
              <w:spacing w:before="10"/>
              <w:rPr>
                <w:b/>
                <w:sz w:val="16"/>
              </w:rPr>
            </w:pPr>
          </w:p>
          <w:p>
            <w:pPr>
              <w:pStyle w:val="TableParagraph"/>
              <w:spacing w:line="184" w:lineRule="exact"/>
              <w:ind w:left="811"/>
              <w:rPr>
                <w:b/>
                <w:sz w:val="16"/>
              </w:rPr>
            </w:pPr>
            <w:r>
              <w:rPr>
                <w:b/>
                <w:sz w:val="16"/>
              </w:rPr>
              <w:t>4 %</w:t>
            </w:r>
          </w:p>
        </w:tc>
        <w:tc>
          <w:tcPr>
            <w:tcW w:w="1489" w:type="dxa"/>
            <w:tcBorders>
              <w:top w:val="single" w:sz="18" w:space="0" w:color="000000"/>
            </w:tcBorders>
          </w:tcPr>
          <w:p>
            <w:pPr>
              <w:pStyle w:val="TableParagraph"/>
              <w:rPr>
                <w:b/>
                <w:sz w:val="18"/>
              </w:rPr>
            </w:pPr>
          </w:p>
          <w:p>
            <w:pPr>
              <w:pStyle w:val="TableParagraph"/>
              <w:spacing w:before="10"/>
              <w:rPr>
                <w:b/>
                <w:sz w:val="16"/>
              </w:rPr>
            </w:pPr>
          </w:p>
          <w:p>
            <w:pPr>
              <w:pStyle w:val="TableParagraph"/>
              <w:spacing w:line="184" w:lineRule="exact"/>
              <w:ind w:right="358"/>
              <w:jc w:val="right"/>
              <w:rPr>
                <w:b/>
                <w:sz w:val="16"/>
              </w:rPr>
            </w:pPr>
            <w:r>
              <w:rPr>
                <w:b/>
                <w:sz w:val="16"/>
              </w:rPr>
              <w:t>5 %</w:t>
            </w:r>
          </w:p>
        </w:tc>
      </w:tr>
    </w:tbl>
    <w:p>
      <w:pPr>
        <w:spacing w:after="0" w:line="184" w:lineRule="exact"/>
        <w:jc w:val="right"/>
        <w:rPr>
          <w:sz w:val="16"/>
        </w:rPr>
        <w:sectPr>
          <w:headerReference w:type="default" r:id="rId15"/>
          <w:pgSz w:w="16840" w:h="11900" w:orient="landscape"/>
          <w:pgMar w:header="0" w:footer="0" w:top="1100" w:bottom="280" w:left="880" w:right="920"/>
        </w:sectPr>
      </w:pPr>
    </w:p>
    <w:p>
      <w:pPr>
        <w:pStyle w:val="BodyText"/>
        <w:spacing w:before="4"/>
        <w:rPr>
          <w:rFonts w:ascii="Arial"/>
          <w:b/>
          <w:sz w:val="26"/>
        </w:rPr>
      </w:pPr>
    </w:p>
    <w:p>
      <w:pPr>
        <w:spacing w:before="0"/>
        <w:ind w:left="138" w:right="0" w:firstLine="0"/>
        <w:jc w:val="left"/>
        <w:rPr>
          <w:rFonts w:ascii="Arial"/>
          <w:b/>
          <w:sz w:val="17"/>
        </w:rPr>
      </w:pPr>
      <w:r>
        <w:rPr>
          <w:rFonts w:ascii="Arial"/>
          <w:b/>
          <w:w w:val="105"/>
          <w:sz w:val="17"/>
        </w:rPr>
        <w:t>In Millions of Leones</w:t>
      </w:r>
    </w:p>
    <w:p>
      <w:pPr>
        <w:spacing w:before="87"/>
        <w:ind w:left="138" w:right="0" w:firstLine="0"/>
        <w:jc w:val="left"/>
        <w:rPr>
          <w:rFonts w:ascii="Arial"/>
          <w:b/>
          <w:sz w:val="17"/>
        </w:rPr>
      </w:pPr>
      <w:r>
        <w:rPr/>
        <w:br w:type="column"/>
      </w:r>
      <w:r>
        <w:rPr>
          <w:rFonts w:ascii="Arial"/>
          <w:b/>
          <w:w w:val="105"/>
          <w:sz w:val="17"/>
        </w:rPr>
        <w:t>ANNEX 6 - PAYROLL BUDGET FOR FY 2020-FY2023</w:t>
      </w:r>
    </w:p>
    <w:p>
      <w:pPr>
        <w:pStyle w:val="BodyText"/>
        <w:rPr>
          <w:rFonts w:ascii="Arial"/>
          <w:b/>
          <w:sz w:val="20"/>
        </w:rPr>
      </w:pPr>
    </w:p>
    <w:p>
      <w:pPr>
        <w:tabs>
          <w:tab w:pos="2837" w:val="left" w:leader="none"/>
          <w:tab w:pos="5558" w:val="left" w:leader="none"/>
          <w:tab w:pos="7997" w:val="left" w:leader="none"/>
        </w:tabs>
        <w:spacing w:before="117"/>
        <w:ind w:left="408" w:right="0" w:firstLine="0"/>
        <w:jc w:val="left"/>
        <w:rPr>
          <w:rFonts w:ascii="Arial"/>
          <w:b/>
          <w:sz w:val="14"/>
        </w:rPr>
      </w:pPr>
      <w:r>
        <w:rPr/>
        <w:pict>
          <v:line style="position:absolute;mso-position-horizontal-relative:page;mso-position-vertical-relative:paragraph;z-index:2320" from="51.360001pt,3.41591pt" to="790.320001pt,3.41591pt" stroked="true" strokeweight="2.16pt" strokecolor="#000000">
            <v:stroke dashstyle="solid"/>
            <w10:wrap type="none"/>
          </v:line>
        </w:pict>
      </w:r>
      <w:r>
        <w:rPr>
          <w:rFonts w:ascii="Arial"/>
          <w:b/>
          <w:spacing w:val="4"/>
          <w:sz w:val="14"/>
        </w:rPr>
        <w:t>FY2020</w:t>
      </w:r>
      <w:r>
        <w:rPr>
          <w:rFonts w:ascii="Arial"/>
          <w:b/>
          <w:spacing w:val="43"/>
          <w:sz w:val="14"/>
        </w:rPr>
        <w:t> </w:t>
      </w:r>
      <w:r>
        <w:rPr>
          <w:rFonts w:ascii="Arial"/>
          <w:b/>
          <w:sz w:val="14"/>
        </w:rPr>
        <w:t>Budget</w:t>
        <w:tab/>
      </w:r>
      <w:r>
        <w:rPr>
          <w:rFonts w:ascii="Arial"/>
          <w:b/>
          <w:spacing w:val="4"/>
          <w:sz w:val="14"/>
        </w:rPr>
        <w:t>FY2021 </w:t>
      </w:r>
      <w:r>
        <w:rPr>
          <w:rFonts w:ascii="Arial"/>
          <w:b/>
          <w:spacing w:val="22"/>
          <w:sz w:val="14"/>
        </w:rPr>
        <w:t> </w:t>
      </w:r>
      <w:r>
        <w:rPr>
          <w:rFonts w:ascii="Arial"/>
          <w:b/>
          <w:spacing w:val="3"/>
          <w:sz w:val="14"/>
        </w:rPr>
        <w:t>Indicative</w:t>
        <w:tab/>
      </w:r>
      <w:r>
        <w:rPr>
          <w:rFonts w:ascii="Arial"/>
          <w:b/>
          <w:spacing w:val="4"/>
          <w:sz w:val="14"/>
        </w:rPr>
        <w:t>FY2022 </w:t>
      </w:r>
      <w:r>
        <w:rPr>
          <w:rFonts w:ascii="Arial"/>
          <w:b/>
          <w:spacing w:val="22"/>
          <w:sz w:val="14"/>
        </w:rPr>
        <w:t> </w:t>
      </w:r>
      <w:r>
        <w:rPr>
          <w:rFonts w:ascii="Arial"/>
          <w:b/>
          <w:spacing w:val="3"/>
          <w:sz w:val="14"/>
        </w:rPr>
        <w:t>Indicative</w:t>
        <w:tab/>
      </w:r>
      <w:r>
        <w:rPr>
          <w:rFonts w:ascii="Arial"/>
          <w:b/>
          <w:spacing w:val="4"/>
          <w:sz w:val="14"/>
        </w:rPr>
        <w:t>FY2023</w:t>
      </w:r>
      <w:r>
        <w:rPr>
          <w:rFonts w:ascii="Arial"/>
          <w:b/>
          <w:spacing w:val="22"/>
          <w:sz w:val="14"/>
        </w:rPr>
        <w:t> </w:t>
      </w:r>
      <w:r>
        <w:rPr>
          <w:rFonts w:ascii="Arial"/>
          <w:b/>
          <w:spacing w:val="3"/>
          <w:sz w:val="14"/>
        </w:rPr>
        <w:t>Indicative</w:t>
      </w:r>
    </w:p>
    <w:p>
      <w:pPr>
        <w:spacing w:after="0"/>
        <w:jc w:val="left"/>
        <w:rPr>
          <w:rFonts w:ascii="Arial"/>
          <w:sz w:val="14"/>
        </w:rPr>
        <w:sectPr>
          <w:headerReference w:type="default" r:id="rId16"/>
          <w:pgSz w:w="16840" w:h="11900" w:orient="landscape"/>
          <w:pgMar w:header="0" w:footer="0" w:top="1040" w:bottom="280" w:left="880" w:right="920"/>
          <w:cols w:num="2" w:equalWidth="0">
            <w:col w:w="2219" w:space="3007"/>
            <w:col w:w="9814"/>
          </w:cols>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
        <w:gridCol w:w="4013"/>
        <w:gridCol w:w="1356"/>
        <w:gridCol w:w="1401"/>
        <w:gridCol w:w="1206"/>
        <w:gridCol w:w="1375"/>
        <w:gridCol w:w="1260"/>
        <w:gridCol w:w="1348"/>
        <w:gridCol w:w="1119"/>
        <w:gridCol w:w="1174"/>
      </w:tblGrid>
      <w:tr>
        <w:trPr>
          <w:trHeight w:val="452" w:hRule="atLeast"/>
        </w:trPr>
        <w:tc>
          <w:tcPr>
            <w:tcW w:w="542" w:type="dxa"/>
            <w:tcBorders>
              <w:bottom w:val="single" w:sz="18" w:space="0" w:color="000000"/>
            </w:tcBorders>
          </w:tcPr>
          <w:p>
            <w:pPr>
              <w:pStyle w:val="TableParagraph"/>
              <w:spacing w:before="16"/>
              <w:ind w:left="292"/>
              <w:rPr>
                <w:b/>
                <w:sz w:val="14"/>
              </w:rPr>
            </w:pPr>
            <w:r>
              <w:rPr>
                <w:b/>
                <w:sz w:val="14"/>
              </w:rPr>
              <w:t>No.</w:t>
            </w:r>
          </w:p>
        </w:tc>
        <w:tc>
          <w:tcPr>
            <w:tcW w:w="4013" w:type="dxa"/>
            <w:tcBorders>
              <w:bottom w:val="single" w:sz="18" w:space="0" w:color="000000"/>
            </w:tcBorders>
          </w:tcPr>
          <w:p>
            <w:pPr>
              <w:pStyle w:val="TableParagraph"/>
              <w:spacing w:before="16"/>
              <w:ind w:left="840"/>
              <w:rPr>
                <w:b/>
                <w:sz w:val="14"/>
              </w:rPr>
            </w:pPr>
            <w:r>
              <w:rPr>
                <w:b/>
                <w:sz w:val="14"/>
              </w:rPr>
              <w:t>Category</w:t>
            </w:r>
          </w:p>
        </w:tc>
        <w:tc>
          <w:tcPr>
            <w:tcW w:w="1356" w:type="dxa"/>
            <w:tcBorders>
              <w:bottom w:val="single" w:sz="18" w:space="0" w:color="000000"/>
            </w:tcBorders>
          </w:tcPr>
          <w:p>
            <w:pPr>
              <w:pStyle w:val="TableParagraph"/>
              <w:spacing w:before="2"/>
              <w:rPr>
                <w:b/>
                <w:sz w:val="15"/>
              </w:rPr>
            </w:pPr>
          </w:p>
          <w:p>
            <w:pPr>
              <w:pStyle w:val="TableParagraph"/>
              <w:ind w:right="199"/>
              <w:jc w:val="right"/>
              <w:rPr>
                <w:b/>
                <w:sz w:val="14"/>
              </w:rPr>
            </w:pPr>
            <w:r>
              <w:rPr>
                <w:b/>
                <w:sz w:val="14"/>
              </w:rPr>
              <w:t>Workforce</w:t>
            </w:r>
          </w:p>
        </w:tc>
        <w:tc>
          <w:tcPr>
            <w:tcW w:w="1401" w:type="dxa"/>
            <w:tcBorders>
              <w:bottom w:val="single" w:sz="18" w:space="0" w:color="000000"/>
            </w:tcBorders>
          </w:tcPr>
          <w:p>
            <w:pPr>
              <w:pStyle w:val="TableParagraph"/>
              <w:spacing w:before="2"/>
              <w:rPr>
                <w:b/>
                <w:sz w:val="15"/>
              </w:rPr>
            </w:pPr>
          </w:p>
          <w:p>
            <w:pPr>
              <w:pStyle w:val="TableParagraph"/>
              <w:ind w:right="380"/>
              <w:jc w:val="right"/>
              <w:rPr>
                <w:b/>
                <w:sz w:val="14"/>
              </w:rPr>
            </w:pPr>
            <w:r>
              <w:rPr>
                <w:b/>
                <w:w w:val="95"/>
                <w:sz w:val="14"/>
              </w:rPr>
              <w:t>Amount</w:t>
            </w:r>
          </w:p>
        </w:tc>
        <w:tc>
          <w:tcPr>
            <w:tcW w:w="1206" w:type="dxa"/>
            <w:tcBorders>
              <w:bottom w:val="single" w:sz="18" w:space="0" w:color="000000"/>
            </w:tcBorders>
          </w:tcPr>
          <w:p>
            <w:pPr>
              <w:pStyle w:val="TableParagraph"/>
              <w:spacing w:before="2"/>
              <w:rPr>
                <w:b/>
                <w:sz w:val="15"/>
              </w:rPr>
            </w:pPr>
          </w:p>
          <w:p>
            <w:pPr>
              <w:pStyle w:val="TableParagraph"/>
              <w:ind w:right="142"/>
              <w:jc w:val="right"/>
              <w:rPr>
                <w:b/>
                <w:sz w:val="14"/>
              </w:rPr>
            </w:pPr>
            <w:r>
              <w:rPr>
                <w:b/>
                <w:sz w:val="14"/>
              </w:rPr>
              <w:t>Workforce</w:t>
            </w:r>
          </w:p>
        </w:tc>
        <w:tc>
          <w:tcPr>
            <w:tcW w:w="1375" w:type="dxa"/>
            <w:tcBorders>
              <w:bottom w:val="single" w:sz="18" w:space="0" w:color="000000"/>
            </w:tcBorders>
          </w:tcPr>
          <w:p>
            <w:pPr>
              <w:pStyle w:val="TableParagraph"/>
              <w:spacing w:before="2"/>
              <w:rPr>
                <w:b/>
                <w:sz w:val="15"/>
              </w:rPr>
            </w:pPr>
          </w:p>
          <w:p>
            <w:pPr>
              <w:pStyle w:val="TableParagraph"/>
              <w:ind w:left="505"/>
              <w:rPr>
                <w:b/>
                <w:sz w:val="14"/>
              </w:rPr>
            </w:pPr>
            <w:r>
              <w:rPr>
                <w:b/>
                <w:sz w:val="14"/>
              </w:rPr>
              <w:t>Amount</w:t>
            </w:r>
          </w:p>
        </w:tc>
        <w:tc>
          <w:tcPr>
            <w:tcW w:w="1260" w:type="dxa"/>
            <w:tcBorders>
              <w:bottom w:val="single" w:sz="18" w:space="0" w:color="000000"/>
            </w:tcBorders>
          </w:tcPr>
          <w:p>
            <w:pPr>
              <w:pStyle w:val="TableParagraph"/>
              <w:spacing w:before="2"/>
              <w:rPr>
                <w:b/>
                <w:sz w:val="15"/>
              </w:rPr>
            </w:pPr>
          </w:p>
          <w:p>
            <w:pPr>
              <w:pStyle w:val="TableParagraph"/>
              <w:ind w:left="407"/>
              <w:rPr>
                <w:b/>
                <w:sz w:val="14"/>
              </w:rPr>
            </w:pPr>
            <w:r>
              <w:rPr>
                <w:b/>
                <w:sz w:val="14"/>
              </w:rPr>
              <w:t>Workforce</w:t>
            </w:r>
          </w:p>
        </w:tc>
        <w:tc>
          <w:tcPr>
            <w:tcW w:w="1348" w:type="dxa"/>
            <w:tcBorders>
              <w:bottom w:val="single" w:sz="18" w:space="0" w:color="000000"/>
            </w:tcBorders>
          </w:tcPr>
          <w:p>
            <w:pPr>
              <w:pStyle w:val="TableParagraph"/>
              <w:spacing w:before="2"/>
              <w:rPr>
                <w:b/>
                <w:sz w:val="15"/>
              </w:rPr>
            </w:pPr>
          </w:p>
          <w:p>
            <w:pPr>
              <w:pStyle w:val="TableParagraph"/>
              <w:ind w:right="352"/>
              <w:jc w:val="right"/>
              <w:rPr>
                <w:b/>
                <w:sz w:val="14"/>
              </w:rPr>
            </w:pPr>
            <w:r>
              <w:rPr>
                <w:b/>
                <w:w w:val="95"/>
                <w:sz w:val="14"/>
              </w:rPr>
              <w:t>Amount</w:t>
            </w:r>
          </w:p>
        </w:tc>
        <w:tc>
          <w:tcPr>
            <w:tcW w:w="1119" w:type="dxa"/>
            <w:tcBorders>
              <w:bottom w:val="single" w:sz="18" w:space="0" w:color="000000"/>
            </w:tcBorders>
          </w:tcPr>
          <w:p>
            <w:pPr>
              <w:pStyle w:val="TableParagraph"/>
              <w:spacing w:before="2"/>
              <w:rPr>
                <w:b/>
                <w:sz w:val="15"/>
              </w:rPr>
            </w:pPr>
          </w:p>
          <w:p>
            <w:pPr>
              <w:pStyle w:val="TableParagraph"/>
              <w:ind w:left="353"/>
              <w:rPr>
                <w:b/>
                <w:sz w:val="14"/>
              </w:rPr>
            </w:pPr>
            <w:r>
              <w:rPr>
                <w:b/>
                <w:sz w:val="14"/>
              </w:rPr>
              <w:t>Workforce</w:t>
            </w:r>
          </w:p>
        </w:tc>
        <w:tc>
          <w:tcPr>
            <w:tcW w:w="1174" w:type="dxa"/>
            <w:tcBorders>
              <w:bottom w:val="single" w:sz="18" w:space="0" w:color="000000"/>
            </w:tcBorders>
          </w:tcPr>
          <w:p>
            <w:pPr>
              <w:pStyle w:val="TableParagraph"/>
              <w:spacing w:before="2"/>
              <w:rPr>
                <w:b/>
                <w:sz w:val="15"/>
              </w:rPr>
            </w:pPr>
          </w:p>
          <w:p>
            <w:pPr>
              <w:pStyle w:val="TableParagraph"/>
              <w:ind w:right="322"/>
              <w:jc w:val="right"/>
              <w:rPr>
                <w:b/>
                <w:sz w:val="14"/>
              </w:rPr>
            </w:pPr>
            <w:r>
              <w:rPr>
                <w:b/>
                <w:w w:val="95"/>
                <w:sz w:val="14"/>
              </w:rPr>
              <w:t>Amount</w:t>
            </w:r>
          </w:p>
        </w:tc>
      </w:tr>
      <w:tr>
        <w:trPr>
          <w:trHeight w:val="291" w:hRule="atLeast"/>
        </w:trPr>
        <w:tc>
          <w:tcPr>
            <w:tcW w:w="542" w:type="dxa"/>
            <w:tcBorders>
              <w:top w:val="single" w:sz="18" w:space="0" w:color="000000"/>
            </w:tcBorders>
          </w:tcPr>
          <w:p>
            <w:pPr>
              <w:pStyle w:val="TableParagraph"/>
              <w:spacing w:before="66"/>
              <w:ind w:left="259"/>
              <w:rPr>
                <w:sz w:val="14"/>
              </w:rPr>
            </w:pPr>
            <w:r>
              <w:rPr>
                <w:sz w:val="14"/>
              </w:rPr>
              <w:t>1.</w:t>
            </w:r>
          </w:p>
        </w:tc>
        <w:tc>
          <w:tcPr>
            <w:tcW w:w="4013" w:type="dxa"/>
            <w:tcBorders>
              <w:top w:val="single" w:sz="18" w:space="0" w:color="000000"/>
            </w:tcBorders>
          </w:tcPr>
          <w:p>
            <w:pPr>
              <w:pStyle w:val="TableParagraph"/>
              <w:spacing w:before="66"/>
              <w:ind w:left="25"/>
              <w:rPr>
                <w:sz w:val="14"/>
              </w:rPr>
            </w:pPr>
            <w:r>
              <w:rPr>
                <w:sz w:val="14"/>
              </w:rPr>
              <w:t>Ministries, Departments and Agencies (MDAs)</w:t>
            </w:r>
          </w:p>
        </w:tc>
        <w:tc>
          <w:tcPr>
            <w:tcW w:w="1356" w:type="dxa"/>
            <w:tcBorders>
              <w:top w:val="single" w:sz="18" w:space="0" w:color="000000"/>
            </w:tcBorders>
          </w:tcPr>
          <w:p>
            <w:pPr>
              <w:pStyle w:val="TableParagraph"/>
              <w:spacing w:before="66"/>
              <w:ind w:right="260"/>
              <w:jc w:val="right"/>
              <w:rPr>
                <w:sz w:val="14"/>
              </w:rPr>
            </w:pPr>
            <w:r>
              <w:rPr>
                <w:sz w:val="14"/>
              </w:rPr>
              <w:t>5,900</w:t>
            </w:r>
          </w:p>
        </w:tc>
        <w:tc>
          <w:tcPr>
            <w:tcW w:w="1401" w:type="dxa"/>
            <w:tcBorders>
              <w:top w:val="single" w:sz="18" w:space="0" w:color="000000"/>
            </w:tcBorders>
          </w:tcPr>
          <w:p>
            <w:pPr>
              <w:pStyle w:val="TableParagraph"/>
              <w:spacing w:before="66"/>
              <w:ind w:right="426"/>
              <w:jc w:val="right"/>
              <w:rPr>
                <w:sz w:val="14"/>
              </w:rPr>
            </w:pPr>
            <w:r>
              <w:rPr>
                <w:sz w:val="14"/>
              </w:rPr>
              <w:t>267,269</w:t>
            </w:r>
          </w:p>
        </w:tc>
        <w:tc>
          <w:tcPr>
            <w:tcW w:w="1206" w:type="dxa"/>
            <w:tcBorders>
              <w:top w:val="single" w:sz="18" w:space="0" w:color="000000"/>
            </w:tcBorders>
          </w:tcPr>
          <w:p>
            <w:pPr>
              <w:pStyle w:val="TableParagraph"/>
              <w:spacing w:before="66"/>
              <w:ind w:right="260"/>
              <w:jc w:val="right"/>
              <w:rPr>
                <w:sz w:val="14"/>
              </w:rPr>
            </w:pPr>
            <w:r>
              <w:rPr>
                <w:sz w:val="14"/>
              </w:rPr>
              <w:t>5,900</w:t>
            </w:r>
          </w:p>
        </w:tc>
        <w:tc>
          <w:tcPr>
            <w:tcW w:w="1375" w:type="dxa"/>
            <w:tcBorders>
              <w:top w:val="single" w:sz="18" w:space="0" w:color="000000"/>
            </w:tcBorders>
          </w:tcPr>
          <w:p>
            <w:pPr>
              <w:pStyle w:val="TableParagraph"/>
              <w:spacing w:before="66"/>
              <w:ind w:left="372"/>
              <w:rPr>
                <w:sz w:val="14"/>
              </w:rPr>
            </w:pPr>
            <w:r>
              <w:rPr>
                <w:sz w:val="14"/>
              </w:rPr>
              <w:t>293,996</w:t>
            </w:r>
          </w:p>
        </w:tc>
        <w:tc>
          <w:tcPr>
            <w:tcW w:w="1260" w:type="dxa"/>
            <w:tcBorders>
              <w:top w:val="single" w:sz="18" w:space="0" w:color="000000"/>
            </w:tcBorders>
          </w:tcPr>
          <w:p>
            <w:pPr>
              <w:pStyle w:val="TableParagraph"/>
              <w:spacing w:before="66"/>
              <w:ind w:left="538"/>
              <w:rPr>
                <w:sz w:val="14"/>
              </w:rPr>
            </w:pPr>
            <w:r>
              <w:rPr>
                <w:sz w:val="14"/>
              </w:rPr>
              <w:t>6,400</w:t>
            </w:r>
          </w:p>
        </w:tc>
        <w:tc>
          <w:tcPr>
            <w:tcW w:w="1348" w:type="dxa"/>
            <w:tcBorders>
              <w:top w:val="single" w:sz="18" w:space="0" w:color="000000"/>
            </w:tcBorders>
          </w:tcPr>
          <w:p>
            <w:pPr>
              <w:pStyle w:val="TableParagraph"/>
              <w:spacing w:before="66"/>
              <w:ind w:right="398"/>
              <w:jc w:val="right"/>
              <w:rPr>
                <w:sz w:val="14"/>
              </w:rPr>
            </w:pPr>
            <w:r>
              <w:rPr>
                <w:sz w:val="14"/>
              </w:rPr>
              <w:t>400,955</w:t>
            </w:r>
          </w:p>
        </w:tc>
        <w:tc>
          <w:tcPr>
            <w:tcW w:w="1119" w:type="dxa"/>
            <w:tcBorders>
              <w:top w:val="single" w:sz="18" w:space="0" w:color="000000"/>
            </w:tcBorders>
          </w:tcPr>
          <w:p>
            <w:pPr>
              <w:pStyle w:val="TableParagraph"/>
              <w:spacing w:before="66"/>
              <w:ind w:left="536"/>
              <w:rPr>
                <w:sz w:val="14"/>
              </w:rPr>
            </w:pPr>
            <w:r>
              <w:rPr>
                <w:sz w:val="14"/>
              </w:rPr>
              <w:t>6,900</w:t>
            </w:r>
          </w:p>
        </w:tc>
        <w:tc>
          <w:tcPr>
            <w:tcW w:w="1174" w:type="dxa"/>
            <w:tcBorders>
              <w:top w:val="single" w:sz="18" w:space="0" w:color="000000"/>
            </w:tcBorders>
          </w:tcPr>
          <w:p>
            <w:pPr>
              <w:pStyle w:val="TableParagraph"/>
              <w:spacing w:before="66"/>
              <w:ind w:right="310"/>
              <w:jc w:val="right"/>
              <w:rPr>
                <w:sz w:val="14"/>
              </w:rPr>
            </w:pPr>
            <w:r>
              <w:rPr>
                <w:sz w:val="14"/>
              </w:rPr>
              <w:t>425,870</w:t>
            </w:r>
          </w:p>
        </w:tc>
      </w:tr>
      <w:tr>
        <w:trPr>
          <w:trHeight w:val="259" w:hRule="atLeast"/>
        </w:trPr>
        <w:tc>
          <w:tcPr>
            <w:tcW w:w="542" w:type="dxa"/>
          </w:tcPr>
          <w:p>
            <w:pPr>
              <w:pStyle w:val="TableParagraph"/>
              <w:spacing w:before="33"/>
              <w:ind w:left="259"/>
              <w:rPr>
                <w:sz w:val="14"/>
              </w:rPr>
            </w:pPr>
            <w:r>
              <w:rPr>
                <w:sz w:val="14"/>
              </w:rPr>
              <w:t>2.</w:t>
            </w:r>
          </w:p>
        </w:tc>
        <w:tc>
          <w:tcPr>
            <w:tcW w:w="4013" w:type="dxa"/>
          </w:tcPr>
          <w:p>
            <w:pPr>
              <w:pStyle w:val="TableParagraph"/>
              <w:spacing w:before="33"/>
              <w:ind w:left="25"/>
              <w:rPr>
                <w:sz w:val="14"/>
              </w:rPr>
            </w:pPr>
            <w:r>
              <w:rPr>
                <w:sz w:val="14"/>
              </w:rPr>
              <w:t>Health workers</w:t>
            </w:r>
          </w:p>
        </w:tc>
        <w:tc>
          <w:tcPr>
            <w:tcW w:w="1356" w:type="dxa"/>
          </w:tcPr>
          <w:p>
            <w:pPr>
              <w:pStyle w:val="TableParagraph"/>
              <w:spacing w:before="33"/>
              <w:ind w:left="625"/>
              <w:rPr>
                <w:sz w:val="14"/>
              </w:rPr>
            </w:pPr>
            <w:r>
              <w:rPr>
                <w:sz w:val="14"/>
              </w:rPr>
              <w:t>11,575</w:t>
            </w:r>
          </w:p>
        </w:tc>
        <w:tc>
          <w:tcPr>
            <w:tcW w:w="1401" w:type="dxa"/>
          </w:tcPr>
          <w:p>
            <w:pPr>
              <w:pStyle w:val="TableParagraph"/>
              <w:spacing w:before="33"/>
              <w:ind w:right="426"/>
              <w:jc w:val="right"/>
              <w:rPr>
                <w:sz w:val="14"/>
              </w:rPr>
            </w:pPr>
            <w:r>
              <w:rPr>
                <w:sz w:val="14"/>
              </w:rPr>
              <w:t>345,052</w:t>
            </w:r>
          </w:p>
        </w:tc>
        <w:tc>
          <w:tcPr>
            <w:tcW w:w="1206" w:type="dxa"/>
          </w:tcPr>
          <w:p>
            <w:pPr>
              <w:pStyle w:val="TableParagraph"/>
              <w:spacing w:before="33"/>
              <w:ind w:left="474"/>
              <w:rPr>
                <w:sz w:val="14"/>
              </w:rPr>
            </w:pPr>
            <w:r>
              <w:rPr>
                <w:sz w:val="14"/>
              </w:rPr>
              <w:t>12,575</w:t>
            </w:r>
          </w:p>
        </w:tc>
        <w:tc>
          <w:tcPr>
            <w:tcW w:w="1375" w:type="dxa"/>
          </w:tcPr>
          <w:p>
            <w:pPr>
              <w:pStyle w:val="TableParagraph"/>
              <w:spacing w:before="33"/>
              <w:ind w:left="372"/>
              <w:rPr>
                <w:sz w:val="14"/>
              </w:rPr>
            </w:pPr>
            <w:r>
              <w:rPr>
                <w:sz w:val="14"/>
              </w:rPr>
              <w:t>374,862</w:t>
            </w:r>
          </w:p>
        </w:tc>
        <w:tc>
          <w:tcPr>
            <w:tcW w:w="1260" w:type="dxa"/>
          </w:tcPr>
          <w:p>
            <w:pPr>
              <w:pStyle w:val="TableParagraph"/>
              <w:spacing w:before="33"/>
              <w:ind w:left="447"/>
              <w:rPr>
                <w:sz w:val="14"/>
              </w:rPr>
            </w:pPr>
            <w:r>
              <w:rPr>
                <w:sz w:val="14"/>
              </w:rPr>
              <w:t>12,575</w:t>
            </w:r>
          </w:p>
        </w:tc>
        <w:tc>
          <w:tcPr>
            <w:tcW w:w="1348" w:type="dxa"/>
          </w:tcPr>
          <w:p>
            <w:pPr>
              <w:pStyle w:val="TableParagraph"/>
              <w:spacing w:before="33"/>
              <w:ind w:right="398"/>
              <w:jc w:val="right"/>
              <w:rPr>
                <w:sz w:val="14"/>
              </w:rPr>
            </w:pPr>
            <w:r>
              <w:rPr>
                <w:sz w:val="14"/>
              </w:rPr>
              <w:t>424,862</w:t>
            </w:r>
          </w:p>
        </w:tc>
        <w:tc>
          <w:tcPr>
            <w:tcW w:w="1119" w:type="dxa"/>
          </w:tcPr>
          <w:p>
            <w:pPr>
              <w:pStyle w:val="TableParagraph"/>
              <w:spacing w:before="33"/>
              <w:ind w:left="445"/>
              <w:rPr>
                <w:sz w:val="14"/>
              </w:rPr>
            </w:pPr>
            <w:r>
              <w:rPr>
                <w:sz w:val="14"/>
              </w:rPr>
              <w:t>12,575</w:t>
            </w:r>
          </w:p>
        </w:tc>
        <w:tc>
          <w:tcPr>
            <w:tcW w:w="1174" w:type="dxa"/>
          </w:tcPr>
          <w:p>
            <w:pPr>
              <w:pStyle w:val="TableParagraph"/>
              <w:spacing w:before="33"/>
              <w:ind w:right="310"/>
              <w:jc w:val="right"/>
              <w:rPr>
                <w:sz w:val="14"/>
              </w:rPr>
            </w:pPr>
            <w:r>
              <w:rPr>
                <w:sz w:val="14"/>
              </w:rPr>
              <w:t>424,862</w:t>
            </w:r>
          </w:p>
        </w:tc>
      </w:tr>
      <w:tr>
        <w:trPr>
          <w:trHeight w:val="261" w:hRule="atLeast"/>
        </w:trPr>
        <w:tc>
          <w:tcPr>
            <w:tcW w:w="542" w:type="dxa"/>
          </w:tcPr>
          <w:p>
            <w:pPr>
              <w:pStyle w:val="TableParagraph"/>
              <w:spacing w:before="33"/>
              <w:ind w:left="259"/>
              <w:rPr>
                <w:sz w:val="14"/>
              </w:rPr>
            </w:pPr>
            <w:r>
              <w:rPr>
                <w:sz w:val="14"/>
              </w:rPr>
              <w:t>3.</w:t>
            </w:r>
          </w:p>
        </w:tc>
        <w:tc>
          <w:tcPr>
            <w:tcW w:w="4013" w:type="dxa"/>
          </w:tcPr>
          <w:p>
            <w:pPr>
              <w:pStyle w:val="TableParagraph"/>
              <w:spacing w:before="33"/>
              <w:ind w:left="24"/>
              <w:rPr>
                <w:sz w:val="14"/>
              </w:rPr>
            </w:pPr>
            <w:r>
              <w:rPr>
                <w:sz w:val="14"/>
              </w:rPr>
              <w:t>Subvented Agencies</w:t>
            </w:r>
          </w:p>
        </w:tc>
        <w:tc>
          <w:tcPr>
            <w:tcW w:w="1356" w:type="dxa"/>
          </w:tcPr>
          <w:p>
            <w:pPr>
              <w:pStyle w:val="TableParagraph"/>
              <w:spacing w:before="33"/>
              <w:ind w:right="260"/>
              <w:jc w:val="right"/>
              <w:rPr>
                <w:sz w:val="14"/>
              </w:rPr>
            </w:pPr>
            <w:r>
              <w:rPr>
                <w:sz w:val="14"/>
              </w:rPr>
              <w:t>4,810</w:t>
            </w:r>
          </w:p>
        </w:tc>
        <w:tc>
          <w:tcPr>
            <w:tcW w:w="1401" w:type="dxa"/>
          </w:tcPr>
          <w:p>
            <w:pPr>
              <w:pStyle w:val="TableParagraph"/>
              <w:spacing w:before="33"/>
              <w:ind w:right="426"/>
              <w:jc w:val="right"/>
              <w:rPr>
                <w:sz w:val="14"/>
              </w:rPr>
            </w:pPr>
            <w:r>
              <w:rPr>
                <w:sz w:val="14"/>
              </w:rPr>
              <w:t>364,697</w:t>
            </w:r>
          </w:p>
        </w:tc>
        <w:tc>
          <w:tcPr>
            <w:tcW w:w="1206" w:type="dxa"/>
          </w:tcPr>
          <w:p>
            <w:pPr>
              <w:pStyle w:val="TableParagraph"/>
              <w:spacing w:before="33"/>
              <w:ind w:right="260"/>
              <w:jc w:val="right"/>
              <w:rPr>
                <w:sz w:val="14"/>
              </w:rPr>
            </w:pPr>
            <w:r>
              <w:rPr>
                <w:sz w:val="14"/>
              </w:rPr>
              <w:t>4,810</w:t>
            </w:r>
          </w:p>
        </w:tc>
        <w:tc>
          <w:tcPr>
            <w:tcW w:w="1375" w:type="dxa"/>
          </w:tcPr>
          <w:p>
            <w:pPr>
              <w:pStyle w:val="TableParagraph"/>
              <w:spacing w:before="33"/>
              <w:ind w:left="372"/>
              <w:rPr>
                <w:sz w:val="14"/>
              </w:rPr>
            </w:pPr>
            <w:r>
              <w:rPr>
                <w:sz w:val="14"/>
              </w:rPr>
              <w:t>364,697</w:t>
            </w:r>
          </w:p>
        </w:tc>
        <w:tc>
          <w:tcPr>
            <w:tcW w:w="1260" w:type="dxa"/>
          </w:tcPr>
          <w:p>
            <w:pPr>
              <w:pStyle w:val="TableParagraph"/>
              <w:spacing w:before="33"/>
              <w:ind w:left="538"/>
              <w:rPr>
                <w:sz w:val="14"/>
              </w:rPr>
            </w:pPr>
            <w:r>
              <w:rPr>
                <w:sz w:val="14"/>
              </w:rPr>
              <w:t>4,810</w:t>
            </w:r>
          </w:p>
        </w:tc>
        <w:tc>
          <w:tcPr>
            <w:tcW w:w="1348" w:type="dxa"/>
          </w:tcPr>
          <w:p>
            <w:pPr>
              <w:pStyle w:val="TableParagraph"/>
              <w:spacing w:before="33"/>
              <w:ind w:right="398"/>
              <w:jc w:val="right"/>
              <w:rPr>
                <w:sz w:val="14"/>
              </w:rPr>
            </w:pPr>
            <w:r>
              <w:rPr>
                <w:sz w:val="14"/>
              </w:rPr>
              <w:t>364,697</w:t>
            </w:r>
          </w:p>
        </w:tc>
        <w:tc>
          <w:tcPr>
            <w:tcW w:w="1119" w:type="dxa"/>
          </w:tcPr>
          <w:p>
            <w:pPr>
              <w:pStyle w:val="TableParagraph"/>
              <w:spacing w:before="33"/>
              <w:ind w:left="536"/>
              <w:rPr>
                <w:sz w:val="14"/>
              </w:rPr>
            </w:pPr>
            <w:r>
              <w:rPr>
                <w:sz w:val="14"/>
              </w:rPr>
              <w:t>4,810</w:t>
            </w:r>
          </w:p>
        </w:tc>
        <w:tc>
          <w:tcPr>
            <w:tcW w:w="1174" w:type="dxa"/>
          </w:tcPr>
          <w:p>
            <w:pPr>
              <w:pStyle w:val="TableParagraph"/>
              <w:spacing w:before="33"/>
              <w:ind w:right="310"/>
              <w:jc w:val="right"/>
              <w:rPr>
                <w:sz w:val="14"/>
              </w:rPr>
            </w:pPr>
            <w:r>
              <w:rPr>
                <w:sz w:val="14"/>
              </w:rPr>
              <w:t>364,697</w:t>
            </w:r>
          </w:p>
        </w:tc>
      </w:tr>
      <w:tr>
        <w:trPr>
          <w:trHeight w:val="261" w:hRule="atLeast"/>
        </w:trPr>
        <w:tc>
          <w:tcPr>
            <w:tcW w:w="542" w:type="dxa"/>
          </w:tcPr>
          <w:p>
            <w:pPr>
              <w:pStyle w:val="TableParagraph"/>
              <w:spacing w:before="36"/>
              <w:ind w:left="259"/>
              <w:rPr>
                <w:sz w:val="14"/>
              </w:rPr>
            </w:pPr>
            <w:r>
              <w:rPr>
                <w:sz w:val="14"/>
              </w:rPr>
              <w:t>4.</w:t>
            </w:r>
          </w:p>
        </w:tc>
        <w:tc>
          <w:tcPr>
            <w:tcW w:w="4013" w:type="dxa"/>
          </w:tcPr>
          <w:p>
            <w:pPr>
              <w:pStyle w:val="TableParagraph"/>
              <w:spacing w:before="36"/>
              <w:ind w:left="24"/>
              <w:rPr>
                <w:sz w:val="14"/>
              </w:rPr>
            </w:pPr>
            <w:r>
              <w:rPr>
                <w:sz w:val="14"/>
              </w:rPr>
              <w:t>Teachers 34,619</w:t>
            </w:r>
          </w:p>
        </w:tc>
        <w:tc>
          <w:tcPr>
            <w:tcW w:w="1356" w:type="dxa"/>
          </w:tcPr>
          <w:p>
            <w:pPr>
              <w:pStyle w:val="TableParagraph"/>
              <w:spacing w:before="36"/>
              <w:ind w:left="533"/>
              <w:rPr>
                <w:sz w:val="14"/>
              </w:rPr>
            </w:pPr>
            <w:r>
              <w:rPr>
                <w:sz w:val="14"/>
              </w:rPr>
              <w:t>675,584</w:t>
            </w:r>
          </w:p>
        </w:tc>
        <w:tc>
          <w:tcPr>
            <w:tcW w:w="1401" w:type="dxa"/>
          </w:tcPr>
          <w:p>
            <w:pPr>
              <w:pStyle w:val="TableParagraph"/>
              <w:spacing w:before="36"/>
              <w:ind w:right="421"/>
              <w:jc w:val="right"/>
              <w:rPr>
                <w:sz w:val="14"/>
              </w:rPr>
            </w:pPr>
            <w:r>
              <w:rPr>
                <w:w w:val="95"/>
                <w:sz w:val="14"/>
              </w:rPr>
              <w:t>34,619</w:t>
            </w:r>
          </w:p>
        </w:tc>
        <w:tc>
          <w:tcPr>
            <w:tcW w:w="1206" w:type="dxa"/>
          </w:tcPr>
          <w:p>
            <w:pPr>
              <w:pStyle w:val="TableParagraph"/>
              <w:spacing w:before="36"/>
              <w:ind w:left="388"/>
              <w:rPr>
                <w:sz w:val="14"/>
              </w:rPr>
            </w:pPr>
            <w:r>
              <w:rPr>
                <w:sz w:val="14"/>
              </w:rPr>
              <w:t>779,520</w:t>
            </w:r>
          </w:p>
        </w:tc>
        <w:tc>
          <w:tcPr>
            <w:tcW w:w="1375" w:type="dxa"/>
          </w:tcPr>
          <w:p>
            <w:pPr>
              <w:pStyle w:val="TableParagraph"/>
              <w:spacing w:before="36"/>
              <w:ind w:left="458"/>
              <w:rPr>
                <w:sz w:val="14"/>
              </w:rPr>
            </w:pPr>
            <w:r>
              <w:rPr>
                <w:sz w:val="14"/>
              </w:rPr>
              <w:t>39,619</w:t>
            </w:r>
          </w:p>
        </w:tc>
        <w:tc>
          <w:tcPr>
            <w:tcW w:w="1260" w:type="dxa"/>
          </w:tcPr>
          <w:p>
            <w:pPr>
              <w:pStyle w:val="TableParagraph"/>
              <w:spacing w:before="36"/>
              <w:ind w:left="355"/>
              <w:rPr>
                <w:sz w:val="14"/>
              </w:rPr>
            </w:pPr>
            <w:r>
              <w:rPr>
                <w:sz w:val="14"/>
              </w:rPr>
              <w:t>892,106</w:t>
            </w:r>
          </w:p>
        </w:tc>
        <w:tc>
          <w:tcPr>
            <w:tcW w:w="1348" w:type="dxa"/>
          </w:tcPr>
          <w:p>
            <w:pPr>
              <w:pStyle w:val="TableParagraph"/>
              <w:spacing w:before="36"/>
              <w:ind w:right="397"/>
              <w:jc w:val="right"/>
              <w:rPr>
                <w:sz w:val="14"/>
              </w:rPr>
            </w:pPr>
            <w:r>
              <w:rPr>
                <w:w w:val="95"/>
                <w:sz w:val="14"/>
              </w:rPr>
              <w:t>39,619</w:t>
            </w:r>
          </w:p>
        </w:tc>
        <w:tc>
          <w:tcPr>
            <w:tcW w:w="1119" w:type="dxa"/>
          </w:tcPr>
          <w:p>
            <w:pPr>
              <w:pStyle w:val="TableParagraph"/>
              <w:spacing w:before="36"/>
              <w:ind w:left="354"/>
              <w:rPr>
                <w:sz w:val="14"/>
              </w:rPr>
            </w:pPr>
            <w:r>
              <w:rPr>
                <w:sz w:val="14"/>
              </w:rPr>
              <w:t>892,106</w:t>
            </w:r>
          </w:p>
        </w:tc>
        <w:tc>
          <w:tcPr>
            <w:tcW w:w="1174" w:type="dxa"/>
          </w:tcPr>
          <w:p>
            <w:pPr>
              <w:pStyle w:val="TableParagraph"/>
              <w:rPr>
                <w:rFonts w:ascii="Times New Roman"/>
                <w:sz w:val="14"/>
              </w:rPr>
            </w:pPr>
          </w:p>
        </w:tc>
      </w:tr>
      <w:tr>
        <w:trPr>
          <w:trHeight w:val="259" w:hRule="atLeast"/>
        </w:trPr>
        <w:tc>
          <w:tcPr>
            <w:tcW w:w="542" w:type="dxa"/>
          </w:tcPr>
          <w:p>
            <w:pPr>
              <w:pStyle w:val="TableParagraph"/>
              <w:spacing w:before="33"/>
              <w:ind w:left="259"/>
              <w:rPr>
                <w:sz w:val="14"/>
              </w:rPr>
            </w:pPr>
            <w:r>
              <w:rPr>
                <w:sz w:val="14"/>
              </w:rPr>
              <w:t>5.</w:t>
            </w:r>
          </w:p>
        </w:tc>
        <w:tc>
          <w:tcPr>
            <w:tcW w:w="4013" w:type="dxa"/>
          </w:tcPr>
          <w:p>
            <w:pPr>
              <w:pStyle w:val="TableParagraph"/>
              <w:spacing w:before="33"/>
              <w:ind w:left="24"/>
              <w:rPr>
                <w:sz w:val="14"/>
              </w:rPr>
            </w:pPr>
            <w:r>
              <w:rPr>
                <w:sz w:val="14"/>
              </w:rPr>
              <w:t>Consultants</w:t>
            </w:r>
          </w:p>
        </w:tc>
        <w:tc>
          <w:tcPr>
            <w:tcW w:w="1356" w:type="dxa"/>
          </w:tcPr>
          <w:p>
            <w:pPr>
              <w:pStyle w:val="TableParagraph"/>
              <w:spacing w:before="33"/>
              <w:ind w:right="252"/>
              <w:jc w:val="right"/>
              <w:rPr>
                <w:sz w:val="14"/>
              </w:rPr>
            </w:pPr>
            <w:r>
              <w:rPr>
                <w:sz w:val="14"/>
              </w:rPr>
              <w:t>460</w:t>
            </w:r>
          </w:p>
        </w:tc>
        <w:tc>
          <w:tcPr>
            <w:tcW w:w="1401" w:type="dxa"/>
          </w:tcPr>
          <w:p>
            <w:pPr>
              <w:pStyle w:val="TableParagraph"/>
              <w:spacing w:before="33"/>
              <w:ind w:right="426"/>
              <w:jc w:val="right"/>
              <w:rPr>
                <w:sz w:val="14"/>
              </w:rPr>
            </w:pPr>
            <w:r>
              <w:rPr>
                <w:sz w:val="14"/>
              </w:rPr>
              <w:t>104,000</w:t>
            </w:r>
          </w:p>
        </w:tc>
        <w:tc>
          <w:tcPr>
            <w:tcW w:w="1206" w:type="dxa"/>
          </w:tcPr>
          <w:p>
            <w:pPr>
              <w:pStyle w:val="TableParagraph"/>
              <w:spacing w:before="33"/>
              <w:ind w:right="253"/>
              <w:jc w:val="right"/>
              <w:rPr>
                <w:sz w:val="14"/>
              </w:rPr>
            </w:pPr>
            <w:r>
              <w:rPr>
                <w:sz w:val="14"/>
              </w:rPr>
              <w:t>460</w:t>
            </w:r>
          </w:p>
        </w:tc>
        <w:tc>
          <w:tcPr>
            <w:tcW w:w="1375" w:type="dxa"/>
          </w:tcPr>
          <w:p>
            <w:pPr>
              <w:pStyle w:val="TableParagraph"/>
              <w:spacing w:before="33"/>
              <w:ind w:left="372"/>
              <w:rPr>
                <w:sz w:val="14"/>
              </w:rPr>
            </w:pPr>
            <w:r>
              <w:rPr>
                <w:sz w:val="14"/>
              </w:rPr>
              <w:t>104,000</w:t>
            </w:r>
          </w:p>
        </w:tc>
        <w:tc>
          <w:tcPr>
            <w:tcW w:w="1260" w:type="dxa"/>
          </w:tcPr>
          <w:p>
            <w:pPr>
              <w:pStyle w:val="TableParagraph"/>
              <w:spacing w:before="33"/>
              <w:ind w:left="672"/>
              <w:rPr>
                <w:sz w:val="14"/>
              </w:rPr>
            </w:pPr>
            <w:r>
              <w:rPr>
                <w:sz w:val="14"/>
              </w:rPr>
              <w:t>460</w:t>
            </w:r>
          </w:p>
        </w:tc>
        <w:tc>
          <w:tcPr>
            <w:tcW w:w="1348" w:type="dxa"/>
          </w:tcPr>
          <w:p>
            <w:pPr>
              <w:pStyle w:val="TableParagraph"/>
              <w:spacing w:before="33"/>
              <w:ind w:right="398"/>
              <w:jc w:val="right"/>
              <w:rPr>
                <w:sz w:val="14"/>
              </w:rPr>
            </w:pPr>
            <w:r>
              <w:rPr>
                <w:sz w:val="14"/>
              </w:rPr>
              <w:t>104,000</w:t>
            </w:r>
          </w:p>
        </w:tc>
        <w:tc>
          <w:tcPr>
            <w:tcW w:w="1119" w:type="dxa"/>
          </w:tcPr>
          <w:p>
            <w:pPr>
              <w:pStyle w:val="TableParagraph"/>
              <w:spacing w:before="33"/>
              <w:ind w:left="671"/>
              <w:rPr>
                <w:sz w:val="14"/>
              </w:rPr>
            </w:pPr>
            <w:r>
              <w:rPr>
                <w:sz w:val="14"/>
              </w:rPr>
              <w:t>460</w:t>
            </w:r>
          </w:p>
        </w:tc>
        <w:tc>
          <w:tcPr>
            <w:tcW w:w="1174" w:type="dxa"/>
          </w:tcPr>
          <w:p>
            <w:pPr>
              <w:pStyle w:val="TableParagraph"/>
              <w:spacing w:before="33"/>
              <w:ind w:right="310"/>
              <w:jc w:val="right"/>
              <w:rPr>
                <w:sz w:val="14"/>
              </w:rPr>
            </w:pPr>
            <w:r>
              <w:rPr>
                <w:sz w:val="14"/>
              </w:rPr>
              <w:t>104,000</w:t>
            </w:r>
          </w:p>
        </w:tc>
      </w:tr>
      <w:tr>
        <w:trPr>
          <w:trHeight w:val="259" w:hRule="atLeast"/>
        </w:trPr>
        <w:tc>
          <w:tcPr>
            <w:tcW w:w="542" w:type="dxa"/>
          </w:tcPr>
          <w:p>
            <w:pPr>
              <w:pStyle w:val="TableParagraph"/>
              <w:spacing w:before="33"/>
              <w:ind w:left="259"/>
              <w:rPr>
                <w:sz w:val="14"/>
              </w:rPr>
            </w:pPr>
            <w:r>
              <w:rPr>
                <w:sz w:val="14"/>
              </w:rPr>
              <w:t>6.</w:t>
            </w:r>
          </w:p>
        </w:tc>
        <w:tc>
          <w:tcPr>
            <w:tcW w:w="4013" w:type="dxa"/>
          </w:tcPr>
          <w:p>
            <w:pPr>
              <w:pStyle w:val="TableParagraph"/>
              <w:spacing w:before="33"/>
              <w:ind w:left="24"/>
              <w:rPr>
                <w:sz w:val="14"/>
              </w:rPr>
            </w:pPr>
            <w:r>
              <w:rPr>
                <w:sz w:val="14"/>
              </w:rPr>
              <w:t>Tertiary Institutions</w:t>
            </w:r>
          </w:p>
        </w:tc>
        <w:tc>
          <w:tcPr>
            <w:tcW w:w="1356" w:type="dxa"/>
          </w:tcPr>
          <w:p>
            <w:pPr>
              <w:pStyle w:val="TableParagraph"/>
              <w:spacing w:before="33"/>
              <w:ind w:right="260"/>
              <w:jc w:val="right"/>
              <w:rPr>
                <w:sz w:val="14"/>
              </w:rPr>
            </w:pPr>
            <w:r>
              <w:rPr>
                <w:sz w:val="14"/>
              </w:rPr>
              <w:t>3,321</w:t>
            </w:r>
          </w:p>
        </w:tc>
        <w:tc>
          <w:tcPr>
            <w:tcW w:w="1401" w:type="dxa"/>
          </w:tcPr>
          <w:p>
            <w:pPr>
              <w:pStyle w:val="TableParagraph"/>
              <w:spacing w:before="33"/>
              <w:ind w:right="426"/>
              <w:jc w:val="right"/>
              <w:rPr>
                <w:sz w:val="14"/>
              </w:rPr>
            </w:pPr>
            <w:r>
              <w:rPr>
                <w:sz w:val="14"/>
              </w:rPr>
              <w:t>200,513</w:t>
            </w:r>
          </w:p>
        </w:tc>
        <w:tc>
          <w:tcPr>
            <w:tcW w:w="1206" w:type="dxa"/>
          </w:tcPr>
          <w:p>
            <w:pPr>
              <w:pStyle w:val="TableParagraph"/>
              <w:spacing w:before="33"/>
              <w:ind w:right="260"/>
              <w:jc w:val="right"/>
              <w:rPr>
                <w:sz w:val="14"/>
              </w:rPr>
            </w:pPr>
            <w:r>
              <w:rPr>
                <w:sz w:val="14"/>
              </w:rPr>
              <w:t>3,321</w:t>
            </w:r>
          </w:p>
        </w:tc>
        <w:tc>
          <w:tcPr>
            <w:tcW w:w="1375" w:type="dxa"/>
          </w:tcPr>
          <w:p>
            <w:pPr>
              <w:pStyle w:val="TableParagraph"/>
              <w:spacing w:before="33"/>
              <w:ind w:left="372"/>
              <w:rPr>
                <w:sz w:val="14"/>
              </w:rPr>
            </w:pPr>
            <w:r>
              <w:rPr>
                <w:sz w:val="14"/>
              </w:rPr>
              <w:t>260,667</w:t>
            </w:r>
          </w:p>
        </w:tc>
        <w:tc>
          <w:tcPr>
            <w:tcW w:w="1260" w:type="dxa"/>
          </w:tcPr>
          <w:p>
            <w:pPr>
              <w:pStyle w:val="TableParagraph"/>
              <w:spacing w:before="33"/>
              <w:ind w:left="538"/>
              <w:rPr>
                <w:sz w:val="14"/>
              </w:rPr>
            </w:pPr>
            <w:r>
              <w:rPr>
                <w:sz w:val="14"/>
              </w:rPr>
              <w:t>3,321</w:t>
            </w:r>
          </w:p>
        </w:tc>
        <w:tc>
          <w:tcPr>
            <w:tcW w:w="1348" w:type="dxa"/>
          </w:tcPr>
          <w:p>
            <w:pPr>
              <w:pStyle w:val="TableParagraph"/>
              <w:spacing w:before="33"/>
              <w:ind w:right="398"/>
              <w:jc w:val="right"/>
              <w:rPr>
                <w:sz w:val="14"/>
              </w:rPr>
            </w:pPr>
            <w:r>
              <w:rPr>
                <w:sz w:val="14"/>
              </w:rPr>
              <w:t>260,667</w:t>
            </w:r>
          </w:p>
        </w:tc>
        <w:tc>
          <w:tcPr>
            <w:tcW w:w="1119" w:type="dxa"/>
          </w:tcPr>
          <w:p>
            <w:pPr>
              <w:pStyle w:val="TableParagraph"/>
              <w:spacing w:before="33"/>
              <w:ind w:left="536"/>
              <w:rPr>
                <w:sz w:val="14"/>
              </w:rPr>
            </w:pPr>
            <w:r>
              <w:rPr>
                <w:sz w:val="14"/>
              </w:rPr>
              <w:t>3,321</w:t>
            </w:r>
          </w:p>
        </w:tc>
        <w:tc>
          <w:tcPr>
            <w:tcW w:w="1174" w:type="dxa"/>
          </w:tcPr>
          <w:p>
            <w:pPr>
              <w:pStyle w:val="TableParagraph"/>
              <w:spacing w:before="33"/>
              <w:ind w:right="310"/>
              <w:jc w:val="right"/>
              <w:rPr>
                <w:sz w:val="14"/>
              </w:rPr>
            </w:pPr>
            <w:r>
              <w:rPr>
                <w:sz w:val="14"/>
              </w:rPr>
              <w:t>260,667</w:t>
            </w:r>
          </w:p>
        </w:tc>
      </w:tr>
      <w:tr>
        <w:trPr>
          <w:trHeight w:val="518" w:hRule="atLeast"/>
        </w:trPr>
        <w:tc>
          <w:tcPr>
            <w:tcW w:w="542" w:type="dxa"/>
          </w:tcPr>
          <w:p>
            <w:pPr>
              <w:pStyle w:val="TableParagraph"/>
              <w:spacing w:before="33"/>
              <w:ind w:left="259"/>
              <w:rPr>
                <w:sz w:val="14"/>
              </w:rPr>
            </w:pPr>
            <w:r>
              <w:rPr>
                <w:sz w:val="14"/>
              </w:rPr>
              <w:t>7.</w:t>
            </w:r>
          </w:p>
        </w:tc>
        <w:tc>
          <w:tcPr>
            <w:tcW w:w="4013" w:type="dxa"/>
          </w:tcPr>
          <w:p>
            <w:pPr>
              <w:pStyle w:val="TableParagraph"/>
              <w:spacing w:before="33"/>
              <w:ind w:left="24"/>
              <w:rPr>
                <w:sz w:val="14"/>
              </w:rPr>
            </w:pPr>
            <w:r>
              <w:rPr>
                <w:sz w:val="14"/>
              </w:rPr>
              <w:t>Security:</w:t>
            </w:r>
          </w:p>
          <w:p>
            <w:pPr>
              <w:pStyle w:val="TableParagraph"/>
              <w:spacing w:before="99"/>
              <w:ind w:left="192"/>
              <w:rPr>
                <w:sz w:val="14"/>
              </w:rPr>
            </w:pPr>
            <w:r>
              <w:rPr>
                <w:sz w:val="14"/>
              </w:rPr>
              <w:t>o/ w Military, Including Military Health Workers</w:t>
            </w:r>
          </w:p>
        </w:tc>
        <w:tc>
          <w:tcPr>
            <w:tcW w:w="1356" w:type="dxa"/>
          </w:tcPr>
          <w:p>
            <w:pPr>
              <w:pStyle w:val="TableParagraph"/>
              <w:rPr>
                <w:b/>
                <w:sz w:val="16"/>
              </w:rPr>
            </w:pPr>
          </w:p>
          <w:p>
            <w:pPr>
              <w:pStyle w:val="TableParagraph"/>
              <w:spacing w:before="109"/>
              <w:ind w:right="260"/>
              <w:jc w:val="right"/>
              <w:rPr>
                <w:sz w:val="14"/>
              </w:rPr>
            </w:pPr>
            <w:r>
              <w:rPr>
                <w:sz w:val="14"/>
              </w:rPr>
              <w:t>8,219</w:t>
            </w:r>
          </w:p>
        </w:tc>
        <w:tc>
          <w:tcPr>
            <w:tcW w:w="1401" w:type="dxa"/>
          </w:tcPr>
          <w:p>
            <w:pPr>
              <w:pStyle w:val="TableParagraph"/>
              <w:rPr>
                <w:b/>
                <w:sz w:val="16"/>
              </w:rPr>
            </w:pPr>
          </w:p>
          <w:p>
            <w:pPr>
              <w:pStyle w:val="TableParagraph"/>
              <w:spacing w:before="109"/>
              <w:ind w:right="426"/>
              <w:jc w:val="right"/>
              <w:rPr>
                <w:sz w:val="14"/>
              </w:rPr>
            </w:pPr>
            <w:r>
              <w:rPr>
                <w:sz w:val="14"/>
              </w:rPr>
              <w:t>138,431</w:t>
            </w:r>
          </w:p>
        </w:tc>
        <w:tc>
          <w:tcPr>
            <w:tcW w:w="1206" w:type="dxa"/>
          </w:tcPr>
          <w:p>
            <w:pPr>
              <w:pStyle w:val="TableParagraph"/>
              <w:rPr>
                <w:b/>
                <w:sz w:val="16"/>
              </w:rPr>
            </w:pPr>
          </w:p>
          <w:p>
            <w:pPr>
              <w:pStyle w:val="TableParagraph"/>
              <w:spacing w:before="109"/>
              <w:ind w:right="260"/>
              <w:jc w:val="right"/>
              <w:rPr>
                <w:sz w:val="14"/>
              </w:rPr>
            </w:pPr>
            <w:r>
              <w:rPr>
                <w:sz w:val="14"/>
              </w:rPr>
              <w:t>8,620</w:t>
            </w:r>
          </w:p>
        </w:tc>
        <w:tc>
          <w:tcPr>
            <w:tcW w:w="1375" w:type="dxa"/>
          </w:tcPr>
          <w:p>
            <w:pPr>
              <w:pStyle w:val="TableParagraph"/>
              <w:rPr>
                <w:b/>
                <w:sz w:val="16"/>
              </w:rPr>
            </w:pPr>
          </w:p>
          <w:p>
            <w:pPr>
              <w:pStyle w:val="TableParagraph"/>
              <w:spacing w:before="109"/>
              <w:ind w:left="372"/>
              <w:rPr>
                <w:sz w:val="14"/>
              </w:rPr>
            </w:pPr>
            <w:r>
              <w:rPr>
                <w:sz w:val="14"/>
              </w:rPr>
              <w:t>152,274</w:t>
            </w:r>
          </w:p>
        </w:tc>
        <w:tc>
          <w:tcPr>
            <w:tcW w:w="1260" w:type="dxa"/>
          </w:tcPr>
          <w:p>
            <w:pPr>
              <w:pStyle w:val="TableParagraph"/>
              <w:rPr>
                <w:b/>
                <w:sz w:val="16"/>
              </w:rPr>
            </w:pPr>
          </w:p>
          <w:p>
            <w:pPr>
              <w:pStyle w:val="TableParagraph"/>
              <w:spacing w:before="109"/>
              <w:ind w:left="538"/>
              <w:rPr>
                <w:sz w:val="14"/>
              </w:rPr>
            </w:pPr>
            <w:r>
              <w:rPr>
                <w:sz w:val="14"/>
              </w:rPr>
              <w:t>8,620</w:t>
            </w:r>
          </w:p>
        </w:tc>
        <w:tc>
          <w:tcPr>
            <w:tcW w:w="1348" w:type="dxa"/>
          </w:tcPr>
          <w:p>
            <w:pPr>
              <w:pStyle w:val="TableParagraph"/>
              <w:rPr>
                <w:b/>
                <w:sz w:val="16"/>
              </w:rPr>
            </w:pPr>
          </w:p>
          <w:p>
            <w:pPr>
              <w:pStyle w:val="TableParagraph"/>
              <w:spacing w:before="109"/>
              <w:ind w:right="398"/>
              <w:jc w:val="right"/>
              <w:rPr>
                <w:sz w:val="14"/>
              </w:rPr>
            </w:pPr>
            <w:r>
              <w:rPr>
                <w:sz w:val="14"/>
              </w:rPr>
              <w:t>177,274</w:t>
            </w:r>
          </w:p>
        </w:tc>
        <w:tc>
          <w:tcPr>
            <w:tcW w:w="1119" w:type="dxa"/>
          </w:tcPr>
          <w:p>
            <w:pPr>
              <w:pStyle w:val="TableParagraph"/>
              <w:rPr>
                <w:b/>
                <w:sz w:val="16"/>
              </w:rPr>
            </w:pPr>
          </w:p>
          <w:p>
            <w:pPr>
              <w:pStyle w:val="TableParagraph"/>
              <w:spacing w:before="109"/>
              <w:ind w:left="536"/>
              <w:rPr>
                <w:sz w:val="14"/>
              </w:rPr>
            </w:pPr>
            <w:r>
              <w:rPr>
                <w:sz w:val="14"/>
              </w:rPr>
              <w:t>9,220</w:t>
            </w:r>
          </w:p>
        </w:tc>
        <w:tc>
          <w:tcPr>
            <w:tcW w:w="1174" w:type="dxa"/>
          </w:tcPr>
          <w:p>
            <w:pPr>
              <w:pStyle w:val="TableParagraph"/>
              <w:rPr>
                <w:b/>
                <w:sz w:val="16"/>
              </w:rPr>
            </w:pPr>
          </w:p>
          <w:p>
            <w:pPr>
              <w:pStyle w:val="TableParagraph"/>
              <w:spacing w:before="109"/>
              <w:ind w:right="310"/>
              <w:jc w:val="right"/>
              <w:rPr>
                <w:sz w:val="14"/>
              </w:rPr>
            </w:pPr>
            <w:r>
              <w:rPr>
                <w:sz w:val="14"/>
              </w:rPr>
              <w:t>189,613</w:t>
            </w:r>
          </w:p>
        </w:tc>
      </w:tr>
      <w:tr>
        <w:trPr>
          <w:trHeight w:val="261" w:hRule="atLeast"/>
        </w:trPr>
        <w:tc>
          <w:tcPr>
            <w:tcW w:w="542" w:type="dxa"/>
          </w:tcPr>
          <w:p>
            <w:pPr>
              <w:pStyle w:val="TableParagraph"/>
              <w:rPr>
                <w:rFonts w:ascii="Times New Roman"/>
                <w:sz w:val="14"/>
              </w:rPr>
            </w:pPr>
          </w:p>
        </w:tc>
        <w:tc>
          <w:tcPr>
            <w:tcW w:w="4013" w:type="dxa"/>
          </w:tcPr>
          <w:p>
            <w:pPr>
              <w:pStyle w:val="TableParagraph"/>
              <w:spacing w:before="33"/>
              <w:ind w:left="533"/>
              <w:rPr>
                <w:sz w:val="14"/>
              </w:rPr>
            </w:pPr>
            <w:r>
              <w:rPr>
                <w:sz w:val="14"/>
              </w:rPr>
              <w:t>Police</w:t>
            </w:r>
          </w:p>
        </w:tc>
        <w:tc>
          <w:tcPr>
            <w:tcW w:w="1356" w:type="dxa"/>
          </w:tcPr>
          <w:p>
            <w:pPr>
              <w:pStyle w:val="TableParagraph"/>
              <w:spacing w:before="33"/>
              <w:ind w:left="625"/>
              <w:rPr>
                <w:sz w:val="14"/>
              </w:rPr>
            </w:pPr>
            <w:r>
              <w:rPr>
                <w:sz w:val="14"/>
              </w:rPr>
              <w:t>15,769</w:t>
            </w:r>
          </w:p>
        </w:tc>
        <w:tc>
          <w:tcPr>
            <w:tcW w:w="1401" w:type="dxa"/>
          </w:tcPr>
          <w:p>
            <w:pPr>
              <w:pStyle w:val="TableParagraph"/>
              <w:spacing w:before="33"/>
              <w:ind w:right="426"/>
              <w:jc w:val="right"/>
              <w:rPr>
                <w:sz w:val="14"/>
              </w:rPr>
            </w:pPr>
            <w:r>
              <w:rPr>
                <w:sz w:val="14"/>
              </w:rPr>
              <w:t>240,775</w:t>
            </w:r>
          </w:p>
        </w:tc>
        <w:tc>
          <w:tcPr>
            <w:tcW w:w="1206" w:type="dxa"/>
          </w:tcPr>
          <w:p>
            <w:pPr>
              <w:pStyle w:val="TableParagraph"/>
              <w:spacing w:before="33"/>
              <w:ind w:left="474"/>
              <w:rPr>
                <w:sz w:val="14"/>
              </w:rPr>
            </w:pPr>
            <w:r>
              <w:rPr>
                <w:sz w:val="14"/>
              </w:rPr>
              <w:t>15,769</w:t>
            </w:r>
          </w:p>
        </w:tc>
        <w:tc>
          <w:tcPr>
            <w:tcW w:w="1375" w:type="dxa"/>
          </w:tcPr>
          <w:p>
            <w:pPr>
              <w:pStyle w:val="TableParagraph"/>
              <w:spacing w:before="33"/>
              <w:ind w:left="372"/>
              <w:rPr>
                <w:sz w:val="14"/>
              </w:rPr>
            </w:pPr>
            <w:r>
              <w:rPr>
                <w:sz w:val="14"/>
              </w:rPr>
              <w:t>264,852</w:t>
            </w:r>
          </w:p>
        </w:tc>
        <w:tc>
          <w:tcPr>
            <w:tcW w:w="1260" w:type="dxa"/>
          </w:tcPr>
          <w:p>
            <w:pPr>
              <w:pStyle w:val="TableParagraph"/>
              <w:spacing w:before="33"/>
              <w:ind w:left="447"/>
              <w:rPr>
                <w:sz w:val="14"/>
              </w:rPr>
            </w:pPr>
            <w:r>
              <w:rPr>
                <w:sz w:val="14"/>
              </w:rPr>
              <w:t>15,769</w:t>
            </w:r>
          </w:p>
        </w:tc>
        <w:tc>
          <w:tcPr>
            <w:tcW w:w="1348" w:type="dxa"/>
          </w:tcPr>
          <w:p>
            <w:pPr>
              <w:pStyle w:val="TableParagraph"/>
              <w:spacing w:before="33"/>
              <w:ind w:right="398"/>
              <w:jc w:val="right"/>
              <w:rPr>
                <w:sz w:val="14"/>
              </w:rPr>
            </w:pPr>
            <w:r>
              <w:rPr>
                <w:sz w:val="14"/>
              </w:rPr>
              <w:t>289,852</w:t>
            </w:r>
          </w:p>
        </w:tc>
        <w:tc>
          <w:tcPr>
            <w:tcW w:w="1119" w:type="dxa"/>
          </w:tcPr>
          <w:p>
            <w:pPr>
              <w:pStyle w:val="TableParagraph"/>
              <w:spacing w:before="33"/>
              <w:ind w:left="445"/>
              <w:rPr>
                <w:sz w:val="14"/>
              </w:rPr>
            </w:pPr>
            <w:r>
              <w:rPr>
                <w:sz w:val="14"/>
              </w:rPr>
              <w:t>16,769</w:t>
            </w:r>
          </w:p>
        </w:tc>
        <w:tc>
          <w:tcPr>
            <w:tcW w:w="1174" w:type="dxa"/>
          </w:tcPr>
          <w:p>
            <w:pPr>
              <w:pStyle w:val="TableParagraph"/>
              <w:spacing w:before="33"/>
              <w:ind w:right="310"/>
              <w:jc w:val="right"/>
              <w:rPr>
                <w:sz w:val="14"/>
              </w:rPr>
            </w:pPr>
            <w:r>
              <w:rPr>
                <w:sz w:val="14"/>
              </w:rPr>
              <w:t>308,233</w:t>
            </w:r>
          </w:p>
        </w:tc>
      </w:tr>
      <w:tr>
        <w:trPr>
          <w:trHeight w:val="261" w:hRule="atLeast"/>
        </w:trPr>
        <w:tc>
          <w:tcPr>
            <w:tcW w:w="542" w:type="dxa"/>
          </w:tcPr>
          <w:p>
            <w:pPr>
              <w:pStyle w:val="TableParagraph"/>
              <w:rPr>
                <w:rFonts w:ascii="Times New Roman"/>
                <w:sz w:val="14"/>
              </w:rPr>
            </w:pPr>
          </w:p>
        </w:tc>
        <w:tc>
          <w:tcPr>
            <w:tcW w:w="4013" w:type="dxa"/>
          </w:tcPr>
          <w:p>
            <w:pPr>
              <w:pStyle w:val="TableParagraph"/>
              <w:spacing w:before="36"/>
              <w:ind w:left="533"/>
              <w:rPr>
                <w:sz w:val="14"/>
              </w:rPr>
            </w:pPr>
            <w:r>
              <w:rPr>
                <w:sz w:val="14"/>
              </w:rPr>
              <w:t>Fire Force</w:t>
            </w:r>
          </w:p>
        </w:tc>
        <w:tc>
          <w:tcPr>
            <w:tcW w:w="1356" w:type="dxa"/>
          </w:tcPr>
          <w:p>
            <w:pPr>
              <w:pStyle w:val="TableParagraph"/>
              <w:spacing w:before="36"/>
              <w:ind w:right="252"/>
              <w:jc w:val="right"/>
              <w:rPr>
                <w:sz w:val="14"/>
              </w:rPr>
            </w:pPr>
            <w:r>
              <w:rPr>
                <w:sz w:val="14"/>
              </w:rPr>
              <w:t>434</w:t>
            </w:r>
          </w:p>
        </w:tc>
        <w:tc>
          <w:tcPr>
            <w:tcW w:w="1401" w:type="dxa"/>
          </w:tcPr>
          <w:p>
            <w:pPr>
              <w:pStyle w:val="TableParagraph"/>
              <w:spacing w:before="36"/>
              <w:ind w:right="413"/>
              <w:jc w:val="right"/>
              <w:rPr>
                <w:sz w:val="14"/>
              </w:rPr>
            </w:pPr>
            <w:r>
              <w:rPr>
                <w:sz w:val="14"/>
              </w:rPr>
              <w:t>8,921</w:t>
            </w:r>
          </w:p>
        </w:tc>
        <w:tc>
          <w:tcPr>
            <w:tcW w:w="1206" w:type="dxa"/>
          </w:tcPr>
          <w:p>
            <w:pPr>
              <w:pStyle w:val="TableParagraph"/>
              <w:spacing w:before="36"/>
              <w:ind w:right="253"/>
              <w:jc w:val="right"/>
              <w:rPr>
                <w:sz w:val="14"/>
              </w:rPr>
            </w:pPr>
            <w:r>
              <w:rPr>
                <w:sz w:val="14"/>
              </w:rPr>
              <w:t>382</w:t>
            </w:r>
          </w:p>
        </w:tc>
        <w:tc>
          <w:tcPr>
            <w:tcW w:w="1375" w:type="dxa"/>
          </w:tcPr>
          <w:p>
            <w:pPr>
              <w:pStyle w:val="TableParagraph"/>
              <w:spacing w:before="36"/>
              <w:ind w:left="550"/>
              <w:rPr>
                <w:sz w:val="14"/>
              </w:rPr>
            </w:pPr>
            <w:r>
              <w:rPr>
                <w:sz w:val="14"/>
              </w:rPr>
              <w:t>9,813</w:t>
            </w:r>
          </w:p>
        </w:tc>
        <w:tc>
          <w:tcPr>
            <w:tcW w:w="1260" w:type="dxa"/>
          </w:tcPr>
          <w:p>
            <w:pPr>
              <w:pStyle w:val="TableParagraph"/>
              <w:spacing w:before="36"/>
              <w:ind w:left="672"/>
              <w:rPr>
                <w:sz w:val="14"/>
              </w:rPr>
            </w:pPr>
            <w:r>
              <w:rPr>
                <w:sz w:val="14"/>
              </w:rPr>
              <w:t>382</w:t>
            </w:r>
          </w:p>
        </w:tc>
        <w:tc>
          <w:tcPr>
            <w:tcW w:w="1348" w:type="dxa"/>
          </w:tcPr>
          <w:p>
            <w:pPr>
              <w:pStyle w:val="TableParagraph"/>
              <w:spacing w:before="36"/>
              <w:ind w:right="389"/>
              <w:jc w:val="right"/>
              <w:rPr>
                <w:sz w:val="14"/>
              </w:rPr>
            </w:pPr>
            <w:r>
              <w:rPr>
                <w:sz w:val="14"/>
              </w:rPr>
              <w:t>9,813</w:t>
            </w:r>
          </w:p>
        </w:tc>
        <w:tc>
          <w:tcPr>
            <w:tcW w:w="1119" w:type="dxa"/>
          </w:tcPr>
          <w:p>
            <w:pPr>
              <w:pStyle w:val="TableParagraph"/>
              <w:spacing w:before="36"/>
              <w:ind w:left="671"/>
              <w:rPr>
                <w:sz w:val="14"/>
              </w:rPr>
            </w:pPr>
            <w:r>
              <w:rPr>
                <w:sz w:val="14"/>
              </w:rPr>
              <w:t>482</w:t>
            </w:r>
          </w:p>
        </w:tc>
        <w:tc>
          <w:tcPr>
            <w:tcW w:w="1174" w:type="dxa"/>
          </w:tcPr>
          <w:p>
            <w:pPr>
              <w:pStyle w:val="TableParagraph"/>
              <w:spacing w:before="36"/>
              <w:ind w:right="309"/>
              <w:jc w:val="right"/>
              <w:rPr>
                <w:sz w:val="14"/>
              </w:rPr>
            </w:pPr>
            <w:r>
              <w:rPr>
                <w:w w:val="95"/>
                <w:sz w:val="14"/>
              </w:rPr>
              <w:t>12,382</w:t>
            </w:r>
          </w:p>
        </w:tc>
      </w:tr>
      <w:tr>
        <w:trPr>
          <w:trHeight w:val="259" w:hRule="atLeast"/>
        </w:trPr>
        <w:tc>
          <w:tcPr>
            <w:tcW w:w="542" w:type="dxa"/>
          </w:tcPr>
          <w:p>
            <w:pPr>
              <w:pStyle w:val="TableParagraph"/>
              <w:rPr>
                <w:rFonts w:ascii="Times New Roman"/>
                <w:sz w:val="14"/>
              </w:rPr>
            </w:pPr>
          </w:p>
        </w:tc>
        <w:tc>
          <w:tcPr>
            <w:tcW w:w="4013" w:type="dxa"/>
          </w:tcPr>
          <w:p>
            <w:pPr>
              <w:pStyle w:val="TableParagraph"/>
              <w:spacing w:before="33"/>
              <w:ind w:left="533"/>
              <w:rPr>
                <w:sz w:val="14"/>
              </w:rPr>
            </w:pPr>
            <w:r>
              <w:rPr>
                <w:sz w:val="14"/>
              </w:rPr>
              <w:t>Correctional Services</w:t>
            </w:r>
          </w:p>
        </w:tc>
        <w:tc>
          <w:tcPr>
            <w:tcW w:w="1356" w:type="dxa"/>
          </w:tcPr>
          <w:p>
            <w:pPr>
              <w:pStyle w:val="TableParagraph"/>
              <w:spacing w:before="33"/>
              <w:ind w:right="260"/>
              <w:jc w:val="right"/>
              <w:rPr>
                <w:sz w:val="14"/>
              </w:rPr>
            </w:pPr>
            <w:r>
              <w:rPr>
                <w:sz w:val="14"/>
              </w:rPr>
              <w:t>2,344</w:t>
            </w:r>
          </w:p>
        </w:tc>
        <w:tc>
          <w:tcPr>
            <w:tcW w:w="1401" w:type="dxa"/>
          </w:tcPr>
          <w:p>
            <w:pPr>
              <w:pStyle w:val="TableParagraph"/>
              <w:spacing w:before="33"/>
              <w:ind w:right="421"/>
              <w:jc w:val="right"/>
              <w:rPr>
                <w:sz w:val="14"/>
              </w:rPr>
            </w:pPr>
            <w:r>
              <w:rPr>
                <w:w w:val="95"/>
                <w:sz w:val="14"/>
              </w:rPr>
              <w:t>34,050</w:t>
            </w:r>
          </w:p>
        </w:tc>
        <w:tc>
          <w:tcPr>
            <w:tcW w:w="1206" w:type="dxa"/>
          </w:tcPr>
          <w:p>
            <w:pPr>
              <w:pStyle w:val="TableParagraph"/>
              <w:spacing w:before="33"/>
              <w:ind w:right="260"/>
              <w:jc w:val="right"/>
              <w:rPr>
                <w:sz w:val="14"/>
              </w:rPr>
            </w:pPr>
            <w:r>
              <w:rPr>
                <w:sz w:val="14"/>
              </w:rPr>
              <w:t>2,344</w:t>
            </w:r>
          </w:p>
        </w:tc>
        <w:tc>
          <w:tcPr>
            <w:tcW w:w="1375" w:type="dxa"/>
          </w:tcPr>
          <w:p>
            <w:pPr>
              <w:pStyle w:val="TableParagraph"/>
              <w:spacing w:before="33"/>
              <w:ind w:left="458"/>
              <w:rPr>
                <w:sz w:val="14"/>
              </w:rPr>
            </w:pPr>
            <w:r>
              <w:rPr>
                <w:sz w:val="14"/>
              </w:rPr>
              <w:t>37,455</w:t>
            </w:r>
          </w:p>
        </w:tc>
        <w:tc>
          <w:tcPr>
            <w:tcW w:w="1260" w:type="dxa"/>
          </w:tcPr>
          <w:p>
            <w:pPr>
              <w:pStyle w:val="TableParagraph"/>
              <w:spacing w:before="33"/>
              <w:ind w:left="538"/>
              <w:rPr>
                <w:sz w:val="14"/>
              </w:rPr>
            </w:pPr>
            <w:r>
              <w:rPr>
                <w:sz w:val="14"/>
              </w:rPr>
              <w:t>2,344</w:t>
            </w:r>
          </w:p>
        </w:tc>
        <w:tc>
          <w:tcPr>
            <w:tcW w:w="1348" w:type="dxa"/>
          </w:tcPr>
          <w:p>
            <w:pPr>
              <w:pStyle w:val="TableParagraph"/>
              <w:spacing w:before="33"/>
              <w:ind w:right="397"/>
              <w:jc w:val="right"/>
              <w:rPr>
                <w:sz w:val="14"/>
              </w:rPr>
            </w:pPr>
            <w:r>
              <w:rPr>
                <w:w w:val="95"/>
                <w:sz w:val="14"/>
              </w:rPr>
              <w:t>37,455</w:t>
            </w:r>
          </w:p>
        </w:tc>
        <w:tc>
          <w:tcPr>
            <w:tcW w:w="1119" w:type="dxa"/>
          </w:tcPr>
          <w:p>
            <w:pPr>
              <w:pStyle w:val="TableParagraph"/>
              <w:spacing w:before="33"/>
              <w:ind w:left="536"/>
              <w:rPr>
                <w:sz w:val="14"/>
              </w:rPr>
            </w:pPr>
            <w:r>
              <w:rPr>
                <w:sz w:val="14"/>
              </w:rPr>
              <w:t>2,494</w:t>
            </w:r>
          </w:p>
        </w:tc>
        <w:tc>
          <w:tcPr>
            <w:tcW w:w="1174" w:type="dxa"/>
          </w:tcPr>
          <w:p>
            <w:pPr>
              <w:pStyle w:val="TableParagraph"/>
              <w:spacing w:before="33"/>
              <w:ind w:right="309"/>
              <w:jc w:val="right"/>
              <w:rPr>
                <w:sz w:val="14"/>
              </w:rPr>
            </w:pPr>
            <w:r>
              <w:rPr>
                <w:w w:val="95"/>
                <w:sz w:val="14"/>
              </w:rPr>
              <w:t>39,852</w:t>
            </w:r>
          </w:p>
        </w:tc>
      </w:tr>
      <w:tr>
        <w:trPr>
          <w:trHeight w:val="259" w:hRule="atLeast"/>
        </w:trPr>
        <w:tc>
          <w:tcPr>
            <w:tcW w:w="542" w:type="dxa"/>
          </w:tcPr>
          <w:p>
            <w:pPr>
              <w:pStyle w:val="TableParagraph"/>
              <w:rPr>
                <w:rFonts w:ascii="Times New Roman"/>
                <w:sz w:val="14"/>
              </w:rPr>
            </w:pPr>
          </w:p>
        </w:tc>
        <w:tc>
          <w:tcPr>
            <w:tcW w:w="4013" w:type="dxa"/>
          </w:tcPr>
          <w:p>
            <w:pPr>
              <w:pStyle w:val="TableParagraph"/>
              <w:spacing w:before="33"/>
              <w:ind w:left="533"/>
              <w:rPr>
                <w:sz w:val="14"/>
              </w:rPr>
            </w:pPr>
            <w:r>
              <w:rPr>
                <w:sz w:val="14"/>
              </w:rPr>
              <w:t>Other Security Agency (CISU &amp; ONS)</w:t>
            </w:r>
          </w:p>
        </w:tc>
        <w:tc>
          <w:tcPr>
            <w:tcW w:w="1356" w:type="dxa"/>
          </w:tcPr>
          <w:p>
            <w:pPr>
              <w:pStyle w:val="TableParagraph"/>
              <w:spacing w:before="33"/>
              <w:ind w:right="252"/>
              <w:jc w:val="right"/>
              <w:rPr>
                <w:sz w:val="14"/>
              </w:rPr>
            </w:pPr>
            <w:r>
              <w:rPr>
                <w:sz w:val="14"/>
              </w:rPr>
              <w:t>241</w:t>
            </w:r>
          </w:p>
        </w:tc>
        <w:tc>
          <w:tcPr>
            <w:tcW w:w="1401" w:type="dxa"/>
          </w:tcPr>
          <w:p>
            <w:pPr>
              <w:pStyle w:val="TableParagraph"/>
              <w:spacing w:before="33"/>
              <w:ind w:right="421"/>
              <w:jc w:val="right"/>
              <w:rPr>
                <w:sz w:val="14"/>
              </w:rPr>
            </w:pPr>
            <w:r>
              <w:rPr>
                <w:w w:val="95"/>
                <w:sz w:val="14"/>
              </w:rPr>
              <w:t>13,490</w:t>
            </w:r>
          </w:p>
        </w:tc>
        <w:tc>
          <w:tcPr>
            <w:tcW w:w="1206" w:type="dxa"/>
          </w:tcPr>
          <w:p>
            <w:pPr>
              <w:pStyle w:val="TableParagraph"/>
              <w:spacing w:before="33"/>
              <w:ind w:right="253"/>
              <w:jc w:val="right"/>
              <w:rPr>
                <w:sz w:val="14"/>
              </w:rPr>
            </w:pPr>
            <w:r>
              <w:rPr>
                <w:sz w:val="14"/>
              </w:rPr>
              <w:t>241</w:t>
            </w:r>
          </w:p>
        </w:tc>
        <w:tc>
          <w:tcPr>
            <w:tcW w:w="1375" w:type="dxa"/>
          </w:tcPr>
          <w:p>
            <w:pPr>
              <w:pStyle w:val="TableParagraph"/>
              <w:spacing w:before="33"/>
              <w:ind w:left="458"/>
              <w:rPr>
                <w:sz w:val="14"/>
              </w:rPr>
            </w:pPr>
            <w:r>
              <w:rPr>
                <w:sz w:val="14"/>
              </w:rPr>
              <w:t>14,839</w:t>
            </w:r>
          </w:p>
        </w:tc>
        <w:tc>
          <w:tcPr>
            <w:tcW w:w="1260" w:type="dxa"/>
          </w:tcPr>
          <w:p>
            <w:pPr>
              <w:pStyle w:val="TableParagraph"/>
              <w:spacing w:before="33"/>
              <w:ind w:left="672"/>
              <w:rPr>
                <w:sz w:val="14"/>
              </w:rPr>
            </w:pPr>
            <w:r>
              <w:rPr>
                <w:sz w:val="14"/>
              </w:rPr>
              <w:t>241</w:t>
            </w:r>
          </w:p>
        </w:tc>
        <w:tc>
          <w:tcPr>
            <w:tcW w:w="1348" w:type="dxa"/>
          </w:tcPr>
          <w:p>
            <w:pPr>
              <w:pStyle w:val="TableParagraph"/>
              <w:spacing w:before="33"/>
              <w:ind w:right="397"/>
              <w:jc w:val="right"/>
              <w:rPr>
                <w:sz w:val="14"/>
              </w:rPr>
            </w:pPr>
            <w:r>
              <w:rPr>
                <w:w w:val="95"/>
                <w:sz w:val="14"/>
              </w:rPr>
              <w:t>13,490</w:t>
            </w:r>
          </w:p>
        </w:tc>
        <w:tc>
          <w:tcPr>
            <w:tcW w:w="1119" w:type="dxa"/>
          </w:tcPr>
          <w:p>
            <w:pPr>
              <w:pStyle w:val="TableParagraph"/>
              <w:spacing w:before="33"/>
              <w:ind w:left="671"/>
              <w:rPr>
                <w:sz w:val="14"/>
              </w:rPr>
            </w:pPr>
            <w:r>
              <w:rPr>
                <w:sz w:val="14"/>
              </w:rPr>
              <w:t>341</w:t>
            </w:r>
          </w:p>
        </w:tc>
        <w:tc>
          <w:tcPr>
            <w:tcW w:w="1174" w:type="dxa"/>
          </w:tcPr>
          <w:p>
            <w:pPr>
              <w:pStyle w:val="TableParagraph"/>
              <w:spacing w:before="33"/>
              <w:ind w:right="309"/>
              <w:jc w:val="right"/>
              <w:rPr>
                <w:sz w:val="14"/>
              </w:rPr>
            </w:pPr>
            <w:r>
              <w:rPr>
                <w:w w:val="95"/>
                <w:sz w:val="14"/>
              </w:rPr>
              <w:t>19,087</w:t>
            </w:r>
          </w:p>
        </w:tc>
      </w:tr>
      <w:tr>
        <w:trPr>
          <w:trHeight w:val="259" w:hRule="atLeast"/>
        </w:trPr>
        <w:tc>
          <w:tcPr>
            <w:tcW w:w="542" w:type="dxa"/>
          </w:tcPr>
          <w:p>
            <w:pPr>
              <w:pStyle w:val="TableParagraph"/>
              <w:spacing w:before="33"/>
              <w:ind w:left="259"/>
              <w:rPr>
                <w:sz w:val="14"/>
              </w:rPr>
            </w:pPr>
            <w:r>
              <w:rPr>
                <w:sz w:val="14"/>
              </w:rPr>
              <w:t>8.</w:t>
            </w:r>
          </w:p>
        </w:tc>
        <w:tc>
          <w:tcPr>
            <w:tcW w:w="4013" w:type="dxa"/>
          </w:tcPr>
          <w:p>
            <w:pPr>
              <w:pStyle w:val="TableParagraph"/>
              <w:spacing w:before="33"/>
              <w:ind w:left="24"/>
              <w:rPr>
                <w:sz w:val="14"/>
              </w:rPr>
            </w:pPr>
            <w:r>
              <w:rPr>
                <w:sz w:val="14"/>
              </w:rPr>
              <w:t>Political Class</w:t>
            </w:r>
          </w:p>
        </w:tc>
        <w:tc>
          <w:tcPr>
            <w:tcW w:w="1356" w:type="dxa"/>
          </w:tcPr>
          <w:p>
            <w:pPr>
              <w:pStyle w:val="TableParagraph"/>
              <w:spacing w:before="33"/>
              <w:ind w:right="252"/>
              <w:jc w:val="right"/>
              <w:rPr>
                <w:sz w:val="14"/>
              </w:rPr>
            </w:pPr>
            <w:r>
              <w:rPr>
                <w:sz w:val="14"/>
              </w:rPr>
              <w:t>204</w:t>
            </w:r>
          </w:p>
        </w:tc>
        <w:tc>
          <w:tcPr>
            <w:tcW w:w="1401" w:type="dxa"/>
          </w:tcPr>
          <w:p>
            <w:pPr>
              <w:pStyle w:val="TableParagraph"/>
              <w:spacing w:before="33"/>
              <w:ind w:right="426"/>
              <w:jc w:val="right"/>
              <w:rPr>
                <w:sz w:val="14"/>
              </w:rPr>
            </w:pPr>
            <w:r>
              <w:rPr>
                <w:sz w:val="14"/>
              </w:rPr>
              <w:t>100,458</w:t>
            </w:r>
          </w:p>
        </w:tc>
        <w:tc>
          <w:tcPr>
            <w:tcW w:w="1206" w:type="dxa"/>
          </w:tcPr>
          <w:p>
            <w:pPr>
              <w:pStyle w:val="TableParagraph"/>
              <w:spacing w:before="33"/>
              <w:ind w:right="253"/>
              <w:jc w:val="right"/>
              <w:rPr>
                <w:sz w:val="14"/>
              </w:rPr>
            </w:pPr>
            <w:r>
              <w:rPr>
                <w:sz w:val="14"/>
              </w:rPr>
              <w:t>204</w:t>
            </w:r>
          </w:p>
        </w:tc>
        <w:tc>
          <w:tcPr>
            <w:tcW w:w="1375" w:type="dxa"/>
          </w:tcPr>
          <w:p>
            <w:pPr>
              <w:pStyle w:val="TableParagraph"/>
              <w:spacing w:before="33"/>
              <w:ind w:left="372"/>
              <w:rPr>
                <w:sz w:val="14"/>
              </w:rPr>
            </w:pPr>
            <w:r>
              <w:rPr>
                <w:sz w:val="14"/>
              </w:rPr>
              <w:t>100,458</w:t>
            </w:r>
          </w:p>
        </w:tc>
        <w:tc>
          <w:tcPr>
            <w:tcW w:w="1260" w:type="dxa"/>
          </w:tcPr>
          <w:p>
            <w:pPr>
              <w:pStyle w:val="TableParagraph"/>
              <w:spacing w:before="33"/>
              <w:ind w:left="672"/>
              <w:rPr>
                <w:sz w:val="14"/>
              </w:rPr>
            </w:pPr>
            <w:r>
              <w:rPr>
                <w:sz w:val="14"/>
              </w:rPr>
              <w:t>204</w:t>
            </w:r>
          </w:p>
        </w:tc>
        <w:tc>
          <w:tcPr>
            <w:tcW w:w="1348" w:type="dxa"/>
          </w:tcPr>
          <w:p>
            <w:pPr>
              <w:pStyle w:val="TableParagraph"/>
              <w:spacing w:before="33"/>
              <w:ind w:right="398"/>
              <w:jc w:val="right"/>
              <w:rPr>
                <w:sz w:val="14"/>
              </w:rPr>
            </w:pPr>
            <w:r>
              <w:rPr>
                <w:sz w:val="14"/>
              </w:rPr>
              <w:t>100,458</w:t>
            </w:r>
          </w:p>
        </w:tc>
        <w:tc>
          <w:tcPr>
            <w:tcW w:w="1119" w:type="dxa"/>
          </w:tcPr>
          <w:p>
            <w:pPr>
              <w:pStyle w:val="TableParagraph"/>
              <w:spacing w:before="33"/>
              <w:ind w:left="671"/>
              <w:rPr>
                <w:sz w:val="14"/>
              </w:rPr>
            </w:pPr>
            <w:r>
              <w:rPr>
                <w:sz w:val="14"/>
              </w:rPr>
              <w:t>204</w:t>
            </w:r>
          </w:p>
        </w:tc>
        <w:tc>
          <w:tcPr>
            <w:tcW w:w="1174" w:type="dxa"/>
          </w:tcPr>
          <w:p>
            <w:pPr>
              <w:pStyle w:val="TableParagraph"/>
              <w:spacing w:before="33"/>
              <w:ind w:right="310"/>
              <w:jc w:val="right"/>
              <w:rPr>
                <w:sz w:val="14"/>
              </w:rPr>
            </w:pPr>
            <w:r>
              <w:rPr>
                <w:sz w:val="14"/>
              </w:rPr>
              <w:t>100,458</w:t>
            </w:r>
          </w:p>
        </w:tc>
      </w:tr>
      <w:tr>
        <w:trPr>
          <w:trHeight w:val="259" w:hRule="atLeast"/>
        </w:trPr>
        <w:tc>
          <w:tcPr>
            <w:tcW w:w="542" w:type="dxa"/>
          </w:tcPr>
          <w:p>
            <w:pPr>
              <w:pStyle w:val="TableParagraph"/>
              <w:spacing w:before="33"/>
              <w:ind w:left="259"/>
              <w:rPr>
                <w:sz w:val="14"/>
              </w:rPr>
            </w:pPr>
            <w:r>
              <w:rPr>
                <w:sz w:val="14"/>
              </w:rPr>
              <w:t>9.</w:t>
            </w:r>
          </w:p>
        </w:tc>
        <w:tc>
          <w:tcPr>
            <w:tcW w:w="4013" w:type="dxa"/>
          </w:tcPr>
          <w:p>
            <w:pPr>
              <w:pStyle w:val="TableParagraph"/>
              <w:spacing w:before="33"/>
              <w:ind w:left="24"/>
              <w:rPr>
                <w:sz w:val="14"/>
              </w:rPr>
            </w:pPr>
            <w:r>
              <w:rPr>
                <w:sz w:val="14"/>
              </w:rPr>
              <w:t>Charge Emoluments (Judges)</w:t>
            </w:r>
          </w:p>
        </w:tc>
        <w:tc>
          <w:tcPr>
            <w:tcW w:w="1356" w:type="dxa"/>
          </w:tcPr>
          <w:p>
            <w:pPr>
              <w:pStyle w:val="TableParagraph"/>
              <w:spacing w:before="33"/>
              <w:ind w:right="252"/>
              <w:jc w:val="right"/>
              <w:rPr>
                <w:sz w:val="14"/>
              </w:rPr>
            </w:pPr>
            <w:r>
              <w:rPr>
                <w:sz w:val="14"/>
              </w:rPr>
              <w:t>39</w:t>
            </w:r>
          </w:p>
        </w:tc>
        <w:tc>
          <w:tcPr>
            <w:tcW w:w="1401" w:type="dxa"/>
          </w:tcPr>
          <w:p>
            <w:pPr>
              <w:pStyle w:val="TableParagraph"/>
              <w:spacing w:before="33"/>
              <w:ind w:right="421"/>
              <w:jc w:val="right"/>
              <w:rPr>
                <w:sz w:val="14"/>
              </w:rPr>
            </w:pPr>
            <w:r>
              <w:rPr>
                <w:w w:val="95"/>
                <w:sz w:val="14"/>
              </w:rPr>
              <w:t>34,480</w:t>
            </w:r>
          </w:p>
        </w:tc>
        <w:tc>
          <w:tcPr>
            <w:tcW w:w="1206" w:type="dxa"/>
          </w:tcPr>
          <w:p>
            <w:pPr>
              <w:pStyle w:val="TableParagraph"/>
              <w:spacing w:before="33"/>
              <w:ind w:right="253"/>
              <w:jc w:val="right"/>
              <w:rPr>
                <w:sz w:val="14"/>
              </w:rPr>
            </w:pPr>
            <w:r>
              <w:rPr>
                <w:sz w:val="14"/>
              </w:rPr>
              <w:t>39</w:t>
            </w:r>
          </w:p>
        </w:tc>
        <w:tc>
          <w:tcPr>
            <w:tcW w:w="1375" w:type="dxa"/>
          </w:tcPr>
          <w:p>
            <w:pPr>
              <w:pStyle w:val="TableParagraph"/>
              <w:spacing w:before="33"/>
              <w:ind w:left="458"/>
              <w:rPr>
                <w:sz w:val="14"/>
              </w:rPr>
            </w:pPr>
            <w:r>
              <w:rPr>
                <w:sz w:val="14"/>
              </w:rPr>
              <w:t>41,376</w:t>
            </w:r>
          </w:p>
        </w:tc>
        <w:tc>
          <w:tcPr>
            <w:tcW w:w="1260" w:type="dxa"/>
          </w:tcPr>
          <w:p>
            <w:pPr>
              <w:pStyle w:val="TableParagraph"/>
              <w:spacing w:before="33"/>
              <w:ind w:left="759"/>
              <w:rPr>
                <w:sz w:val="14"/>
              </w:rPr>
            </w:pPr>
            <w:r>
              <w:rPr>
                <w:sz w:val="14"/>
              </w:rPr>
              <w:t>39</w:t>
            </w:r>
          </w:p>
        </w:tc>
        <w:tc>
          <w:tcPr>
            <w:tcW w:w="1348" w:type="dxa"/>
          </w:tcPr>
          <w:p>
            <w:pPr>
              <w:pStyle w:val="TableParagraph"/>
              <w:spacing w:before="33"/>
              <w:ind w:right="397"/>
              <w:jc w:val="right"/>
              <w:rPr>
                <w:sz w:val="14"/>
              </w:rPr>
            </w:pPr>
            <w:r>
              <w:rPr>
                <w:w w:val="95"/>
                <w:sz w:val="14"/>
              </w:rPr>
              <w:t>41,376</w:t>
            </w:r>
          </w:p>
        </w:tc>
        <w:tc>
          <w:tcPr>
            <w:tcW w:w="1119" w:type="dxa"/>
          </w:tcPr>
          <w:p>
            <w:pPr>
              <w:pStyle w:val="TableParagraph"/>
              <w:spacing w:before="33"/>
              <w:ind w:right="195"/>
              <w:jc w:val="right"/>
              <w:rPr>
                <w:sz w:val="14"/>
              </w:rPr>
            </w:pPr>
            <w:r>
              <w:rPr>
                <w:sz w:val="14"/>
              </w:rPr>
              <w:t>39</w:t>
            </w:r>
          </w:p>
        </w:tc>
        <w:tc>
          <w:tcPr>
            <w:tcW w:w="1174" w:type="dxa"/>
          </w:tcPr>
          <w:p>
            <w:pPr>
              <w:pStyle w:val="TableParagraph"/>
              <w:spacing w:before="33"/>
              <w:ind w:right="309"/>
              <w:jc w:val="right"/>
              <w:rPr>
                <w:sz w:val="14"/>
              </w:rPr>
            </w:pPr>
            <w:r>
              <w:rPr>
                <w:w w:val="95"/>
                <w:sz w:val="14"/>
              </w:rPr>
              <w:t>41,376</w:t>
            </w:r>
          </w:p>
        </w:tc>
      </w:tr>
      <w:tr>
        <w:trPr>
          <w:trHeight w:val="261" w:hRule="atLeast"/>
        </w:trPr>
        <w:tc>
          <w:tcPr>
            <w:tcW w:w="542" w:type="dxa"/>
          </w:tcPr>
          <w:p>
            <w:pPr>
              <w:pStyle w:val="TableParagraph"/>
              <w:spacing w:before="33"/>
              <w:ind w:left="168"/>
              <w:rPr>
                <w:sz w:val="14"/>
              </w:rPr>
            </w:pPr>
            <w:r>
              <w:rPr>
                <w:sz w:val="14"/>
              </w:rPr>
              <w:t>10.</w:t>
            </w:r>
          </w:p>
        </w:tc>
        <w:tc>
          <w:tcPr>
            <w:tcW w:w="4013" w:type="dxa"/>
          </w:tcPr>
          <w:p>
            <w:pPr>
              <w:pStyle w:val="TableParagraph"/>
              <w:spacing w:before="33"/>
              <w:ind w:left="24"/>
              <w:rPr>
                <w:sz w:val="14"/>
              </w:rPr>
            </w:pPr>
            <w:r>
              <w:rPr>
                <w:sz w:val="14"/>
              </w:rPr>
              <w:t>Foreign Missions</w:t>
            </w:r>
          </w:p>
        </w:tc>
        <w:tc>
          <w:tcPr>
            <w:tcW w:w="1356" w:type="dxa"/>
          </w:tcPr>
          <w:p>
            <w:pPr>
              <w:pStyle w:val="TableParagraph"/>
              <w:spacing w:before="33"/>
              <w:ind w:right="250"/>
              <w:jc w:val="right"/>
              <w:rPr>
                <w:sz w:val="14"/>
              </w:rPr>
            </w:pPr>
            <w:r>
              <w:rPr>
                <w:w w:val="99"/>
                <w:sz w:val="14"/>
              </w:rPr>
              <w:t>-</w:t>
            </w:r>
          </w:p>
        </w:tc>
        <w:tc>
          <w:tcPr>
            <w:tcW w:w="1401" w:type="dxa"/>
          </w:tcPr>
          <w:p>
            <w:pPr>
              <w:pStyle w:val="TableParagraph"/>
              <w:spacing w:before="33"/>
              <w:ind w:right="426"/>
              <w:jc w:val="right"/>
              <w:rPr>
                <w:sz w:val="14"/>
              </w:rPr>
            </w:pPr>
            <w:r>
              <w:rPr>
                <w:sz w:val="14"/>
              </w:rPr>
              <w:t>192,386</w:t>
            </w:r>
          </w:p>
        </w:tc>
        <w:tc>
          <w:tcPr>
            <w:tcW w:w="1206" w:type="dxa"/>
          </w:tcPr>
          <w:p>
            <w:pPr>
              <w:pStyle w:val="TableParagraph"/>
              <w:spacing w:before="33"/>
              <w:ind w:right="251"/>
              <w:jc w:val="right"/>
              <w:rPr>
                <w:sz w:val="14"/>
              </w:rPr>
            </w:pPr>
            <w:r>
              <w:rPr>
                <w:w w:val="99"/>
                <w:sz w:val="14"/>
              </w:rPr>
              <w:t>-</w:t>
            </w:r>
          </w:p>
        </w:tc>
        <w:tc>
          <w:tcPr>
            <w:tcW w:w="1375" w:type="dxa"/>
          </w:tcPr>
          <w:p>
            <w:pPr>
              <w:pStyle w:val="TableParagraph"/>
              <w:spacing w:before="33"/>
              <w:ind w:left="372"/>
              <w:rPr>
                <w:sz w:val="14"/>
              </w:rPr>
            </w:pPr>
            <w:r>
              <w:rPr>
                <w:sz w:val="14"/>
              </w:rPr>
              <w:t>211,624</w:t>
            </w:r>
          </w:p>
        </w:tc>
        <w:tc>
          <w:tcPr>
            <w:tcW w:w="1260" w:type="dxa"/>
          </w:tcPr>
          <w:p>
            <w:pPr>
              <w:pStyle w:val="TableParagraph"/>
              <w:spacing w:before="33"/>
              <w:ind w:right="332"/>
              <w:jc w:val="right"/>
              <w:rPr>
                <w:sz w:val="14"/>
              </w:rPr>
            </w:pPr>
            <w:r>
              <w:rPr>
                <w:w w:val="99"/>
                <w:sz w:val="14"/>
              </w:rPr>
              <w:t>-</w:t>
            </w:r>
          </w:p>
        </w:tc>
        <w:tc>
          <w:tcPr>
            <w:tcW w:w="1348" w:type="dxa"/>
          </w:tcPr>
          <w:p>
            <w:pPr>
              <w:pStyle w:val="TableParagraph"/>
              <w:spacing w:before="33"/>
              <w:ind w:right="398"/>
              <w:jc w:val="right"/>
              <w:rPr>
                <w:sz w:val="14"/>
              </w:rPr>
            </w:pPr>
            <w:r>
              <w:rPr>
                <w:sz w:val="14"/>
              </w:rPr>
              <w:t>211,624</w:t>
            </w:r>
          </w:p>
        </w:tc>
        <w:tc>
          <w:tcPr>
            <w:tcW w:w="1119" w:type="dxa"/>
          </w:tcPr>
          <w:p>
            <w:pPr>
              <w:pStyle w:val="TableParagraph"/>
              <w:spacing w:before="33"/>
              <w:ind w:right="193"/>
              <w:jc w:val="right"/>
              <w:rPr>
                <w:sz w:val="14"/>
              </w:rPr>
            </w:pPr>
            <w:r>
              <w:rPr>
                <w:w w:val="99"/>
                <w:sz w:val="14"/>
              </w:rPr>
              <w:t>-</w:t>
            </w:r>
          </w:p>
        </w:tc>
        <w:tc>
          <w:tcPr>
            <w:tcW w:w="1174" w:type="dxa"/>
          </w:tcPr>
          <w:p>
            <w:pPr>
              <w:pStyle w:val="TableParagraph"/>
              <w:spacing w:before="33"/>
              <w:ind w:right="310"/>
              <w:jc w:val="right"/>
              <w:rPr>
                <w:sz w:val="14"/>
              </w:rPr>
            </w:pPr>
            <w:r>
              <w:rPr>
                <w:sz w:val="14"/>
              </w:rPr>
              <w:t>211,624</w:t>
            </w:r>
          </w:p>
        </w:tc>
      </w:tr>
      <w:tr>
        <w:trPr>
          <w:trHeight w:val="261" w:hRule="atLeast"/>
        </w:trPr>
        <w:tc>
          <w:tcPr>
            <w:tcW w:w="542" w:type="dxa"/>
          </w:tcPr>
          <w:p>
            <w:pPr>
              <w:pStyle w:val="TableParagraph"/>
              <w:spacing w:before="36"/>
              <w:ind w:left="168"/>
              <w:rPr>
                <w:sz w:val="14"/>
              </w:rPr>
            </w:pPr>
            <w:r>
              <w:rPr>
                <w:sz w:val="14"/>
              </w:rPr>
              <w:t>11.</w:t>
            </w:r>
          </w:p>
        </w:tc>
        <w:tc>
          <w:tcPr>
            <w:tcW w:w="4013" w:type="dxa"/>
          </w:tcPr>
          <w:p>
            <w:pPr>
              <w:pStyle w:val="TableParagraph"/>
              <w:spacing w:before="36"/>
              <w:ind w:left="24"/>
              <w:rPr>
                <w:sz w:val="14"/>
              </w:rPr>
            </w:pPr>
            <w:r>
              <w:rPr>
                <w:sz w:val="14"/>
              </w:rPr>
              <w:t>End of Service Benefits and Gratuity</w:t>
            </w:r>
          </w:p>
        </w:tc>
        <w:tc>
          <w:tcPr>
            <w:tcW w:w="1356" w:type="dxa"/>
          </w:tcPr>
          <w:p>
            <w:pPr>
              <w:pStyle w:val="TableParagraph"/>
              <w:spacing w:before="36"/>
              <w:ind w:right="250"/>
              <w:jc w:val="right"/>
              <w:rPr>
                <w:sz w:val="14"/>
              </w:rPr>
            </w:pPr>
            <w:r>
              <w:rPr>
                <w:w w:val="99"/>
                <w:sz w:val="14"/>
              </w:rPr>
              <w:t>-</w:t>
            </w:r>
          </w:p>
        </w:tc>
        <w:tc>
          <w:tcPr>
            <w:tcW w:w="1401" w:type="dxa"/>
          </w:tcPr>
          <w:p>
            <w:pPr>
              <w:pStyle w:val="TableParagraph"/>
              <w:spacing w:before="36"/>
              <w:ind w:right="426"/>
              <w:jc w:val="right"/>
              <w:rPr>
                <w:sz w:val="14"/>
              </w:rPr>
            </w:pPr>
            <w:r>
              <w:rPr>
                <w:sz w:val="14"/>
              </w:rPr>
              <w:t>186,596</w:t>
            </w:r>
          </w:p>
        </w:tc>
        <w:tc>
          <w:tcPr>
            <w:tcW w:w="1206" w:type="dxa"/>
          </w:tcPr>
          <w:p>
            <w:pPr>
              <w:pStyle w:val="TableParagraph"/>
              <w:spacing w:before="36"/>
              <w:ind w:right="251"/>
              <w:jc w:val="right"/>
              <w:rPr>
                <w:sz w:val="14"/>
              </w:rPr>
            </w:pPr>
            <w:r>
              <w:rPr>
                <w:w w:val="99"/>
                <w:sz w:val="14"/>
              </w:rPr>
              <w:t>-</w:t>
            </w:r>
          </w:p>
        </w:tc>
        <w:tc>
          <w:tcPr>
            <w:tcW w:w="1375" w:type="dxa"/>
          </w:tcPr>
          <w:p>
            <w:pPr>
              <w:pStyle w:val="TableParagraph"/>
              <w:spacing w:before="36"/>
              <w:ind w:left="372"/>
              <w:rPr>
                <w:sz w:val="14"/>
              </w:rPr>
            </w:pPr>
            <w:r>
              <w:rPr>
                <w:sz w:val="14"/>
              </w:rPr>
              <w:t>186,596</w:t>
            </w:r>
          </w:p>
        </w:tc>
        <w:tc>
          <w:tcPr>
            <w:tcW w:w="1260" w:type="dxa"/>
          </w:tcPr>
          <w:p>
            <w:pPr>
              <w:pStyle w:val="TableParagraph"/>
              <w:spacing w:before="36"/>
              <w:ind w:right="332"/>
              <w:jc w:val="right"/>
              <w:rPr>
                <w:sz w:val="14"/>
              </w:rPr>
            </w:pPr>
            <w:r>
              <w:rPr>
                <w:w w:val="99"/>
                <w:sz w:val="14"/>
              </w:rPr>
              <w:t>-</w:t>
            </w:r>
          </w:p>
        </w:tc>
        <w:tc>
          <w:tcPr>
            <w:tcW w:w="1348" w:type="dxa"/>
          </w:tcPr>
          <w:p>
            <w:pPr>
              <w:pStyle w:val="TableParagraph"/>
              <w:spacing w:before="36"/>
              <w:ind w:right="398"/>
              <w:jc w:val="right"/>
              <w:rPr>
                <w:sz w:val="14"/>
              </w:rPr>
            </w:pPr>
            <w:r>
              <w:rPr>
                <w:sz w:val="14"/>
              </w:rPr>
              <w:t>186,596</w:t>
            </w:r>
          </w:p>
        </w:tc>
        <w:tc>
          <w:tcPr>
            <w:tcW w:w="1119" w:type="dxa"/>
          </w:tcPr>
          <w:p>
            <w:pPr>
              <w:pStyle w:val="TableParagraph"/>
              <w:spacing w:before="36"/>
              <w:ind w:right="193"/>
              <w:jc w:val="right"/>
              <w:rPr>
                <w:sz w:val="14"/>
              </w:rPr>
            </w:pPr>
            <w:r>
              <w:rPr>
                <w:w w:val="99"/>
                <w:sz w:val="14"/>
              </w:rPr>
              <w:t>-</w:t>
            </w:r>
          </w:p>
        </w:tc>
        <w:tc>
          <w:tcPr>
            <w:tcW w:w="1174" w:type="dxa"/>
          </w:tcPr>
          <w:p>
            <w:pPr>
              <w:pStyle w:val="TableParagraph"/>
              <w:spacing w:before="36"/>
              <w:ind w:right="310"/>
              <w:jc w:val="right"/>
              <w:rPr>
                <w:sz w:val="14"/>
              </w:rPr>
            </w:pPr>
            <w:r>
              <w:rPr>
                <w:sz w:val="14"/>
              </w:rPr>
              <w:t>186,596</w:t>
            </w:r>
          </w:p>
        </w:tc>
      </w:tr>
      <w:tr>
        <w:trPr>
          <w:trHeight w:val="259" w:hRule="atLeast"/>
        </w:trPr>
        <w:tc>
          <w:tcPr>
            <w:tcW w:w="542" w:type="dxa"/>
          </w:tcPr>
          <w:p>
            <w:pPr>
              <w:pStyle w:val="TableParagraph"/>
              <w:spacing w:before="33"/>
              <w:ind w:left="168"/>
              <w:rPr>
                <w:sz w:val="14"/>
              </w:rPr>
            </w:pPr>
            <w:r>
              <w:rPr>
                <w:sz w:val="14"/>
              </w:rPr>
              <w:t>12.</w:t>
            </w:r>
          </w:p>
        </w:tc>
        <w:tc>
          <w:tcPr>
            <w:tcW w:w="4013" w:type="dxa"/>
          </w:tcPr>
          <w:p>
            <w:pPr>
              <w:pStyle w:val="TableParagraph"/>
              <w:spacing w:before="33"/>
              <w:ind w:left="24"/>
              <w:rPr>
                <w:sz w:val="14"/>
              </w:rPr>
            </w:pPr>
            <w:r>
              <w:rPr>
                <w:sz w:val="14"/>
              </w:rPr>
              <w:t>Pensions -</w:t>
            </w:r>
          </w:p>
        </w:tc>
        <w:tc>
          <w:tcPr>
            <w:tcW w:w="1356" w:type="dxa"/>
          </w:tcPr>
          <w:p>
            <w:pPr>
              <w:pStyle w:val="TableParagraph"/>
              <w:spacing w:before="33"/>
              <w:ind w:left="533"/>
              <w:rPr>
                <w:sz w:val="14"/>
              </w:rPr>
            </w:pPr>
            <w:r>
              <w:rPr>
                <w:sz w:val="14"/>
              </w:rPr>
              <w:t>121,415</w:t>
            </w:r>
          </w:p>
        </w:tc>
        <w:tc>
          <w:tcPr>
            <w:tcW w:w="1401" w:type="dxa"/>
          </w:tcPr>
          <w:p>
            <w:pPr>
              <w:pStyle w:val="TableParagraph"/>
              <w:spacing w:before="33"/>
              <w:ind w:right="403"/>
              <w:jc w:val="right"/>
              <w:rPr>
                <w:sz w:val="14"/>
              </w:rPr>
            </w:pPr>
            <w:r>
              <w:rPr>
                <w:w w:val="99"/>
                <w:sz w:val="14"/>
              </w:rPr>
              <w:t>-</w:t>
            </w:r>
          </w:p>
        </w:tc>
        <w:tc>
          <w:tcPr>
            <w:tcW w:w="1206" w:type="dxa"/>
          </w:tcPr>
          <w:p>
            <w:pPr>
              <w:pStyle w:val="TableParagraph"/>
              <w:spacing w:before="33"/>
              <w:ind w:left="388"/>
              <w:rPr>
                <w:sz w:val="14"/>
              </w:rPr>
            </w:pPr>
            <w:r>
              <w:rPr>
                <w:sz w:val="14"/>
              </w:rPr>
              <w:t>121,415</w:t>
            </w:r>
          </w:p>
        </w:tc>
        <w:tc>
          <w:tcPr>
            <w:tcW w:w="1375" w:type="dxa"/>
          </w:tcPr>
          <w:p>
            <w:pPr>
              <w:pStyle w:val="TableParagraph"/>
              <w:spacing w:before="33"/>
              <w:ind w:left="890"/>
              <w:rPr>
                <w:sz w:val="14"/>
              </w:rPr>
            </w:pPr>
            <w:r>
              <w:rPr>
                <w:w w:val="99"/>
                <w:sz w:val="14"/>
              </w:rPr>
              <w:t>-</w:t>
            </w:r>
          </w:p>
        </w:tc>
        <w:tc>
          <w:tcPr>
            <w:tcW w:w="1260" w:type="dxa"/>
          </w:tcPr>
          <w:p>
            <w:pPr>
              <w:pStyle w:val="TableParagraph"/>
              <w:spacing w:before="33"/>
              <w:ind w:left="355"/>
              <w:rPr>
                <w:sz w:val="14"/>
              </w:rPr>
            </w:pPr>
            <w:r>
              <w:rPr>
                <w:sz w:val="14"/>
              </w:rPr>
              <w:t>121,415</w:t>
            </w:r>
          </w:p>
        </w:tc>
        <w:tc>
          <w:tcPr>
            <w:tcW w:w="1348" w:type="dxa"/>
          </w:tcPr>
          <w:p>
            <w:pPr>
              <w:pStyle w:val="TableParagraph"/>
              <w:spacing w:before="33"/>
              <w:ind w:right="379"/>
              <w:jc w:val="right"/>
              <w:rPr>
                <w:sz w:val="14"/>
              </w:rPr>
            </w:pPr>
            <w:r>
              <w:rPr>
                <w:w w:val="99"/>
                <w:sz w:val="14"/>
              </w:rPr>
              <w:t>-</w:t>
            </w:r>
          </w:p>
        </w:tc>
        <w:tc>
          <w:tcPr>
            <w:tcW w:w="1119" w:type="dxa"/>
          </w:tcPr>
          <w:p>
            <w:pPr>
              <w:pStyle w:val="TableParagraph"/>
              <w:spacing w:before="33"/>
              <w:ind w:left="354"/>
              <w:rPr>
                <w:sz w:val="14"/>
              </w:rPr>
            </w:pPr>
            <w:r>
              <w:rPr>
                <w:sz w:val="14"/>
              </w:rPr>
              <w:t>121,415</w:t>
            </w:r>
          </w:p>
        </w:tc>
        <w:tc>
          <w:tcPr>
            <w:tcW w:w="1174" w:type="dxa"/>
          </w:tcPr>
          <w:p>
            <w:pPr>
              <w:pStyle w:val="TableParagraph"/>
              <w:rPr>
                <w:rFonts w:ascii="Times New Roman"/>
                <w:sz w:val="14"/>
              </w:rPr>
            </w:pPr>
          </w:p>
        </w:tc>
      </w:tr>
      <w:tr>
        <w:trPr>
          <w:trHeight w:val="259" w:hRule="atLeast"/>
        </w:trPr>
        <w:tc>
          <w:tcPr>
            <w:tcW w:w="542" w:type="dxa"/>
          </w:tcPr>
          <w:p>
            <w:pPr>
              <w:pStyle w:val="TableParagraph"/>
              <w:spacing w:before="33"/>
              <w:ind w:left="168"/>
              <w:rPr>
                <w:sz w:val="14"/>
              </w:rPr>
            </w:pPr>
            <w:r>
              <w:rPr>
                <w:sz w:val="14"/>
              </w:rPr>
              <w:t>13.</w:t>
            </w:r>
          </w:p>
        </w:tc>
        <w:tc>
          <w:tcPr>
            <w:tcW w:w="4013" w:type="dxa"/>
          </w:tcPr>
          <w:p>
            <w:pPr>
              <w:pStyle w:val="TableParagraph"/>
              <w:spacing w:before="33"/>
              <w:ind w:left="25"/>
              <w:rPr>
                <w:sz w:val="14"/>
              </w:rPr>
            </w:pPr>
            <w:r>
              <w:rPr>
                <w:sz w:val="14"/>
              </w:rPr>
              <w:t>Manual Vouchers (4 SVAs) &amp; other manual</w:t>
            </w:r>
          </w:p>
        </w:tc>
        <w:tc>
          <w:tcPr>
            <w:tcW w:w="1356" w:type="dxa"/>
          </w:tcPr>
          <w:p>
            <w:pPr>
              <w:pStyle w:val="TableParagraph"/>
              <w:spacing w:before="33"/>
              <w:ind w:right="250"/>
              <w:jc w:val="right"/>
              <w:rPr>
                <w:sz w:val="14"/>
              </w:rPr>
            </w:pPr>
            <w:r>
              <w:rPr>
                <w:w w:val="99"/>
                <w:sz w:val="14"/>
              </w:rPr>
              <w:t>-</w:t>
            </w:r>
          </w:p>
        </w:tc>
        <w:tc>
          <w:tcPr>
            <w:tcW w:w="1401" w:type="dxa"/>
          </w:tcPr>
          <w:p>
            <w:pPr>
              <w:pStyle w:val="TableParagraph"/>
              <w:spacing w:before="33"/>
              <w:ind w:right="421"/>
              <w:jc w:val="right"/>
              <w:rPr>
                <w:sz w:val="14"/>
              </w:rPr>
            </w:pPr>
            <w:r>
              <w:rPr>
                <w:w w:val="95"/>
                <w:sz w:val="14"/>
              </w:rPr>
              <w:t>90,000</w:t>
            </w:r>
          </w:p>
        </w:tc>
        <w:tc>
          <w:tcPr>
            <w:tcW w:w="1206" w:type="dxa"/>
          </w:tcPr>
          <w:p>
            <w:pPr>
              <w:pStyle w:val="TableParagraph"/>
              <w:spacing w:before="33"/>
              <w:ind w:right="256"/>
              <w:jc w:val="right"/>
              <w:rPr>
                <w:sz w:val="14"/>
              </w:rPr>
            </w:pPr>
            <w:r>
              <w:rPr>
                <w:w w:val="99"/>
                <w:sz w:val="14"/>
              </w:rPr>
              <w:t>-</w:t>
            </w:r>
          </w:p>
        </w:tc>
        <w:tc>
          <w:tcPr>
            <w:tcW w:w="1375" w:type="dxa"/>
          </w:tcPr>
          <w:p>
            <w:pPr>
              <w:pStyle w:val="TableParagraph"/>
              <w:spacing w:before="33"/>
              <w:ind w:left="458"/>
              <w:rPr>
                <w:sz w:val="14"/>
              </w:rPr>
            </w:pPr>
            <w:r>
              <w:rPr>
                <w:sz w:val="14"/>
              </w:rPr>
              <w:t>90,000</w:t>
            </w:r>
          </w:p>
        </w:tc>
        <w:tc>
          <w:tcPr>
            <w:tcW w:w="1260" w:type="dxa"/>
          </w:tcPr>
          <w:p>
            <w:pPr>
              <w:pStyle w:val="TableParagraph"/>
              <w:spacing w:before="33"/>
              <w:ind w:right="337"/>
              <w:jc w:val="right"/>
              <w:rPr>
                <w:sz w:val="14"/>
              </w:rPr>
            </w:pPr>
            <w:r>
              <w:rPr>
                <w:w w:val="99"/>
                <w:sz w:val="14"/>
              </w:rPr>
              <w:t>-</w:t>
            </w:r>
          </w:p>
        </w:tc>
        <w:tc>
          <w:tcPr>
            <w:tcW w:w="1348" w:type="dxa"/>
          </w:tcPr>
          <w:p>
            <w:pPr>
              <w:pStyle w:val="TableParagraph"/>
              <w:spacing w:before="33"/>
              <w:ind w:right="397"/>
              <w:jc w:val="right"/>
              <w:rPr>
                <w:sz w:val="14"/>
              </w:rPr>
            </w:pPr>
            <w:r>
              <w:rPr>
                <w:w w:val="95"/>
                <w:sz w:val="14"/>
              </w:rPr>
              <w:t>90,000</w:t>
            </w:r>
          </w:p>
        </w:tc>
        <w:tc>
          <w:tcPr>
            <w:tcW w:w="1119" w:type="dxa"/>
          </w:tcPr>
          <w:p>
            <w:pPr>
              <w:pStyle w:val="TableParagraph"/>
              <w:spacing w:before="33"/>
              <w:ind w:right="193"/>
              <w:jc w:val="right"/>
              <w:rPr>
                <w:sz w:val="14"/>
              </w:rPr>
            </w:pPr>
            <w:r>
              <w:rPr>
                <w:w w:val="99"/>
                <w:sz w:val="14"/>
              </w:rPr>
              <w:t>-</w:t>
            </w:r>
          </w:p>
        </w:tc>
        <w:tc>
          <w:tcPr>
            <w:tcW w:w="1174" w:type="dxa"/>
          </w:tcPr>
          <w:p>
            <w:pPr>
              <w:pStyle w:val="TableParagraph"/>
              <w:spacing w:before="33"/>
              <w:ind w:right="309"/>
              <w:jc w:val="right"/>
              <w:rPr>
                <w:sz w:val="14"/>
              </w:rPr>
            </w:pPr>
            <w:r>
              <w:rPr>
                <w:w w:val="95"/>
                <w:sz w:val="14"/>
              </w:rPr>
              <w:t>90,000</w:t>
            </w:r>
          </w:p>
        </w:tc>
      </w:tr>
      <w:tr>
        <w:trPr>
          <w:trHeight w:val="259" w:hRule="atLeast"/>
        </w:trPr>
        <w:tc>
          <w:tcPr>
            <w:tcW w:w="542" w:type="dxa"/>
          </w:tcPr>
          <w:p>
            <w:pPr>
              <w:pStyle w:val="TableParagraph"/>
              <w:spacing w:before="33"/>
              <w:ind w:left="168"/>
              <w:rPr>
                <w:sz w:val="14"/>
              </w:rPr>
            </w:pPr>
            <w:r>
              <w:rPr>
                <w:sz w:val="14"/>
              </w:rPr>
              <w:t>15.</w:t>
            </w:r>
          </w:p>
        </w:tc>
        <w:tc>
          <w:tcPr>
            <w:tcW w:w="4013" w:type="dxa"/>
          </w:tcPr>
          <w:p>
            <w:pPr>
              <w:pStyle w:val="TableParagraph"/>
              <w:spacing w:before="33"/>
              <w:ind w:left="24"/>
              <w:rPr>
                <w:sz w:val="14"/>
              </w:rPr>
            </w:pPr>
            <w:r>
              <w:rPr>
                <w:sz w:val="14"/>
              </w:rPr>
              <w:t>Effect of Minimum Wage Increase</w:t>
            </w:r>
          </w:p>
        </w:tc>
        <w:tc>
          <w:tcPr>
            <w:tcW w:w="1356" w:type="dxa"/>
          </w:tcPr>
          <w:p>
            <w:pPr>
              <w:pStyle w:val="TableParagraph"/>
              <w:spacing w:before="33"/>
              <w:ind w:right="252"/>
              <w:jc w:val="right"/>
              <w:rPr>
                <w:sz w:val="14"/>
              </w:rPr>
            </w:pPr>
            <w:r>
              <w:rPr>
                <w:sz w:val="14"/>
              </w:rPr>
              <w:t>788</w:t>
            </w:r>
          </w:p>
        </w:tc>
        <w:tc>
          <w:tcPr>
            <w:tcW w:w="1401" w:type="dxa"/>
          </w:tcPr>
          <w:p>
            <w:pPr>
              <w:pStyle w:val="TableParagraph"/>
              <w:spacing w:before="33"/>
              <w:ind w:right="405"/>
              <w:jc w:val="right"/>
              <w:rPr>
                <w:sz w:val="14"/>
              </w:rPr>
            </w:pPr>
            <w:r>
              <w:rPr>
                <w:sz w:val="14"/>
              </w:rPr>
              <w:t>259</w:t>
            </w:r>
          </w:p>
        </w:tc>
        <w:tc>
          <w:tcPr>
            <w:tcW w:w="1206" w:type="dxa"/>
          </w:tcPr>
          <w:p>
            <w:pPr>
              <w:pStyle w:val="TableParagraph"/>
              <w:spacing w:before="33"/>
              <w:ind w:right="253"/>
              <w:jc w:val="right"/>
              <w:rPr>
                <w:sz w:val="14"/>
              </w:rPr>
            </w:pPr>
            <w:r>
              <w:rPr>
                <w:sz w:val="14"/>
              </w:rPr>
              <w:t>788</w:t>
            </w:r>
          </w:p>
        </w:tc>
        <w:tc>
          <w:tcPr>
            <w:tcW w:w="1375" w:type="dxa"/>
          </w:tcPr>
          <w:p>
            <w:pPr>
              <w:pStyle w:val="TableParagraph"/>
              <w:spacing w:before="33"/>
              <w:ind w:left="684"/>
              <w:rPr>
                <w:sz w:val="14"/>
              </w:rPr>
            </w:pPr>
            <w:r>
              <w:rPr>
                <w:sz w:val="14"/>
              </w:rPr>
              <w:t>259</w:t>
            </w:r>
          </w:p>
        </w:tc>
        <w:tc>
          <w:tcPr>
            <w:tcW w:w="1260" w:type="dxa"/>
          </w:tcPr>
          <w:p>
            <w:pPr>
              <w:pStyle w:val="TableParagraph"/>
              <w:spacing w:before="33"/>
              <w:ind w:left="672"/>
              <w:rPr>
                <w:sz w:val="14"/>
              </w:rPr>
            </w:pPr>
            <w:r>
              <w:rPr>
                <w:sz w:val="14"/>
              </w:rPr>
              <w:t>788</w:t>
            </w:r>
          </w:p>
        </w:tc>
        <w:tc>
          <w:tcPr>
            <w:tcW w:w="1348" w:type="dxa"/>
          </w:tcPr>
          <w:p>
            <w:pPr>
              <w:pStyle w:val="TableParagraph"/>
              <w:spacing w:before="33"/>
              <w:ind w:right="381"/>
              <w:jc w:val="right"/>
              <w:rPr>
                <w:sz w:val="14"/>
              </w:rPr>
            </w:pPr>
            <w:r>
              <w:rPr>
                <w:sz w:val="14"/>
              </w:rPr>
              <w:t>259</w:t>
            </w:r>
          </w:p>
        </w:tc>
        <w:tc>
          <w:tcPr>
            <w:tcW w:w="1119" w:type="dxa"/>
          </w:tcPr>
          <w:p>
            <w:pPr>
              <w:pStyle w:val="TableParagraph"/>
              <w:spacing w:before="33"/>
              <w:ind w:left="671"/>
              <w:rPr>
                <w:sz w:val="14"/>
              </w:rPr>
            </w:pPr>
            <w:r>
              <w:rPr>
                <w:sz w:val="14"/>
              </w:rPr>
              <w:t>788</w:t>
            </w:r>
          </w:p>
        </w:tc>
        <w:tc>
          <w:tcPr>
            <w:tcW w:w="1174" w:type="dxa"/>
          </w:tcPr>
          <w:p>
            <w:pPr>
              <w:pStyle w:val="TableParagraph"/>
              <w:spacing w:before="33"/>
              <w:ind w:right="294"/>
              <w:jc w:val="right"/>
              <w:rPr>
                <w:sz w:val="14"/>
              </w:rPr>
            </w:pPr>
            <w:r>
              <w:rPr>
                <w:sz w:val="14"/>
              </w:rPr>
              <w:t>259</w:t>
            </w:r>
          </w:p>
        </w:tc>
      </w:tr>
      <w:tr>
        <w:trPr>
          <w:trHeight w:val="259" w:hRule="atLeast"/>
        </w:trPr>
        <w:tc>
          <w:tcPr>
            <w:tcW w:w="542" w:type="dxa"/>
          </w:tcPr>
          <w:p>
            <w:pPr>
              <w:pStyle w:val="TableParagraph"/>
              <w:spacing w:before="33"/>
              <w:ind w:left="168"/>
              <w:rPr>
                <w:sz w:val="14"/>
              </w:rPr>
            </w:pPr>
            <w:r>
              <w:rPr>
                <w:sz w:val="14"/>
              </w:rPr>
              <w:t>16.</w:t>
            </w:r>
          </w:p>
        </w:tc>
        <w:tc>
          <w:tcPr>
            <w:tcW w:w="4013" w:type="dxa"/>
          </w:tcPr>
          <w:p>
            <w:pPr>
              <w:pStyle w:val="TableParagraph"/>
              <w:spacing w:before="33"/>
              <w:ind w:left="24"/>
              <w:rPr>
                <w:sz w:val="14"/>
              </w:rPr>
            </w:pPr>
            <w:r>
              <w:rPr>
                <w:sz w:val="14"/>
              </w:rPr>
              <w:t>Extra NaSSIT Contribution (Old Employees &amp; Military)</w:t>
            </w:r>
          </w:p>
        </w:tc>
        <w:tc>
          <w:tcPr>
            <w:tcW w:w="1356" w:type="dxa"/>
          </w:tcPr>
          <w:p>
            <w:pPr>
              <w:pStyle w:val="TableParagraph"/>
              <w:spacing w:before="33"/>
              <w:ind w:right="250"/>
              <w:jc w:val="right"/>
              <w:rPr>
                <w:sz w:val="14"/>
              </w:rPr>
            </w:pPr>
            <w:r>
              <w:rPr>
                <w:w w:val="99"/>
                <w:sz w:val="14"/>
              </w:rPr>
              <w:t>-</w:t>
            </w:r>
          </w:p>
        </w:tc>
        <w:tc>
          <w:tcPr>
            <w:tcW w:w="1401" w:type="dxa"/>
          </w:tcPr>
          <w:p>
            <w:pPr>
              <w:pStyle w:val="TableParagraph"/>
              <w:spacing w:before="33"/>
              <w:ind w:right="421"/>
              <w:jc w:val="right"/>
              <w:rPr>
                <w:sz w:val="14"/>
              </w:rPr>
            </w:pPr>
            <w:r>
              <w:rPr>
                <w:w w:val="95"/>
                <w:sz w:val="14"/>
              </w:rPr>
              <w:t>16,800</w:t>
            </w:r>
          </w:p>
        </w:tc>
        <w:tc>
          <w:tcPr>
            <w:tcW w:w="1206" w:type="dxa"/>
          </w:tcPr>
          <w:p>
            <w:pPr>
              <w:pStyle w:val="TableParagraph"/>
              <w:spacing w:before="33"/>
              <w:ind w:right="251"/>
              <w:jc w:val="right"/>
              <w:rPr>
                <w:sz w:val="14"/>
              </w:rPr>
            </w:pPr>
            <w:r>
              <w:rPr>
                <w:w w:val="99"/>
                <w:sz w:val="14"/>
              </w:rPr>
              <w:t>-</w:t>
            </w:r>
          </w:p>
        </w:tc>
        <w:tc>
          <w:tcPr>
            <w:tcW w:w="1375" w:type="dxa"/>
          </w:tcPr>
          <w:p>
            <w:pPr>
              <w:pStyle w:val="TableParagraph"/>
              <w:spacing w:before="33"/>
              <w:ind w:left="458"/>
              <w:rPr>
                <w:sz w:val="14"/>
              </w:rPr>
            </w:pPr>
            <w:r>
              <w:rPr>
                <w:sz w:val="14"/>
              </w:rPr>
              <w:t>16,800</w:t>
            </w:r>
          </w:p>
        </w:tc>
        <w:tc>
          <w:tcPr>
            <w:tcW w:w="1260" w:type="dxa"/>
          </w:tcPr>
          <w:p>
            <w:pPr>
              <w:pStyle w:val="TableParagraph"/>
              <w:spacing w:before="33"/>
              <w:ind w:right="332"/>
              <w:jc w:val="right"/>
              <w:rPr>
                <w:sz w:val="14"/>
              </w:rPr>
            </w:pPr>
            <w:r>
              <w:rPr>
                <w:w w:val="99"/>
                <w:sz w:val="14"/>
              </w:rPr>
              <w:t>-</w:t>
            </w:r>
          </w:p>
        </w:tc>
        <w:tc>
          <w:tcPr>
            <w:tcW w:w="1348" w:type="dxa"/>
          </w:tcPr>
          <w:p>
            <w:pPr>
              <w:pStyle w:val="TableParagraph"/>
              <w:spacing w:before="33"/>
              <w:ind w:right="397"/>
              <w:jc w:val="right"/>
              <w:rPr>
                <w:sz w:val="14"/>
              </w:rPr>
            </w:pPr>
            <w:r>
              <w:rPr>
                <w:w w:val="95"/>
                <w:sz w:val="14"/>
              </w:rPr>
              <w:t>16,800</w:t>
            </w:r>
          </w:p>
        </w:tc>
        <w:tc>
          <w:tcPr>
            <w:tcW w:w="1119" w:type="dxa"/>
          </w:tcPr>
          <w:p>
            <w:pPr>
              <w:pStyle w:val="TableParagraph"/>
              <w:spacing w:before="33"/>
              <w:ind w:right="193"/>
              <w:jc w:val="right"/>
              <w:rPr>
                <w:sz w:val="14"/>
              </w:rPr>
            </w:pPr>
            <w:r>
              <w:rPr>
                <w:w w:val="99"/>
                <w:sz w:val="14"/>
              </w:rPr>
              <w:t>-</w:t>
            </w:r>
          </w:p>
        </w:tc>
        <w:tc>
          <w:tcPr>
            <w:tcW w:w="1174" w:type="dxa"/>
          </w:tcPr>
          <w:p>
            <w:pPr>
              <w:pStyle w:val="TableParagraph"/>
              <w:spacing w:before="33"/>
              <w:ind w:right="301"/>
              <w:jc w:val="right"/>
              <w:rPr>
                <w:sz w:val="14"/>
              </w:rPr>
            </w:pPr>
            <w:r>
              <w:rPr>
                <w:sz w:val="14"/>
              </w:rPr>
              <w:t>8,400</w:t>
            </w:r>
          </w:p>
        </w:tc>
      </w:tr>
      <w:tr>
        <w:trPr>
          <w:trHeight w:val="438" w:hRule="atLeast"/>
        </w:trPr>
        <w:tc>
          <w:tcPr>
            <w:tcW w:w="542" w:type="dxa"/>
          </w:tcPr>
          <w:p>
            <w:pPr>
              <w:pStyle w:val="TableParagraph"/>
              <w:spacing w:before="33"/>
              <w:ind w:left="168"/>
              <w:rPr>
                <w:sz w:val="14"/>
              </w:rPr>
            </w:pPr>
            <w:r>
              <w:rPr>
                <w:sz w:val="14"/>
              </w:rPr>
              <w:t>17.</w:t>
            </w:r>
          </w:p>
        </w:tc>
        <w:tc>
          <w:tcPr>
            <w:tcW w:w="4013" w:type="dxa"/>
          </w:tcPr>
          <w:p>
            <w:pPr>
              <w:pStyle w:val="TableParagraph"/>
              <w:spacing w:before="33"/>
              <w:ind w:left="24"/>
              <w:rPr>
                <w:sz w:val="14"/>
              </w:rPr>
            </w:pPr>
            <w:r>
              <w:rPr>
                <w:sz w:val="14"/>
              </w:rPr>
              <w:t>Grants to Local Councils</w:t>
            </w:r>
          </w:p>
        </w:tc>
        <w:tc>
          <w:tcPr>
            <w:tcW w:w="1356" w:type="dxa"/>
            <w:tcBorders>
              <w:bottom w:val="single" w:sz="18" w:space="0" w:color="000000"/>
            </w:tcBorders>
          </w:tcPr>
          <w:p>
            <w:pPr>
              <w:pStyle w:val="TableParagraph"/>
              <w:spacing w:before="33"/>
              <w:ind w:right="252"/>
              <w:jc w:val="right"/>
              <w:rPr>
                <w:sz w:val="14"/>
              </w:rPr>
            </w:pPr>
            <w:r>
              <w:rPr>
                <w:sz w:val="14"/>
              </w:rPr>
              <w:t>858</w:t>
            </w:r>
          </w:p>
        </w:tc>
        <w:tc>
          <w:tcPr>
            <w:tcW w:w="1401" w:type="dxa"/>
            <w:tcBorders>
              <w:bottom w:val="single" w:sz="18" w:space="0" w:color="000000"/>
            </w:tcBorders>
          </w:tcPr>
          <w:p>
            <w:pPr>
              <w:pStyle w:val="TableParagraph"/>
              <w:spacing w:before="33"/>
              <w:ind w:right="421"/>
              <w:jc w:val="right"/>
              <w:rPr>
                <w:sz w:val="14"/>
              </w:rPr>
            </w:pPr>
            <w:r>
              <w:rPr>
                <w:w w:val="95"/>
                <w:sz w:val="14"/>
              </w:rPr>
              <w:t>39,302</w:t>
            </w:r>
          </w:p>
        </w:tc>
        <w:tc>
          <w:tcPr>
            <w:tcW w:w="1206" w:type="dxa"/>
            <w:tcBorders>
              <w:bottom w:val="single" w:sz="18" w:space="0" w:color="000000"/>
            </w:tcBorders>
          </w:tcPr>
          <w:p>
            <w:pPr>
              <w:pStyle w:val="TableParagraph"/>
              <w:spacing w:before="33"/>
              <w:ind w:right="253"/>
              <w:jc w:val="right"/>
              <w:rPr>
                <w:sz w:val="14"/>
              </w:rPr>
            </w:pPr>
            <w:r>
              <w:rPr>
                <w:sz w:val="14"/>
              </w:rPr>
              <w:t>858</w:t>
            </w:r>
          </w:p>
        </w:tc>
        <w:tc>
          <w:tcPr>
            <w:tcW w:w="1375" w:type="dxa"/>
            <w:tcBorders>
              <w:bottom w:val="single" w:sz="18" w:space="0" w:color="000000"/>
            </w:tcBorders>
          </w:tcPr>
          <w:p>
            <w:pPr>
              <w:pStyle w:val="TableParagraph"/>
              <w:spacing w:before="33"/>
              <w:ind w:left="458"/>
              <w:rPr>
                <w:sz w:val="14"/>
              </w:rPr>
            </w:pPr>
            <w:r>
              <w:rPr>
                <w:sz w:val="14"/>
              </w:rPr>
              <w:t>39,302</w:t>
            </w:r>
          </w:p>
        </w:tc>
        <w:tc>
          <w:tcPr>
            <w:tcW w:w="1260" w:type="dxa"/>
            <w:tcBorders>
              <w:bottom w:val="single" w:sz="18" w:space="0" w:color="000000"/>
            </w:tcBorders>
          </w:tcPr>
          <w:p>
            <w:pPr>
              <w:pStyle w:val="TableParagraph"/>
              <w:spacing w:before="33"/>
              <w:ind w:left="672"/>
              <w:rPr>
                <w:sz w:val="14"/>
              </w:rPr>
            </w:pPr>
            <w:r>
              <w:rPr>
                <w:sz w:val="14"/>
              </w:rPr>
              <w:t>858</w:t>
            </w:r>
          </w:p>
        </w:tc>
        <w:tc>
          <w:tcPr>
            <w:tcW w:w="1348" w:type="dxa"/>
            <w:tcBorders>
              <w:bottom w:val="single" w:sz="18" w:space="0" w:color="000000"/>
            </w:tcBorders>
          </w:tcPr>
          <w:p>
            <w:pPr>
              <w:pStyle w:val="TableParagraph"/>
              <w:spacing w:before="33"/>
              <w:ind w:right="397"/>
              <w:jc w:val="right"/>
              <w:rPr>
                <w:sz w:val="14"/>
              </w:rPr>
            </w:pPr>
            <w:r>
              <w:rPr>
                <w:w w:val="95"/>
                <w:sz w:val="14"/>
              </w:rPr>
              <w:t>39,302</w:t>
            </w:r>
          </w:p>
        </w:tc>
        <w:tc>
          <w:tcPr>
            <w:tcW w:w="1119" w:type="dxa"/>
            <w:tcBorders>
              <w:bottom w:val="single" w:sz="18" w:space="0" w:color="000000"/>
            </w:tcBorders>
          </w:tcPr>
          <w:p>
            <w:pPr>
              <w:pStyle w:val="TableParagraph"/>
              <w:spacing w:before="33"/>
              <w:ind w:left="671"/>
              <w:rPr>
                <w:sz w:val="14"/>
              </w:rPr>
            </w:pPr>
            <w:r>
              <w:rPr>
                <w:sz w:val="14"/>
              </w:rPr>
              <w:t>858</w:t>
            </w:r>
          </w:p>
        </w:tc>
        <w:tc>
          <w:tcPr>
            <w:tcW w:w="1174" w:type="dxa"/>
            <w:tcBorders>
              <w:bottom w:val="single" w:sz="18" w:space="0" w:color="000000"/>
            </w:tcBorders>
          </w:tcPr>
          <w:p>
            <w:pPr>
              <w:pStyle w:val="TableParagraph"/>
              <w:spacing w:before="33"/>
              <w:ind w:right="309"/>
              <w:jc w:val="right"/>
              <w:rPr>
                <w:sz w:val="14"/>
              </w:rPr>
            </w:pPr>
            <w:r>
              <w:rPr>
                <w:w w:val="95"/>
                <w:sz w:val="14"/>
              </w:rPr>
              <w:t>39,302</w:t>
            </w:r>
          </w:p>
        </w:tc>
      </w:tr>
      <w:tr>
        <w:trPr>
          <w:trHeight w:val="295" w:hRule="atLeast"/>
        </w:trPr>
        <w:tc>
          <w:tcPr>
            <w:tcW w:w="542" w:type="dxa"/>
          </w:tcPr>
          <w:p>
            <w:pPr>
              <w:pStyle w:val="TableParagraph"/>
              <w:rPr>
                <w:rFonts w:ascii="Times New Roman"/>
                <w:sz w:val="14"/>
              </w:rPr>
            </w:pPr>
          </w:p>
        </w:tc>
        <w:tc>
          <w:tcPr>
            <w:tcW w:w="4013" w:type="dxa"/>
          </w:tcPr>
          <w:p>
            <w:pPr>
              <w:pStyle w:val="TableParagraph"/>
              <w:spacing w:before="73"/>
              <w:ind w:left="25"/>
              <w:rPr>
                <w:b/>
                <w:sz w:val="14"/>
              </w:rPr>
            </w:pPr>
            <w:r>
              <w:rPr>
                <w:b/>
                <w:sz w:val="14"/>
              </w:rPr>
              <w:t>Total Wage Bill</w:t>
            </w:r>
          </w:p>
        </w:tc>
        <w:tc>
          <w:tcPr>
            <w:tcW w:w="1356" w:type="dxa"/>
            <w:tcBorders>
              <w:top w:val="single" w:sz="18" w:space="0" w:color="000000"/>
              <w:bottom w:val="single" w:sz="18" w:space="0" w:color="000000"/>
            </w:tcBorders>
          </w:tcPr>
          <w:p>
            <w:pPr>
              <w:pStyle w:val="TableParagraph"/>
              <w:spacing w:before="73"/>
              <w:ind w:left="615"/>
              <w:rPr>
                <w:b/>
                <w:sz w:val="14"/>
              </w:rPr>
            </w:pPr>
            <w:r>
              <w:rPr>
                <w:b/>
                <w:sz w:val="14"/>
              </w:rPr>
              <w:t>89,581</w:t>
            </w:r>
          </w:p>
        </w:tc>
        <w:tc>
          <w:tcPr>
            <w:tcW w:w="1401" w:type="dxa"/>
            <w:tcBorders>
              <w:top w:val="single" w:sz="18" w:space="0" w:color="000000"/>
              <w:bottom w:val="single" w:sz="18" w:space="0" w:color="000000"/>
            </w:tcBorders>
          </w:tcPr>
          <w:p>
            <w:pPr>
              <w:pStyle w:val="TableParagraph"/>
              <w:spacing w:before="73"/>
              <w:ind w:left="287"/>
              <w:rPr>
                <w:b/>
                <w:sz w:val="14"/>
              </w:rPr>
            </w:pPr>
            <w:r>
              <w:rPr>
                <w:b/>
                <w:sz w:val="14"/>
              </w:rPr>
              <w:t>3,174,476</w:t>
            </w:r>
          </w:p>
        </w:tc>
        <w:tc>
          <w:tcPr>
            <w:tcW w:w="1206" w:type="dxa"/>
            <w:tcBorders>
              <w:top w:val="single" w:sz="18" w:space="0" w:color="000000"/>
              <w:bottom w:val="single" w:sz="18" w:space="0" w:color="000000"/>
            </w:tcBorders>
          </w:tcPr>
          <w:p>
            <w:pPr>
              <w:pStyle w:val="TableParagraph"/>
              <w:spacing w:before="73"/>
              <w:ind w:left="460"/>
              <w:rPr>
                <w:b/>
                <w:sz w:val="14"/>
              </w:rPr>
            </w:pPr>
            <w:r>
              <w:rPr>
                <w:b/>
                <w:sz w:val="14"/>
              </w:rPr>
              <w:t>90,930</w:t>
            </w:r>
          </w:p>
        </w:tc>
        <w:tc>
          <w:tcPr>
            <w:tcW w:w="1375" w:type="dxa"/>
            <w:tcBorders>
              <w:top w:val="single" w:sz="18" w:space="0" w:color="000000"/>
              <w:bottom w:val="single" w:sz="18" w:space="0" w:color="000000"/>
            </w:tcBorders>
          </w:tcPr>
          <w:p>
            <w:pPr>
              <w:pStyle w:val="TableParagraph"/>
              <w:spacing w:before="73"/>
              <w:ind w:left="234"/>
              <w:rPr>
                <w:b/>
                <w:sz w:val="14"/>
              </w:rPr>
            </w:pPr>
            <w:r>
              <w:rPr>
                <w:b/>
                <w:sz w:val="14"/>
              </w:rPr>
              <w:t>3,464,805</w:t>
            </w:r>
          </w:p>
        </w:tc>
        <w:tc>
          <w:tcPr>
            <w:tcW w:w="1260" w:type="dxa"/>
            <w:tcBorders>
              <w:top w:val="single" w:sz="18" w:space="0" w:color="000000"/>
              <w:bottom w:val="single" w:sz="18" w:space="0" w:color="000000"/>
            </w:tcBorders>
          </w:tcPr>
          <w:p>
            <w:pPr>
              <w:pStyle w:val="TableParagraph"/>
              <w:spacing w:before="73"/>
              <w:ind w:left="433"/>
              <w:rPr>
                <w:b/>
                <w:sz w:val="14"/>
              </w:rPr>
            </w:pPr>
            <w:r>
              <w:rPr>
                <w:b/>
                <w:sz w:val="14"/>
              </w:rPr>
              <w:t>96,430</w:t>
            </w:r>
          </w:p>
        </w:tc>
        <w:tc>
          <w:tcPr>
            <w:tcW w:w="1348" w:type="dxa"/>
            <w:tcBorders>
              <w:top w:val="single" w:sz="18" w:space="0" w:color="000000"/>
              <w:bottom w:val="single" w:sz="18" w:space="0" w:color="000000"/>
            </w:tcBorders>
          </w:tcPr>
          <w:p>
            <w:pPr>
              <w:pStyle w:val="TableParagraph"/>
              <w:spacing w:before="73"/>
              <w:ind w:right="432"/>
              <w:jc w:val="right"/>
              <w:rPr>
                <w:b/>
                <w:sz w:val="14"/>
              </w:rPr>
            </w:pPr>
            <w:r>
              <w:rPr>
                <w:b/>
                <w:sz w:val="14"/>
              </w:rPr>
              <w:t>3,783,000</w:t>
            </w:r>
          </w:p>
        </w:tc>
        <w:tc>
          <w:tcPr>
            <w:tcW w:w="1119" w:type="dxa"/>
            <w:tcBorders>
              <w:top w:val="single" w:sz="18" w:space="0" w:color="000000"/>
              <w:bottom w:val="single" w:sz="18" w:space="0" w:color="000000"/>
            </w:tcBorders>
          </w:tcPr>
          <w:p>
            <w:pPr>
              <w:pStyle w:val="TableParagraph"/>
              <w:spacing w:before="73"/>
              <w:ind w:left="431"/>
              <w:rPr>
                <w:b/>
                <w:sz w:val="14"/>
              </w:rPr>
            </w:pPr>
            <w:r>
              <w:rPr>
                <w:b/>
                <w:sz w:val="14"/>
              </w:rPr>
              <w:t>98,880</w:t>
            </w:r>
          </w:p>
        </w:tc>
        <w:tc>
          <w:tcPr>
            <w:tcW w:w="1174" w:type="dxa"/>
            <w:tcBorders>
              <w:top w:val="single" w:sz="18" w:space="0" w:color="000000"/>
              <w:bottom w:val="single" w:sz="18" w:space="0" w:color="000000"/>
            </w:tcBorders>
          </w:tcPr>
          <w:p>
            <w:pPr>
              <w:pStyle w:val="TableParagraph"/>
              <w:spacing w:before="73"/>
              <w:ind w:right="344"/>
              <w:jc w:val="right"/>
              <w:rPr>
                <w:b/>
                <w:sz w:val="14"/>
              </w:rPr>
            </w:pPr>
            <w:r>
              <w:rPr>
                <w:b/>
                <w:sz w:val="14"/>
              </w:rPr>
              <w:t>3,840,799</w:t>
            </w:r>
          </w:p>
        </w:tc>
      </w:tr>
      <w:tr>
        <w:trPr>
          <w:trHeight w:val="476" w:hRule="atLeast"/>
        </w:trPr>
        <w:tc>
          <w:tcPr>
            <w:tcW w:w="542" w:type="dxa"/>
          </w:tcPr>
          <w:p>
            <w:pPr>
              <w:pStyle w:val="TableParagraph"/>
              <w:rPr>
                <w:rFonts w:ascii="Times New Roman"/>
                <w:sz w:val="14"/>
              </w:rPr>
            </w:pPr>
          </w:p>
        </w:tc>
        <w:tc>
          <w:tcPr>
            <w:tcW w:w="4013" w:type="dxa"/>
          </w:tcPr>
          <w:p>
            <w:pPr>
              <w:pStyle w:val="TableParagraph"/>
              <w:spacing w:before="9"/>
              <w:rPr>
                <w:b/>
                <w:sz w:val="21"/>
              </w:rPr>
            </w:pPr>
          </w:p>
          <w:p>
            <w:pPr>
              <w:pStyle w:val="TableParagraph"/>
              <w:ind w:left="24"/>
              <w:rPr>
                <w:b/>
                <w:sz w:val="14"/>
              </w:rPr>
            </w:pPr>
            <w:r>
              <w:rPr>
                <w:b/>
                <w:sz w:val="14"/>
              </w:rPr>
              <w:t>Nominal GDP</w:t>
            </w:r>
          </w:p>
        </w:tc>
        <w:tc>
          <w:tcPr>
            <w:tcW w:w="1356" w:type="dxa"/>
            <w:tcBorders>
              <w:top w:val="single" w:sz="18" w:space="0" w:color="000000"/>
            </w:tcBorders>
          </w:tcPr>
          <w:p>
            <w:pPr>
              <w:pStyle w:val="TableParagraph"/>
              <w:rPr>
                <w:rFonts w:ascii="Times New Roman"/>
                <w:sz w:val="14"/>
              </w:rPr>
            </w:pPr>
          </w:p>
        </w:tc>
        <w:tc>
          <w:tcPr>
            <w:tcW w:w="1401" w:type="dxa"/>
            <w:tcBorders>
              <w:top w:val="single" w:sz="18" w:space="0" w:color="000000"/>
            </w:tcBorders>
          </w:tcPr>
          <w:p>
            <w:pPr>
              <w:pStyle w:val="TableParagraph"/>
              <w:spacing w:before="9"/>
              <w:rPr>
                <w:b/>
                <w:sz w:val="21"/>
              </w:rPr>
            </w:pPr>
          </w:p>
          <w:p>
            <w:pPr>
              <w:pStyle w:val="TableParagraph"/>
              <w:ind w:left="201"/>
              <w:rPr>
                <w:b/>
                <w:sz w:val="14"/>
              </w:rPr>
            </w:pPr>
            <w:r>
              <w:rPr>
                <w:b/>
                <w:sz w:val="14"/>
              </w:rPr>
              <w:t>43,568,562</w:t>
            </w:r>
          </w:p>
        </w:tc>
        <w:tc>
          <w:tcPr>
            <w:tcW w:w="1206" w:type="dxa"/>
            <w:tcBorders>
              <w:top w:val="single" w:sz="18" w:space="0" w:color="000000"/>
            </w:tcBorders>
          </w:tcPr>
          <w:p>
            <w:pPr>
              <w:pStyle w:val="TableParagraph"/>
              <w:rPr>
                <w:rFonts w:ascii="Times New Roman"/>
                <w:sz w:val="14"/>
              </w:rPr>
            </w:pPr>
          </w:p>
        </w:tc>
        <w:tc>
          <w:tcPr>
            <w:tcW w:w="1375" w:type="dxa"/>
            <w:tcBorders>
              <w:top w:val="single" w:sz="18" w:space="0" w:color="000000"/>
            </w:tcBorders>
          </w:tcPr>
          <w:p>
            <w:pPr>
              <w:pStyle w:val="TableParagraph"/>
              <w:spacing w:before="9"/>
              <w:rPr>
                <w:b/>
                <w:sz w:val="21"/>
              </w:rPr>
            </w:pPr>
          </w:p>
          <w:p>
            <w:pPr>
              <w:pStyle w:val="TableParagraph"/>
              <w:ind w:left="142"/>
              <w:rPr>
                <w:b/>
                <w:sz w:val="14"/>
              </w:rPr>
            </w:pPr>
            <w:r>
              <w:rPr>
                <w:b/>
                <w:sz w:val="14"/>
              </w:rPr>
              <w:t>50,642,000</w:t>
            </w:r>
          </w:p>
        </w:tc>
        <w:tc>
          <w:tcPr>
            <w:tcW w:w="1260" w:type="dxa"/>
            <w:tcBorders>
              <w:top w:val="single" w:sz="18" w:space="0" w:color="000000"/>
            </w:tcBorders>
          </w:tcPr>
          <w:p>
            <w:pPr>
              <w:pStyle w:val="TableParagraph"/>
              <w:rPr>
                <w:rFonts w:ascii="Times New Roman"/>
                <w:sz w:val="14"/>
              </w:rPr>
            </w:pPr>
          </w:p>
        </w:tc>
        <w:tc>
          <w:tcPr>
            <w:tcW w:w="1348" w:type="dxa"/>
            <w:tcBorders>
              <w:top w:val="single" w:sz="18" w:space="0" w:color="000000"/>
            </w:tcBorders>
          </w:tcPr>
          <w:p>
            <w:pPr>
              <w:pStyle w:val="TableParagraph"/>
              <w:spacing w:before="9"/>
              <w:rPr>
                <w:b/>
                <w:sz w:val="21"/>
              </w:rPr>
            </w:pPr>
          </w:p>
          <w:p>
            <w:pPr>
              <w:pStyle w:val="TableParagraph"/>
              <w:ind w:left="171"/>
              <w:rPr>
                <w:b/>
                <w:sz w:val="14"/>
              </w:rPr>
            </w:pPr>
            <w:r>
              <w:rPr>
                <w:b/>
                <w:sz w:val="14"/>
              </w:rPr>
              <w:t>57,658,000</w:t>
            </w:r>
          </w:p>
        </w:tc>
        <w:tc>
          <w:tcPr>
            <w:tcW w:w="1119" w:type="dxa"/>
            <w:tcBorders>
              <w:top w:val="single" w:sz="18" w:space="0" w:color="000000"/>
            </w:tcBorders>
          </w:tcPr>
          <w:p>
            <w:pPr>
              <w:pStyle w:val="TableParagraph"/>
              <w:rPr>
                <w:rFonts w:ascii="Times New Roman"/>
                <w:sz w:val="14"/>
              </w:rPr>
            </w:pPr>
          </w:p>
        </w:tc>
        <w:tc>
          <w:tcPr>
            <w:tcW w:w="1174" w:type="dxa"/>
            <w:tcBorders>
              <w:top w:val="single" w:sz="18" w:space="0" w:color="000000"/>
            </w:tcBorders>
          </w:tcPr>
          <w:p>
            <w:pPr>
              <w:pStyle w:val="TableParagraph"/>
              <w:spacing w:before="9"/>
              <w:rPr>
                <w:b/>
                <w:sz w:val="21"/>
              </w:rPr>
            </w:pPr>
          </w:p>
          <w:p>
            <w:pPr>
              <w:pStyle w:val="TableParagraph"/>
              <w:ind w:right="352"/>
              <w:jc w:val="right"/>
              <w:rPr>
                <w:b/>
                <w:sz w:val="14"/>
              </w:rPr>
            </w:pPr>
            <w:r>
              <w:rPr>
                <w:b/>
                <w:w w:val="95"/>
                <w:sz w:val="14"/>
              </w:rPr>
              <w:t>65,135,000</w:t>
            </w:r>
          </w:p>
        </w:tc>
      </w:tr>
      <w:tr>
        <w:trPr>
          <w:trHeight w:val="259" w:hRule="atLeast"/>
        </w:trPr>
        <w:tc>
          <w:tcPr>
            <w:tcW w:w="542" w:type="dxa"/>
          </w:tcPr>
          <w:p>
            <w:pPr>
              <w:pStyle w:val="TableParagraph"/>
              <w:rPr>
                <w:rFonts w:ascii="Times New Roman"/>
                <w:sz w:val="14"/>
              </w:rPr>
            </w:pPr>
          </w:p>
        </w:tc>
        <w:tc>
          <w:tcPr>
            <w:tcW w:w="4013" w:type="dxa"/>
          </w:tcPr>
          <w:p>
            <w:pPr>
              <w:pStyle w:val="TableParagraph"/>
              <w:spacing w:before="33"/>
              <w:ind w:left="24"/>
              <w:rPr>
                <w:b/>
                <w:sz w:val="14"/>
              </w:rPr>
            </w:pPr>
            <w:r>
              <w:rPr>
                <w:b/>
                <w:sz w:val="14"/>
              </w:rPr>
              <w:t>Wage Bill % of GDP</w:t>
            </w:r>
          </w:p>
        </w:tc>
        <w:tc>
          <w:tcPr>
            <w:tcW w:w="1356" w:type="dxa"/>
          </w:tcPr>
          <w:p>
            <w:pPr>
              <w:pStyle w:val="TableParagraph"/>
              <w:rPr>
                <w:rFonts w:ascii="Times New Roman"/>
                <w:sz w:val="14"/>
              </w:rPr>
            </w:pPr>
          </w:p>
        </w:tc>
        <w:tc>
          <w:tcPr>
            <w:tcW w:w="1401" w:type="dxa"/>
          </w:tcPr>
          <w:p>
            <w:pPr>
              <w:pStyle w:val="TableParagraph"/>
              <w:spacing w:before="33"/>
              <w:ind w:right="417"/>
              <w:jc w:val="right"/>
              <w:rPr>
                <w:b/>
                <w:sz w:val="14"/>
              </w:rPr>
            </w:pPr>
            <w:r>
              <w:rPr>
                <w:b/>
                <w:sz w:val="14"/>
              </w:rPr>
              <w:t>7.3%</w:t>
            </w:r>
          </w:p>
        </w:tc>
        <w:tc>
          <w:tcPr>
            <w:tcW w:w="1206" w:type="dxa"/>
          </w:tcPr>
          <w:p>
            <w:pPr>
              <w:pStyle w:val="TableParagraph"/>
              <w:rPr>
                <w:rFonts w:ascii="Times New Roman"/>
                <w:sz w:val="14"/>
              </w:rPr>
            </w:pPr>
          </w:p>
        </w:tc>
        <w:tc>
          <w:tcPr>
            <w:tcW w:w="1375" w:type="dxa"/>
          </w:tcPr>
          <w:p>
            <w:pPr>
              <w:pStyle w:val="TableParagraph"/>
              <w:spacing w:before="33"/>
              <w:ind w:left="617"/>
              <w:rPr>
                <w:b/>
                <w:sz w:val="14"/>
              </w:rPr>
            </w:pPr>
            <w:r>
              <w:rPr>
                <w:b/>
                <w:sz w:val="14"/>
              </w:rPr>
              <w:t>6.8%</w:t>
            </w:r>
          </w:p>
        </w:tc>
        <w:tc>
          <w:tcPr>
            <w:tcW w:w="1260" w:type="dxa"/>
          </w:tcPr>
          <w:p>
            <w:pPr>
              <w:pStyle w:val="TableParagraph"/>
              <w:rPr>
                <w:rFonts w:ascii="Times New Roman"/>
                <w:sz w:val="14"/>
              </w:rPr>
            </w:pPr>
          </w:p>
        </w:tc>
        <w:tc>
          <w:tcPr>
            <w:tcW w:w="1348" w:type="dxa"/>
          </w:tcPr>
          <w:p>
            <w:pPr>
              <w:pStyle w:val="TableParagraph"/>
              <w:spacing w:before="33"/>
              <w:ind w:right="393"/>
              <w:jc w:val="right"/>
              <w:rPr>
                <w:b/>
                <w:sz w:val="14"/>
              </w:rPr>
            </w:pPr>
            <w:r>
              <w:rPr>
                <w:b/>
                <w:sz w:val="14"/>
              </w:rPr>
              <w:t>6.6%</w:t>
            </w:r>
          </w:p>
        </w:tc>
        <w:tc>
          <w:tcPr>
            <w:tcW w:w="1119" w:type="dxa"/>
          </w:tcPr>
          <w:p>
            <w:pPr>
              <w:pStyle w:val="TableParagraph"/>
              <w:rPr>
                <w:rFonts w:ascii="Times New Roman"/>
                <w:sz w:val="14"/>
              </w:rPr>
            </w:pPr>
          </w:p>
        </w:tc>
        <w:tc>
          <w:tcPr>
            <w:tcW w:w="1174" w:type="dxa"/>
          </w:tcPr>
          <w:p>
            <w:pPr>
              <w:pStyle w:val="TableParagraph"/>
              <w:spacing w:before="33"/>
              <w:ind w:right="305"/>
              <w:jc w:val="right"/>
              <w:rPr>
                <w:b/>
                <w:sz w:val="14"/>
              </w:rPr>
            </w:pPr>
            <w:r>
              <w:rPr>
                <w:b/>
                <w:sz w:val="14"/>
              </w:rPr>
              <w:t>5.9%</w:t>
            </w:r>
          </w:p>
        </w:tc>
      </w:tr>
      <w:tr>
        <w:trPr>
          <w:trHeight w:val="261" w:hRule="atLeast"/>
        </w:trPr>
        <w:tc>
          <w:tcPr>
            <w:tcW w:w="542" w:type="dxa"/>
          </w:tcPr>
          <w:p>
            <w:pPr>
              <w:pStyle w:val="TableParagraph"/>
              <w:rPr>
                <w:rFonts w:ascii="Times New Roman"/>
                <w:sz w:val="14"/>
              </w:rPr>
            </w:pPr>
          </w:p>
        </w:tc>
        <w:tc>
          <w:tcPr>
            <w:tcW w:w="4013" w:type="dxa"/>
          </w:tcPr>
          <w:p>
            <w:pPr>
              <w:pStyle w:val="TableParagraph"/>
              <w:spacing w:before="33"/>
              <w:ind w:left="24"/>
              <w:rPr>
                <w:b/>
                <w:sz w:val="14"/>
              </w:rPr>
            </w:pPr>
            <w:r>
              <w:rPr>
                <w:b/>
                <w:sz w:val="14"/>
              </w:rPr>
              <w:t>Pupils Enrollment</w:t>
            </w:r>
          </w:p>
        </w:tc>
        <w:tc>
          <w:tcPr>
            <w:tcW w:w="1356" w:type="dxa"/>
          </w:tcPr>
          <w:p>
            <w:pPr>
              <w:pStyle w:val="TableParagraph"/>
              <w:rPr>
                <w:rFonts w:ascii="Times New Roman"/>
                <w:sz w:val="14"/>
              </w:rPr>
            </w:pPr>
          </w:p>
        </w:tc>
        <w:tc>
          <w:tcPr>
            <w:tcW w:w="1401" w:type="dxa"/>
          </w:tcPr>
          <w:p>
            <w:pPr>
              <w:pStyle w:val="TableParagraph"/>
              <w:spacing w:before="33"/>
              <w:ind w:left="287"/>
              <w:rPr>
                <w:b/>
                <w:sz w:val="14"/>
              </w:rPr>
            </w:pPr>
            <w:r>
              <w:rPr>
                <w:b/>
                <w:sz w:val="14"/>
              </w:rPr>
              <w:t>2,148,497</w:t>
            </w:r>
          </w:p>
        </w:tc>
        <w:tc>
          <w:tcPr>
            <w:tcW w:w="1206" w:type="dxa"/>
          </w:tcPr>
          <w:p>
            <w:pPr>
              <w:pStyle w:val="TableParagraph"/>
              <w:rPr>
                <w:rFonts w:ascii="Times New Roman"/>
                <w:sz w:val="14"/>
              </w:rPr>
            </w:pPr>
          </w:p>
        </w:tc>
        <w:tc>
          <w:tcPr>
            <w:tcW w:w="1375" w:type="dxa"/>
          </w:tcPr>
          <w:p>
            <w:pPr>
              <w:pStyle w:val="TableParagraph"/>
              <w:spacing w:before="33"/>
              <w:ind w:left="234"/>
              <w:rPr>
                <w:b/>
                <w:sz w:val="14"/>
              </w:rPr>
            </w:pPr>
            <w:r>
              <w:rPr>
                <w:b/>
                <w:sz w:val="14"/>
              </w:rPr>
              <w:t>2,255,922</w:t>
            </w:r>
          </w:p>
        </w:tc>
        <w:tc>
          <w:tcPr>
            <w:tcW w:w="1260" w:type="dxa"/>
          </w:tcPr>
          <w:p>
            <w:pPr>
              <w:pStyle w:val="TableParagraph"/>
              <w:rPr>
                <w:rFonts w:ascii="Times New Roman"/>
                <w:sz w:val="14"/>
              </w:rPr>
            </w:pPr>
          </w:p>
        </w:tc>
        <w:tc>
          <w:tcPr>
            <w:tcW w:w="1348" w:type="dxa"/>
          </w:tcPr>
          <w:p>
            <w:pPr>
              <w:pStyle w:val="TableParagraph"/>
              <w:spacing w:before="33"/>
              <w:ind w:right="432"/>
              <w:jc w:val="right"/>
              <w:rPr>
                <w:b/>
                <w:sz w:val="14"/>
              </w:rPr>
            </w:pPr>
            <w:r>
              <w:rPr>
                <w:b/>
                <w:sz w:val="14"/>
              </w:rPr>
              <w:t>2,368,718</w:t>
            </w:r>
          </w:p>
        </w:tc>
        <w:tc>
          <w:tcPr>
            <w:tcW w:w="1119" w:type="dxa"/>
          </w:tcPr>
          <w:p>
            <w:pPr>
              <w:pStyle w:val="TableParagraph"/>
              <w:rPr>
                <w:rFonts w:ascii="Times New Roman"/>
                <w:sz w:val="14"/>
              </w:rPr>
            </w:pPr>
          </w:p>
        </w:tc>
        <w:tc>
          <w:tcPr>
            <w:tcW w:w="1174" w:type="dxa"/>
          </w:tcPr>
          <w:p>
            <w:pPr>
              <w:pStyle w:val="TableParagraph"/>
              <w:spacing w:before="33"/>
              <w:ind w:right="344"/>
              <w:jc w:val="right"/>
              <w:rPr>
                <w:b/>
                <w:sz w:val="14"/>
              </w:rPr>
            </w:pPr>
            <w:r>
              <w:rPr>
                <w:b/>
                <w:sz w:val="14"/>
              </w:rPr>
              <w:t>2,487,154</w:t>
            </w:r>
          </w:p>
        </w:tc>
      </w:tr>
      <w:tr>
        <w:trPr>
          <w:trHeight w:val="244" w:hRule="atLeast"/>
        </w:trPr>
        <w:tc>
          <w:tcPr>
            <w:tcW w:w="542" w:type="dxa"/>
          </w:tcPr>
          <w:p>
            <w:pPr>
              <w:pStyle w:val="TableParagraph"/>
              <w:rPr>
                <w:rFonts w:ascii="Times New Roman"/>
                <w:sz w:val="14"/>
              </w:rPr>
            </w:pPr>
          </w:p>
        </w:tc>
        <w:tc>
          <w:tcPr>
            <w:tcW w:w="4013" w:type="dxa"/>
          </w:tcPr>
          <w:p>
            <w:pPr>
              <w:pStyle w:val="TableParagraph"/>
              <w:spacing w:before="36"/>
              <w:ind w:left="25"/>
              <w:rPr>
                <w:b/>
                <w:sz w:val="14"/>
              </w:rPr>
            </w:pPr>
            <w:r>
              <w:rPr>
                <w:b/>
                <w:sz w:val="14"/>
              </w:rPr>
              <w:t>Teacher Pupils Ratio - 1: (is to)</w:t>
            </w:r>
          </w:p>
        </w:tc>
        <w:tc>
          <w:tcPr>
            <w:tcW w:w="1356" w:type="dxa"/>
          </w:tcPr>
          <w:p>
            <w:pPr>
              <w:pStyle w:val="TableParagraph"/>
              <w:rPr>
                <w:rFonts w:ascii="Times New Roman"/>
                <w:sz w:val="14"/>
              </w:rPr>
            </w:pPr>
          </w:p>
        </w:tc>
        <w:tc>
          <w:tcPr>
            <w:tcW w:w="1401" w:type="dxa"/>
          </w:tcPr>
          <w:p>
            <w:pPr>
              <w:pStyle w:val="TableParagraph"/>
              <w:spacing w:before="36"/>
              <w:ind w:right="412"/>
              <w:jc w:val="right"/>
              <w:rPr>
                <w:b/>
                <w:sz w:val="14"/>
              </w:rPr>
            </w:pPr>
            <w:r>
              <w:rPr>
                <w:b/>
                <w:sz w:val="14"/>
              </w:rPr>
              <w:t>62</w:t>
            </w:r>
          </w:p>
        </w:tc>
        <w:tc>
          <w:tcPr>
            <w:tcW w:w="1206" w:type="dxa"/>
          </w:tcPr>
          <w:p>
            <w:pPr>
              <w:pStyle w:val="TableParagraph"/>
              <w:rPr>
                <w:rFonts w:ascii="Times New Roman"/>
                <w:sz w:val="14"/>
              </w:rPr>
            </w:pPr>
          </w:p>
        </w:tc>
        <w:tc>
          <w:tcPr>
            <w:tcW w:w="1375" w:type="dxa"/>
          </w:tcPr>
          <w:p>
            <w:pPr>
              <w:pStyle w:val="TableParagraph"/>
              <w:spacing w:before="36"/>
              <w:ind w:left="762"/>
              <w:rPr>
                <w:b/>
                <w:sz w:val="14"/>
              </w:rPr>
            </w:pPr>
            <w:r>
              <w:rPr>
                <w:b/>
                <w:sz w:val="14"/>
              </w:rPr>
              <w:t>65</w:t>
            </w:r>
          </w:p>
        </w:tc>
        <w:tc>
          <w:tcPr>
            <w:tcW w:w="1260" w:type="dxa"/>
          </w:tcPr>
          <w:p>
            <w:pPr>
              <w:pStyle w:val="TableParagraph"/>
              <w:rPr>
                <w:rFonts w:ascii="Times New Roman"/>
                <w:sz w:val="14"/>
              </w:rPr>
            </w:pPr>
          </w:p>
        </w:tc>
        <w:tc>
          <w:tcPr>
            <w:tcW w:w="1348" w:type="dxa"/>
          </w:tcPr>
          <w:p>
            <w:pPr>
              <w:pStyle w:val="TableParagraph"/>
              <w:spacing w:before="36"/>
              <w:ind w:right="388"/>
              <w:jc w:val="right"/>
              <w:rPr>
                <w:b/>
                <w:sz w:val="14"/>
              </w:rPr>
            </w:pPr>
            <w:r>
              <w:rPr>
                <w:b/>
                <w:sz w:val="14"/>
              </w:rPr>
              <w:t>60</w:t>
            </w:r>
          </w:p>
        </w:tc>
        <w:tc>
          <w:tcPr>
            <w:tcW w:w="1119" w:type="dxa"/>
          </w:tcPr>
          <w:p>
            <w:pPr>
              <w:pStyle w:val="TableParagraph"/>
              <w:rPr>
                <w:rFonts w:ascii="Times New Roman"/>
                <w:sz w:val="14"/>
              </w:rPr>
            </w:pPr>
          </w:p>
        </w:tc>
        <w:tc>
          <w:tcPr>
            <w:tcW w:w="1174" w:type="dxa"/>
          </w:tcPr>
          <w:p>
            <w:pPr>
              <w:pStyle w:val="TableParagraph"/>
              <w:spacing w:before="36"/>
              <w:ind w:right="302"/>
              <w:jc w:val="right"/>
              <w:rPr>
                <w:b/>
                <w:sz w:val="14"/>
              </w:rPr>
            </w:pPr>
            <w:r>
              <w:rPr>
                <w:b/>
                <w:sz w:val="14"/>
              </w:rPr>
              <w:t>63</w:t>
            </w:r>
          </w:p>
        </w:tc>
      </w:tr>
    </w:tbl>
    <w:p>
      <w:pPr>
        <w:rPr>
          <w:sz w:val="2"/>
          <w:szCs w:val="2"/>
        </w:rPr>
      </w:pPr>
      <w:r>
        <w:rPr/>
        <w:pict>
          <v:shape style="position:absolute;margin-left:27.140491pt;margin-top:287.550018pt;width:14.35pt;height:16.25pt;mso-position-horizontal-relative:page;mso-position-vertical-relative:page;z-index:2344" type="#_x0000_t202" filled="false" stroked="false">
            <v:textbox inset="0,0,0,0" style="layout-flow:vertical">
              <w:txbxContent>
                <w:p>
                  <w:pPr>
                    <w:spacing w:before="13"/>
                    <w:ind w:left="20" w:right="0" w:firstLine="0"/>
                    <w:jc w:val="left"/>
                    <w:rPr>
                      <w:rFonts w:ascii="Arial"/>
                      <w:sz w:val="22"/>
                    </w:rPr>
                  </w:pPr>
                  <w:r>
                    <w:rPr>
                      <w:rFonts w:ascii="Arial"/>
                      <w:sz w:val="22"/>
                    </w:rPr>
                    <w:t>xlii</w:t>
                  </w:r>
                </w:p>
              </w:txbxContent>
            </v:textbox>
            <w10:wrap type="none"/>
          </v:shape>
        </w:pict>
      </w:r>
    </w:p>
    <w:p>
      <w:pPr>
        <w:spacing w:after="0"/>
        <w:rPr>
          <w:sz w:val="2"/>
          <w:szCs w:val="2"/>
        </w:rPr>
        <w:sectPr>
          <w:type w:val="continuous"/>
          <w:pgSz w:w="16840" w:h="11900" w:orient="landscape"/>
          <w:pgMar w:top="1600" w:bottom="280" w:left="880" w:right="920"/>
        </w:sectPr>
      </w:pPr>
    </w:p>
    <w:p>
      <w:pPr>
        <w:pStyle w:val="BodyText"/>
        <w:spacing w:before="9"/>
        <w:rPr>
          <w:rFonts w:ascii="Arial"/>
          <w:b/>
          <w:sz w:val="5"/>
        </w:rPr>
      </w:pPr>
      <w:r>
        <w:rPr/>
        <w:pict>
          <v:shape style="position:absolute;margin-left:27.140491pt;margin-top:285.869995pt;width:14.35pt;height:19.150pt;mso-position-horizontal-relative:page;mso-position-vertical-relative:page;z-index:2392" type="#_x0000_t202" filled="false" stroked="false">
            <v:textbox inset="0,0,0,0" style="layout-flow:vertical">
              <w:txbxContent>
                <w:p>
                  <w:pPr>
                    <w:spacing w:before="13"/>
                    <w:ind w:left="20" w:right="0" w:firstLine="0"/>
                    <w:jc w:val="left"/>
                    <w:rPr>
                      <w:rFonts w:ascii="Arial"/>
                      <w:sz w:val="22"/>
                    </w:rPr>
                  </w:pPr>
                  <w:r>
                    <w:rPr>
                      <w:rFonts w:ascii="Arial"/>
                      <w:sz w:val="22"/>
                    </w:rPr>
                    <w:t>xliii</w:t>
                  </w:r>
                </w:p>
              </w:txbxContent>
            </v:textbox>
            <w10:wrap type="none"/>
          </v:shape>
        </w:pict>
      </w:r>
    </w:p>
    <w:tbl>
      <w:tblPr>
        <w:tblW w:w="0" w:type="auto"/>
        <w:jc w:val="left"/>
        <w:tblInd w:w="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47"/>
        <w:gridCol w:w="1598"/>
        <w:gridCol w:w="1362"/>
        <w:gridCol w:w="1407"/>
        <w:gridCol w:w="1395"/>
        <w:gridCol w:w="1375"/>
      </w:tblGrid>
      <w:tr>
        <w:trPr>
          <w:trHeight w:val="217" w:hRule="atLeast"/>
        </w:trPr>
        <w:tc>
          <w:tcPr>
            <w:tcW w:w="7647" w:type="dxa"/>
            <w:tcBorders>
              <w:top w:val="single" w:sz="18" w:space="0" w:color="000000"/>
            </w:tcBorders>
          </w:tcPr>
          <w:p>
            <w:pPr>
              <w:pStyle w:val="TableParagraph"/>
              <w:spacing w:line="158" w:lineRule="exact" w:before="39"/>
              <w:ind w:right="473"/>
              <w:jc w:val="right"/>
              <w:rPr>
                <w:b/>
                <w:sz w:val="14"/>
              </w:rPr>
            </w:pPr>
            <w:r>
              <w:rPr>
                <w:b/>
                <w:w w:val="95"/>
                <w:sz w:val="14"/>
              </w:rPr>
              <w:t>Actual</w:t>
            </w:r>
          </w:p>
        </w:tc>
        <w:tc>
          <w:tcPr>
            <w:tcW w:w="1598" w:type="dxa"/>
            <w:tcBorders>
              <w:top w:val="single" w:sz="18" w:space="0" w:color="000000"/>
            </w:tcBorders>
          </w:tcPr>
          <w:p>
            <w:pPr>
              <w:pStyle w:val="TableParagraph"/>
              <w:spacing w:line="158" w:lineRule="exact" w:before="39"/>
              <w:ind w:left="458" w:right="515"/>
              <w:jc w:val="center"/>
              <w:rPr>
                <w:b/>
                <w:sz w:val="14"/>
              </w:rPr>
            </w:pPr>
            <w:r>
              <w:rPr>
                <w:b/>
                <w:sz w:val="14"/>
              </w:rPr>
              <w:t>Estimate</w:t>
            </w:r>
          </w:p>
        </w:tc>
        <w:tc>
          <w:tcPr>
            <w:tcW w:w="1362" w:type="dxa"/>
            <w:tcBorders>
              <w:top w:val="single" w:sz="18" w:space="0" w:color="000000"/>
            </w:tcBorders>
          </w:tcPr>
          <w:p>
            <w:pPr>
              <w:pStyle w:val="TableParagraph"/>
              <w:spacing w:line="158" w:lineRule="exact" w:before="39"/>
              <w:ind w:left="532"/>
              <w:rPr>
                <w:b/>
                <w:sz w:val="14"/>
              </w:rPr>
            </w:pPr>
            <w:r>
              <w:rPr>
                <w:b/>
                <w:sz w:val="14"/>
              </w:rPr>
              <w:t>Budget</w:t>
            </w:r>
          </w:p>
        </w:tc>
        <w:tc>
          <w:tcPr>
            <w:tcW w:w="1407" w:type="dxa"/>
            <w:tcBorders>
              <w:top w:val="single" w:sz="18" w:space="0" w:color="000000"/>
            </w:tcBorders>
          </w:tcPr>
          <w:p>
            <w:pPr>
              <w:pStyle w:val="TableParagraph"/>
              <w:spacing w:line="158" w:lineRule="exact" w:before="39"/>
              <w:ind w:left="354" w:right="366"/>
              <w:jc w:val="center"/>
              <w:rPr>
                <w:b/>
                <w:sz w:val="14"/>
              </w:rPr>
            </w:pPr>
            <w:r>
              <w:rPr>
                <w:b/>
                <w:sz w:val="14"/>
              </w:rPr>
              <w:t>Indicative</w:t>
            </w:r>
          </w:p>
        </w:tc>
        <w:tc>
          <w:tcPr>
            <w:tcW w:w="1395" w:type="dxa"/>
            <w:tcBorders>
              <w:top w:val="single" w:sz="18" w:space="0" w:color="000000"/>
            </w:tcBorders>
          </w:tcPr>
          <w:p>
            <w:pPr>
              <w:pStyle w:val="TableParagraph"/>
              <w:spacing w:line="158" w:lineRule="exact" w:before="39"/>
              <w:ind w:left="362" w:right="347"/>
              <w:jc w:val="center"/>
              <w:rPr>
                <w:b/>
                <w:sz w:val="14"/>
              </w:rPr>
            </w:pPr>
            <w:r>
              <w:rPr>
                <w:b/>
                <w:sz w:val="14"/>
              </w:rPr>
              <w:t>Indicative</w:t>
            </w:r>
          </w:p>
        </w:tc>
        <w:tc>
          <w:tcPr>
            <w:tcW w:w="1375" w:type="dxa"/>
            <w:tcBorders>
              <w:top w:val="single" w:sz="18" w:space="0" w:color="000000"/>
            </w:tcBorders>
          </w:tcPr>
          <w:p>
            <w:pPr>
              <w:pStyle w:val="TableParagraph"/>
              <w:rPr>
                <w:rFonts w:ascii="Times New Roman"/>
                <w:sz w:val="14"/>
              </w:rPr>
            </w:pPr>
          </w:p>
        </w:tc>
      </w:tr>
      <w:tr>
        <w:trPr>
          <w:trHeight w:val="220" w:hRule="atLeast"/>
        </w:trPr>
        <w:tc>
          <w:tcPr>
            <w:tcW w:w="7647" w:type="dxa"/>
          </w:tcPr>
          <w:p>
            <w:pPr>
              <w:pStyle w:val="TableParagraph"/>
              <w:spacing w:before="37"/>
              <w:ind w:right="536"/>
              <w:jc w:val="right"/>
              <w:rPr>
                <w:b/>
                <w:sz w:val="14"/>
              </w:rPr>
            </w:pPr>
            <w:r>
              <w:rPr>
                <w:b/>
                <w:w w:val="95"/>
                <w:sz w:val="14"/>
              </w:rPr>
              <w:t>2018</w:t>
            </w:r>
          </w:p>
        </w:tc>
        <w:tc>
          <w:tcPr>
            <w:tcW w:w="1598" w:type="dxa"/>
          </w:tcPr>
          <w:p>
            <w:pPr>
              <w:pStyle w:val="TableParagraph"/>
              <w:spacing w:before="37"/>
              <w:ind w:left="458" w:right="509"/>
              <w:jc w:val="center"/>
              <w:rPr>
                <w:b/>
                <w:sz w:val="14"/>
              </w:rPr>
            </w:pPr>
            <w:r>
              <w:rPr>
                <w:b/>
                <w:sz w:val="14"/>
              </w:rPr>
              <w:t>2019</w:t>
            </w:r>
          </w:p>
        </w:tc>
        <w:tc>
          <w:tcPr>
            <w:tcW w:w="1362" w:type="dxa"/>
          </w:tcPr>
          <w:p>
            <w:pPr>
              <w:pStyle w:val="TableParagraph"/>
              <w:spacing w:before="37"/>
              <w:ind w:left="600"/>
              <w:rPr>
                <w:b/>
                <w:sz w:val="14"/>
              </w:rPr>
            </w:pPr>
            <w:r>
              <w:rPr>
                <w:b/>
                <w:sz w:val="14"/>
              </w:rPr>
              <w:t>2020</w:t>
            </w:r>
          </w:p>
        </w:tc>
        <w:tc>
          <w:tcPr>
            <w:tcW w:w="1407" w:type="dxa"/>
          </w:tcPr>
          <w:p>
            <w:pPr>
              <w:pStyle w:val="TableParagraph"/>
              <w:spacing w:before="37"/>
              <w:ind w:left="354" w:right="354"/>
              <w:jc w:val="center"/>
              <w:rPr>
                <w:b/>
                <w:sz w:val="14"/>
              </w:rPr>
            </w:pPr>
            <w:r>
              <w:rPr>
                <w:b/>
                <w:sz w:val="14"/>
              </w:rPr>
              <w:t>2021</w:t>
            </w:r>
          </w:p>
        </w:tc>
        <w:tc>
          <w:tcPr>
            <w:tcW w:w="1395" w:type="dxa"/>
          </w:tcPr>
          <w:p>
            <w:pPr>
              <w:pStyle w:val="TableParagraph"/>
              <w:spacing w:before="37"/>
              <w:ind w:left="362" w:right="326"/>
              <w:jc w:val="center"/>
              <w:rPr>
                <w:b/>
                <w:sz w:val="14"/>
              </w:rPr>
            </w:pPr>
            <w:r>
              <w:rPr>
                <w:b/>
                <w:sz w:val="14"/>
              </w:rPr>
              <w:t>2022</w:t>
            </w:r>
          </w:p>
        </w:tc>
        <w:tc>
          <w:tcPr>
            <w:tcW w:w="1375" w:type="dxa"/>
          </w:tcPr>
          <w:p>
            <w:pPr>
              <w:pStyle w:val="TableParagraph"/>
              <w:spacing w:before="37"/>
              <w:ind w:left="338"/>
              <w:rPr>
                <w:b/>
                <w:sz w:val="14"/>
              </w:rPr>
            </w:pPr>
            <w:r>
              <w:rPr>
                <w:b/>
                <w:sz w:val="14"/>
              </w:rPr>
              <w:t>Comments</w:t>
            </w:r>
          </w:p>
        </w:tc>
      </w:tr>
    </w:tbl>
    <w:p>
      <w:pPr>
        <w:spacing w:line="156" w:lineRule="exact" w:before="0"/>
        <w:ind w:left="1001" w:right="0" w:firstLine="0"/>
        <w:jc w:val="left"/>
        <w:rPr>
          <w:rFonts w:ascii="Arial"/>
          <w:b/>
          <w:sz w:val="14"/>
        </w:rPr>
      </w:pPr>
      <w:r>
        <w:rPr/>
        <w:pict>
          <v:line style="position:absolute;mso-position-horizontal-relative:page;mso-position-vertical-relative:paragraph;z-index:320;mso-wrap-distance-left:0;mso-wrap-distance-right:0" from="50.880001pt,13.896915pt" to="790.560001pt,13.896915pt" stroked="true" strokeweight="2.16pt" strokecolor="#000000">
            <v:stroke dashstyle="solid"/>
            <w10:wrap type="topAndBottom"/>
          </v:line>
        </w:pict>
      </w:r>
      <w:r>
        <w:rPr>
          <w:rFonts w:ascii="Arial"/>
          <w:b/>
          <w:sz w:val="14"/>
        </w:rPr>
        <w:t>State-Owned Enterprise</w:t>
      </w:r>
    </w:p>
    <w:p>
      <w:pPr>
        <w:pStyle w:val="ListParagraph"/>
        <w:numPr>
          <w:ilvl w:val="0"/>
          <w:numId w:val="10"/>
        </w:numPr>
        <w:tabs>
          <w:tab w:pos="273" w:val="left" w:leader="none"/>
        </w:tabs>
        <w:spacing w:line="240" w:lineRule="auto" w:before="117" w:after="0"/>
        <w:ind w:left="272" w:right="0" w:hanging="134"/>
        <w:jc w:val="left"/>
        <w:rPr>
          <w:rFonts w:ascii="Arial"/>
          <w:sz w:val="14"/>
        </w:rPr>
      </w:pPr>
      <w:r>
        <w:rPr>
          <w:rFonts w:ascii="Arial"/>
          <w:spacing w:val="4"/>
          <w:sz w:val="14"/>
        </w:rPr>
        <w:t>Electricity </w:t>
      </w:r>
      <w:r>
        <w:rPr>
          <w:rFonts w:ascii="Arial"/>
          <w:spacing w:val="5"/>
          <w:sz w:val="14"/>
        </w:rPr>
        <w:t>Distribution </w:t>
      </w:r>
      <w:r>
        <w:rPr>
          <w:rFonts w:ascii="Arial"/>
          <w:spacing w:val="3"/>
          <w:sz w:val="14"/>
        </w:rPr>
        <w:t>and Supply </w:t>
      </w:r>
      <w:r>
        <w:rPr>
          <w:rFonts w:ascii="Arial"/>
          <w:spacing w:val="5"/>
          <w:sz w:val="14"/>
        </w:rPr>
        <w:t>Authority</w:t>
      </w:r>
      <w:r>
        <w:rPr>
          <w:rFonts w:ascii="Arial"/>
          <w:spacing w:val="-15"/>
          <w:sz w:val="14"/>
        </w:rPr>
        <w:t> </w:t>
      </w:r>
      <w:r>
        <w:rPr>
          <w:rFonts w:ascii="Arial"/>
          <w:sz w:val="14"/>
        </w:rPr>
        <w:t>(EDSA)</w:t>
      </w:r>
    </w:p>
    <w:tbl>
      <w:tblPr>
        <w:tblW w:w="0" w:type="auto"/>
        <w:jc w:val="left"/>
        <w:tblInd w:w="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
        <w:gridCol w:w="5186"/>
        <w:gridCol w:w="1967"/>
        <w:gridCol w:w="1529"/>
        <w:gridCol w:w="1492"/>
        <w:gridCol w:w="1360"/>
        <w:gridCol w:w="1265"/>
        <w:gridCol w:w="1186"/>
      </w:tblGrid>
      <w:tr>
        <w:trPr>
          <w:trHeight w:val="201" w:hRule="atLeast"/>
        </w:trPr>
        <w:tc>
          <w:tcPr>
            <w:tcW w:w="5434" w:type="dxa"/>
            <w:gridSpan w:val="2"/>
          </w:tcPr>
          <w:p>
            <w:pPr>
              <w:pStyle w:val="TableParagraph"/>
              <w:spacing w:line="159" w:lineRule="exact" w:before="22"/>
              <w:ind w:left="509"/>
              <w:rPr>
                <w:sz w:val="14"/>
              </w:rPr>
            </w:pPr>
            <w:r>
              <w:rPr>
                <w:sz w:val="14"/>
              </w:rPr>
              <w:t>Receipts</w:t>
            </w:r>
          </w:p>
        </w:tc>
        <w:tc>
          <w:tcPr>
            <w:tcW w:w="1967" w:type="dxa"/>
          </w:tcPr>
          <w:p>
            <w:pPr>
              <w:pStyle w:val="TableParagraph"/>
              <w:spacing w:line="159" w:lineRule="exact" w:before="22"/>
              <w:ind w:right="400"/>
              <w:jc w:val="right"/>
              <w:rPr>
                <w:sz w:val="14"/>
              </w:rPr>
            </w:pPr>
            <w:r>
              <w:rPr>
                <w:sz w:val="14"/>
              </w:rPr>
              <w:t>401,355</w:t>
            </w:r>
          </w:p>
        </w:tc>
        <w:tc>
          <w:tcPr>
            <w:tcW w:w="1529" w:type="dxa"/>
          </w:tcPr>
          <w:p>
            <w:pPr>
              <w:pStyle w:val="TableParagraph"/>
              <w:spacing w:line="159" w:lineRule="exact" w:before="22"/>
              <w:ind w:right="513"/>
              <w:jc w:val="right"/>
              <w:rPr>
                <w:sz w:val="14"/>
              </w:rPr>
            </w:pPr>
            <w:r>
              <w:rPr>
                <w:sz w:val="14"/>
              </w:rPr>
              <w:t>504,144</w:t>
            </w:r>
          </w:p>
        </w:tc>
        <w:tc>
          <w:tcPr>
            <w:tcW w:w="1492" w:type="dxa"/>
          </w:tcPr>
          <w:p>
            <w:pPr>
              <w:pStyle w:val="TableParagraph"/>
              <w:spacing w:line="159" w:lineRule="exact" w:before="22"/>
              <w:ind w:right="358"/>
              <w:jc w:val="right"/>
              <w:rPr>
                <w:sz w:val="14"/>
              </w:rPr>
            </w:pPr>
            <w:r>
              <w:rPr>
                <w:sz w:val="14"/>
              </w:rPr>
              <w:t>632,794</w:t>
            </w:r>
          </w:p>
        </w:tc>
        <w:tc>
          <w:tcPr>
            <w:tcW w:w="1360" w:type="dxa"/>
          </w:tcPr>
          <w:p>
            <w:pPr>
              <w:pStyle w:val="TableParagraph"/>
              <w:spacing w:line="159" w:lineRule="exact" w:before="22"/>
              <w:ind w:right="470"/>
              <w:jc w:val="right"/>
              <w:rPr>
                <w:sz w:val="14"/>
              </w:rPr>
            </w:pPr>
            <w:r>
              <w:rPr>
                <w:sz w:val="14"/>
              </w:rPr>
              <w:t>802,521</w:t>
            </w:r>
          </w:p>
        </w:tc>
        <w:tc>
          <w:tcPr>
            <w:tcW w:w="1265" w:type="dxa"/>
          </w:tcPr>
          <w:p>
            <w:pPr>
              <w:pStyle w:val="TableParagraph"/>
              <w:spacing w:line="159" w:lineRule="exact" w:before="22"/>
              <w:ind w:right="262"/>
              <w:jc w:val="right"/>
              <w:rPr>
                <w:sz w:val="14"/>
              </w:rPr>
            </w:pPr>
            <w:r>
              <w:rPr>
                <w:sz w:val="14"/>
              </w:rPr>
              <w:t>879,918</w:t>
            </w:r>
          </w:p>
        </w:tc>
        <w:tc>
          <w:tcPr>
            <w:tcW w:w="1186" w:type="dxa"/>
            <w:vMerge w:val="restart"/>
          </w:tcPr>
          <w:p>
            <w:pPr>
              <w:pStyle w:val="TableParagraph"/>
              <w:rPr>
                <w:rFonts w:ascii="Times New Roman"/>
                <w:sz w:val="14"/>
              </w:rPr>
            </w:pPr>
          </w:p>
        </w:tc>
      </w:tr>
      <w:tr>
        <w:trPr>
          <w:trHeight w:val="180" w:hRule="atLeast"/>
        </w:trPr>
        <w:tc>
          <w:tcPr>
            <w:tcW w:w="5434" w:type="dxa"/>
            <w:gridSpan w:val="2"/>
          </w:tcPr>
          <w:p>
            <w:pPr>
              <w:pStyle w:val="TableParagraph"/>
              <w:spacing w:line="159" w:lineRule="exact"/>
              <w:ind w:left="509"/>
              <w:rPr>
                <w:sz w:val="14"/>
              </w:rPr>
            </w:pPr>
            <w:r>
              <w:rPr>
                <w:sz w:val="14"/>
              </w:rPr>
              <w:t>Expenditure</w:t>
            </w:r>
          </w:p>
        </w:tc>
        <w:tc>
          <w:tcPr>
            <w:tcW w:w="1967" w:type="dxa"/>
          </w:tcPr>
          <w:p>
            <w:pPr>
              <w:pStyle w:val="TableParagraph"/>
              <w:spacing w:line="159" w:lineRule="exact"/>
              <w:ind w:right="400"/>
              <w:jc w:val="right"/>
              <w:rPr>
                <w:sz w:val="14"/>
              </w:rPr>
            </w:pPr>
            <w:r>
              <w:rPr>
                <w:sz w:val="14"/>
              </w:rPr>
              <w:t>511,207</w:t>
            </w:r>
          </w:p>
        </w:tc>
        <w:tc>
          <w:tcPr>
            <w:tcW w:w="1529" w:type="dxa"/>
          </w:tcPr>
          <w:p>
            <w:pPr>
              <w:pStyle w:val="TableParagraph"/>
              <w:spacing w:line="159" w:lineRule="exact"/>
              <w:ind w:right="513"/>
              <w:jc w:val="right"/>
              <w:rPr>
                <w:sz w:val="14"/>
              </w:rPr>
            </w:pPr>
            <w:r>
              <w:rPr>
                <w:sz w:val="14"/>
              </w:rPr>
              <w:t>727,528</w:t>
            </w:r>
          </w:p>
        </w:tc>
        <w:tc>
          <w:tcPr>
            <w:tcW w:w="1492" w:type="dxa"/>
          </w:tcPr>
          <w:p>
            <w:pPr>
              <w:pStyle w:val="TableParagraph"/>
              <w:spacing w:line="159" w:lineRule="exact"/>
              <w:ind w:right="358"/>
              <w:jc w:val="right"/>
              <w:rPr>
                <w:sz w:val="14"/>
              </w:rPr>
            </w:pPr>
            <w:r>
              <w:rPr>
                <w:sz w:val="14"/>
              </w:rPr>
              <w:t>982,168</w:t>
            </w:r>
          </w:p>
        </w:tc>
        <w:tc>
          <w:tcPr>
            <w:tcW w:w="1360" w:type="dxa"/>
          </w:tcPr>
          <w:p>
            <w:pPr>
              <w:pStyle w:val="TableParagraph"/>
              <w:spacing w:line="159" w:lineRule="exact"/>
              <w:ind w:right="470"/>
              <w:jc w:val="right"/>
              <w:rPr>
                <w:sz w:val="14"/>
              </w:rPr>
            </w:pPr>
            <w:r>
              <w:rPr>
                <w:sz w:val="14"/>
              </w:rPr>
              <w:t>866,670</w:t>
            </w:r>
          </w:p>
        </w:tc>
        <w:tc>
          <w:tcPr>
            <w:tcW w:w="1265" w:type="dxa"/>
          </w:tcPr>
          <w:p>
            <w:pPr>
              <w:pStyle w:val="TableParagraph"/>
              <w:spacing w:line="159" w:lineRule="exact"/>
              <w:ind w:right="262"/>
              <w:jc w:val="right"/>
              <w:rPr>
                <w:sz w:val="14"/>
              </w:rPr>
            </w:pPr>
            <w:r>
              <w:rPr>
                <w:sz w:val="14"/>
              </w:rPr>
              <w:t>838,226</w:t>
            </w:r>
          </w:p>
        </w:tc>
        <w:tc>
          <w:tcPr>
            <w:tcW w:w="1186" w:type="dxa"/>
            <w:vMerge/>
            <w:tcBorders>
              <w:top w:val="nil"/>
            </w:tcBorders>
          </w:tcPr>
          <w:p>
            <w:pPr>
              <w:rPr>
                <w:sz w:val="2"/>
                <w:szCs w:val="2"/>
              </w:rPr>
            </w:pPr>
          </w:p>
        </w:tc>
      </w:tr>
      <w:tr>
        <w:trPr>
          <w:trHeight w:val="180" w:hRule="atLeast"/>
        </w:trPr>
        <w:tc>
          <w:tcPr>
            <w:tcW w:w="5434" w:type="dxa"/>
            <w:gridSpan w:val="2"/>
          </w:tcPr>
          <w:p>
            <w:pPr>
              <w:pStyle w:val="TableParagraph"/>
              <w:spacing w:line="159" w:lineRule="exact"/>
              <w:ind w:left="509"/>
              <w:rPr>
                <w:sz w:val="14"/>
              </w:rPr>
            </w:pPr>
            <w:r>
              <w:rPr>
                <w:sz w:val="14"/>
              </w:rPr>
              <w:t>Net Profit (Loss)</w:t>
            </w:r>
          </w:p>
        </w:tc>
        <w:tc>
          <w:tcPr>
            <w:tcW w:w="1967" w:type="dxa"/>
          </w:tcPr>
          <w:p>
            <w:pPr>
              <w:pStyle w:val="TableParagraph"/>
              <w:spacing w:line="159" w:lineRule="exact"/>
              <w:ind w:right="401"/>
              <w:jc w:val="right"/>
              <w:rPr>
                <w:sz w:val="14"/>
              </w:rPr>
            </w:pPr>
            <w:r>
              <w:rPr>
                <w:w w:val="95"/>
                <w:sz w:val="14"/>
              </w:rPr>
              <w:t>(109,852)</w:t>
            </w:r>
          </w:p>
        </w:tc>
        <w:tc>
          <w:tcPr>
            <w:tcW w:w="1529" w:type="dxa"/>
          </w:tcPr>
          <w:p>
            <w:pPr>
              <w:pStyle w:val="TableParagraph"/>
              <w:spacing w:line="159" w:lineRule="exact"/>
              <w:ind w:right="509"/>
              <w:jc w:val="right"/>
              <w:rPr>
                <w:sz w:val="14"/>
              </w:rPr>
            </w:pPr>
            <w:r>
              <w:rPr>
                <w:w w:val="95"/>
                <w:sz w:val="14"/>
              </w:rPr>
              <w:t>(223,384)</w:t>
            </w:r>
          </w:p>
        </w:tc>
        <w:tc>
          <w:tcPr>
            <w:tcW w:w="1492" w:type="dxa"/>
          </w:tcPr>
          <w:p>
            <w:pPr>
              <w:pStyle w:val="TableParagraph"/>
              <w:spacing w:line="159" w:lineRule="exact"/>
              <w:ind w:right="359"/>
              <w:jc w:val="right"/>
              <w:rPr>
                <w:sz w:val="14"/>
              </w:rPr>
            </w:pPr>
            <w:r>
              <w:rPr>
                <w:w w:val="95"/>
                <w:sz w:val="14"/>
              </w:rPr>
              <w:t>(349,374)</w:t>
            </w:r>
          </w:p>
        </w:tc>
        <w:tc>
          <w:tcPr>
            <w:tcW w:w="1360" w:type="dxa"/>
          </w:tcPr>
          <w:p>
            <w:pPr>
              <w:pStyle w:val="TableParagraph"/>
              <w:spacing w:line="159" w:lineRule="exact"/>
              <w:ind w:right="467"/>
              <w:jc w:val="right"/>
              <w:rPr>
                <w:sz w:val="14"/>
              </w:rPr>
            </w:pPr>
            <w:r>
              <w:rPr>
                <w:w w:val="95"/>
                <w:sz w:val="14"/>
              </w:rPr>
              <w:t>(64,149)</w:t>
            </w:r>
          </w:p>
        </w:tc>
        <w:tc>
          <w:tcPr>
            <w:tcW w:w="1265" w:type="dxa"/>
          </w:tcPr>
          <w:p>
            <w:pPr>
              <w:pStyle w:val="TableParagraph"/>
              <w:spacing w:line="159" w:lineRule="exact"/>
              <w:ind w:right="261"/>
              <w:jc w:val="right"/>
              <w:rPr>
                <w:sz w:val="14"/>
              </w:rPr>
            </w:pPr>
            <w:r>
              <w:rPr>
                <w:w w:val="95"/>
                <w:sz w:val="14"/>
              </w:rPr>
              <w:t>41,693</w:t>
            </w:r>
          </w:p>
        </w:tc>
        <w:tc>
          <w:tcPr>
            <w:tcW w:w="1186" w:type="dxa"/>
          </w:tcPr>
          <w:p>
            <w:pPr>
              <w:pStyle w:val="TableParagraph"/>
              <w:spacing w:line="159" w:lineRule="exact"/>
              <w:ind w:right="32"/>
              <w:jc w:val="right"/>
              <w:rPr>
                <w:sz w:val="14"/>
              </w:rPr>
            </w:pPr>
            <w:r>
              <w:rPr>
                <w:sz w:val="14"/>
              </w:rPr>
              <w:t>Loss Making</w:t>
            </w:r>
          </w:p>
        </w:tc>
      </w:tr>
      <w:tr>
        <w:trPr>
          <w:trHeight w:val="268" w:hRule="atLeast"/>
        </w:trPr>
        <w:tc>
          <w:tcPr>
            <w:tcW w:w="5434" w:type="dxa"/>
            <w:gridSpan w:val="2"/>
          </w:tcPr>
          <w:p>
            <w:pPr>
              <w:pStyle w:val="TableParagraph"/>
              <w:spacing w:line="159" w:lineRule="exact"/>
              <w:ind w:left="509"/>
              <w:rPr>
                <w:sz w:val="14"/>
              </w:rPr>
            </w:pPr>
            <w:r>
              <w:rPr>
                <w:sz w:val="14"/>
              </w:rPr>
              <w:t>Subsidy from Government</w:t>
            </w:r>
          </w:p>
        </w:tc>
        <w:tc>
          <w:tcPr>
            <w:tcW w:w="1967" w:type="dxa"/>
          </w:tcPr>
          <w:p>
            <w:pPr>
              <w:pStyle w:val="TableParagraph"/>
              <w:spacing w:line="159" w:lineRule="exact"/>
              <w:ind w:right="394"/>
              <w:jc w:val="right"/>
              <w:rPr>
                <w:sz w:val="14"/>
              </w:rPr>
            </w:pPr>
            <w:r>
              <w:rPr>
                <w:w w:val="95"/>
                <w:sz w:val="14"/>
              </w:rPr>
              <w:t>22,490</w:t>
            </w:r>
          </w:p>
        </w:tc>
        <w:tc>
          <w:tcPr>
            <w:tcW w:w="1529" w:type="dxa"/>
          </w:tcPr>
          <w:p>
            <w:pPr>
              <w:pStyle w:val="TableParagraph"/>
              <w:spacing w:line="159" w:lineRule="exact"/>
              <w:ind w:right="513"/>
              <w:jc w:val="right"/>
              <w:rPr>
                <w:sz w:val="14"/>
              </w:rPr>
            </w:pPr>
            <w:r>
              <w:rPr>
                <w:sz w:val="14"/>
              </w:rPr>
              <w:t>144,637</w:t>
            </w:r>
          </w:p>
        </w:tc>
        <w:tc>
          <w:tcPr>
            <w:tcW w:w="1492" w:type="dxa"/>
          </w:tcPr>
          <w:p>
            <w:pPr>
              <w:pStyle w:val="TableParagraph"/>
              <w:spacing w:line="159" w:lineRule="exact"/>
              <w:ind w:right="358"/>
              <w:jc w:val="right"/>
              <w:rPr>
                <w:sz w:val="14"/>
              </w:rPr>
            </w:pPr>
            <w:r>
              <w:rPr>
                <w:sz w:val="14"/>
              </w:rPr>
              <w:t>102,735</w:t>
            </w:r>
          </w:p>
        </w:tc>
        <w:tc>
          <w:tcPr>
            <w:tcW w:w="1360" w:type="dxa"/>
          </w:tcPr>
          <w:p>
            <w:pPr>
              <w:pStyle w:val="TableParagraph"/>
              <w:spacing w:line="159" w:lineRule="exact"/>
              <w:ind w:right="470"/>
              <w:jc w:val="right"/>
              <w:rPr>
                <w:sz w:val="14"/>
              </w:rPr>
            </w:pPr>
            <w:r>
              <w:rPr>
                <w:sz w:val="14"/>
              </w:rPr>
              <w:t>156,748</w:t>
            </w:r>
          </w:p>
        </w:tc>
        <w:tc>
          <w:tcPr>
            <w:tcW w:w="1265" w:type="dxa"/>
          </w:tcPr>
          <w:p>
            <w:pPr>
              <w:pStyle w:val="TableParagraph"/>
              <w:spacing w:line="159" w:lineRule="exact"/>
              <w:ind w:right="261"/>
              <w:jc w:val="right"/>
              <w:rPr>
                <w:sz w:val="14"/>
              </w:rPr>
            </w:pPr>
            <w:r>
              <w:rPr>
                <w:w w:val="95"/>
                <w:sz w:val="14"/>
              </w:rPr>
              <w:t>79,225</w:t>
            </w:r>
          </w:p>
        </w:tc>
        <w:tc>
          <w:tcPr>
            <w:tcW w:w="1186" w:type="dxa"/>
          </w:tcPr>
          <w:p>
            <w:pPr>
              <w:pStyle w:val="TableParagraph"/>
              <w:rPr>
                <w:rFonts w:ascii="Times New Roman"/>
                <w:sz w:val="14"/>
              </w:rPr>
            </w:pPr>
          </w:p>
        </w:tc>
      </w:tr>
      <w:tr>
        <w:trPr>
          <w:trHeight w:val="271" w:hRule="atLeast"/>
        </w:trPr>
        <w:tc>
          <w:tcPr>
            <w:tcW w:w="5434" w:type="dxa"/>
            <w:gridSpan w:val="2"/>
          </w:tcPr>
          <w:p>
            <w:pPr>
              <w:pStyle w:val="TableParagraph"/>
              <w:spacing w:before="89"/>
              <w:ind w:left="34"/>
              <w:rPr>
                <w:sz w:val="14"/>
              </w:rPr>
            </w:pPr>
            <w:r>
              <w:rPr>
                <w:sz w:val="14"/>
              </w:rPr>
              <w:t>2. Electricity Generation and Transmission Company (EGTC)</w:t>
            </w:r>
          </w:p>
        </w:tc>
        <w:tc>
          <w:tcPr>
            <w:tcW w:w="1967" w:type="dxa"/>
          </w:tcPr>
          <w:p>
            <w:pPr>
              <w:pStyle w:val="TableParagraph"/>
              <w:rPr>
                <w:rFonts w:ascii="Times New Roman"/>
                <w:sz w:val="14"/>
              </w:rPr>
            </w:pPr>
          </w:p>
        </w:tc>
        <w:tc>
          <w:tcPr>
            <w:tcW w:w="1529" w:type="dxa"/>
          </w:tcPr>
          <w:p>
            <w:pPr>
              <w:pStyle w:val="TableParagraph"/>
              <w:rPr>
                <w:rFonts w:ascii="Times New Roman"/>
                <w:sz w:val="14"/>
              </w:rPr>
            </w:pPr>
          </w:p>
        </w:tc>
        <w:tc>
          <w:tcPr>
            <w:tcW w:w="1492" w:type="dxa"/>
          </w:tcPr>
          <w:p>
            <w:pPr>
              <w:pStyle w:val="TableParagraph"/>
              <w:rPr>
                <w:rFonts w:ascii="Times New Roman"/>
                <w:sz w:val="14"/>
              </w:rPr>
            </w:pPr>
          </w:p>
        </w:tc>
        <w:tc>
          <w:tcPr>
            <w:tcW w:w="1360" w:type="dxa"/>
          </w:tcPr>
          <w:p>
            <w:pPr>
              <w:pStyle w:val="TableParagraph"/>
              <w:rPr>
                <w:rFonts w:ascii="Times New Roman"/>
                <w:sz w:val="14"/>
              </w:rPr>
            </w:pPr>
          </w:p>
        </w:tc>
        <w:tc>
          <w:tcPr>
            <w:tcW w:w="1265" w:type="dxa"/>
          </w:tcPr>
          <w:p>
            <w:pPr>
              <w:pStyle w:val="TableParagraph"/>
              <w:rPr>
                <w:rFonts w:ascii="Times New Roman"/>
                <w:sz w:val="14"/>
              </w:rPr>
            </w:pPr>
          </w:p>
        </w:tc>
        <w:tc>
          <w:tcPr>
            <w:tcW w:w="1186" w:type="dxa"/>
          </w:tcPr>
          <w:p>
            <w:pPr>
              <w:pStyle w:val="TableParagraph"/>
              <w:rPr>
                <w:rFonts w:ascii="Times New Roman"/>
                <w:sz w:val="14"/>
              </w:rPr>
            </w:pPr>
          </w:p>
        </w:tc>
      </w:tr>
      <w:tr>
        <w:trPr>
          <w:trHeight w:val="180" w:hRule="atLeast"/>
        </w:trPr>
        <w:tc>
          <w:tcPr>
            <w:tcW w:w="5434" w:type="dxa"/>
            <w:gridSpan w:val="2"/>
          </w:tcPr>
          <w:p>
            <w:pPr>
              <w:pStyle w:val="TableParagraph"/>
              <w:spacing w:line="159" w:lineRule="exact"/>
              <w:ind w:left="509"/>
              <w:rPr>
                <w:sz w:val="14"/>
              </w:rPr>
            </w:pPr>
            <w:r>
              <w:rPr>
                <w:sz w:val="14"/>
              </w:rPr>
              <w:t>Receipts</w:t>
            </w:r>
          </w:p>
        </w:tc>
        <w:tc>
          <w:tcPr>
            <w:tcW w:w="1967" w:type="dxa"/>
          </w:tcPr>
          <w:p>
            <w:pPr>
              <w:pStyle w:val="TableParagraph"/>
              <w:spacing w:line="159" w:lineRule="exact"/>
              <w:ind w:right="400"/>
              <w:jc w:val="right"/>
              <w:rPr>
                <w:sz w:val="14"/>
              </w:rPr>
            </w:pPr>
            <w:r>
              <w:rPr>
                <w:sz w:val="14"/>
              </w:rPr>
              <w:t>266,363</w:t>
            </w:r>
          </w:p>
        </w:tc>
        <w:tc>
          <w:tcPr>
            <w:tcW w:w="1529" w:type="dxa"/>
          </w:tcPr>
          <w:p>
            <w:pPr>
              <w:pStyle w:val="TableParagraph"/>
              <w:spacing w:line="159" w:lineRule="exact"/>
              <w:ind w:right="507"/>
              <w:jc w:val="right"/>
              <w:rPr>
                <w:sz w:val="14"/>
              </w:rPr>
            </w:pPr>
            <w:r>
              <w:rPr>
                <w:w w:val="95"/>
                <w:sz w:val="14"/>
              </w:rPr>
              <w:t>88,979</w:t>
            </w:r>
          </w:p>
        </w:tc>
        <w:tc>
          <w:tcPr>
            <w:tcW w:w="1492" w:type="dxa"/>
          </w:tcPr>
          <w:p>
            <w:pPr>
              <w:pStyle w:val="TableParagraph"/>
              <w:spacing w:line="159" w:lineRule="exact"/>
              <w:ind w:right="358"/>
              <w:jc w:val="right"/>
              <w:rPr>
                <w:sz w:val="14"/>
              </w:rPr>
            </w:pPr>
            <w:r>
              <w:rPr>
                <w:sz w:val="14"/>
              </w:rPr>
              <w:t>696,691</w:t>
            </w:r>
          </w:p>
        </w:tc>
        <w:tc>
          <w:tcPr>
            <w:tcW w:w="1360" w:type="dxa"/>
          </w:tcPr>
          <w:p>
            <w:pPr>
              <w:pStyle w:val="TableParagraph"/>
              <w:spacing w:line="159" w:lineRule="exact"/>
              <w:ind w:right="470"/>
              <w:jc w:val="right"/>
              <w:rPr>
                <w:sz w:val="14"/>
              </w:rPr>
            </w:pPr>
            <w:r>
              <w:rPr>
                <w:sz w:val="14"/>
              </w:rPr>
              <w:t>320,280</w:t>
            </w:r>
          </w:p>
        </w:tc>
        <w:tc>
          <w:tcPr>
            <w:tcW w:w="1265" w:type="dxa"/>
          </w:tcPr>
          <w:p>
            <w:pPr>
              <w:pStyle w:val="TableParagraph"/>
              <w:spacing w:line="159" w:lineRule="exact"/>
              <w:ind w:right="262"/>
              <w:jc w:val="right"/>
              <w:rPr>
                <w:sz w:val="14"/>
              </w:rPr>
            </w:pPr>
            <w:r>
              <w:rPr>
                <w:sz w:val="14"/>
              </w:rPr>
              <w:t>352,308</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Expenditure</w:t>
            </w:r>
          </w:p>
        </w:tc>
        <w:tc>
          <w:tcPr>
            <w:tcW w:w="1967" w:type="dxa"/>
          </w:tcPr>
          <w:p>
            <w:pPr>
              <w:pStyle w:val="TableParagraph"/>
              <w:spacing w:line="159" w:lineRule="exact"/>
              <w:ind w:right="400"/>
              <w:jc w:val="right"/>
              <w:rPr>
                <w:sz w:val="14"/>
              </w:rPr>
            </w:pPr>
            <w:r>
              <w:rPr>
                <w:sz w:val="14"/>
              </w:rPr>
              <w:t>315,432</w:t>
            </w:r>
          </w:p>
        </w:tc>
        <w:tc>
          <w:tcPr>
            <w:tcW w:w="1529" w:type="dxa"/>
          </w:tcPr>
          <w:p>
            <w:pPr>
              <w:pStyle w:val="TableParagraph"/>
              <w:spacing w:line="159" w:lineRule="exact"/>
              <w:ind w:right="507"/>
              <w:jc w:val="right"/>
              <w:rPr>
                <w:sz w:val="14"/>
              </w:rPr>
            </w:pPr>
            <w:r>
              <w:rPr>
                <w:w w:val="95"/>
                <w:sz w:val="14"/>
              </w:rPr>
              <w:t>80,098</w:t>
            </w:r>
          </w:p>
        </w:tc>
        <w:tc>
          <w:tcPr>
            <w:tcW w:w="1492" w:type="dxa"/>
          </w:tcPr>
          <w:p>
            <w:pPr>
              <w:pStyle w:val="TableParagraph"/>
              <w:spacing w:line="159" w:lineRule="exact"/>
              <w:ind w:right="358"/>
              <w:jc w:val="right"/>
              <w:rPr>
                <w:sz w:val="14"/>
              </w:rPr>
            </w:pPr>
            <w:r>
              <w:rPr>
                <w:sz w:val="14"/>
              </w:rPr>
              <w:t>441,062</w:t>
            </w:r>
          </w:p>
        </w:tc>
        <w:tc>
          <w:tcPr>
            <w:tcW w:w="1360" w:type="dxa"/>
          </w:tcPr>
          <w:p>
            <w:pPr>
              <w:pStyle w:val="TableParagraph"/>
              <w:spacing w:line="159" w:lineRule="exact"/>
              <w:ind w:right="470"/>
              <w:jc w:val="right"/>
              <w:rPr>
                <w:sz w:val="14"/>
              </w:rPr>
            </w:pPr>
            <w:r>
              <w:rPr>
                <w:sz w:val="14"/>
              </w:rPr>
              <w:t>365,301</w:t>
            </w:r>
          </w:p>
        </w:tc>
        <w:tc>
          <w:tcPr>
            <w:tcW w:w="1265" w:type="dxa"/>
          </w:tcPr>
          <w:p>
            <w:pPr>
              <w:pStyle w:val="TableParagraph"/>
              <w:spacing w:line="159" w:lineRule="exact"/>
              <w:ind w:right="262"/>
              <w:jc w:val="right"/>
              <w:rPr>
                <w:sz w:val="14"/>
              </w:rPr>
            </w:pPr>
            <w:r>
              <w:rPr>
                <w:sz w:val="14"/>
              </w:rPr>
              <w:t>368,128</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Net Profit (Loss)</w:t>
            </w:r>
          </w:p>
        </w:tc>
        <w:tc>
          <w:tcPr>
            <w:tcW w:w="1967" w:type="dxa"/>
          </w:tcPr>
          <w:p>
            <w:pPr>
              <w:pStyle w:val="TableParagraph"/>
              <w:spacing w:line="159" w:lineRule="exact"/>
              <w:ind w:right="396"/>
              <w:jc w:val="right"/>
              <w:rPr>
                <w:sz w:val="14"/>
              </w:rPr>
            </w:pPr>
            <w:r>
              <w:rPr>
                <w:w w:val="95"/>
                <w:sz w:val="14"/>
              </w:rPr>
              <w:t>(49,069)</w:t>
            </w:r>
          </w:p>
        </w:tc>
        <w:tc>
          <w:tcPr>
            <w:tcW w:w="1529" w:type="dxa"/>
          </w:tcPr>
          <w:p>
            <w:pPr>
              <w:pStyle w:val="TableParagraph"/>
              <w:spacing w:line="159" w:lineRule="exact"/>
              <w:ind w:right="499"/>
              <w:jc w:val="right"/>
              <w:rPr>
                <w:sz w:val="14"/>
              </w:rPr>
            </w:pPr>
            <w:r>
              <w:rPr>
                <w:sz w:val="14"/>
              </w:rPr>
              <w:t>8,881</w:t>
            </w:r>
          </w:p>
        </w:tc>
        <w:tc>
          <w:tcPr>
            <w:tcW w:w="1492" w:type="dxa"/>
          </w:tcPr>
          <w:p>
            <w:pPr>
              <w:pStyle w:val="TableParagraph"/>
              <w:spacing w:line="159" w:lineRule="exact"/>
              <w:ind w:right="358"/>
              <w:jc w:val="right"/>
              <w:rPr>
                <w:sz w:val="14"/>
              </w:rPr>
            </w:pPr>
            <w:r>
              <w:rPr>
                <w:sz w:val="14"/>
              </w:rPr>
              <w:t>255,629</w:t>
            </w:r>
          </w:p>
        </w:tc>
        <w:tc>
          <w:tcPr>
            <w:tcW w:w="1360" w:type="dxa"/>
          </w:tcPr>
          <w:p>
            <w:pPr>
              <w:pStyle w:val="TableParagraph"/>
              <w:spacing w:line="159" w:lineRule="exact"/>
              <w:ind w:right="467"/>
              <w:jc w:val="right"/>
              <w:rPr>
                <w:sz w:val="14"/>
              </w:rPr>
            </w:pPr>
            <w:r>
              <w:rPr>
                <w:w w:val="95"/>
                <w:sz w:val="14"/>
              </w:rPr>
              <w:t>(45,021)</w:t>
            </w:r>
          </w:p>
        </w:tc>
        <w:tc>
          <w:tcPr>
            <w:tcW w:w="1265" w:type="dxa"/>
          </w:tcPr>
          <w:p>
            <w:pPr>
              <w:pStyle w:val="TableParagraph"/>
              <w:spacing w:line="159" w:lineRule="exact"/>
              <w:ind w:right="258"/>
              <w:jc w:val="right"/>
              <w:rPr>
                <w:sz w:val="14"/>
              </w:rPr>
            </w:pPr>
            <w:r>
              <w:rPr>
                <w:w w:val="95"/>
                <w:sz w:val="14"/>
              </w:rPr>
              <w:t>(15,820)</w:t>
            </w:r>
          </w:p>
        </w:tc>
        <w:tc>
          <w:tcPr>
            <w:tcW w:w="1186" w:type="dxa"/>
          </w:tcPr>
          <w:p>
            <w:pPr>
              <w:pStyle w:val="TableParagraph"/>
              <w:spacing w:line="159" w:lineRule="exact"/>
              <w:ind w:right="32"/>
              <w:jc w:val="right"/>
              <w:rPr>
                <w:sz w:val="14"/>
              </w:rPr>
            </w:pPr>
            <w:r>
              <w:rPr>
                <w:sz w:val="14"/>
              </w:rPr>
              <w:t>Loss Making</w:t>
            </w:r>
          </w:p>
        </w:tc>
      </w:tr>
      <w:tr>
        <w:trPr>
          <w:trHeight w:val="201" w:hRule="atLeast"/>
        </w:trPr>
        <w:tc>
          <w:tcPr>
            <w:tcW w:w="5434" w:type="dxa"/>
            <w:gridSpan w:val="2"/>
          </w:tcPr>
          <w:p>
            <w:pPr>
              <w:pStyle w:val="TableParagraph"/>
              <w:spacing w:line="159" w:lineRule="exact"/>
              <w:ind w:left="509"/>
              <w:rPr>
                <w:sz w:val="14"/>
              </w:rPr>
            </w:pPr>
            <w:r>
              <w:rPr>
                <w:sz w:val="14"/>
              </w:rPr>
              <w:t>Subsidy from Government</w:t>
            </w:r>
          </w:p>
        </w:tc>
        <w:tc>
          <w:tcPr>
            <w:tcW w:w="1967" w:type="dxa"/>
          </w:tcPr>
          <w:p>
            <w:pPr>
              <w:pStyle w:val="TableParagraph"/>
              <w:spacing w:line="159" w:lineRule="exact"/>
              <w:ind w:right="376"/>
              <w:jc w:val="right"/>
              <w:rPr>
                <w:sz w:val="14"/>
              </w:rPr>
            </w:pPr>
            <w:r>
              <w:rPr>
                <w:w w:val="99"/>
                <w:sz w:val="14"/>
              </w:rPr>
              <w:t>-</w:t>
            </w:r>
          </w:p>
        </w:tc>
        <w:tc>
          <w:tcPr>
            <w:tcW w:w="1529" w:type="dxa"/>
          </w:tcPr>
          <w:p>
            <w:pPr>
              <w:pStyle w:val="TableParagraph"/>
              <w:spacing w:line="159" w:lineRule="exact"/>
              <w:ind w:right="489"/>
              <w:jc w:val="right"/>
              <w:rPr>
                <w:sz w:val="14"/>
              </w:rPr>
            </w:pPr>
            <w:r>
              <w:rPr>
                <w:w w:val="99"/>
                <w:sz w:val="14"/>
              </w:rPr>
              <w:t>-</w:t>
            </w:r>
          </w:p>
        </w:tc>
        <w:tc>
          <w:tcPr>
            <w:tcW w:w="1492" w:type="dxa"/>
          </w:tcPr>
          <w:p>
            <w:pPr>
              <w:pStyle w:val="TableParagraph"/>
              <w:spacing w:line="159" w:lineRule="exact"/>
              <w:ind w:right="340"/>
              <w:jc w:val="right"/>
              <w:rPr>
                <w:sz w:val="14"/>
              </w:rPr>
            </w:pPr>
            <w:r>
              <w:rPr>
                <w:w w:val="99"/>
                <w:sz w:val="14"/>
              </w:rPr>
              <w:t>-</w:t>
            </w:r>
          </w:p>
        </w:tc>
        <w:tc>
          <w:tcPr>
            <w:tcW w:w="1360" w:type="dxa"/>
          </w:tcPr>
          <w:p>
            <w:pPr>
              <w:pStyle w:val="TableParagraph"/>
              <w:spacing w:line="159" w:lineRule="exact"/>
              <w:ind w:right="452"/>
              <w:jc w:val="right"/>
              <w:rPr>
                <w:sz w:val="14"/>
              </w:rPr>
            </w:pPr>
            <w:r>
              <w:rPr>
                <w:w w:val="99"/>
                <w:sz w:val="14"/>
              </w:rPr>
              <w:t>-</w:t>
            </w:r>
          </w:p>
        </w:tc>
        <w:tc>
          <w:tcPr>
            <w:tcW w:w="1265" w:type="dxa"/>
          </w:tcPr>
          <w:p>
            <w:pPr>
              <w:pStyle w:val="TableParagraph"/>
              <w:spacing w:line="159" w:lineRule="exact"/>
              <w:ind w:right="243"/>
              <w:jc w:val="right"/>
              <w:rPr>
                <w:sz w:val="14"/>
              </w:rPr>
            </w:pPr>
            <w:r>
              <w:rPr>
                <w:w w:val="99"/>
                <w:sz w:val="14"/>
              </w:rPr>
              <w:t>-</w:t>
            </w:r>
          </w:p>
        </w:tc>
        <w:tc>
          <w:tcPr>
            <w:tcW w:w="1186" w:type="dxa"/>
          </w:tcPr>
          <w:p>
            <w:pPr>
              <w:pStyle w:val="TableParagraph"/>
              <w:rPr>
                <w:rFonts w:ascii="Times New Roman"/>
                <w:sz w:val="14"/>
              </w:rPr>
            </w:pPr>
          </w:p>
        </w:tc>
      </w:tr>
      <w:tr>
        <w:trPr>
          <w:trHeight w:val="338" w:hRule="atLeast"/>
        </w:trPr>
        <w:tc>
          <w:tcPr>
            <w:tcW w:w="5434" w:type="dxa"/>
            <w:gridSpan w:val="2"/>
          </w:tcPr>
          <w:p>
            <w:pPr>
              <w:pStyle w:val="TableParagraph"/>
              <w:spacing w:before="7"/>
              <w:rPr>
                <w:sz w:val="13"/>
              </w:rPr>
            </w:pPr>
          </w:p>
          <w:p>
            <w:pPr>
              <w:pStyle w:val="TableParagraph"/>
              <w:ind w:left="34"/>
              <w:rPr>
                <w:sz w:val="14"/>
              </w:rPr>
            </w:pPr>
            <w:r>
              <w:rPr>
                <w:sz w:val="14"/>
              </w:rPr>
              <w:t>3. Sierra Leone State Lottery (SLSL)</w:t>
            </w:r>
          </w:p>
        </w:tc>
        <w:tc>
          <w:tcPr>
            <w:tcW w:w="1967" w:type="dxa"/>
          </w:tcPr>
          <w:p>
            <w:pPr>
              <w:pStyle w:val="TableParagraph"/>
              <w:rPr>
                <w:rFonts w:ascii="Times New Roman"/>
                <w:sz w:val="14"/>
              </w:rPr>
            </w:pPr>
          </w:p>
        </w:tc>
        <w:tc>
          <w:tcPr>
            <w:tcW w:w="1529" w:type="dxa"/>
          </w:tcPr>
          <w:p>
            <w:pPr>
              <w:pStyle w:val="TableParagraph"/>
              <w:rPr>
                <w:rFonts w:ascii="Times New Roman"/>
                <w:sz w:val="14"/>
              </w:rPr>
            </w:pPr>
          </w:p>
        </w:tc>
        <w:tc>
          <w:tcPr>
            <w:tcW w:w="1492" w:type="dxa"/>
          </w:tcPr>
          <w:p>
            <w:pPr>
              <w:pStyle w:val="TableParagraph"/>
              <w:rPr>
                <w:rFonts w:ascii="Times New Roman"/>
                <w:sz w:val="14"/>
              </w:rPr>
            </w:pPr>
          </w:p>
        </w:tc>
        <w:tc>
          <w:tcPr>
            <w:tcW w:w="1360" w:type="dxa"/>
          </w:tcPr>
          <w:p>
            <w:pPr>
              <w:pStyle w:val="TableParagraph"/>
              <w:rPr>
                <w:rFonts w:ascii="Times New Roman"/>
                <w:sz w:val="14"/>
              </w:rPr>
            </w:pPr>
          </w:p>
        </w:tc>
        <w:tc>
          <w:tcPr>
            <w:tcW w:w="1265" w:type="dxa"/>
          </w:tcPr>
          <w:p>
            <w:pPr>
              <w:pStyle w:val="TableParagraph"/>
              <w:rPr>
                <w:rFonts w:ascii="Times New Roman"/>
                <w:sz w:val="14"/>
              </w:rPr>
            </w:pPr>
          </w:p>
        </w:tc>
        <w:tc>
          <w:tcPr>
            <w:tcW w:w="1186" w:type="dxa"/>
          </w:tcPr>
          <w:p>
            <w:pPr>
              <w:pStyle w:val="TableParagraph"/>
              <w:rPr>
                <w:rFonts w:ascii="Times New Roman"/>
                <w:sz w:val="14"/>
              </w:rPr>
            </w:pPr>
          </w:p>
        </w:tc>
      </w:tr>
      <w:tr>
        <w:trPr>
          <w:trHeight w:val="180" w:hRule="atLeast"/>
        </w:trPr>
        <w:tc>
          <w:tcPr>
            <w:tcW w:w="5434" w:type="dxa"/>
            <w:gridSpan w:val="2"/>
          </w:tcPr>
          <w:p>
            <w:pPr>
              <w:pStyle w:val="TableParagraph"/>
              <w:spacing w:line="159" w:lineRule="exact"/>
              <w:ind w:left="509"/>
              <w:rPr>
                <w:sz w:val="14"/>
              </w:rPr>
            </w:pPr>
            <w:r>
              <w:rPr>
                <w:sz w:val="14"/>
              </w:rPr>
              <w:t>Receipts</w:t>
            </w:r>
          </w:p>
        </w:tc>
        <w:tc>
          <w:tcPr>
            <w:tcW w:w="1967" w:type="dxa"/>
          </w:tcPr>
          <w:p>
            <w:pPr>
              <w:pStyle w:val="TableParagraph"/>
              <w:spacing w:line="159" w:lineRule="exact"/>
              <w:ind w:right="394"/>
              <w:jc w:val="right"/>
              <w:rPr>
                <w:sz w:val="14"/>
              </w:rPr>
            </w:pPr>
            <w:r>
              <w:rPr>
                <w:w w:val="95"/>
                <w:sz w:val="14"/>
              </w:rPr>
              <w:t>11,958</w:t>
            </w:r>
          </w:p>
        </w:tc>
        <w:tc>
          <w:tcPr>
            <w:tcW w:w="1529" w:type="dxa"/>
          </w:tcPr>
          <w:p>
            <w:pPr>
              <w:pStyle w:val="TableParagraph"/>
              <w:spacing w:line="159" w:lineRule="exact"/>
              <w:ind w:right="507"/>
              <w:jc w:val="right"/>
              <w:rPr>
                <w:sz w:val="14"/>
              </w:rPr>
            </w:pPr>
            <w:r>
              <w:rPr>
                <w:w w:val="95"/>
                <w:sz w:val="14"/>
              </w:rPr>
              <w:t>19,349</w:t>
            </w:r>
          </w:p>
        </w:tc>
        <w:tc>
          <w:tcPr>
            <w:tcW w:w="1492" w:type="dxa"/>
          </w:tcPr>
          <w:p>
            <w:pPr>
              <w:pStyle w:val="TableParagraph"/>
              <w:spacing w:line="159" w:lineRule="exact"/>
              <w:ind w:right="353"/>
              <w:jc w:val="right"/>
              <w:rPr>
                <w:sz w:val="14"/>
              </w:rPr>
            </w:pPr>
            <w:r>
              <w:rPr>
                <w:w w:val="95"/>
                <w:sz w:val="14"/>
              </w:rPr>
              <w:t>44,357</w:t>
            </w:r>
          </w:p>
        </w:tc>
        <w:tc>
          <w:tcPr>
            <w:tcW w:w="1360" w:type="dxa"/>
          </w:tcPr>
          <w:p>
            <w:pPr>
              <w:pStyle w:val="TableParagraph"/>
              <w:spacing w:line="159" w:lineRule="exact"/>
              <w:ind w:right="470"/>
              <w:jc w:val="right"/>
              <w:rPr>
                <w:sz w:val="14"/>
              </w:rPr>
            </w:pPr>
            <w:r>
              <w:rPr>
                <w:w w:val="95"/>
                <w:sz w:val="14"/>
              </w:rPr>
              <w:t>57,412</w:t>
            </w:r>
          </w:p>
        </w:tc>
        <w:tc>
          <w:tcPr>
            <w:tcW w:w="1265" w:type="dxa"/>
          </w:tcPr>
          <w:p>
            <w:pPr>
              <w:pStyle w:val="TableParagraph"/>
              <w:spacing w:line="159" w:lineRule="exact"/>
              <w:ind w:right="261"/>
              <w:jc w:val="right"/>
              <w:rPr>
                <w:sz w:val="14"/>
              </w:rPr>
            </w:pPr>
            <w:r>
              <w:rPr>
                <w:w w:val="95"/>
                <w:sz w:val="14"/>
              </w:rPr>
              <w:t>72,484</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Expenditure</w:t>
            </w:r>
          </w:p>
        </w:tc>
        <w:tc>
          <w:tcPr>
            <w:tcW w:w="1967" w:type="dxa"/>
          </w:tcPr>
          <w:p>
            <w:pPr>
              <w:pStyle w:val="TableParagraph"/>
              <w:spacing w:line="159" w:lineRule="exact"/>
              <w:ind w:right="394"/>
              <w:jc w:val="right"/>
              <w:rPr>
                <w:sz w:val="14"/>
              </w:rPr>
            </w:pPr>
            <w:r>
              <w:rPr>
                <w:w w:val="95"/>
                <w:sz w:val="14"/>
              </w:rPr>
              <w:t>13,764</w:t>
            </w:r>
          </w:p>
        </w:tc>
        <w:tc>
          <w:tcPr>
            <w:tcW w:w="1529" w:type="dxa"/>
          </w:tcPr>
          <w:p>
            <w:pPr>
              <w:pStyle w:val="TableParagraph"/>
              <w:spacing w:line="159" w:lineRule="exact"/>
              <w:ind w:right="507"/>
              <w:jc w:val="right"/>
              <w:rPr>
                <w:sz w:val="14"/>
              </w:rPr>
            </w:pPr>
            <w:r>
              <w:rPr>
                <w:w w:val="95"/>
                <w:sz w:val="14"/>
              </w:rPr>
              <w:t>18,347</w:t>
            </w:r>
          </w:p>
        </w:tc>
        <w:tc>
          <w:tcPr>
            <w:tcW w:w="1492" w:type="dxa"/>
          </w:tcPr>
          <w:p>
            <w:pPr>
              <w:pStyle w:val="TableParagraph"/>
              <w:spacing w:line="159" w:lineRule="exact"/>
              <w:ind w:right="353"/>
              <w:jc w:val="right"/>
              <w:rPr>
                <w:sz w:val="14"/>
              </w:rPr>
            </w:pPr>
            <w:r>
              <w:rPr>
                <w:w w:val="95"/>
                <w:sz w:val="14"/>
              </w:rPr>
              <w:t>40,601</w:t>
            </w:r>
          </w:p>
        </w:tc>
        <w:tc>
          <w:tcPr>
            <w:tcW w:w="1360" w:type="dxa"/>
          </w:tcPr>
          <w:p>
            <w:pPr>
              <w:pStyle w:val="TableParagraph"/>
              <w:spacing w:line="159" w:lineRule="exact"/>
              <w:ind w:right="470"/>
              <w:jc w:val="right"/>
              <w:rPr>
                <w:sz w:val="14"/>
              </w:rPr>
            </w:pPr>
            <w:r>
              <w:rPr>
                <w:w w:val="95"/>
                <w:sz w:val="14"/>
              </w:rPr>
              <w:t>54,715</w:t>
            </w:r>
          </w:p>
        </w:tc>
        <w:tc>
          <w:tcPr>
            <w:tcW w:w="1265" w:type="dxa"/>
          </w:tcPr>
          <w:p>
            <w:pPr>
              <w:pStyle w:val="TableParagraph"/>
              <w:spacing w:line="159" w:lineRule="exact"/>
              <w:ind w:right="261"/>
              <w:jc w:val="right"/>
              <w:rPr>
                <w:sz w:val="14"/>
              </w:rPr>
            </w:pPr>
            <w:r>
              <w:rPr>
                <w:w w:val="95"/>
                <w:sz w:val="14"/>
              </w:rPr>
              <w:t>69,777</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Net Profit (Loss)</w:t>
            </w:r>
          </w:p>
        </w:tc>
        <w:tc>
          <w:tcPr>
            <w:tcW w:w="1967" w:type="dxa"/>
          </w:tcPr>
          <w:p>
            <w:pPr>
              <w:pStyle w:val="TableParagraph"/>
              <w:spacing w:line="159" w:lineRule="exact"/>
              <w:ind w:right="387"/>
              <w:jc w:val="right"/>
              <w:rPr>
                <w:sz w:val="14"/>
              </w:rPr>
            </w:pPr>
            <w:r>
              <w:rPr>
                <w:w w:val="95"/>
                <w:sz w:val="14"/>
              </w:rPr>
              <w:t>(1,805)</w:t>
            </w:r>
          </w:p>
        </w:tc>
        <w:tc>
          <w:tcPr>
            <w:tcW w:w="1529" w:type="dxa"/>
          </w:tcPr>
          <w:p>
            <w:pPr>
              <w:pStyle w:val="TableParagraph"/>
              <w:spacing w:line="159" w:lineRule="exact"/>
              <w:ind w:right="499"/>
              <w:jc w:val="right"/>
              <w:rPr>
                <w:sz w:val="14"/>
              </w:rPr>
            </w:pPr>
            <w:r>
              <w:rPr>
                <w:sz w:val="14"/>
              </w:rPr>
              <w:t>1,003</w:t>
            </w:r>
          </w:p>
        </w:tc>
        <w:tc>
          <w:tcPr>
            <w:tcW w:w="1492" w:type="dxa"/>
          </w:tcPr>
          <w:p>
            <w:pPr>
              <w:pStyle w:val="TableParagraph"/>
              <w:spacing w:line="159" w:lineRule="exact"/>
              <w:ind w:right="349"/>
              <w:jc w:val="right"/>
              <w:rPr>
                <w:sz w:val="14"/>
              </w:rPr>
            </w:pPr>
            <w:r>
              <w:rPr>
                <w:sz w:val="14"/>
              </w:rPr>
              <w:t>3,756</w:t>
            </w:r>
          </w:p>
        </w:tc>
        <w:tc>
          <w:tcPr>
            <w:tcW w:w="1360" w:type="dxa"/>
          </w:tcPr>
          <w:p>
            <w:pPr>
              <w:pStyle w:val="TableParagraph"/>
              <w:spacing w:line="159" w:lineRule="exact"/>
              <w:ind w:right="461"/>
              <w:jc w:val="right"/>
              <w:rPr>
                <w:sz w:val="14"/>
              </w:rPr>
            </w:pPr>
            <w:r>
              <w:rPr>
                <w:sz w:val="14"/>
              </w:rPr>
              <w:t>2,698</w:t>
            </w:r>
          </w:p>
        </w:tc>
        <w:tc>
          <w:tcPr>
            <w:tcW w:w="1265" w:type="dxa"/>
          </w:tcPr>
          <w:p>
            <w:pPr>
              <w:pStyle w:val="TableParagraph"/>
              <w:spacing w:line="159" w:lineRule="exact"/>
              <w:ind w:right="253"/>
              <w:jc w:val="right"/>
              <w:rPr>
                <w:sz w:val="14"/>
              </w:rPr>
            </w:pPr>
            <w:r>
              <w:rPr>
                <w:sz w:val="14"/>
              </w:rPr>
              <w:t>2,707</w:t>
            </w:r>
          </w:p>
        </w:tc>
        <w:tc>
          <w:tcPr>
            <w:tcW w:w="1186" w:type="dxa"/>
          </w:tcPr>
          <w:p>
            <w:pPr>
              <w:pStyle w:val="TableParagraph"/>
              <w:spacing w:line="159" w:lineRule="exact"/>
              <w:ind w:right="36"/>
              <w:jc w:val="right"/>
              <w:rPr>
                <w:sz w:val="14"/>
              </w:rPr>
            </w:pPr>
            <w:r>
              <w:rPr>
                <w:sz w:val="14"/>
              </w:rPr>
              <w:t>Break Even</w:t>
            </w:r>
          </w:p>
        </w:tc>
      </w:tr>
      <w:tr>
        <w:trPr>
          <w:trHeight w:val="268" w:hRule="atLeast"/>
        </w:trPr>
        <w:tc>
          <w:tcPr>
            <w:tcW w:w="5434" w:type="dxa"/>
            <w:gridSpan w:val="2"/>
          </w:tcPr>
          <w:p>
            <w:pPr>
              <w:pStyle w:val="TableParagraph"/>
              <w:spacing w:line="159" w:lineRule="exact"/>
              <w:ind w:left="509"/>
              <w:rPr>
                <w:sz w:val="14"/>
              </w:rPr>
            </w:pPr>
            <w:r>
              <w:rPr>
                <w:sz w:val="14"/>
              </w:rPr>
              <w:t>Subsidy from Government</w:t>
            </w:r>
          </w:p>
        </w:tc>
        <w:tc>
          <w:tcPr>
            <w:tcW w:w="1967" w:type="dxa"/>
          </w:tcPr>
          <w:p>
            <w:pPr>
              <w:pStyle w:val="TableParagraph"/>
              <w:spacing w:line="159" w:lineRule="exact"/>
              <w:ind w:right="376"/>
              <w:jc w:val="right"/>
              <w:rPr>
                <w:sz w:val="14"/>
              </w:rPr>
            </w:pPr>
            <w:r>
              <w:rPr>
                <w:w w:val="99"/>
                <w:sz w:val="14"/>
              </w:rPr>
              <w:t>-</w:t>
            </w:r>
          </w:p>
        </w:tc>
        <w:tc>
          <w:tcPr>
            <w:tcW w:w="1529" w:type="dxa"/>
          </w:tcPr>
          <w:p>
            <w:pPr>
              <w:pStyle w:val="TableParagraph"/>
              <w:spacing w:line="159" w:lineRule="exact"/>
              <w:ind w:right="489"/>
              <w:jc w:val="right"/>
              <w:rPr>
                <w:sz w:val="14"/>
              </w:rPr>
            </w:pPr>
            <w:r>
              <w:rPr>
                <w:w w:val="99"/>
                <w:sz w:val="14"/>
              </w:rPr>
              <w:t>-</w:t>
            </w:r>
          </w:p>
        </w:tc>
        <w:tc>
          <w:tcPr>
            <w:tcW w:w="1492" w:type="dxa"/>
          </w:tcPr>
          <w:p>
            <w:pPr>
              <w:pStyle w:val="TableParagraph"/>
              <w:spacing w:line="159" w:lineRule="exact"/>
              <w:ind w:right="340"/>
              <w:jc w:val="right"/>
              <w:rPr>
                <w:sz w:val="14"/>
              </w:rPr>
            </w:pPr>
            <w:r>
              <w:rPr>
                <w:w w:val="99"/>
                <w:sz w:val="14"/>
              </w:rPr>
              <w:t>-</w:t>
            </w:r>
          </w:p>
        </w:tc>
        <w:tc>
          <w:tcPr>
            <w:tcW w:w="1360" w:type="dxa"/>
          </w:tcPr>
          <w:p>
            <w:pPr>
              <w:pStyle w:val="TableParagraph"/>
              <w:spacing w:line="159" w:lineRule="exact"/>
              <w:ind w:right="452"/>
              <w:jc w:val="right"/>
              <w:rPr>
                <w:sz w:val="14"/>
              </w:rPr>
            </w:pPr>
            <w:r>
              <w:rPr>
                <w:w w:val="99"/>
                <w:sz w:val="14"/>
              </w:rPr>
              <w:t>-</w:t>
            </w:r>
          </w:p>
        </w:tc>
        <w:tc>
          <w:tcPr>
            <w:tcW w:w="1265" w:type="dxa"/>
          </w:tcPr>
          <w:p>
            <w:pPr>
              <w:pStyle w:val="TableParagraph"/>
              <w:spacing w:line="159" w:lineRule="exact"/>
              <w:ind w:right="243"/>
              <w:jc w:val="right"/>
              <w:rPr>
                <w:sz w:val="14"/>
              </w:rPr>
            </w:pPr>
            <w:r>
              <w:rPr>
                <w:w w:val="99"/>
                <w:sz w:val="14"/>
              </w:rPr>
              <w:t>-</w:t>
            </w:r>
          </w:p>
        </w:tc>
        <w:tc>
          <w:tcPr>
            <w:tcW w:w="1186" w:type="dxa"/>
          </w:tcPr>
          <w:p>
            <w:pPr>
              <w:pStyle w:val="TableParagraph"/>
              <w:rPr>
                <w:rFonts w:ascii="Times New Roman"/>
                <w:sz w:val="14"/>
              </w:rPr>
            </w:pPr>
          </w:p>
        </w:tc>
      </w:tr>
      <w:tr>
        <w:trPr>
          <w:trHeight w:val="271" w:hRule="atLeast"/>
        </w:trPr>
        <w:tc>
          <w:tcPr>
            <w:tcW w:w="5434" w:type="dxa"/>
            <w:gridSpan w:val="2"/>
          </w:tcPr>
          <w:p>
            <w:pPr>
              <w:pStyle w:val="TableParagraph"/>
              <w:spacing w:before="89"/>
              <w:ind w:left="34"/>
              <w:rPr>
                <w:sz w:val="14"/>
              </w:rPr>
            </w:pPr>
            <w:r>
              <w:rPr>
                <w:sz w:val="14"/>
              </w:rPr>
              <w:t>4. Sierra Leone Housing Corporation (SALHOC)</w:t>
            </w:r>
          </w:p>
        </w:tc>
        <w:tc>
          <w:tcPr>
            <w:tcW w:w="1967" w:type="dxa"/>
          </w:tcPr>
          <w:p>
            <w:pPr>
              <w:pStyle w:val="TableParagraph"/>
              <w:rPr>
                <w:rFonts w:ascii="Times New Roman"/>
                <w:sz w:val="14"/>
              </w:rPr>
            </w:pPr>
          </w:p>
        </w:tc>
        <w:tc>
          <w:tcPr>
            <w:tcW w:w="1529" w:type="dxa"/>
          </w:tcPr>
          <w:p>
            <w:pPr>
              <w:pStyle w:val="TableParagraph"/>
              <w:rPr>
                <w:rFonts w:ascii="Times New Roman"/>
                <w:sz w:val="14"/>
              </w:rPr>
            </w:pPr>
          </w:p>
        </w:tc>
        <w:tc>
          <w:tcPr>
            <w:tcW w:w="1492" w:type="dxa"/>
          </w:tcPr>
          <w:p>
            <w:pPr>
              <w:pStyle w:val="TableParagraph"/>
              <w:rPr>
                <w:rFonts w:ascii="Times New Roman"/>
                <w:sz w:val="14"/>
              </w:rPr>
            </w:pPr>
          </w:p>
        </w:tc>
        <w:tc>
          <w:tcPr>
            <w:tcW w:w="1360" w:type="dxa"/>
          </w:tcPr>
          <w:p>
            <w:pPr>
              <w:pStyle w:val="TableParagraph"/>
              <w:rPr>
                <w:rFonts w:ascii="Times New Roman"/>
                <w:sz w:val="14"/>
              </w:rPr>
            </w:pPr>
          </w:p>
        </w:tc>
        <w:tc>
          <w:tcPr>
            <w:tcW w:w="1265" w:type="dxa"/>
          </w:tcPr>
          <w:p>
            <w:pPr>
              <w:pStyle w:val="TableParagraph"/>
              <w:rPr>
                <w:rFonts w:ascii="Times New Roman"/>
                <w:sz w:val="14"/>
              </w:rPr>
            </w:pPr>
          </w:p>
        </w:tc>
        <w:tc>
          <w:tcPr>
            <w:tcW w:w="1186" w:type="dxa"/>
          </w:tcPr>
          <w:p>
            <w:pPr>
              <w:pStyle w:val="TableParagraph"/>
              <w:rPr>
                <w:rFonts w:ascii="Times New Roman"/>
                <w:sz w:val="14"/>
              </w:rPr>
            </w:pPr>
          </w:p>
        </w:tc>
      </w:tr>
      <w:tr>
        <w:trPr>
          <w:trHeight w:val="180" w:hRule="atLeast"/>
        </w:trPr>
        <w:tc>
          <w:tcPr>
            <w:tcW w:w="5434" w:type="dxa"/>
            <w:gridSpan w:val="2"/>
          </w:tcPr>
          <w:p>
            <w:pPr>
              <w:pStyle w:val="TableParagraph"/>
              <w:spacing w:line="159" w:lineRule="exact"/>
              <w:ind w:left="509"/>
              <w:rPr>
                <w:sz w:val="14"/>
              </w:rPr>
            </w:pPr>
            <w:r>
              <w:rPr>
                <w:sz w:val="14"/>
              </w:rPr>
              <w:t>Receipts</w:t>
            </w:r>
          </w:p>
        </w:tc>
        <w:tc>
          <w:tcPr>
            <w:tcW w:w="1967" w:type="dxa"/>
          </w:tcPr>
          <w:p>
            <w:pPr>
              <w:pStyle w:val="TableParagraph"/>
              <w:spacing w:line="159" w:lineRule="exact"/>
              <w:ind w:right="386"/>
              <w:jc w:val="right"/>
              <w:rPr>
                <w:sz w:val="14"/>
              </w:rPr>
            </w:pPr>
            <w:r>
              <w:rPr>
                <w:sz w:val="14"/>
              </w:rPr>
              <w:t>2,481</w:t>
            </w:r>
          </w:p>
        </w:tc>
        <w:tc>
          <w:tcPr>
            <w:tcW w:w="1529" w:type="dxa"/>
          </w:tcPr>
          <w:p>
            <w:pPr>
              <w:pStyle w:val="TableParagraph"/>
              <w:spacing w:line="159" w:lineRule="exact"/>
              <w:ind w:right="499"/>
              <w:jc w:val="right"/>
              <w:rPr>
                <w:sz w:val="14"/>
              </w:rPr>
            </w:pPr>
            <w:r>
              <w:rPr>
                <w:sz w:val="14"/>
              </w:rPr>
              <w:t>2,926</w:t>
            </w:r>
          </w:p>
        </w:tc>
        <w:tc>
          <w:tcPr>
            <w:tcW w:w="1492" w:type="dxa"/>
          </w:tcPr>
          <w:p>
            <w:pPr>
              <w:pStyle w:val="TableParagraph"/>
              <w:spacing w:line="159" w:lineRule="exact"/>
              <w:ind w:right="353"/>
              <w:jc w:val="right"/>
              <w:rPr>
                <w:sz w:val="14"/>
              </w:rPr>
            </w:pPr>
            <w:r>
              <w:rPr>
                <w:w w:val="95"/>
                <w:sz w:val="14"/>
              </w:rPr>
              <w:t>72,616</w:t>
            </w:r>
          </w:p>
        </w:tc>
        <w:tc>
          <w:tcPr>
            <w:tcW w:w="1360" w:type="dxa"/>
          </w:tcPr>
          <w:p>
            <w:pPr>
              <w:pStyle w:val="TableParagraph"/>
              <w:spacing w:line="159" w:lineRule="exact"/>
              <w:ind w:right="470"/>
              <w:jc w:val="right"/>
              <w:rPr>
                <w:sz w:val="14"/>
              </w:rPr>
            </w:pPr>
            <w:r>
              <w:rPr>
                <w:w w:val="95"/>
                <w:sz w:val="14"/>
              </w:rPr>
              <w:t>11,140</w:t>
            </w:r>
          </w:p>
        </w:tc>
        <w:tc>
          <w:tcPr>
            <w:tcW w:w="1265" w:type="dxa"/>
          </w:tcPr>
          <w:p>
            <w:pPr>
              <w:pStyle w:val="TableParagraph"/>
              <w:spacing w:line="159" w:lineRule="exact"/>
              <w:ind w:right="261"/>
              <w:jc w:val="right"/>
              <w:rPr>
                <w:sz w:val="14"/>
              </w:rPr>
            </w:pPr>
            <w:r>
              <w:rPr>
                <w:w w:val="95"/>
                <w:sz w:val="14"/>
              </w:rPr>
              <w:t>13,368</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Expenditure</w:t>
            </w:r>
          </w:p>
        </w:tc>
        <w:tc>
          <w:tcPr>
            <w:tcW w:w="1967" w:type="dxa"/>
          </w:tcPr>
          <w:p>
            <w:pPr>
              <w:pStyle w:val="TableParagraph"/>
              <w:spacing w:line="159" w:lineRule="exact"/>
              <w:ind w:right="386"/>
              <w:jc w:val="right"/>
              <w:rPr>
                <w:sz w:val="14"/>
              </w:rPr>
            </w:pPr>
            <w:r>
              <w:rPr>
                <w:sz w:val="14"/>
              </w:rPr>
              <w:t>2,849</w:t>
            </w:r>
          </w:p>
        </w:tc>
        <w:tc>
          <w:tcPr>
            <w:tcW w:w="1529" w:type="dxa"/>
          </w:tcPr>
          <w:p>
            <w:pPr>
              <w:pStyle w:val="TableParagraph"/>
              <w:spacing w:line="159" w:lineRule="exact"/>
              <w:ind w:right="499"/>
              <w:jc w:val="right"/>
              <w:rPr>
                <w:sz w:val="14"/>
              </w:rPr>
            </w:pPr>
            <w:r>
              <w:rPr>
                <w:sz w:val="14"/>
              </w:rPr>
              <w:t>1,454</w:t>
            </w:r>
          </w:p>
        </w:tc>
        <w:tc>
          <w:tcPr>
            <w:tcW w:w="1492" w:type="dxa"/>
          </w:tcPr>
          <w:p>
            <w:pPr>
              <w:pStyle w:val="TableParagraph"/>
              <w:spacing w:line="159" w:lineRule="exact"/>
              <w:ind w:right="353"/>
              <w:jc w:val="right"/>
              <w:rPr>
                <w:sz w:val="14"/>
              </w:rPr>
            </w:pPr>
            <w:r>
              <w:rPr>
                <w:w w:val="95"/>
                <w:sz w:val="14"/>
              </w:rPr>
              <w:t>16,784</w:t>
            </w:r>
          </w:p>
        </w:tc>
        <w:tc>
          <w:tcPr>
            <w:tcW w:w="1360" w:type="dxa"/>
          </w:tcPr>
          <w:p>
            <w:pPr>
              <w:pStyle w:val="TableParagraph"/>
              <w:spacing w:line="159" w:lineRule="exact"/>
              <w:ind w:right="470"/>
              <w:jc w:val="right"/>
              <w:rPr>
                <w:sz w:val="14"/>
              </w:rPr>
            </w:pPr>
            <w:r>
              <w:rPr>
                <w:w w:val="95"/>
                <w:sz w:val="14"/>
              </w:rPr>
              <w:t>19,302</w:t>
            </w:r>
          </w:p>
        </w:tc>
        <w:tc>
          <w:tcPr>
            <w:tcW w:w="1265" w:type="dxa"/>
          </w:tcPr>
          <w:p>
            <w:pPr>
              <w:pStyle w:val="TableParagraph"/>
              <w:spacing w:line="159" w:lineRule="exact"/>
              <w:ind w:right="261"/>
              <w:jc w:val="right"/>
              <w:rPr>
                <w:sz w:val="14"/>
              </w:rPr>
            </w:pPr>
            <w:r>
              <w:rPr>
                <w:w w:val="95"/>
                <w:sz w:val="14"/>
              </w:rPr>
              <w:t>22,197</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Net Profit (Loss)</w:t>
            </w:r>
          </w:p>
        </w:tc>
        <w:tc>
          <w:tcPr>
            <w:tcW w:w="1967" w:type="dxa"/>
          </w:tcPr>
          <w:p>
            <w:pPr>
              <w:pStyle w:val="TableParagraph"/>
              <w:spacing w:line="159" w:lineRule="exact"/>
              <w:ind w:right="380"/>
              <w:jc w:val="right"/>
              <w:rPr>
                <w:sz w:val="14"/>
              </w:rPr>
            </w:pPr>
            <w:r>
              <w:rPr>
                <w:w w:val="95"/>
                <w:sz w:val="14"/>
              </w:rPr>
              <w:t>(368)</w:t>
            </w:r>
          </w:p>
        </w:tc>
        <w:tc>
          <w:tcPr>
            <w:tcW w:w="1529" w:type="dxa"/>
          </w:tcPr>
          <w:p>
            <w:pPr>
              <w:pStyle w:val="TableParagraph"/>
              <w:spacing w:line="159" w:lineRule="exact"/>
              <w:ind w:right="499"/>
              <w:jc w:val="right"/>
              <w:rPr>
                <w:sz w:val="14"/>
              </w:rPr>
            </w:pPr>
            <w:r>
              <w:rPr>
                <w:sz w:val="14"/>
              </w:rPr>
              <w:t>1,472</w:t>
            </w:r>
          </w:p>
        </w:tc>
        <w:tc>
          <w:tcPr>
            <w:tcW w:w="1492" w:type="dxa"/>
          </w:tcPr>
          <w:p>
            <w:pPr>
              <w:pStyle w:val="TableParagraph"/>
              <w:spacing w:line="159" w:lineRule="exact"/>
              <w:ind w:right="353"/>
              <w:jc w:val="right"/>
              <w:rPr>
                <w:sz w:val="14"/>
              </w:rPr>
            </w:pPr>
            <w:r>
              <w:rPr>
                <w:w w:val="95"/>
                <w:sz w:val="14"/>
              </w:rPr>
              <w:t>55,832</w:t>
            </w:r>
          </w:p>
        </w:tc>
        <w:tc>
          <w:tcPr>
            <w:tcW w:w="1360" w:type="dxa"/>
          </w:tcPr>
          <w:p>
            <w:pPr>
              <w:pStyle w:val="TableParagraph"/>
              <w:spacing w:line="159" w:lineRule="exact"/>
              <w:ind w:right="462"/>
              <w:jc w:val="right"/>
              <w:rPr>
                <w:sz w:val="14"/>
              </w:rPr>
            </w:pPr>
            <w:r>
              <w:rPr>
                <w:w w:val="95"/>
                <w:sz w:val="14"/>
              </w:rPr>
              <w:t>(8,162)</w:t>
            </w:r>
          </w:p>
        </w:tc>
        <w:tc>
          <w:tcPr>
            <w:tcW w:w="1265" w:type="dxa"/>
          </w:tcPr>
          <w:p>
            <w:pPr>
              <w:pStyle w:val="TableParagraph"/>
              <w:spacing w:line="159" w:lineRule="exact"/>
              <w:ind w:right="254"/>
              <w:jc w:val="right"/>
              <w:rPr>
                <w:sz w:val="14"/>
              </w:rPr>
            </w:pPr>
            <w:r>
              <w:rPr>
                <w:w w:val="95"/>
                <w:sz w:val="14"/>
              </w:rPr>
              <w:t>(8,829)</w:t>
            </w:r>
          </w:p>
        </w:tc>
        <w:tc>
          <w:tcPr>
            <w:tcW w:w="1186" w:type="dxa"/>
          </w:tcPr>
          <w:p>
            <w:pPr>
              <w:pStyle w:val="TableParagraph"/>
              <w:spacing w:line="159" w:lineRule="exact"/>
              <w:ind w:right="32"/>
              <w:jc w:val="right"/>
              <w:rPr>
                <w:sz w:val="14"/>
              </w:rPr>
            </w:pPr>
            <w:r>
              <w:rPr>
                <w:sz w:val="14"/>
              </w:rPr>
              <w:t>Loss Making</w:t>
            </w:r>
          </w:p>
        </w:tc>
      </w:tr>
      <w:tr>
        <w:trPr>
          <w:trHeight w:val="268" w:hRule="atLeast"/>
        </w:trPr>
        <w:tc>
          <w:tcPr>
            <w:tcW w:w="5434" w:type="dxa"/>
            <w:gridSpan w:val="2"/>
          </w:tcPr>
          <w:p>
            <w:pPr>
              <w:pStyle w:val="TableParagraph"/>
              <w:spacing w:line="159" w:lineRule="exact"/>
              <w:ind w:left="509"/>
              <w:rPr>
                <w:sz w:val="14"/>
              </w:rPr>
            </w:pPr>
            <w:r>
              <w:rPr>
                <w:sz w:val="14"/>
              </w:rPr>
              <w:t>Subsidy from Government</w:t>
            </w:r>
          </w:p>
        </w:tc>
        <w:tc>
          <w:tcPr>
            <w:tcW w:w="1967" w:type="dxa"/>
          </w:tcPr>
          <w:p>
            <w:pPr>
              <w:pStyle w:val="TableParagraph"/>
              <w:spacing w:line="159" w:lineRule="exact"/>
              <w:ind w:right="376"/>
              <w:jc w:val="right"/>
              <w:rPr>
                <w:sz w:val="14"/>
              </w:rPr>
            </w:pPr>
            <w:r>
              <w:rPr>
                <w:w w:val="99"/>
                <w:sz w:val="14"/>
              </w:rPr>
              <w:t>-</w:t>
            </w:r>
          </w:p>
        </w:tc>
        <w:tc>
          <w:tcPr>
            <w:tcW w:w="1529" w:type="dxa"/>
          </w:tcPr>
          <w:p>
            <w:pPr>
              <w:pStyle w:val="TableParagraph"/>
              <w:spacing w:line="159" w:lineRule="exact"/>
              <w:ind w:right="499"/>
              <w:jc w:val="right"/>
              <w:rPr>
                <w:sz w:val="14"/>
              </w:rPr>
            </w:pPr>
            <w:r>
              <w:rPr>
                <w:sz w:val="14"/>
              </w:rPr>
              <w:t>1,000</w:t>
            </w:r>
          </w:p>
        </w:tc>
        <w:tc>
          <w:tcPr>
            <w:tcW w:w="1492" w:type="dxa"/>
          </w:tcPr>
          <w:p>
            <w:pPr>
              <w:pStyle w:val="TableParagraph"/>
              <w:spacing w:line="159" w:lineRule="exact"/>
              <w:ind w:right="349"/>
              <w:jc w:val="right"/>
              <w:rPr>
                <w:sz w:val="14"/>
              </w:rPr>
            </w:pPr>
            <w:r>
              <w:rPr>
                <w:sz w:val="14"/>
              </w:rPr>
              <w:t>2,610</w:t>
            </w:r>
          </w:p>
        </w:tc>
        <w:tc>
          <w:tcPr>
            <w:tcW w:w="1360" w:type="dxa"/>
          </w:tcPr>
          <w:p>
            <w:pPr>
              <w:pStyle w:val="TableParagraph"/>
              <w:spacing w:line="159" w:lineRule="exact"/>
              <w:ind w:right="461"/>
              <w:jc w:val="right"/>
              <w:rPr>
                <w:sz w:val="14"/>
              </w:rPr>
            </w:pPr>
            <w:r>
              <w:rPr>
                <w:sz w:val="14"/>
              </w:rPr>
              <w:t>3,132</w:t>
            </w:r>
          </w:p>
        </w:tc>
        <w:tc>
          <w:tcPr>
            <w:tcW w:w="1265" w:type="dxa"/>
          </w:tcPr>
          <w:p>
            <w:pPr>
              <w:pStyle w:val="TableParagraph"/>
              <w:spacing w:line="159" w:lineRule="exact"/>
              <w:ind w:right="253"/>
              <w:jc w:val="right"/>
              <w:rPr>
                <w:sz w:val="14"/>
              </w:rPr>
            </w:pPr>
            <w:r>
              <w:rPr>
                <w:sz w:val="14"/>
              </w:rPr>
              <w:t>3,758</w:t>
            </w:r>
          </w:p>
        </w:tc>
        <w:tc>
          <w:tcPr>
            <w:tcW w:w="1186" w:type="dxa"/>
          </w:tcPr>
          <w:p>
            <w:pPr>
              <w:pStyle w:val="TableParagraph"/>
              <w:rPr>
                <w:rFonts w:ascii="Times New Roman"/>
                <w:sz w:val="14"/>
              </w:rPr>
            </w:pPr>
          </w:p>
        </w:tc>
      </w:tr>
      <w:tr>
        <w:trPr>
          <w:trHeight w:val="271" w:hRule="atLeast"/>
        </w:trPr>
        <w:tc>
          <w:tcPr>
            <w:tcW w:w="5434" w:type="dxa"/>
            <w:gridSpan w:val="2"/>
          </w:tcPr>
          <w:p>
            <w:pPr>
              <w:pStyle w:val="TableParagraph"/>
              <w:spacing w:before="89"/>
              <w:ind w:left="34"/>
              <w:rPr>
                <w:sz w:val="14"/>
              </w:rPr>
            </w:pPr>
            <w:r>
              <w:rPr>
                <w:sz w:val="14"/>
              </w:rPr>
              <w:t>5. Sierra Leone Ports Authority (SLPA)</w:t>
            </w:r>
          </w:p>
        </w:tc>
        <w:tc>
          <w:tcPr>
            <w:tcW w:w="1967" w:type="dxa"/>
          </w:tcPr>
          <w:p>
            <w:pPr>
              <w:pStyle w:val="TableParagraph"/>
              <w:rPr>
                <w:rFonts w:ascii="Times New Roman"/>
                <w:sz w:val="14"/>
              </w:rPr>
            </w:pPr>
          </w:p>
        </w:tc>
        <w:tc>
          <w:tcPr>
            <w:tcW w:w="1529" w:type="dxa"/>
          </w:tcPr>
          <w:p>
            <w:pPr>
              <w:pStyle w:val="TableParagraph"/>
              <w:rPr>
                <w:rFonts w:ascii="Times New Roman"/>
                <w:sz w:val="14"/>
              </w:rPr>
            </w:pPr>
          </w:p>
        </w:tc>
        <w:tc>
          <w:tcPr>
            <w:tcW w:w="1492" w:type="dxa"/>
          </w:tcPr>
          <w:p>
            <w:pPr>
              <w:pStyle w:val="TableParagraph"/>
              <w:rPr>
                <w:rFonts w:ascii="Times New Roman"/>
                <w:sz w:val="14"/>
              </w:rPr>
            </w:pPr>
          </w:p>
        </w:tc>
        <w:tc>
          <w:tcPr>
            <w:tcW w:w="1360" w:type="dxa"/>
          </w:tcPr>
          <w:p>
            <w:pPr>
              <w:pStyle w:val="TableParagraph"/>
              <w:rPr>
                <w:rFonts w:ascii="Times New Roman"/>
                <w:sz w:val="14"/>
              </w:rPr>
            </w:pPr>
          </w:p>
        </w:tc>
        <w:tc>
          <w:tcPr>
            <w:tcW w:w="1265" w:type="dxa"/>
          </w:tcPr>
          <w:p>
            <w:pPr>
              <w:pStyle w:val="TableParagraph"/>
              <w:rPr>
                <w:rFonts w:ascii="Times New Roman"/>
                <w:sz w:val="14"/>
              </w:rPr>
            </w:pPr>
          </w:p>
        </w:tc>
        <w:tc>
          <w:tcPr>
            <w:tcW w:w="1186" w:type="dxa"/>
          </w:tcPr>
          <w:p>
            <w:pPr>
              <w:pStyle w:val="TableParagraph"/>
              <w:rPr>
                <w:rFonts w:ascii="Times New Roman"/>
                <w:sz w:val="14"/>
              </w:rPr>
            </w:pPr>
          </w:p>
        </w:tc>
      </w:tr>
      <w:tr>
        <w:trPr>
          <w:trHeight w:val="180" w:hRule="atLeast"/>
        </w:trPr>
        <w:tc>
          <w:tcPr>
            <w:tcW w:w="5434" w:type="dxa"/>
            <w:gridSpan w:val="2"/>
          </w:tcPr>
          <w:p>
            <w:pPr>
              <w:pStyle w:val="TableParagraph"/>
              <w:spacing w:line="159" w:lineRule="exact"/>
              <w:ind w:left="509"/>
              <w:rPr>
                <w:sz w:val="14"/>
              </w:rPr>
            </w:pPr>
            <w:r>
              <w:rPr>
                <w:sz w:val="14"/>
              </w:rPr>
              <w:t>Receipts</w:t>
            </w:r>
          </w:p>
        </w:tc>
        <w:tc>
          <w:tcPr>
            <w:tcW w:w="1967" w:type="dxa"/>
          </w:tcPr>
          <w:p>
            <w:pPr>
              <w:pStyle w:val="TableParagraph"/>
              <w:spacing w:line="159" w:lineRule="exact"/>
              <w:ind w:right="394"/>
              <w:jc w:val="right"/>
              <w:rPr>
                <w:sz w:val="14"/>
              </w:rPr>
            </w:pPr>
            <w:r>
              <w:rPr>
                <w:w w:val="95"/>
                <w:sz w:val="14"/>
              </w:rPr>
              <w:t>58,998</w:t>
            </w:r>
          </w:p>
        </w:tc>
        <w:tc>
          <w:tcPr>
            <w:tcW w:w="1529" w:type="dxa"/>
          </w:tcPr>
          <w:p>
            <w:pPr>
              <w:pStyle w:val="TableParagraph"/>
              <w:spacing w:line="159" w:lineRule="exact"/>
              <w:ind w:right="507"/>
              <w:jc w:val="right"/>
              <w:rPr>
                <w:sz w:val="14"/>
              </w:rPr>
            </w:pPr>
            <w:r>
              <w:rPr>
                <w:w w:val="95"/>
                <w:sz w:val="14"/>
              </w:rPr>
              <w:t>71,179</w:t>
            </w:r>
          </w:p>
        </w:tc>
        <w:tc>
          <w:tcPr>
            <w:tcW w:w="1492" w:type="dxa"/>
          </w:tcPr>
          <w:p>
            <w:pPr>
              <w:pStyle w:val="TableParagraph"/>
              <w:spacing w:line="159" w:lineRule="exact"/>
              <w:ind w:right="353"/>
              <w:jc w:val="right"/>
              <w:rPr>
                <w:sz w:val="14"/>
              </w:rPr>
            </w:pPr>
            <w:r>
              <w:rPr>
                <w:w w:val="95"/>
                <w:sz w:val="14"/>
              </w:rPr>
              <w:t>77,179</w:t>
            </w:r>
          </w:p>
        </w:tc>
        <w:tc>
          <w:tcPr>
            <w:tcW w:w="1360" w:type="dxa"/>
          </w:tcPr>
          <w:p>
            <w:pPr>
              <w:pStyle w:val="TableParagraph"/>
              <w:spacing w:line="159" w:lineRule="exact"/>
              <w:ind w:right="470"/>
              <w:jc w:val="right"/>
              <w:rPr>
                <w:sz w:val="14"/>
              </w:rPr>
            </w:pPr>
            <w:r>
              <w:rPr>
                <w:w w:val="95"/>
                <w:sz w:val="14"/>
              </w:rPr>
              <w:t>78,637</w:t>
            </w:r>
          </w:p>
        </w:tc>
        <w:tc>
          <w:tcPr>
            <w:tcW w:w="1265" w:type="dxa"/>
          </w:tcPr>
          <w:p>
            <w:pPr>
              <w:pStyle w:val="TableParagraph"/>
              <w:spacing w:line="159" w:lineRule="exact"/>
              <w:ind w:right="261"/>
              <w:jc w:val="right"/>
              <w:rPr>
                <w:sz w:val="14"/>
              </w:rPr>
            </w:pPr>
            <w:r>
              <w:rPr>
                <w:w w:val="95"/>
                <w:sz w:val="14"/>
              </w:rPr>
              <w:t>79,892</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Expenditure</w:t>
            </w:r>
          </w:p>
        </w:tc>
        <w:tc>
          <w:tcPr>
            <w:tcW w:w="1967" w:type="dxa"/>
          </w:tcPr>
          <w:p>
            <w:pPr>
              <w:pStyle w:val="TableParagraph"/>
              <w:spacing w:line="159" w:lineRule="exact"/>
              <w:ind w:right="394"/>
              <w:jc w:val="right"/>
              <w:rPr>
                <w:sz w:val="14"/>
              </w:rPr>
            </w:pPr>
            <w:r>
              <w:rPr>
                <w:w w:val="95"/>
                <w:sz w:val="14"/>
              </w:rPr>
              <w:t>49,425</w:t>
            </w:r>
          </w:p>
        </w:tc>
        <w:tc>
          <w:tcPr>
            <w:tcW w:w="1529" w:type="dxa"/>
          </w:tcPr>
          <w:p>
            <w:pPr>
              <w:pStyle w:val="TableParagraph"/>
              <w:spacing w:line="159" w:lineRule="exact"/>
              <w:ind w:right="507"/>
              <w:jc w:val="right"/>
              <w:rPr>
                <w:sz w:val="14"/>
              </w:rPr>
            </w:pPr>
            <w:r>
              <w:rPr>
                <w:w w:val="95"/>
                <w:sz w:val="14"/>
              </w:rPr>
              <w:t>69,085</w:t>
            </w:r>
          </w:p>
        </w:tc>
        <w:tc>
          <w:tcPr>
            <w:tcW w:w="1492" w:type="dxa"/>
          </w:tcPr>
          <w:p>
            <w:pPr>
              <w:pStyle w:val="TableParagraph"/>
              <w:spacing w:line="159" w:lineRule="exact"/>
              <w:ind w:right="353"/>
              <w:jc w:val="right"/>
              <w:rPr>
                <w:sz w:val="14"/>
              </w:rPr>
            </w:pPr>
            <w:r>
              <w:rPr>
                <w:w w:val="95"/>
                <w:sz w:val="14"/>
              </w:rPr>
              <w:t>75,464</w:t>
            </w:r>
          </w:p>
        </w:tc>
        <w:tc>
          <w:tcPr>
            <w:tcW w:w="1360" w:type="dxa"/>
          </w:tcPr>
          <w:p>
            <w:pPr>
              <w:pStyle w:val="TableParagraph"/>
              <w:spacing w:line="159" w:lineRule="exact"/>
              <w:ind w:right="470"/>
              <w:jc w:val="right"/>
              <w:rPr>
                <w:sz w:val="14"/>
              </w:rPr>
            </w:pPr>
            <w:r>
              <w:rPr>
                <w:w w:val="95"/>
                <w:sz w:val="14"/>
              </w:rPr>
              <w:t>74,697</w:t>
            </w:r>
          </w:p>
        </w:tc>
        <w:tc>
          <w:tcPr>
            <w:tcW w:w="1265" w:type="dxa"/>
          </w:tcPr>
          <w:p>
            <w:pPr>
              <w:pStyle w:val="TableParagraph"/>
              <w:spacing w:line="159" w:lineRule="exact"/>
              <w:ind w:right="261"/>
              <w:jc w:val="right"/>
              <w:rPr>
                <w:sz w:val="14"/>
              </w:rPr>
            </w:pPr>
            <w:r>
              <w:rPr>
                <w:w w:val="95"/>
                <w:sz w:val="14"/>
              </w:rPr>
              <w:t>76,014</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Net Profit (Loss)</w:t>
            </w:r>
          </w:p>
        </w:tc>
        <w:tc>
          <w:tcPr>
            <w:tcW w:w="1967" w:type="dxa"/>
          </w:tcPr>
          <w:p>
            <w:pPr>
              <w:pStyle w:val="TableParagraph"/>
              <w:spacing w:line="159" w:lineRule="exact"/>
              <w:ind w:right="386"/>
              <w:jc w:val="right"/>
              <w:rPr>
                <w:sz w:val="14"/>
              </w:rPr>
            </w:pPr>
            <w:r>
              <w:rPr>
                <w:sz w:val="14"/>
              </w:rPr>
              <w:t>9,573</w:t>
            </w:r>
          </w:p>
        </w:tc>
        <w:tc>
          <w:tcPr>
            <w:tcW w:w="1529" w:type="dxa"/>
          </w:tcPr>
          <w:p>
            <w:pPr>
              <w:pStyle w:val="TableParagraph"/>
              <w:spacing w:line="159" w:lineRule="exact"/>
              <w:ind w:right="499"/>
              <w:jc w:val="right"/>
              <w:rPr>
                <w:sz w:val="14"/>
              </w:rPr>
            </w:pPr>
            <w:r>
              <w:rPr>
                <w:sz w:val="14"/>
              </w:rPr>
              <w:t>2,094</w:t>
            </w:r>
          </w:p>
        </w:tc>
        <w:tc>
          <w:tcPr>
            <w:tcW w:w="1492" w:type="dxa"/>
          </w:tcPr>
          <w:p>
            <w:pPr>
              <w:pStyle w:val="TableParagraph"/>
              <w:spacing w:line="159" w:lineRule="exact"/>
              <w:ind w:right="349"/>
              <w:jc w:val="right"/>
              <w:rPr>
                <w:sz w:val="14"/>
              </w:rPr>
            </w:pPr>
            <w:r>
              <w:rPr>
                <w:sz w:val="14"/>
              </w:rPr>
              <w:t>1,715</w:t>
            </w:r>
          </w:p>
        </w:tc>
        <w:tc>
          <w:tcPr>
            <w:tcW w:w="1360" w:type="dxa"/>
          </w:tcPr>
          <w:p>
            <w:pPr>
              <w:pStyle w:val="TableParagraph"/>
              <w:spacing w:line="159" w:lineRule="exact"/>
              <w:ind w:right="461"/>
              <w:jc w:val="right"/>
              <w:rPr>
                <w:sz w:val="14"/>
              </w:rPr>
            </w:pPr>
            <w:r>
              <w:rPr>
                <w:sz w:val="14"/>
              </w:rPr>
              <w:t>3,940</w:t>
            </w:r>
          </w:p>
        </w:tc>
        <w:tc>
          <w:tcPr>
            <w:tcW w:w="1265" w:type="dxa"/>
          </w:tcPr>
          <w:p>
            <w:pPr>
              <w:pStyle w:val="TableParagraph"/>
              <w:spacing w:line="159" w:lineRule="exact"/>
              <w:ind w:right="253"/>
              <w:jc w:val="right"/>
              <w:rPr>
                <w:sz w:val="14"/>
              </w:rPr>
            </w:pPr>
            <w:r>
              <w:rPr>
                <w:sz w:val="14"/>
              </w:rPr>
              <w:t>3,878</w:t>
            </w:r>
          </w:p>
        </w:tc>
        <w:tc>
          <w:tcPr>
            <w:tcW w:w="1186" w:type="dxa"/>
          </w:tcPr>
          <w:p>
            <w:pPr>
              <w:pStyle w:val="TableParagraph"/>
              <w:spacing w:line="159" w:lineRule="exact"/>
              <w:ind w:right="56"/>
              <w:jc w:val="right"/>
              <w:rPr>
                <w:sz w:val="14"/>
              </w:rPr>
            </w:pPr>
            <w:r>
              <w:rPr>
                <w:sz w:val="14"/>
              </w:rPr>
              <w:t>Profit Making</w:t>
            </w:r>
          </w:p>
        </w:tc>
      </w:tr>
      <w:tr>
        <w:trPr>
          <w:trHeight w:val="268" w:hRule="atLeast"/>
        </w:trPr>
        <w:tc>
          <w:tcPr>
            <w:tcW w:w="5434" w:type="dxa"/>
            <w:gridSpan w:val="2"/>
          </w:tcPr>
          <w:p>
            <w:pPr>
              <w:pStyle w:val="TableParagraph"/>
              <w:spacing w:line="159" w:lineRule="exact"/>
              <w:ind w:left="509"/>
              <w:rPr>
                <w:sz w:val="14"/>
              </w:rPr>
            </w:pPr>
            <w:r>
              <w:rPr>
                <w:sz w:val="14"/>
              </w:rPr>
              <w:t>Subsidy from Government</w:t>
            </w:r>
          </w:p>
        </w:tc>
        <w:tc>
          <w:tcPr>
            <w:tcW w:w="1967" w:type="dxa"/>
          </w:tcPr>
          <w:p>
            <w:pPr>
              <w:pStyle w:val="TableParagraph"/>
              <w:spacing w:line="159" w:lineRule="exact"/>
              <w:ind w:right="376"/>
              <w:jc w:val="right"/>
              <w:rPr>
                <w:sz w:val="14"/>
              </w:rPr>
            </w:pPr>
            <w:r>
              <w:rPr>
                <w:w w:val="99"/>
                <w:sz w:val="14"/>
              </w:rPr>
              <w:t>-</w:t>
            </w:r>
          </w:p>
        </w:tc>
        <w:tc>
          <w:tcPr>
            <w:tcW w:w="1529" w:type="dxa"/>
          </w:tcPr>
          <w:p>
            <w:pPr>
              <w:pStyle w:val="TableParagraph"/>
              <w:spacing w:line="159" w:lineRule="exact"/>
              <w:ind w:right="489"/>
              <w:jc w:val="right"/>
              <w:rPr>
                <w:sz w:val="14"/>
              </w:rPr>
            </w:pPr>
            <w:r>
              <w:rPr>
                <w:w w:val="99"/>
                <w:sz w:val="14"/>
              </w:rPr>
              <w:t>-</w:t>
            </w:r>
          </w:p>
        </w:tc>
        <w:tc>
          <w:tcPr>
            <w:tcW w:w="1492" w:type="dxa"/>
          </w:tcPr>
          <w:p>
            <w:pPr>
              <w:pStyle w:val="TableParagraph"/>
              <w:spacing w:line="159" w:lineRule="exact"/>
              <w:ind w:right="340"/>
              <w:jc w:val="right"/>
              <w:rPr>
                <w:sz w:val="14"/>
              </w:rPr>
            </w:pPr>
            <w:r>
              <w:rPr>
                <w:w w:val="99"/>
                <w:sz w:val="14"/>
              </w:rPr>
              <w:t>-</w:t>
            </w:r>
          </w:p>
        </w:tc>
        <w:tc>
          <w:tcPr>
            <w:tcW w:w="1360" w:type="dxa"/>
          </w:tcPr>
          <w:p>
            <w:pPr>
              <w:pStyle w:val="TableParagraph"/>
              <w:spacing w:line="159" w:lineRule="exact"/>
              <w:ind w:right="452"/>
              <w:jc w:val="right"/>
              <w:rPr>
                <w:sz w:val="14"/>
              </w:rPr>
            </w:pPr>
            <w:r>
              <w:rPr>
                <w:w w:val="99"/>
                <w:sz w:val="14"/>
              </w:rPr>
              <w:t>-</w:t>
            </w:r>
          </w:p>
        </w:tc>
        <w:tc>
          <w:tcPr>
            <w:tcW w:w="1265" w:type="dxa"/>
          </w:tcPr>
          <w:p>
            <w:pPr>
              <w:pStyle w:val="TableParagraph"/>
              <w:spacing w:line="159" w:lineRule="exact"/>
              <w:ind w:right="243"/>
              <w:jc w:val="right"/>
              <w:rPr>
                <w:sz w:val="14"/>
              </w:rPr>
            </w:pPr>
            <w:r>
              <w:rPr>
                <w:w w:val="99"/>
                <w:sz w:val="14"/>
              </w:rPr>
              <w:t>-</w:t>
            </w:r>
          </w:p>
        </w:tc>
        <w:tc>
          <w:tcPr>
            <w:tcW w:w="1186" w:type="dxa"/>
          </w:tcPr>
          <w:p>
            <w:pPr>
              <w:pStyle w:val="TableParagraph"/>
              <w:rPr>
                <w:rFonts w:ascii="Times New Roman"/>
                <w:sz w:val="14"/>
              </w:rPr>
            </w:pPr>
          </w:p>
        </w:tc>
      </w:tr>
      <w:tr>
        <w:trPr>
          <w:trHeight w:val="271" w:hRule="atLeast"/>
        </w:trPr>
        <w:tc>
          <w:tcPr>
            <w:tcW w:w="5434" w:type="dxa"/>
            <w:gridSpan w:val="2"/>
          </w:tcPr>
          <w:p>
            <w:pPr>
              <w:pStyle w:val="TableParagraph"/>
              <w:spacing w:before="89"/>
              <w:ind w:left="34"/>
              <w:rPr>
                <w:sz w:val="14"/>
              </w:rPr>
            </w:pPr>
            <w:r>
              <w:rPr>
                <w:sz w:val="14"/>
              </w:rPr>
              <w:t>6. Sierra Leone National Shipping Company (SLNSC)</w:t>
            </w:r>
          </w:p>
        </w:tc>
        <w:tc>
          <w:tcPr>
            <w:tcW w:w="1967" w:type="dxa"/>
          </w:tcPr>
          <w:p>
            <w:pPr>
              <w:pStyle w:val="TableParagraph"/>
              <w:rPr>
                <w:rFonts w:ascii="Times New Roman"/>
                <w:sz w:val="14"/>
              </w:rPr>
            </w:pPr>
          </w:p>
        </w:tc>
        <w:tc>
          <w:tcPr>
            <w:tcW w:w="1529" w:type="dxa"/>
          </w:tcPr>
          <w:p>
            <w:pPr>
              <w:pStyle w:val="TableParagraph"/>
              <w:rPr>
                <w:rFonts w:ascii="Times New Roman"/>
                <w:sz w:val="14"/>
              </w:rPr>
            </w:pPr>
          </w:p>
        </w:tc>
        <w:tc>
          <w:tcPr>
            <w:tcW w:w="1492" w:type="dxa"/>
          </w:tcPr>
          <w:p>
            <w:pPr>
              <w:pStyle w:val="TableParagraph"/>
              <w:rPr>
                <w:rFonts w:ascii="Times New Roman"/>
                <w:sz w:val="14"/>
              </w:rPr>
            </w:pPr>
          </w:p>
        </w:tc>
        <w:tc>
          <w:tcPr>
            <w:tcW w:w="1360" w:type="dxa"/>
          </w:tcPr>
          <w:p>
            <w:pPr>
              <w:pStyle w:val="TableParagraph"/>
              <w:rPr>
                <w:rFonts w:ascii="Times New Roman"/>
                <w:sz w:val="14"/>
              </w:rPr>
            </w:pPr>
          </w:p>
        </w:tc>
        <w:tc>
          <w:tcPr>
            <w:tcW w:w="1265" w:type="dxa"/>
          </w:tcPr>
          <w:p>
            <w:pPr>
              <w:pStyle w:val="TableParagraph"/>
              <w:rPr>
                <w:rFonts w:ascii="Times New Roman"/>
                <w:sz w:val="14"/>
              </w:rPr>
            </w:pPr>
          </w:p>
        </w:tc>
        <w:tc>
          <w:tcPr>
            <w:tcW w:w="1186" w:type="dxa"/>
          </w:tcPr>
          <w:p>
            <w:pPr>
              <w:pStyle w:val="TableParagraph"/>
              <w:rPr>
                <w:rFonts w:ascii="Times New Roman"/>
                <w:sz w:val="14"/>
              </w:rPr>
            </w:pPr>
          </w:p>
        </w:tc>
      </w:tr>
      <w:tr>
        <w:trPr>
          <w:trHeight w:val="180" w:hRule="atLeast"/>
        </w:trPr>
        <w:tc>
          <w:tcPr>
            <w:tcW w:w="5434" w:type="dxa"/>
            <w:gridSpan w:val="2"/>
          </w:tcPr>
          <w:p>
            <w:pPr>
              <w:pStyle w:val="TableParagraph"/>
              <w:spacing w:line="159" w:lineRule="exact"/>
              <w:ind w:left="509"/>
              <w:rPr>
                <w:sz w:val="14"/>
              </w:rPr>
            </w:pPr>
            <w:r>
              <w:rPr>
                <w:sz w:val="14"/>
              </w:rPr>
              <w:t>Receipts</w:t>
            </w:r>
          </w:p>
        </w:tc>
        <w:tc>
          <w:tcPr>
            <w:tcW w:w="1967" w:type="dxa"/>
          </w:tcPr>
          <w:p>
            <w:pPr>
              <w:pStyle w:val="TableParagraph"/>
              <w:spacing w:line="159" w:lineRule="exact"/>
              <w:ind w:right="386"/>
              <w:jc w:val="right"/>
              <w:rPr>
                <w:sz w:val="14"/>
              </w:rPr>
            </w:pPr>
            <w:r>
              <w:rPr>
                <w:sz w:val="14"/>
              </w:rPr>
              <w:t>4,313</w:t>
            </w:r>
          </w:p>
        </w:tc>
        <w:tc>
          <w:tcPr>
            <w:tcW w:w="1529" w:type="dxa"/>
          </w:tcPr>
          <w:p>
            <w:pPr>
              <w:pStyle w:val="TableParagraph"/>
              <w:spacing w:line="159" w:lineRule="exact"/>
              <w:ind w:right="499"/>
              <w:jc w:val="right"/>
              <w:rPr>
                <w:sz w:val="14"/>
              </w:rPr>
            </w:pPr>
            <w:r>
              <w:rPr>
                <w:sz w:val="14"/>
              </w:rPr>
              <w:t>4,402</w:t>
            </w:r>
          </w:p>
        </w:tc>
        <w:tc>
          <w:tcPr>
            <w:tcW w:w="1492" w:type="dxa"/>
          </w:tcPr>
          <w:p>
            <w:pPr>
              <w:pStyle w:val="TableParagraph"/>
              <w:spacing w:line="159" w:lineRule="exact"/>
              <w:ind w:right="353"/>
              <w:jc w:val="right"/>
              <w:rPr>
                <w:sz w:val="14"/>
              </w:rPr>
            </w:pPr>
            <w:r>
              <w:rPr>
                <w:w w:val="95"/>
                <w:sz w:val="14"/>
              </w:rPr>
              <w:t>29,589</w:t>
            </w:r>
          </w:p>
        </w:tc>
        <w:tc>
          <w:tcPr>
            <w:tcW w:w="1360" w:type="dxa"/>
          </w:tcPr>
          <w:p>
            <w:pPr>
              <w:pStyle w:val="TableParagraph"/>
              <w:spacing w:line="159" w:lineRule="exact"/>
              <w:ind w:right="470"/>
              <w:jc w:val="right"/>
              <w:rPr>
                <w:sz w:val="14"/>
              </w:rPr>
            </w:pPr>
            <w:r>
              <w:rPr>
                <w:w w:val="95"/>
                <w:sz w:val="14"/>
              </w:rPr>
              <w:t>33,140</w:t>
            </w:r>
          </w:p>
        </w:tc>
        <w:tc>
          <w:tcPr>
            <w:tcW w:w="1265" w:type="dxa"/>
          </w:tcPr>
          <w:p>
            <w:pPr>
              <w:pStyle w:val="TableParagraph"/>
              <w:spacing w:line="159" w:lineRule="exact"/>
              <w:ind w:right="261"/>
              <w:jc w:val="right"/>
              <w:rPr>
                <w:sz w:val="14"/>
              </w:rPr>
            </w:pPr>
            <w:r>
              <w:rPr>
                <w:w w:val="95"/>
                <w:sz w:val="14"/>
              </w:rPr>
              <w:t>34,028</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Expenditure</w:t>
            </w:r>
          </w:p>
        </w:tc>
        <w:tc>
          <w:tcPr>
            <w:tcW w:w="1967" w:type="dxa"/>
          </w:tcPr>
          <w:p>
            <w:pPr>
              <w:pStyle w:val="TableParagraph"/>
              <w:spacing w:line="159" w:lineRule="exact"/>
              <w:ind w:right="386"/>
              <w:jc w:val="right"/>
              <w:rPr>
                <w:sz w:val="14"/>
              </w:rPr>
            </w:pPr>
            <w:r>
              <w:rPr>
                <w:sz w:val="14"/>
              </w:rPr>
              <w:t>5,061</w:t>
            </w:r>
          </w:p>
        </w:tc>
        <w:tc>
          <w:tcPr>
            <w:tcW w:w="1529" w:type="dxa"/>
          </w:tcPr>
          <w:p>
            <w:pPr>
              <w:pStyle w:val="TableParagraph"/>
              <w:spacing w:line="159" w:lineRule="exact"/>
              <w:ind w:right="499"/>
              <w:jc w:val="right"/>
              <w:rPr>
                <w:sz w:val="14"/>
              </w:rPr>
            </w:pPr>
            <w:r>
              <w:rPr>
                <w:sz w:val="14"/>
              </w:rPr>
              <w:t>2,908</w:t>
            </w:r>
          </w:p>
        </w:tc>
        <w:tc>
          <w:tcPr>
            <w:tcW w:w="1492" w:type="dxa"/>
          </w:tcPr>
          <w:p>
            <w:pPr>
              <w:pStyle w:val="TableParagraph"/>
              <w:spacing w:line="159" w:lineRule="exact"/>
              <w:ind w:right="353"/>
              <w:jc w:val="right"/>
              <w:rPr>
                <w:sz w:val="14"/>
              </w:rPr>
            </w:pPr>
            <w:r>
              <w:rPr>
                <w:w w:val="95"/>
                <w:sz w:val="14"/>
              </w:rPr>
              <w:t>27,237</w:t>
            </w:r>
          </w:p>
        </w:tc>
        <w:tc>
          <w:tcPr>
            <w:tcW w:w="1360" w:type="dxa"/>
          </w:tcPr>
          <w:p>
            <w:pPr>
              <w:pStyle w:val="TableParagraph"/>
              <w:spacing w:line="159" w:lineRule="exact"/>
              <w:ind w:right="470"/>
              <w:jc w:val="right"/>
              <w:rPr>
                <w:sz w:val="14"/>
              </w:rPr>
            </w:pPr>
            <w:r>
              <w:rPr>
                <w:w w:val="95"/>
                <w:sz w:val="14"/>
              </w:rPr>
              <w:t>29,977</w:t>
            </w:r>
          </w:p>
        </w:tc>
        <w:tc>
          <w:tcPr>
            <w:tcW w:w="1265" w:type="dxa"/>
          </w:tcPr>
          <w:p>
            <w:pPr>
              <w:pStyle w:val="TableParagraph"/>
              <w:spacing w:line="159" w:lineRule="exact"/>
              <w:ind w:right="261"/>
              <w:jc w:val="right"/>
              <w:rPr>
                <w:sz w:val="14"/>
              </w:rPr>
            </w:pPr>
            <w:r>
              <w:rPr>
                <w:w w:val="95"/>
                <w:sz w:val="14"/>
              </w:rPr>
              <w:t>30,505</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Net Profit (Loss)</w:t>
            </w:r>
          </w:p>
        </w:tc>
        <w:tc>
          <w:tcPr>
            <w:tcW w:w="1967" w:type="dxa"/>
          </w:tcPr>
          <w:p>
            <w:pPr>
              <w:pStyle w:val="TableParagraph"/>
              <w:spacing w:line="159" w:lineRule="exact"/>
              <w:ind w:right="380"/>
              <w:jc w:val="right"/>
              <w:rPr>
                <w:sz w:val="14"/>
              </w:rPr>
            </w:pPr>
            <w:r>
              <w:rPr>
                <w:w w:val="95"/>
                <w:sz w:val="14"/>
              </w:rPr>
              <w:t>(748)</w:t>
            </w:r>
          </w:p>
        </w:tc>
        <w:tc>
          <w:tcPr>
            <w:tcW w:w="1529" w:type="dxa"/>
          </w:tcPr>
          <w:p>
            <w:pPr>
              <w:pStyle w:val="TableParagraph"/>
              <w:spacing w:line="159" w:lineRule="exact"/>
              <w:ind w:right="499"/>
              <w:jc w:val="right"/>
              <w:rPr>
                <w:sz w:val="14"/>
              </w:rPr>
            </w:pPr>
            <w:r>
              <w:rPr>
                <w:sz w:val="14"/>
              </w:rPr>
              <w:t>1,494</w:t>
            </w:r>
          </w:p>
        </w:tc>
        <w:tc>
          <w:tcPr>
            <w:tcW w:w="1492" w:type="dxa"/>
          </w:tcPr>
          <w:p>
            <w:pPr>
              <w:pStyle w:val="TableParagraph"/>
              <w:spacing w:line="159" w:lineRule="exact"/>
              <w:ind w:right="349"/>
              <w:jc w:val="right"/>
              <w:rPr>
                <w:sz w:val="14"/>
              </w:rPr>
            </w:pPr>
            <w:r>
              <w:rPr>
                <w:sz w:val="14"/>
              </w:rPr>
              <w:t>2,353</w:t>
            </w:r>
          </w:p>
        </w:tc>
        <w:tc>
          <w:tcPr>
            <w:tcW w:w="1360" w:type="dxa"/>
          </w:tcPr>
          <w:p>
            <w:pPr>
              <w:pStyle w:val="TableParagraph"/>
              <w:spacing w:line="159" w:lineRule="exact"/>
              <w:ind w:right="461"/>
              <w:jc w:val="right"/>
              <w:rPr>
                <w:sz w:val="14"/>
              </w:rPr>
            </w:pPr>
            <w:r>
              <w:rPr>
                <w:sz w:val="14"/>
              </w:rPr>
              <w:t>3,163</w:t>
            </w:r>
          </w:p>
        </w:tc>
        <w:tc>
          <w:tcPr>
            <w:tcW w:w="1265" w:type="dxa"/>
          </w:tcPr>
          <w:p>
            <w:pPr>
              <w:pStyle w:val="TableParagraph"/>
              <w:spacing w:line="159" w:lineRule="exact"/>
              <w:ind w:right="253"/>
              <w:jc w:val="right"/>
              <w:rPr>
                <w:sz w:val="14"/>
              </w:rPr>
            </w:pPr>
            <w:r>
              <w:rPr>
                <w:sz w:val="14"/>
              </w:rPr>
              <w:t>3,523</w:t>
            </w:r>
          </w:p>
        </w:tc>
        <w:tc>
          <w:tcPr>
            <w:tcW w:w="1186" w:type="dxa"/>
          </w:tcPr>
          <w:p>
            <w:pPr>
              <w:pStyle w:val="TableParagraph"/>
              <w:spacing w:line="159" w:lineRule="exact"/>
              <w:ind w:right="56"/>
              <w:jc w:val="right"/>
              <w:rPr>
                <w:sz w:val="14"/>
              </w:rPr>
            </w:pPr>
            <w:r>
              <w:rPr>
                <w:sz w:val="14"/>
              </w:rPr>
              <w:t>Profit Making</w:t>
            </w:r>
          </w:p>
        </w:tc>
      </w:tr>
      <w:tr>
        <w:trPr>
          <w:trHeight w:val="268" w:hRule="atLeast"/>
        </w:trPr>
        <w:tc>
          <w:tcPr>
            <w:tcW w:w="5434" w:type="dxa"/>
            <w:gridSpan w:val="2"/>
          </w:tcPr>
          <w:p>
            <w:pPr>
              <w:pStyle w:val="TableParagraph"/>
              <w:spacing w:line="159" w:lineRule="exact"/>
              <w:ind w:left="509"/>
              <w:rPr>
                <w:sz w:val="14"/>
              </w:rPr>
            </w:pPr>
            <w:r>
              <w:rPr>
                <w:sz w:val="14"/>
              </w:rPr>
              <w:t>Subsidy from Government</w:t>
            </w:r>
          </w:p>
        </w:tc>
        <w:tc>
          <w:tcPr>
            <w:tcW w:w="1967" w:type="dxa"/>
          </w:tcPr>
          <w:p>
            <w:pPr>
              <w:pStyle w:val="TableParagraph"/>
              <w:spacing w:line="159" w:lineRule="exact"/>
              <w:ind w:right="376"/>
              <w:jc w:val="right"/>
              <w:rPr>
                <w:sz w:val="14"/>
              </w:rPr>
            </w:pPr>
            <w:r>
              <w:rPr>
                <w:w w:val="99"/>
                <w:sz w:val="14"/>
              </w:rPr>
              <w:t>-</w:t>
            </w:r>
          </w:p>
        </w:tc>
        <w:tc>
          <w:tcPr>
            <w:tcW w:w="1529" w:type="dxa"/>
          </w:tcPr>
          <w:p>
            <w:pPr>
              <w:pStyle w:val="TableParagraph"/>
              <w:spacing w:line="159" w:lineRule="exact"/>
              <w:ind w:right="489"/>
              <w:jc w:val="right"/>
              <w:rPr>
                <w:sz w:val="14"/>
              </w:rPr>
            </w:pPr>
            <w:r>
              <w:rPr>
                <w:w w:val="99"/>
                <w:sz w:val="14"/>
              </w:rPr>
              <w:t>-</w:t>
            </w:r>
          </w:p>
        </w:tc>
        <w:tc>
          <w:tcPr>
            <w:tcW w:w="1492" w:type="dxa"/>
          </w:tcPr>
          <w:p>
            <w:pPr>
              <w:pStyle w:val="TableParagraph"/>
              <w:spacing w:line="159" w:lineRule="exact"/>
              <w:ind w:right="340"/>
              <w:jc w:val="right"/>
              <w:rPr>
                <w:sz w:val="14"/>
              </w:rPr>
            </w:pPr>
            <w:r>
              <w:rPr>
                <w:w w:val="99"/>
                <w:sz w:val="14"/>
              </w:rPr>
              <w:t>-</w:t>
            </w:r>
          </w:p>
        </w:tc>
        <w:tc>
          <w:tcPr>
            <w:tcW w:w="1360" w:type="dxa"/>
          </w:tcPr>
          <w:p>
            <w:pPr>
              <w:pStyle w:val="TableParagraph"/>
              <w:spacing w:line="159" w:lineRule="exact"/>
              <w:ind w:right="452"/>
              <w:jc w:val="right"/>
              <w:rPr>
                <w:sz w:val="14"/>
              </w:rPr>
            </w:pPr>
            <w:r>
              <w:rPr>
                <w:w w:val="99"/>
                <w:sz w:val="14"/>
              </w:rPr>
              <w:t>-</w:t>
            </w:r>
          </w:p>
        </w:tc>
        <w:tc>
          <w:tcPr>
            <w:tcW w:w="1265" w:type="dxa"/>
          </w:tcPr>
          <w:p>
            <w:pPr>
              <w:pStyle w:val="TableParagraph"/>
              <w:spacing w:line="159" w:lineRule="exact"/>
              <w:ind w:right="243"/>
              <w:jc w:val="right"/>
              <w:rPr>
                <w:sz w:val="14"/>
              </w:rPr>
            </w:pPr>
            <w:r>
              <w:rPr>
                <w:w w:val="99"/>
                <w:sz w:val="14"/>
              </w:rPr>
              <w:t>-</w:t>
            </w:r>
          </w:p>
        </w:tc>
        <w:tc>
          <w:tcPr>
            <w:tcW w:w="1186" w:type="dxa"/>
          </w:tcPr>
          <w:p>
            <w:pPr>
              <w:pStyle w:val="TableParagraph"/>
              <w:rPr>
                <w:rFonts w:ascii="Times New Roman"/>
                <w:sz w:val="14"/>
              </w:rPr>
            </w:pPr>
          </w:p>
        </w:tc>
      </w:tr>
      <w:tr>
        <w:trPr>
          <w:trHeight w:val="271" w:hRule="atLeast"/>
        </w:trPr>
        <w:tc>
          <w:tcPr>
            <w:tcW w:w="5434" w:type="dxa"/>
            <w:gridSpan w:val="2"/>
          </w:tcPr>
          <w:p>
            <w:pPr>
              <w:pStyle w:val="TableParagraph"/>
              <w:spacing w:before="89"/>
              <w:ind w:left="34"/>
              <w:rPr>
                <w:sz w:val="14"/>
              </w:rPr>
            </w:pPr>
            <w:r>
              <w:rPr>
                <w:sz w:val="14"/>
              </w:rPr>
              <w:t>7. Sierra Leone Telecommunication Company Limited (SIERRATEL)</w:t>
            </w:r>
          </w:p>
        </w:tc>
        <w:tc>
          <w:tcPr>
            <w:tcW w:w="1967" w:type="dxa"/>
          </w:tcPr>
          <w:p>
            <w:pPr>
              <w:pStyle w:val="TableParagraph"/>
              <w:rPr>
                <w:rFonts w:ascii="Times New Roman"/>
                <w:sz w:val="14"/>
              </w:rPr>
            </w:pPr>
          </w:p>
        </w:tc>
        <w:tc>
          <w:tcPr>
            <w:tcW w:w="1529" w:type="dxa"/>
          </w:tcPr>
          <w:p>
            <w:pPr>
              <w:pStyle w:val="TableParagraph"/>
              <w:rPr>
                <w:rFonts w:ascii="Times New Roman"/>
                <w:sz w:val="14"/>
              </w:rPr>
            </w:pPr>
          </w:p>
        </w:tc>
        <w:tc>
          <w:tcPr>
            <w:tcW w:w="1492" w:type="dxa"/>
          </w:tcPr>
          <w:p>
            <w:pPr>
              <w:pStyle w:val="TableParagraph"/>
              <w:rPr>
                <w:rFonts w:ascii="Times New Roman"/>
                <w:sz w:val="14"/>
              </w:rPr>
            </w:pPr>
          </w:p>
        </w:tc>
        <w:tc>
          <w:tcPr>
            <w:tcW w:w="1360" w:type="dxa"/>
          </w:tcPr>
          <w:p>
            <w:pPr>
              <w:pStyle w:val="TableParagraph"/>
              <w:rPr>
                <w:rFonts w:ascii="Times New Roman"/>
                <w:sz w:val="14"/>
              </w:rPr>
            </w:pPr>
          </w:p>
        </w:tc>
        <w:tc>
          <w:tcPr>
            <w:tcW w:w="1265" w:type="dxa"/>
          </w:tcPr>
          <w:p>
            <w:pPr>
              <w:pStyle w:val="TableParagraph"/>
              <w:rPr>
                <w:rFonts w:ascii="Times New Roman"/>
                <w:sz w:val="14"/>
              </w:rPr>
            </w:pPr>
          </w:p>
        </w:tc>
        <w:tc>
          <w:tcPr>
            <w:tcW w:w="1186" w:type="dxa"/>
          </w:tcPr>
          <w:p>
            <w:pPr>
              <w:pStyle w:val="TableParagraph"/>
              <w:rPr>
                <w:rFonts w:ascii="Times New Roman"/>
                <w:sz w:val="14"/>
              </w:rPr>
            </w:pPr>
          </w:p>
        </w:tc>
      </w:tr>
      <w:tr>
        <w:trPr>
          <w:trHeight w:val="180" w:hRule="atLeast"/>
        </w:trPr>
        <w:tc>
          <w:tcPr>
            <w:tcW w:w="5434" w:type="dxa"/>
            <w:gridSpan w:val="2"/>
          </w:tcPr>
          <w:p>
            <w:pPr>
              <w:pStyle w:val="TableParagraph"/>
              <w:spacing w:line="159" w:lineRule="exact"/>
              <w:ind w:left="509"/>
              <w:rPr>
                <w:sz w:val="14"/>
              </w:rPr>
            </w:pPr>
            <w:r>
              <w:rPr>
                <w:sz w:val="14"/>
              </w:rPr>
              <w:t>Receipts</w:t>
            </w:r>
          </w:p>
        </w:tc>
        <w:tc>
          <w:tcPr>
            <w:tcW w:w="1967" w:type="dxa"/>
          </w:tcPr>
          <w:p>
            <w:pPr>
              <w:pStyle w:val="TableParagraph"/>
              <w:spacing w:line="159" w:lineRule="exact"/>
              <w:ind w:right="394"/>
              <w:jc w:val="right"/>
              <w:rPr>
                <w:sz w:val="14"/>
              </w:rPr>
            </w:pPr>
            <w:r>
              <w:rPr>
                <w:w w:val="95"/>
                <w:sz w:val="14"/>
              </w:rPr>
              <w:t>68,910</w:t>
            </w:r>
          </w:p>
        </w:tc>
        <w:tc>
          <w:tcPr>
            <w:tcW w:w="1529" w:type="dxa"/>
          </w:tcPr>
          <w:p>
            <w:pPr>
              <w:pStyle w:val="TableParagraph"/>
              <w:spacing w:line="159" w:lineRule="exact"/>
              <w:ind w:right="507"/>
              <w:jc w:val="right"/>
              <w:rPr>
                <w:sz w:val="14"/>
              </w:rPr>
            </w:pPr>
            <w:r>
              <w:rPr>
                <w:w w:val="95"/>
                <w:sz w:val="14"/>
              </w:rPr>
              <w:t>81,406</w:t>
            </w:r>
          </w:p>
        </w:tc>
        <w:tc>
          <w:tcPr>
            <w:tcW w:w="1492" w:type="dxa"/>
          </w:tcPr>
          <w:p>
            <w:pPr>
              <w:pStyle w:val="TableParagraph"/>
              <w:spacing w:line="159" w:lineRule="exact"/>
              <w:ind w:right="358"/>
              <w:jc w:val="right"/>
              <w:rPr>
                <w:sz w:val="14"/>
              </w:rPr>
            </w:pPr>
            <w:r>
              <w:rPr>
                <w:sz w:val="14"/>
              </w:rPr>
              <w:t>148,317</w:t>
            </w:r>
          </w:p>
        </w:tc>
        <w:tc>
          <w:tcPr>
            <w:tcW w:w="1360" w:type="dxa"/>
          </w:tcPr>
          <w:p>
            <w:pPr>
              <w:pStyle w:val="TableParagraph"/>
              <w:spacing w:line="159" w:lineRule="exact"/>
              <w:ind w:right="470"/>
              <w:jc w:val="right"/>
              <w:rPr>
                <w:sz w:val="14"/>
              </w:rPr>
            </w:pPr>
            <w:r>
              <w:rPr>
                <w:sz w:val="14"/>
              </w:rPr>
              <w:t>191,104</w:t>
            </w:r>
          </w:p>
        </w:tc>
        <w:tc>
          <w:tcPr>
            <w:tcW w:w="1265" w:type="dxa"/>
          </w:tcPr>
          <w:p>
            <w:pPr>
              <w:pStyle w:val="TableParagraph"/>
              <w:spacing w:line="159" w:lineRule="exact"/>
              <w:ind w:right="262"/>
              <w:jc w:val="right"/>
              <w:rPr>
                <w:sz w:val="14"/>
              </w:rPr>
            </w:pPr>
            <w:r>
              <w:rPr>
                <w:sz w:val="14"/>
              </w:rPr>
              <w:t>244,843</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Expenditure</w:t>
            </w:r>
          </w:p>
        </w:tc>
        <w:tc>
          <w:tcPr>
            <w:tcW w:w="1967" w:type="dxa"/>
          </w:tcPr>
          <w:p>
            <w:pPr>
              <w:pStyle w:val="TableParagraph"/>
              <w:spacing w:line="159" w:lineRule="exact"/>
              <w:ind w:right="394"/>
              <w:jc w:val="right"/>
              <w:rPr>
                <w:sz w:val="14"/>
              </w:rPr>
            </w:pPr>
            <w:r>
              <w:rPr>
                <w:w w:val="95"/>
                <w:sz w:val="14"/>
              </w:rPr>
              <w:t>62,024</w:t>
            </w:r>
          </w:p>
        </w:tc>
        <w:tc>
          <w:tcPr>
            <w:tcW w:w="1529" w:type="dxa"/>
          </w:tcPr>
          <w:p>
            <w:pPr>
              <w:pStyle w:val="TableParagraph"/>
              <w:spacing w:line="159" w:lineRule="exact"/>
              <w:ind w:right="507"/>
              <w:jc w:val="right"/>
              <w:rPr>
                <w:sz w:val="14"/>
              </w:rPr>
            </w:pPr>
            <w:r>
              <w:rPr>
                <w:w w:val="95"/>
                <w:sz w:val="14"/>
              </w:rPr>
              <w:t>92,484</w:t>
            </w:r>
          </w:p>
        </w:tc>
        <w:tc>
          <w:tcPr>
            <w:tcW w:w="1492" w:type="dxa"/>
          </w:tcPr>
          <w:p>
            <w:pPr>
              <w:pStyle w:val="TableParagraph"/>
              <w:spacing w:line="159" w:lineRule="exact"/>
              <w:ind w:right="358"/>
              <w:jc w:val="right"/>
              <w:rPr>
                <w:sz w:val="14"/>
              </w:rPr>
            </w:pPr>
            <w:r>
              <w:rPr>
                <w:sz w:val="14"/>
              </w:rPr>
              <w:t>106,913</w:t>
            </w:r>
          </w:p>
        </w:tc>
        <w:tc>
          <w:tcPr>
            <w:tcW w:w="1360" w:type="dxa"/>
          </w:tcPr>
          <w:p>
            <w:pPr>
              <w:pStyle w:val="TableParagraph"/>
              <w:spacing w:line="159" w:lineRule="exact"/>
              <w:ind w:right="470"/>
              <w:jc w:val="right"/>
              <w:rPr>
                <w:sz w:val="14"/>
              </w:rPr>
            </w:pPr>
            <w:r>
              <w:rPr>
                <w:sz w:val="14"/>
              </w:rPr>
              <w:t>144,688</w:t>
            </w:r>
          </w:p>
        </w:tc>
        <w:tc>
          <w:tcPr>
            <w:tcW w:w="1265" w:type="dxa"/>
          </w:tcPr>
          <w:p>
            <w:pPr>
              <w:pStyle w:val="TableParagraph"/>
              <w:spacing w:line="159" w:lineRule="exact"/>
              <w:ind w:right="262"/>
              <w:jc w:val="right"/>
              <w:rPr>
                <w:sz w:val="14"/>
              </w:rPr>
            </w:pPr>
            <w:r>
              <w:rPr>
                <w:sz w:val="14"/>
              </w:rPr>
              <w:t>186,601</w:t>
            </w:r>
          </w:p>
        </w:tc>
        <w:tc>
          <w:tcPr>
            <w:tcW w:w="1186" w:type="dxa"/>
          </w:tcPr>
          <w:p>
            <w:pPr>
              <w:pStyle w:val="TableParagraph"/>
              <w:rPr>
                <w:rFonts w:ascii="Times New Roman"/>
                <w:sz w:val="12"/>
              </w:rPr>
            </w:pPr>
          </w:p>
        </w:tc>
      </w:tr>
      <w:tr>
        <w:trPr>
          <w:trHeight w:val="180" w:hRule="atLeast"/>
        </w:trPr>
        <w:tc>
          <w:tcPr>
            <w:tcW w:w="5434" w:type="dxa"/>
            <w:gridSpan w:val="2"/>
          </w:tcPr>
          <w:p>
            <w:pPr>
              <w:pStyle w:val="TableParagraph"/>
              <w:spacing w:line="159" w:lineRule="exact"/>
              <w:ind w:left="509"/>
              <w:rPr>
                <w:sz w:val="14"/>
              </w:rPr>
            </w:pPr>
            <w:r>
              <w:rPr>
                <w:sz w:val="14"/>
              </w:rPr>
              <w:t>Net Profit (Loss)</w:t>
            </w:r>
          </w:p>
        </w:tc>
        <w:tc>
          <w:tcPr>
            <w:tcW w:w="1967" w:type="dxa"/>
          </w:tcPr>
          <w:p>
            <w:pPr>
              <w:pStyle w:val="TableParagraph"/>
              <w:spacing w:line="159" w:lineRule="exact"/>
              <w:ind w:right="386"/>
              <w:jc w:val="right"/>
              <w:rPr>
                <w:sz w:val="14"/>
              </w:rPr>
            </w:pPr>
            <w:r>
              <w:rPr>
                <w:sz w:val="14"/>
              </w:rPr>
              <w:t>6,886</w:t>
            </w:r>
          </w:p>
        </w:tc>
        <w:tc>
          <w:tcPr>
            <w:tcW w:w="1529" w:type="dxa"/>
          </w:tcPr>
          <w:p>
            <w:pPr>
              <w:pStyle w:val="TableParagraph"/>
              <w:spacing w:line="159" w:lineRule="exact"/>
              <w:ind w:right="509"/>
              <w:jc w:val="right"/>
              <w:rPr>
                <w:sz w:val="14"/>
              </w:rPr>
            </w:pPr>
            <w:r>
              <w:rPr>
                <w:w w:val="95"/>
                <w:sz w:val="14"/>
              </w:rPr>
              <w:t>(11,078)</w:t>
            </w:r>
          </w:p>
        </w:tc>
        <w:tc>
          <w:tcPr>
            <w:tcW w:w="1492" w:type="dxa"/>
          </w:tcPr>
          <w:p>
            <w:pPr>
              <w:pStyle w:val="TableParagraph"/>
              <w:spacing w:line="159" w:lineRule="exact"/>
              <w:ind w:right="353"/>
              <w:jc w:val="right"/>
              <w:rPr>
                <w:sz w:val="14"/>
              </w:rPr>
            </w:pPr>
            <w:r>
              <w:rPr>
                <w:w w:val="95"/>
                <w:sz w:val="14"/>
              </w:rPr>
              <w:t>41,404</w:t>
            </w:r>
          </w:p>
        </w:tc>
        <w:tc>
          <w:tcPr>
            <w:tcW w:w="1360" w:type="dxa"/>
          </w:tcPr>
          <w:p>
            <w:pPr>
              <w:pStyle w:val="TableParagraph"/>
              <w:spacing w:line="159" w:lineRule="exact"/>
              <w:ind w:right="470"/>
              <w:jc w:val="right"/>
              <w:rPr>
                <w:sz w:val="14"/>
              </w:rPr>
            </w:pPr>
            <w:r>
              <w:rPr>
                <w:w w:val="95"/>
                <w:sz w:val="14"/>
              </w:rPr>
              <w:t>46,416</w:t>
            </w:r>
          </w:p>
        </w:tc>
        <w:tc>
          <w:tcPr>
            <w:tcW w:w="1265" w:type="dxa"/>
          </w:tcPr>
          <w:p>
            <w:pPr>
              <w:pStyle w:val="TableParagraph"/>
              <w:spacing w:line="159" w:lineRule="exact"/>
              <w:ind w:right="261"/>
              <w:jc w:val="right"/>
              <w:rPr>
                <w:sz w:val="14"/>
              </w:rPr>
            </w:pPr>
            <w:r>
              <w:rPr>
                <w:w w:val="95"/>
                <w:sz w:val="14"/>
              </w:rPr>
              <w:t>58,242</w:t>
            </w:r>
          </w:p>
        </w:tc>
        <w:tc>
          <w:tcPr>
            <w:tcW w:w="1186" w:type="dxa"/>
          </w:tcPr>
          <w:p>
            <w:pPr>
              <w:pStyle w:val="TableParagraph"/>
              <w:spacing w:line="159" w:lineRule="exact"/>
              <w:ind w:right="37"/>
              <w:jc w:val="right"/>
              <w:rPr>
                <w:sz w:val="14"/>
              </w:rPr>
            </w:pPr>
            <w:r>
              <w:rPr>
                <w:sz w:val="14"/>
              </w:rPr>
              <w:t>Break Even</w:t>
            </w:r>
          </w:p>
        </w:tc>
      </w:tr>
      <w:tr>
        <w:trPr>
          <w:trHeight w:val="268" w:hRule="atLeast"/>
        </w:trPr>
        <w:tc>
          <w:tcPr>
            <w:tcW w:w="5434" w:type="dxa"/>
            <w:gridSpan w:val="2"/>
          </w:tcPr>
          <w:p>
            <w:pPr>
              <w:pStyle w:val="TableParagraph"/>
              <w:spacing w:line="159" w:lineRule="exact"/>
              <w:ind w:left="509"/>
              <w:rPr>
                <w:sz w:val="14"/>
              </w:rPr>
            </w:pPr>
            <w:r>
              <w:rPr>
                <w:sz w:val="14"/>
              </w:rPr>
              <w:t>Subsidy from Government</w:t>
            </w:r>
          </w:p>
        </w:tc>
        <w:tc>
          <w:tcPr>
            <w:tcW w:w="1967" w:type="dxa"/>
          </w:tcPr>
          <w:p>
            <w:pPr>
              <w:pStyle w:val="TableParagraph"/>
              <w:spacing w:line="159" w:lineRule="exact"/>
              <w:ind w:right="376"/>
              <w:jc w:val="right"/>
              <w:rPr>
                <w:sz w:val="14"/>
              </w:rPr>
            </w:pPr>
            <w:r>
              <w:rPr>
                <w:w w:val="99"/>
                <w:sz w:val="14"/>
              </w:rPr>
              <w:t>-</w:t>
            </w:r>
          </w:p>
        </w:tc>
        <w:tc>
          <w:tcPr>
            <w:tcW w:w="1529" w:type="dxa"/>
          </w:tcPr>
          <w:p>
            <w:pPr>
              <w:pStyle w:val="TableParagraph"/>
              <w:spacing w:line="159" w:lineRule="exact"/>
              <w:ind w:right="489"/>
              <w:jc w:val="right"/>
              <w:rPr>
                <w:sz w:val="14"/>
              </w:rPr>
            </w:pPr>
            <w:r>
              <w:rPr>
                <w:w w:val="99"/>
                <w:sz w:val="14"/>
              </w:rPr>
              <w:t>-</w:t>
            </w:r>
          </w:p>
        </w:tc>
        <w:tc>
          <w:tcPr>
            <w:tcW w:w="1492" w:type="dxa"/>
          </w:tcPr>
          <w:p>
            <w:pPr>
              <w:pStyle w:val="TableParagraph"/>
              <w:spacing w:line="159" w:lineRule="exact"/>
              <w:ind w:right="340"/>
              <w:jc w:val="right"/>
              <w:rPr>
                <w:sz w:val="14"/>
              </w:rPr>
            </w:pPr>
            <w:r>
              <w:rPr>
                <w:w w:val="99"/>
                <w:sz w:val="14"/>
              </w:rPr>
              <w:t>-</w:t>
            </w:r>
          </w:p>
        </w:tc>
        <w:tc>
          <w:tcPr>
            <w:tcW w:w="1360" w:type="dxa"/>
          </w:tcPr>
          <w:p>
            <w:pPr>
              <w:pStyle w:val="TableParagraph"/>
              <w:spacing w:line="159" w:lineRule="exact"/>
              <w:ind w:right="452"/>
              <w:jc w:val="right"/>
              <w:rPr>
                <w:sz w:val="14"/>
              </w:rPr>
            </w:pPr>
            <w:r>
              <w:rPr>
                <w:w w:val="99"/>
                <w:sz w:val="14"/>
              </w:rPr>
              <w:t>-</w:t>
            </w:r>
          </w:p>
        </w:tc>
        <w:tc>
          <w:tcPr>
            <w:tcW w:w="1265" w:type="dxa"/>
          </w:tcPr>
          <w:p>
            <w:pPr>
              <w:pStyle w:val="TableParagraph"/>
              <w:spacing w:line="159" w:lineRule="exact"/>
              <w:ind w:right="243"/>
              <w:jc w:val="right"/>
              <w:rPr>
                <w:sz w:val="14"/>
              </w:rPr>
            </w:pPr>
            <w:r>
              <w:rPr>
                <w:w w:val="99"/>
                <w:sz w:val="14"/>
              </w:rPr>
              <w:t>-</w:t>
            </w:r>
          </w:p>
        </w:tc>
        <w:tc>
          <w:tcPr>
            <w:tcW w:w="1186" w:type="dxa"/>
          </w:tcPr>
          <w:p>
            <w:pPr>
              <w:pStyle w:val="TableParagraph"/>
              <w:rPr>
                <w:rFonts w:ascii="Times New Roman"/>
                <w:sz w:val="14"/>
              </w:rPr>
            </w:pPr>
          </w:p>
        </w:tc>
      </w:tr>
      <w:tr>
        <w:trPr>
          <w:trHeight w:val="271" w:hRule="atLeast"/>
        </w:trPr>
        <w:tc>
          <w:tcPr>
            <w:tcW w:w="248" w:type="dxa"/>
          </w:tcPr>
          <w:p>
            <w:pPr>
              <w:pStyle w:val="TableParagraph"/>
              <w:spacing w:before="89"/>
              <w:ind w:left="78"/>
              <w:rPr>
                <w:sz w:val="14"/>
              </w:rPr>
            </w:pPr>
            <w:r>
              <w:rPr>
                <w:w w:val="99"/>
                <w:sz w:val="14"/>
              </w:rPr>
              <w:t>8</w:t>
            </w:r>
          </w:p>
        </w:tc>
        <w:tc>
          <w:tcPr>
            <w:tcW w:w="5186" w:type="dxa"/>
          </w:tcPr>
          <w:p>
            <w:pPr>
              <w:pStyle w:val="TableParagraph"/>
              <w:spacing w:before="89"/>
              <w:ind w:left="93"/>
              <w:rPr>
                <w:sz w:val="14"/>
              </w:rPr>
            </w:pPr>
            <w:r>
              <w:rPr>
                <w:sz w:val="14"/>
              </w:rPr>
              <w:t>Sierra Leone Road Transport Corporation (SLRTC)</w:t>
            </w:r>
          </w:p>
        </w:tc>
        <w:tc>
          <w:tcPr>
            <w:tcW w:w="1967" w:type="dxa"/>
          </w:tcPr>
          <w:p>
            <w:pPr>
              <w:pStyle w:val="TableParagraph"/>
              <w:rPr>
                <w:rFonts w:ascii="Times New Roman"/>
                <w:sz w:val="14"/>
              </w:rPr>
            </w:pPr>
          </w:p>
        </w:tc>
        <w:tc>
          <w:tcPr>
            <w:tcW w:w="1529" w:type="dxa"/>
          </w:tcPr>
          <w:p>
            <w:pPr>
              <w:pStyle w:val="TableParagraph"/>
              <w:rPr>
                <w:rFonts w:ascii="Times New Roman"/>
                <w:sz w:val="14"/>
              </w:rPr>
            </w:pPr>
          </w:p>
        </w:tc>
        <w:tc>
          <w:tcPr>
            <w:tcW w:w="1492" w:type="dxa"/>
          </w:tcPr>
          <w:p>
            <w:pPr>
              <w:pStyle w:val="TableParagraph"/>
              <w:rPr>
                <w:rFonts w:ascii="Times New Roman"/>
                <w:sz w:val="14"/>
              </w:rPr>
            </w:pPr>
          </w:p>
        </w:tc>
        <w:tc>
          <w:tcPr>
            <w:tcW w:w="1360" w:type="dxa"/>
          </w:tcPr>
          <w:p>
            <w:pPr>
              <w:pStyle w:val="TableParagraph"/>
              <w:rPr>
                <w:rFonts w:ascii="Times New Roman"/>
                <w:sz w:val="14"/>
              </w:rPr>
            </w:pPr>
          </w:p>
        </w:tc>
        <w:tc>
          <w:tcPr>
            <w:tcW w:w="1265" w:type="dxa"/>
          </w:tcPr>
          <w:p>
            <w:pPr>
              <w:pStyle w:val="TableParagraph"/>
              <w:rPr>
                <w:rFonts w:ascii="Times New Roman"/>
                <w:sz w:val="14"/>
              </w:rPr>
            </w:pPr>
          </w:p>
        </w:tc>
        <w:tc>
          <w:tcPr>
            <w:tcW w:w="1186" w:type="dxa"/>
          </w:tcPr>
          <w:p>
            <w:pPr>
              <w:pStyle w:val="TableParagraph"/>
              <w:rPr>
                <w:rFonts w:ascii="Times New Roman"/>
                <w:sz w:val="14"/>
              </w:rPr>
            </w:pPr>
          </w:p>
        </w:tc>
      </w:tr>
      <w:tr>
        <w:trPr>
          <w:trHeight w:val="180" w:hRule="atLeast"/>
        </w:trPr>
        <w:tc>
          <w:tcPr>
            <w:tcW w:w="248" w:type="dxa"/>
          </w:tcPr>
          <w:p>
            <w:pPr>
              <w:pStyle w:val="TableParagraph"/>
              <w:rPr>
                <w:rFonts w:ascii="Times New Roman"/>
                <w:sz w:val="12"/>
              </w:rPr>
            </w:pPr>
          </w:p>
        </w:tc>
        <w:tc>
          <w:tcPr>
            <w:tcW w:w="5186" w:type="dxa"/>
          </w:tcPr>
          <w:p>
            <w:pPr>
              <w:pStyle w:val="TableParagraph"/>
              <w:spacing w:line="159" w:lineRule="exact"/>
              <w:ind w:left="261"/>
              <w:rPr>
                <w:sz w:val="14"/>
              </w:rPr>
            </w:pPr>
            <w:r>
              <w:rPr>
                <w:sz w:val="14"/>
              </w:rPr>
              <w:t>Receipts</w:t>
            </w:r>
          </w:p>
        </w:tc>
        <w:tc>
          <w:tcPr>
            <w:tcW w:w="1967" w:type="dxa"/>
          </w:tcPr>
          <w:p>
            <w:pPr>
              <w:pStyle w:val="TableParagraph"/>
              <w:spacing w:line="159" w:lineRule="exact"/>
              <w:ind w:right="394"/>
              <w:jc w:val="right"/>
              <w:rPr>
                <w:sz w:val="14"/>
              </w:rPr>
            </w:pPr>
            <w:r>
              <w:rPr>
                <w:w w:val="95"/>
                <w:sz w:val="14"/>
              </w:rPr>
              <w:t>11,817</w:t>
            </w:r>
          </w:p>
        </w:tc>
        <w:tc>
          <w:tcPr>
            <w:tcW w:w="1529" w:type="dxa"/>
          </w:tcPr>
          <w:p>
            <w:pPr>
              <w:pStyle w:val="TableParagraph"/>
              <w:spacing w:line="159" w:lineRule="exact"/>
              <w:ind w:right="507"/>
              <w:jc w:val="right"/>
              <w:rPr>
                <w:sz w:val="14"/>
              </w:rPr>
            </w:pPr>
            <w:r>
              <w:rPr>
                <w:w w:val="95"/>
                <w:sz w:val="14"/>
              </w:rPr>
              <w:t>17,031</w:t>
            </w:r>
          </w:p>
        </w:tc>
        <w:tc>
          <w:tcPr>
            <w:tcW w:w="1492" w:type="dxa"/>
          </w:tcPr>
          <w:p>
            <w:pPr>
              <w:pStyle w:val="TableParagraph"/>
              <w:spacing w:line="159" w:lineRule="exact"/>
              <w:ind w:right="353"/>
              <w:jc w:val="right"/>
              <w:rPr>
                <w:sz w:val="14"/>
              </w:rPr>
            </w:pPr>
            <w:r>
              <w:rPr>
                <w:w w:val="95"/>
                <w:sz w:val="14"/>
              </w:rPr>
              <w:t>28,080</w:t>
            </w:r>
          </w:p>
        </w:tc>
        <w:tc>
          <w:tcPr>
            <w:tcW w:w="1360" w:type="dxa"/>
          </w:tcPr>
          <w:p>
            <w:pPr>
              <w:pStyle w:val="TableParagraph"/>
              <w:spacing w:line="159" w:lineRule="exact"/>
              <w:ind w:right="470"/>
              <w:jc w:val="right"/>
              <w:rPr>
                <w:sz w:val="14"/>
              </w:rPr>
            </w:pPr>
            <w:r>
              <w:rPr>
                <w:w w:val="95"/>
                <w:sz w:val="14"/>
              </w:rPr>
              <w:t>25,272</w:t>
            </w:r>
          </w:p>
        </w:tc>
        <w:tc>
          <w:tcPr>
            <w:tcW w:w="1265" w:type="dxa"/>
          </w:tcPr>
          <w:p>
            <w:pPr>
              <w:pStyle w:val="TableParagraph"/>
              <w:spacing w:line="159" w:lineRule="exact"/>
              <w:ind w:right="261"/>
              <w:jc w:val="right"/>
              <w:rPr>
                <w:sz w:val="14"/>
              </w:rPr>
            </w:pPr>
            <w:r>
              <w:rPr>
                <w:w w:val="95"/>
                <w:sz w:val="14"/>
              </w:rPr>
              <w:t>23,868</w:t>
            </w:r>
          </w:p>
        </w:tc>
        <w:tc>
          <w:tcPr>
            <w:tcW w:w="1186" w:type="dxa"/>
          </w:tcPr>
          <w:p>
            <w:pPr>
              <w:pStyle w:val="TableParagraph"/>
              <w:rPr>
                <w:rFonts w:ascii="Times New Roman"/>
                <w:sz w:val="12"/>
              </w:rPr>
            </w:pPr>
          </w:p>
        </w:tc>
      </w:tr>
      <w:tr>
        <w:trPr>
          <w:trHeight w:val="180" w:hRule="atLeast"/>
        </w:trPr>
        <w:tc>
          <w:tcPr>
            <w:tcW w:w="248" w:type="dxa"/>
          </w:tcPr>
          <w:p>
            <w:pPr>
              <w:pStyle w:val="TableParagraph"/>
              <w:rPr>
                <w:rFonts w:ascii="Times New Roman"/>
                <w:sz w:val="12"/>
              </w:rPr>
            </w:pPr>
          </w:p>
        </w:tc>
        <w:tc>
          <w:tcPr>
            <w:tcW w:w="5186" w:type="dxa"/>
          </w:tcPr>
          <w:p>
            <w:pPr>
              <w:pStyle w:val="TableParagraph"/>
              <w:spacing w:line="159" w:lineRule="exact"/>
              <w:ind w:left="261"/>
              <w:rPr>
                <w:sz w:val="14"/>
              </w:rPr>
            </w:pPr>
            <w:r>
              <w:rPr>
                <w:sz w:val="14"/>
              </w:rPr>
              <w:t>Expenditure</w:t>
            </w:r>
          </w:p>
        </w:tc>
        <w:tc>
          <w:tcPr>
            <w:tcW w:w="1967" w:type="dxa"/>
          </w:tcPr>
          <w:p>
            <w:pPr>
              <w:pStyle w:val="TableParagraph"/>
              <w:spacing w:line="159" w:lineRule="exact"/>
              <w:ind w:right="394"/>
              <w:jc w:val="right"/>
              <w:rPr>
                <w:sz w:val="14"/>
              </w:rPr>
            </w:pPr>
            <w:r>
              <w:rPr>
                <w:w w:val="95"/>
                <w:sz w:val="14"/>
              </w:rPr>
              <w:t>17,507</w:t>
            </w:r>
          </w:p>
        </w:tc>
        <w:tc>
          <w:tcPr>
            <w:tcW w:w="1529" w:type="dxa"/>
          </w:tcPr>
          <w:p>
            <w:pPr>
              <w:pStyle w:val="TableParagraph"/>
              <w:spacing w:line="159" w:lineRule="exact"/>
              <w:ind w:right="507"/>
              <w:jc w:val="right"/>
              <w:rPr>
                <w:sz w:val="14"/>
              </w:rPr>
            </w:pPr>
            <w:r>
              <w:rPr>
                <w:w w:val="95"/>
                <w:sz w:val="14"/>
              </w:rPr>
              <w:t>18,057</w:t>
            </w:r>
          </w:p>
        </w:tc>
        <w:tc>
          <w:tcPr>
            <w:tcW w:w="1492" w:type="dxa"/>
          </w:tcPr>
          <w:p>
            <w:pPr>
              <w:pStyle w:val="TableParagraph"/>
              <w:spacing w:line="159" w:lineRule="exact"/>
              <w:ind w:right="353"/>
              <w:jc w:val="right"/>
              <w:rPr>
                <w:sz w:val="14"/>
              </w:rPr>
            </w:pPr>
            <w:r>
              <w:rPr>
                <w:w w:val="95"/>
                <w:sz w:val="14"/>
              </w:rPr>
              <w:t>27,616</w:t>
            </w:r>
          </w:p>
        </w:tc>
        <w:tc>
          <w:tcPr>
            <w:tcW w:w="1360" w:type="dxa"/>
          </w:tcPr>
          <w:p>
            <w:pPr>
              <w:pStyle w:val="TableParagraph"/>
              <w:spacing w:line="159" w:lineRule="exact"/>
              <w:ind w:right="470"/>
              <w:jc w:val="right"/>
              <w:rPr>
                <w:sz w:val="14"/>
              </w:rPr>
            </w:pPr>
            <w:r>
              <w:rPr>
                <w:w w:val="95"/>
                <w:sz w:val="14"/>
              </w:rPr>
              <w:t>25,793</w:t>
            </w:r>
          </w:p>
        </w:tc>
        <w:tc>
          <w:tcPr>
            <w:tcW w:w="1265" w:type="dxa"/>
          </w:tcPr>
          <w:p>
            <w:pPr>
              <w:pStyle w:val="TableParagraph"/>
              <w:spacing w:line="159" w:lineRule="exact"/>
              <w:ind w:right="261"/>
              <w:jc w:val="right"/>
              <w:rPr>
                <w:sz w:val="14"/>
              </w:rPr>
            </w:pPr>
            <w:r>
              <w:rPr>
                <w:w w:val="95"/>
                <w:sz w:val="14"/>
              </w:rPr>
              <w:t>25,792</w:t>
            </w:r>
          </w:p>
        </w:tc>
        <w:tc>
          <w:tcPr>
            <w:tcW w:w="1186" w:type="dxa"/>
          </w:tcPr>
          <w:p>
            <w:pPr>
              <w:pStyle w:val="TableParagraph"/>
              <w:rPr>
                <w:rFonts w:ascii="Times New Roman"/>
                <w:sz w:val="12"/>
              </w:rPr>
            </w:pPr>
          </w:p>
        </w:tc>
      </w:tr>
      <w:tr>
        <w:trPr>
          <w:trHeight w:val="203" w:hRule="atLeast"/>
        </w:trPr>
        <w:tc>
          <w:tcPr>
            <w:tcW w:w="248" w:type="dxa"/>
          </w:tcPr>
          <w:p>
            <w:pPr>
              <w:pStyle w:val="TableParagraph"/>
              <w:rPr>
                <w:rFonts w:ascii="Times New Roman"/>
                <w:sz w:val="14"/>
              </w:rPr>
            </w:pPr>
          </w:p>
        </w:tc>
        <w:tc>
          <w:tcPr>
            <w:tcW w:w="5186" w:type="dxa"/>
          </w:tcPr>
          <w:p>
            <w:pPr>
              <w:pStyle w:val="TableParagraph"/>
              <w:ind w:left="261"/>
              <w:rPr>
                <w:sz w:val="14"/>
              </w:rPr>
            </w:pPr>
            <w:r>
              <w:rPr>
                <w:sz w:val="14"/>
              </w:rPr>
              <w:t>Net Profit (Loss)</w:t>
            </w:r>
          </w:p>
        </w:tc>
        <w:tc>
          <w:tcPr>
            <w:tcW w:w="1967" w:type="dxa"/>
          </w:tcPr>
          <w:p>
            <w:pPr>
              <w:pStyle w:val="TableParagraph"/>
              <w:ind w:right="387"/>
              <w:jc w:val="right"/>
              <w:rPr>
                <w:sz w:val="14"/>
              </w:rPr>
            </w:pPr>
            <w:r>
              <w:rPr>
                <w:w w:val="95"/>
                <w:sz w:val="14"/>
              </w:rPr>
              <w:t>(5,690)</w:t>
            </w:r>
          </w:p>
        </w:tc>
        <w:tc>
          <w:tcPr>
            <w:tcW w:w="1529" w:type="dxa"/>
          </w:tcPr>
          <w:p>
            <w:pPr>
              <w:pStyle w:val="TableParagraph"/>
              <w:ind w:right="500"/>
              <w:jc w:val="right"/>
              <w:rPr>
                <w:sz w:val="14"/>
              </w:rPr>
            </w:pPr>
            <w:r>
              <w:rPr>
                <w:w w:val="95"/>
                <w:sz w:val="14"/>
              </w:rPr>
              <w:t>(1,027)</w:t>
            </w:r>
          </w:p>
        </w:tc>
        <w:tc>
          <w:tcPr>
            <w:tcW w:w="1492" w:type="dxa"/>
          </w:tcPr>
          <w:p>
            <w:pPr>
              <w:pStyle w:val="TableParagraph"/>
              <w:ind w:right="337"/>
              <w:jc w:val="right"/>
              <w:rPr>
                <w:sz w:val="14"/>
              </w:rPr>
            </w:pPr>
            <w:r>
              <w:rPr>
                <w:sz w:val="14"/>
              </w:rPr>
              <w:t>464</w:t>
            </w:r>
          </w:p>
        </w:tc>
        <w:tc>
          <w:tcPr>
            <w:tcW w:w="1360" w:type="dxa"/>
          </w:tcPr>
          <w:p>
            <w:pPr>
              <w:pStyle w:val="TableParagraph"/>
              <w:ind w:right="455"/>
              <w:jc w:val="right"/>
              <w:rPr>
                <w:sz w:val="14"/>
              </w:rPr>
            </w:pPr>
            <w:r>
              <w:rPr>
                <w:w w:val="95"/>
                <w:sz w:val="14"/>
              </w:rPr>
              <w:t>(521)</w:t>
            </w:r>
          </w:p>
        </w:tc>
        <w:tc>
          <w:tcPr>
            <w:tcW w:w="1265" w:type="dxa"/>
          </w:tcPr>
          <w:p>
            <w:pPr>
              <w:pStyle w:val="TableParagraph"/>
              <w:ind w:right="254"/>
              <w:jc w:val="right"/>
              <w:rPr>
                <w:sz w:val="14"/>
              </w:rPr>
            </w:pPr>
            <w:r>
              <w:rPr>
                <w:w w:val="95"/>
                <w:sz w:val="14"/>
              </w:rPr>
              <w:t>(1,924)</w:t>
            </w:r>
          </w:p>
        </w:tc>
        <w:tc>
          <w:tcPr>
            <w:tcW w:w="1186" w:type="dxa"/>
          </w:tcPr>
          <w:p>
            <w:pPr>
              <w:pStyle w:val="TableParagraph"/>
              <w:ind w:right="36"/>
              <w:jc w:val="right"/>
              <w:rPr>
                <w:sz w:val="14"/>
              </w:rPr>
            </w:pPr>
            <w:r>
              <w:rPr>
                <w:sz w:val="14"/>
              </w:rPr>
              <w:t>Break Even</w:t>
            </w:r>
          </w:p>
        </w:tc>
      </w:tr>
    </w:tbl>
    <w:p>
      <w:pPr>
        <w:spacing w:after="0"/>
        <w:jc w:val="right"/>
        <w:rPr>
          <w:sz w:val="14"/>
        </w:rPr>
        <w:sectPr>
          <w:headerReference w:type="default" r:id="rId17"/>
          <w:pgSz w:w="16840" w:h="11900" w:orient="landscape"/>
          <w:pgMar w:header="1088" w:footer="0" w:top="1500" w:bottom="280" w:left="880" w:right="920"/>
        </w:sectPr>
      </w:pPr>
    </w:p>
    <w:p>
      <w:pPr>
        <w:pStyle w:val="BodyText"/>
        <w:spacing w:before="10"/>
        <w:rPr>
          <w:rFonts w:ascii="Times New Roman"/>
          <w:sz w:val="6"/>
        </w:rPr>
      </w:pPr>
      <w:r>
        <w:rPr/>
        <w:pict>
          <v:shape style="position:absolute;margin-left:27.140491pt;margin-top:286.350006pt;width:14.35pt;height:19.3pt;mso-position-horizontal-relative:page;mso-position-vertical-relative:page;z-index:2416" type="#_x0000_t202" filled="false" stroked="false">
            <v:textbox inset="0,0,0,0" style="layout-flow:vertical">
              <w:txbxContent>
                <w:p>
                  <w:pPr>
                    <w:spacing w:before="13"/>
                    <w:ind w:left="20" w:right="0" w:firstLine="0"/>
                    <w:jc w:val="left"/>
                    <w:rPr>
                      <w:rFonts w:ascii="Arial"/>
                      <w:sz w:val="22"/>
                    </w:rPr>
                  </w:pPr>
                  <w:r>
                    <w:rPr>
                      <w:rFonts w:ascii="Arial"/>
                      <w:sz w:val="22"/>
                    </w:rPr>
                    <w:t>xliv</w:t>
                  </w:r>
                </w:p>
              </w:txbxContent>
            </v:textbox>
            <w10:wrap type="none"/>
          </v:shape>
        </w:pict>
      </w:r>
    </w:p>
    <w:tbl>
      <w:tblPr>
        <w:tblW w:w="0" w:type="auto"/>
        <w:jc w:val="left"/>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3"/>
        <w:gridCol w:w="2772"/>
        <w:gridCol w:w="1560"/>
        <w:gridCol w:w="1408"/>
        <w:gridCol w:w="1371"/>
        <w:gridCol w:w="1300"/>
        <w:gridCol w:w="1485"/>
      </w:tblGrid>
      <w:tr>
        <w:trPr>
          <w:trHeight w:val="217" w:hRule="atLeast"/>
        </w:trPr>
        <w:tc>
          <w:tcPr>
            <w:tcW w:w="4893" w:type="dxa"/>
            <w:tcBorders>
              <w:top w:val="single" w:sz="18" w:space="0" w:color="000000"/>
            </w:tcBorders>
          </w:tcPr>
          <w:p>
            <w:pPr>
              <w:pStyle w:val="TableParagraph"/>
              <w:rPr>
                <w:rFonts w:ascii="Times New Roman"/>
                <w:sz w:val="14"/>
              </w:rPr>
            </w:pPr>
          </w:p>
        </w:tc>
        <w:tc>
          <w:tcPr>
            <w:tcW w:w="2772" w:type="dxa"/>
            <w:tcBorders>
              <w:top w:val="single" w:sz="18" w:space="0" w:color="000000"/>
            </w:tcBorders>
          </w:tcPr>
          <w:p>
            <w:pPr>
              <w:pStyle w:val="TableParagraph"/>
              <w:spacing w:before="26"/>
              <w:ind w:right="488"/>
              <w:jc w:val="right"/>
              <w:rPr>
                <w:b/>
                <w:sz w:val="14"/>
              </w:rPr>
            </w:pPr>
            <w:r>
              <w:rPr>
                <w:b/>
                <w:w w:val="95"/>
                <w:sz w:val="14"/>
              </w:rPr>
              <w:t>Actual</w:t>
            </w:r>
          </w:p>
        </w:tc>
        <w:tc>
          <w:tcPr>
            <w:tcW w:w="1560" w:type="dxa"/>
            <w:tcBorders>
              <w:top w:val="single" w:sz="18" w:space="0" w:color="000000"/>
            </w:tcBorders>
          </w:tcPr>
          <w:p>
            <w:pPr>
              <w:pStyle w:val="TableParagraph"/>
              <w:spacing w:before="26"/>
              <w:ind w:right="509"/>
              <w:jc w:val="right"/>
              <w:rPr>
                <w:b/>
                <w:sz w:val="14"/>
              </w:rPr>
            </w:pPr>
            <w:r>
              <w:rPr>
                <w:b/>
                <w:sz w:val="14"/>
              </w:rPr>
              <w:t>Estimate</w:t>
            </w:r>
          </w:p>
        </w:tc>
        <w:tc>
          <w:tcPr>
            <w:tcW w:w="1408" w:type="dxa"/>
            <w:tcBorders>
              <w:top w:val="single" w:sz="18" w:space="0" w:color="000000"/>
            </w:tcBorders>
          </w:tcPr>
          <w:p>
            <w:pPr>
              <w:pStyle w:val="TableParagraph"/>
              <w:spacing w:before="26"/>
              <w:ind w:right="378"/>
              <w:jc w:val="right"/>
              <w:rPr>
                <w:b/>
                <w:sz w:val="14"/>
              </w:rPr>
            </w:pPr>
            <w:r>
              <w:rPr>
                <w:b/>
                <w:w w:val="95"/>
                <w:sz w:val="14"/>
              </w:rPr>
              <w:t>Budget</w:t>
            </w:r>
          </w:p>
        </w:tc>
        <w:tc>
          <w:tcPr>
            <w:tcW w:w="2671" w:type="dxa"/>
            <w:gridSpan w:val="2"/>
            <w:tcBorders>
              <w:top w:val="single" w:sz="18" w:space="0" w:color="000000"/>
            </w:tcBorders>
          </w:tcPr>
          <w:p>
            <w:pPr>
              <w:pStyle w:val="TableParagraph"/>
              <w:tabs>
                <w:tab w:pos="1746" w:val="left" w:leader="none"/>
              </w:tabs>
              <w:spacing w:before="26"/>
              <w:ind w:left="330"/>
              <w:rPr>
                <w:b/>
                <w:sz w:val="14"/>
              </w:rPr>
            </w:pPr>
            <w:r>
              <w:rPr>
                <w:b/>
                <w:spacing w:val="4"/>
                <w:sz w:val="14"/>
              </w:rPr>
              <w:t>Indicative</w:t>
              <w:tab/>
              <w:t>Indicative</w:t>
            </w:r>
          </w:p>
        </w:tc>
        <w:tc>
          <w:tcPr>
            <w:tcW w:w="1485" w:type="dxa"/>
            <w:tcBorders>
              <w:top w:val="single" w:sz="18" w:space="0" w:color="000000"/>
            </w:tcBorders>
          </w:tcPr>
          <w:p>
            <w:pPr>
              <w:pStyle w:val="TableParagraph"/>
              <w:rPr>
                <w:rFonts w:ascii="Times New Roman"/>
                <w:sz w:val="14"/>
              </w:rPr>
            </w:pPr>
          </w:p>
        </w:tc>
      </w:tr>
      <w:tr>
        <w:trPr>
          <w:trHeight w:val="462" w:hRule="atLeast"/>
        </w:trPr>
        <w:tc>
          <w:tcPr>
            <w:tcW w:w="4893" w:type="dxa"/>
            <w:tcBorders>
              <w:bottom w:val="single" w:sz="18" w:space="0" w:color="000000"/>
            </w:tcBorders>
          </w:tcPr>
          <w:p>
            <w:pPr>
              <w:pStyle w:val="TableParagraph"/>
              <w:spacing w:before="7"/>
              <w:rPr>
                <w:rFonts w:ascii="Times New Roman"/>
                <w:sz w:val="17"/>
              </w:rPr>
            </w:pPr>
          </w:p>
          <w:p>
            <w:pPr>
              <w:pStyle w:val="TableParagraph"/>
              <w:ind w:left="857"/>
              <w:rPr>
                <w:b/>
                <w:sz w:val="14"/>
              </w:rPr>
            </w:pPr>
            <w:r>
              <w:rPr>
                <w:b/>
                <w:sz w:val="14"/>
              </w:rPr>
              <w:t>State-Owned Enterprise</w:t>
            </w:r>
          </w:p>
        </w:tc>
        <w:tc>
          <w:tcPr>
            <w:tcW w:w="2772" w:type="dxa"/>
            <w:tcBorders>
              <w:bottom w:val="single" w:sz="18" w:space="0" w:color="000000"/>
            </w:tcBorders>
          </w:tcPr>
          <w:p>
            <w:pPr>
              <w:pStyle w:val="TableParagraph"/>
              <w:spacing w:before="25"/>
              <w:ind w:right="551"/>
              <w:jc w:val="right"/>
              <w:rPr>
                <w:b/>
                <w:sz w:val="14"/>
              </w:rPr>
            </w:pPr>
            <w:r>
              <w:rPr>
                <w:b/>
                <w:w w:val="95"/>
                <w:sz w:val="14"/>
              </w:rPr>
              <w:t>2018</w:t>
            </w:r>
          </w:p>
        </w:tc>
        <w:tc>
          <w:tcPr>
            <w:tcW w:w="1560" w:type="dxa"/>
            <w:tcBorders>
              <w:bottom w:val="single" w:sz="18" w:space="0" w:color="000000"/>
            </w:tcBorders>
          </w:tcPr>
          <w:p>
            <w:pPr>
              <w:pStyle w:val="TableParagraph"/>
              <w:spacing w:before="25"/>
              <w:ind w:left="583" w:right="624"/>
              <w:jc w:val="center"/>
              <w:rPr>
                <w:b/>
                <w:sz w:val="14"/>
              </w:rPr>
            </w:pPr>
            <w:r>
              <w:rPr>
                <w:b/>
                <w:sz w:val="14"/>
              </w:rPr>
              <w:t>2019</w:t>
            </w:r>
          </w:p>
        </w:tc>
        <w:tc>
          <w:tcPr>
            <w:tcW w:w="1408" w:type="dxa"/>
            <w:tcBorders>
              <w:bottom w:val="single" w:sz="18" w:space="0" w:color="000000"/>
            </w:tcBorders>
          </w:tcPr>
          <w:p>
            <w:pPr>
              <w:pStyle w:val="TableParagraph"/>
              <w:spacing w:before="25"/>
              <w:ind w:left="624"/>
              <w:rPr>
                <w:b/>
                <w:sz w:val="14"/>
              </w:rPr>
            </w:pPr>
            <w:r>
              <w:rPr>
                <w:b/>
                <w:sz w:val="14"/>
              </w:rPr>
              <w:t>2020</w:t>
            </w:r>
          </w:p>
        </w:tc>
        <w:tc>
          <w:tcPr>
            <w:tcW w:w="2671" w:type="dxa"/>
            <w:gridSpan w:val="2"/>
            <w:tcBorders>
              <w:bottom w:val="single" w:sz="18" w:space="0" w:color="000000"/>
            </w:tcBorders>
          </w:tcPr>
          <w:p>
            <w:pPr>
              <w:pStyle w:val="TableParagraph"/>
              <w:tabs>
                <w:tab w:pos="1937" w:val="left" w:leader="none"/>
              </w:tabs>
              <w:spacing w:before="25"/>
              <w:ind w:left="517"/>
              <w:rPr>
                <w:b/>
                <w:sz w:val="14"/>
              </w:rPr>
            </w:pPr>
            <w:r>
              <w:rPr>
                <w:b/>
                <w:spacing w:val="3"/>
                <w:sz w:val="14"/>
              </w:rPr>
              <w:t>2021</w:t>
              <w:tab/>
              <w:t>2022</w:t>
            </w:r>
          </w:p>
        </w:tc>
        <w:tc>
          <w:tcPr>
            <w:tcW w:w="1485" w:type="dxa"/>
            <w:tcBorders>
              <w:bottom w:val="single" w:sz="18" w:space="0" w:color="000000"/>
            </w:tcBorders>
          </w:tcPr>
          <w:p>
            <w:pPr>
              <w:pStyle w:val="TableParagraph"/>
              <w:spacing w:before="25"/>
              <w:ind w:right="347"/>
              <w:jc w:val="right"/>
              <w:rPr>
                <w:b/>
                <w:sz w:val="14"/>
              </w:rPr>
            </w:pPr>
            <w:r>
              <w:rPr>
                <w:b/>
                <w:w w:val="95"/>
                <w:sz w:val="14"/>
              </w:rPr>
              <w:t>Comments</w:t>
            </w:r>
          </w:p>
        </w:tc>
      </w:tr>
      <w:tr>
        <w:trPr>
          <w:trHeight w:val="370" w:hRule="atLeast"/>
        </w:trPr>
        <w:tc>
          <w:tcPr>
            <w:tcW w:w="4893" w:type="dxa"/>
            <w:tcBorders>
              <w:top w:val="single" w:sz="18" w:space="0" w:color="000000"/>
            </w:tcBorders>
          </w:tcPr>
          <w:p>
            <w:pPr>
              <w:pStyle w:val="TableParagraph"/>
              <w:spacing w:before="107"/>
              <w:ind w:left="728"/>
              <w:rPr>
                <w:sz w:val="14"/>
              </w:rPr>
            </w:pPr>
            <w:r>
              <w:rPr>
                <w:sz w:val="14"/>
              </w:rPr>
              <w:t>Subsidy from Government</w:t>
            </w:r>
          </w:p>
        </w:tc>
        <w:tc>
          <w:tcPr>
            <w:tcW w:w="2772" w:type="dxa"/>
            <w:tcBorders>
              <w:top w:val="single" w:sz="18" w:space="0" w:color="000000"/>
            </w:tcBorders>
          </w:tcPr>
          <w:p>
            <w:pPr>
              <w:pStyle w:val="TableParagraph"/>
              <w:spacing w:before="107"/>
              <w:ind w:right="431"/>
              <w:jc w:val="right"/>
              <w:rPr>
                <w:sz w:val="14"/>
              </w:rPr>
            </w:pPr>
            <w:r>
              <w:rPr>
                <w:sz w:val="14"/>
              </w:rPr>
              <w:t>5,640</w:t>
            </w:r>
          </w:p>
        </w:tc>
        <w:tc>
          <w:tcPr>
            <w:tcW w:w="1560" w:type="dxa"/>
            <w:tcBorders>
              <w:top w:val="single" w:sz="18" w:space="0" w:color="000000"/>
            </w:tcBorders>
          </w:tcPr>
          <w:p>
            <w:pPr>
              <w:pStyle w:val="TableParagraph"/>
              <w:spacing w:before="107"/>
              <w:ind w:right="575"/>
              <w:jc w:val="right"/>
              <w:rPr>
                <w:sz w:val="14"/>
              </w:rPr>
            </w:pPr>
            <w:r>
              <w:rPr>
                <w:sz w:val="14"/>
              </w:rPr>
              <w:t>3,971</w:t>
            </w:r>
          </w:p>
        </w:tc>
        <w:tc>
          <w:tcPr>
            <w:tcW w:w="1408" w:type="dxa"/>
            <w:tcBorders>
              <w:top w:val="single" w:sz="18" w:space="0" w:color="000000"/>
            </w:tcBorders>
          </w:tcPr>
          <w:p>
            <w:pPr>
              <w:pStyle w:val="TableParagraph"/>
              <w:spacing w:before="107"/>
              <w:ind w:right="341"/>
              <w:jc w:val="right"/>
              <w:rPr>
                <w:sz w:val="14"/>
              </w:rPr>
            </w:pPr>
            <w:r>
              <w:rPr>
                <w:sz w:val="14"/>
              </w:rPr>
              <w:t>3,000</w:t>
            </w:r>
          </w:p>
        </w:tc>
        <w:tc>
          <w:tcPr>
            <w:tcW w:w="2671" w:type="dxa"/>
            <w:gridSpan w:val="2"/>
            <w:tcBorders>
              <w:top w:val="single" w:sz="18" w:space="0" w:color="000000"/>
            </w:tcBorders>
          </w:tcPr>
          <w:p>
            <w:pPr>
              <w:pStyle w:val="TableParagraph"/>
              <w:tabs>
                <w:tab w:pos="2341" w:val="left" w:leader="none"/>
              </w:tabs>
              <w:spacing w:before="107"/>
              <w:ind w:left="867"/>
              <w:rPr>
                <w:sz w:val="14"/>
              </w:rPr>
            </w:pPr>
            <w:r>
              <w:rPr>
                <w:sz w:val="14"/>
              </w:rPr>
              <w:t>-</w:t>
              <w:tab/>
              <w:t>-</w:t>
            </w:r>
          </w:p>
        </w:tc>
        <w:tc>
          <w:tcPr>
            <w:tcW w:w="1485" w:type="dxa"/>
            <w:tcBorders>
              <w:top w:val="single" w:sz="18" w:space="0" w:color="000000"/>
            </w:tcBorders>
          </w:tcPr>
          <w:p>
            <w:pPr>
              <w:pStyle w:val="TableParagraph"/>
              <w:rPr>
                <w:rFonts w:ascii="Times New Roman"/>
                <w:sz w:val="14"/>
              </w:rPr>
            </w:pPr>
          </w:p>
        </w:tc>
      </w:tr>
      <w:tr>
        <w:trPr>
          <w:trHeight w:val="448" w:hRule="atLeast"/>
        </w:trPr>
        <w:tc>
          <w:tcPr>
            <w:tcW w:w="4893" w:type="dxa"/>
          </w:tcPr>
          <w:p>
            <w:pPr>
              <w:pStyle w:val="TableParagraph"/>
              <w:spacing w:line="170" w:lineRule="atLeast" w:before="88"/>
              <w:ind w:left="728" w:right="1516" w:hanging="475"/>
              <w:rPr>
                <w:sz w:val="14"/>
              </w:rPr>
            </w:pPr>
            <w:r>
              <w:rPr>
                <w:sz w:val="14"/>
              </w:rPr>
              <w:t>9. Sierra Leone Commercial Bank (SLCB) Receipts</w:t>
            </w:r>
          </w:p>
        </w:tc>
        <w:tc>
          <w:tcPr>
            <w:tcW w:w="2772" w:type="dxa"/>
          </w:tcPr>
          <w:p>
            <w:pPr>
              <w:pStyle w:val="TableParagraph"/>
              <w:spacing w:before="10"/>
              <w:rPr>
                <w:rFonts w:ascii="Times New Roman"/>
                <w:sz w:val="23"/>
              </w:rPr>
            </w:pPr>
          </w:p>
          <w:p>
            <w:pPr>
              <w:pStyle w:val="TableParagraph"/>
              <w:spacing w:line="154" w:lineRule="exact"/>
              <w:ind w:right="445"/>
              <w:jc w:val="right"/>
              <w:rPr>
                <w:sz w:val="14"/>
              </w:rPr>
            </w:pPr>
            <w:r>
              <w:rPr>
                <w:sz w:val="14"/>
              </w:rPr>
              <w:t>190,025</w:t>
            </w:r>
          </w:p>
        </w:tc>
        <w:tc>
          <w:tcPr>
            <w:tcW w:w="1560" w:type="dxa"/>
          </w:tcPr>
          <w:p>
            <w:pPr>
              <w:pStyle w:val="TableParagraph"/>
              <w:spacing w:before="10"/>
              <w:rPr>
                <w:rFonts w:ascii="Times New Roman"/>
                <w:sz w:val="23"/>
              </w:rPr>
            </w:pPr>
          </w:p>
          <w:p>
            <w:pPr>
              <w:pStyle w:val="TableParagraph"/>
              <w:spacing w:line="154" w:lineRule="exact"/>
              <w:ind w:right="589"/>
              <w:jc w:val="right"/>
              <w:rPr>
                <w:sz w:val="14"/>
              </w:rPr>
            </w:pPr>
            <w:r>
              <w:rPr>
                <w:sz w:val="14"/>
              </w:rPr>
              <w:t>214,830</w:t>
            </w:r>
          </w:p>
        </w:tc>
        <w:tc>
          <w:tcPr>
            <w:tcW w:w="1408" w:type="dxa"/>
          </w:tcPr>
          <w:p>
            <w:pPr>
              <w:pStyle w:val="TableParagraph"/>
              <w:spacing w:before="10"/>
              <w:rPr>
                <w:rFonts w:ascii="Times New Roman"/>
                <w:sz w:val="23"/>
              </w:rPr>
            </w:pPr>
          </w:p>
          <w:p>
            <w:pPr>
              <w:pStyle w:val="TableParagraph"/>
              <w:spacing w:line="154" w:lineRule="exact"/>
              <w:ind w:right="350"/>
              <w:jc w:val="right"/>
              <w:rPr>
                <w:sz w:val="14"/>
              </w:rPr>
            </w:pPr>
            <w:r>
              <w:rPr>
                <w:sz w:val="14"/>
              </w:rPr>
              <w:t>240,361</w:t>
            </w:r>
          </w:p>
        </w:tc>
        <w:tc>
          <w:tcPr>
            <w:tcW w:w="2671" w:type="dxa"/>
            <w:gridSpan w:val="2"/>
          </w:tcPr>
          <w:p>
            <w:pPr>
              <w:pStyle w:val="TableParagraph"/>
              <w:spacing w:before="10"/>
              <w:rPr>
                <w:rFonts w:ascii="Times New Roman"/>
                <w:sz w:val="23"/>
              </w:rPr>
            </w:pPr>
          </w:p>
          <w:p>
            <w:pPr>
              <w:pStyle w:val="TableParagraph"/>
              <w:tabs>
                <w:tab w:pos="1822" w:val="left" w:leader="none"/>
              </w:tabs>
              <w:spacing w:line="154" w:lineRule="exact"/>
              <w:ind w:left="349"/>
              <w:rPr>
                <w:sz w:val="14"/>
              </w:rPr>
            </w:pPr>
            <w:r>
              <w:rPr>
                <w:spacing w:val="5"/>
                <w:sz w:val="14"/>
              </w:rPr>
              <w:t>249,985</w:t>
              <w:tab/>
              <w:t>281,800</w:t>
            </w:r>
          </w:p>
        </w:tc>
        <w:tc>
          <w:tcPr>
            <w:tcW w:w="1485" w:type="dxa"/>
          </w:tcPr>
          <w:p>
            <w:pPr>
              <w:pStyle w:val="TableParagraph"/>
              <w:rPr>
                <w:rFonts w:ascii="Times New Roman"/>
                <w:sz w:val="14"/>
              </w:rPr>
            </w:pPr>
          </w:p>
        </w:tc>
      </w:tr>
      <w:tr>
        <w:trPr>
          <w:trHeight w:val="180" w:hRule="atLeast"/>
        </w:trPr>
        <w:tc>
          <w:tcPr>
            <w:tcW w:w="4893" w:type="dxa"/>
          </w:tcPr>
          <w:p>
            <w:pPr>
              <w:pStyle w:val="TableParagraph"/>
              <w:spacing w:line="152" w:lineRule="exact" w:before="8"/>
              <w:ind w:left="728"/>
              <w:rPr>
                <w:sz w:val="14"/>
              </w:rPr>
            </w:pPr>
            <w:r>
              <w:rPr>
                <w:sz w:val="14"/>
              </w:rPr>
              <w:t>Expenditure</w:t>
            </w:r>
          </w:p>
        </w:tc>
        <w:tc>
          <w:tcPr>
            <w:tcW w:w="2772" w:type="dxa"/>
          </w:tcPr>
          <w:p>
            <w:pPr>
              <w:pStyle w:val="TableParagraph"/>
              <w:spacing w:line="152" w:lineRule="exact" w:before="8"/>
              <w:ind w:right="445"/>
              <w:jc w:val="right"/>
              <w:rPr>
                <w:sz w:val="14"/>
              </w:rPr>
            </w:pPr>
            <w:r>
              <w:rPr>
                <w:sz w:val="14"/>
              </w:rPr>
              <w:t>144,290</w:t>
            </w:r>
          </w:p>
        </w:tc>
        <w:tc>
          <w:tcPr>
            <w:tcW w:w="1560" w:type="dxa"/>
          </w:tcPr>
          <w:p>
            <w:pPr>
              <w:pStyle w:val="TableParagraph"/>
              <w:spacing w:line="152" w:lineRule="exact" w:before="8"/>
              <w:ind w:right="589"/>
              <w:jc w:val="right"/>
              <w:rPr>
                <w:sz w:val="14"/>
              </w:rPr>
            </w:pPr>
            <w:r>
              <w:rPr>
                <w:sz w:val="14"/>
              </w:rPr>
              <w:t>109,320</w:t>
            </w:r>
          </w:p>
        </w:tc>
        <w:tc>
          <w:tcPr>
            <w:tcW w:w="1408" w:type="dxa"/>
          </w:tcPr>
          <w:p>
            <w:pPr>
              <w:pStyle w:val="TableParagraph"/>
              <w:spacing w:line="152" w:lineRule="exact" w:before="8"/>
              <w:ind w:right="350"/>
              <w:jc w:val="right"/>
              <w:rPr>
                <w:sz w:val="14"/>
              </w:rPr>
            </w:pPr>
            <w:r>
              <w:rPr>
                <w:sz w:val="14"/>
              </w:rPr>
              <w:t>116,417</w:t>
            </w:r>
          </w:p>
        </w:tc>
        <w:tc>
          <w:tcPr>
            <w:tcW w:w="2671" w:type="dxa"/>
            <w:gridSpan w:val="2"/>
          </w:tcPr>
          <w:p>
            <w:pPr>
              <w:pStyle w:val="TableParagraph"/>
              <w:tabs>
                <w:tab w:pos="1822" w:val="left" w:leader="none"/>
              </w:tabs>
              <w:spacing w:line="152" w:lineRule="exact" w:before="8"/>
              <w:ind w:left="349"/>
              <w:rPr>
                <w:sz w:val="14"/>
              </w:rPr>
            </w:pPr>
            <w:r>
              <w:rPr>
                <w:spacing w:val="5"/>
                <w:sz w:val="14"/>
              </w:rPr>
              <w:t>124,162</w:t>
              <w:tab/>
              <w:t>132,567</w:t>
            </w:r>
          </w:p>
        </w:tc>
        <w:tc>
          <w:tcPr>
            <w:tcW w:w="1485" w:type="dxa"/>
          </w:tcPr>
          <w:p>
            <w:pPr>
              <w:pStyle w:val="TableParagraph"/>
              <w:rPr>
                <w:rFonts w:ascii="Times New Roman"/>
                <w:sz w:val="12"/>
              </w:rPr>
            </w:pPr>
          </w:p>
        </w:tc>
      </w:tr>
      <w:tr>
        <w:trPr>
          <w:trHeight w:val="180" w:hRule="atLeast"/>
        </w:trPr>
        <w:tc>
          <w:tcPr>
            <w:tcW w:w="4893" w:type="dxa"/>
          </w:tcPr>
          <w:p>
            <w:pPr>
              <w:pStyle w:val="TableParagraph"/>
              <w:spacing w:line="154" w:lineRule="exact" w:before="5"/>
              <w:ind w:left="728"/>
              <w:rPr>
                <w:sz w:val="14"/>
              </w:rPr>
            </w:pPr>
            <w:r>
              <w:rPr>
                <w:sz w:val="14"/>
              </w:rPr>
              <w:t>Net Profit (Loss)</w:t>
            </w:r>
          </w:p>
        </w:tc>
        <w:tc>
          <w:tcPr>
            <w:tcW w:w="2772" w:type="dxa"/>
          </w:tcPr>
          <w:p>
            <w:pPr>
              <w:pStyle w:val="TableParagraph"/>
              <w:spacing w:line="154" w:lineRule="exact" w:before="5"/>
              <w:ind w:right="439"/>
              <w:jc w:val="right"/>
              <w:rPr>
                <w:sz w:val="14"/>
              </w:rPr>
            </w:pPr>
            <w:r>
              <w:rPr>
                <w:w w:val="95"/>
                <w:sz w:val="14"/>
              </w:rPr>
              <w:t>45,735</w:t>
            </w:r>
          </w:p>
        </w:tc>
        <w:tc>
          <w:tcPr>
            <w:tcW w:w="1560" w:type="dxa"/>
          </w:tcPr>
          <w:p>
            <w:pPr>
              <w:pStyle w:val="TableParagraph"/>
              <w:spacing w:line="154" w:lineRule="exact" w:before="5"/>
              <w:ind w:right="589"/>
              <w:jc w:val="right"/>
              <w:rPr>
                <w:sz w:val="14"/>
              </w:rPr>
            </w:pPr>
            <w:r>
              <w:rPr>
                <w:sz w:val="14"/>
              </w:rPr>
              <w:t>105,510</w:t>
            </w:r>
          </w:p>
        </w:tc>
        <w:tc>
          <w:tcPr>
            <w:tcW w:w="1408" w:type="dxa"/>
          </w:tcPr>
          <w:p>
            <w:pPr>
              <w:pStyle w:val="TableParagraph"/>
              <w:spacing w:line="154" w:lineRule="exact" w:before="5"/>
              <w:ind w:right="350"/>
              <w:jc w:val="right"/>
              <w:rPr>
                <w:sz w:val="14"/>
              </w:rPr>
            </w:pPr>
            <w:r>
              <w:rPr>
                <w:sz w:val="14"/>
              </w:rPr>
              <w:t>123,944</w:t>
            </w:r>
          </w:p>
        </w:tc>
        <w:tc>
          <w:tcPr>
            <w:tcW w:w="2671" w:type="dxa"/>
            <w:gridSpan w:val="2"/>
          </w:tcPr>
          <w:p>
            <w:pPr>
              <w:pStyle w:val="TableParagraph"/>
              <w:tabs>
                <w:tab w:pos="1822" w:val="left" w:leader="none"/>
              </w:tabs>
              <w:spacing w:line="154" w:lineRule="exact" w:before="5"/>
              <w:ind w:left="349"/>
              <w:rPr>
                <w:sz w:val="14"/>
              </w:rPr>
            </w:pPr>
            <w:r>
              <w:rPr>
                <w:spacing w:val="5"/>
                <w:sz w:val="14"/>
              </w:rPr>
              <w:t>125,823</w:t>
              <w:tab/>
              <w:t>149,233</w:t>
            </w:r>
          </w:p>
        </w:tc>
        <w:tc>
          <w:tcPr>
            <w:tcW w:w="1485" w:type="dxa"/>
          </w:tcPr>
          <w:p>
            <w:pPr>
              <w:pStyle w:val="TableParagraph"/>
              <w:spacing w:line="154" w:lineRule="exact" w:before="5"/>
              <w:ind w:right="387"/>
              <w:jc w:val="right"/>
              <w:rPr>
                <w:sz w:val="14"/>
              </w:rPr>
            </w:pPr>
            <w:r>
              <w:rPr>
                <w:sz w:val="14"/>
              </w:rPr>
              <w:t>Profit Making</w:t>
            </w:r>
          </w:p>
        </w:tc>
      </w:tr>
      <w:tr>
        <w:trPr>
          <w:trHeight w:val="203" w:hRule="atLeast"/>
        </w:trPr>
        <w:tc>
          <w:tcPr>
            <w:tcW w:w="4893" w:type="dxa"/>
          </w:tcPr>
          <w:p>
            <w:pPr>
              <w:pStyle w:val="TableParagraph"/>
              <w:spacing w:before="8"/>
              <w:ind w:left="728"/>
              <w:rPr>
                <w:sz w:val="14"/>
              </w:rPr>
            </w:pPr>
            <w:r>
              <w:rPr>
                <w:sz w:val="14"/>
              </w:rPr>
              <w:t>Subsidy from Government</w:t>
            </w:r>
          </w:p>
        </w:tc>
        <w:tc>
          <w:tcPr>
            <w:tcW w:w="2772" w:type="dxa"/>
          </w:tcPr>
          <w:p>
            <w:pPr>
              <w:pStyle w:val="TableParagraph"/>
              <w:spacing w:before="8"/>
              <w:ind w:right="421"/>
              <w:jc w:val="right"/>
              <w:rPr>
                <w:sz w:val="14"/>
              </w:rPr>
            </w:pPr>
            <w:r>
              <w:rPr>
                <w:w w:val="99"/>
                <w:sz w:val="14"/>
              </w:rPr>
              <w:t>-</w:t>
            </w:r>
          </w:p>
        </w:tc>
        <w:tc>
          <w:tcPr>
            <w:tcW w:w="1560" w:type="dxa"/>
          </w:tcPr>
          <w:p>
            <w:pPr>
              <w:pStyle w:val="TableParagraph"/>
              <w:spacing w:before="8"/>
              <w:ind w:right="565"/>
              <w:jc w:val="right"/>
              <w:rPr>
                <w:sz w:val="14"/>
              </w:rPr>
            </w:pPr>
            <w:r>
              <w:rPr>
                <w:w w:val="99"/>
                <w:sz w:val="14"/>
              </w:rPr>
              <w:t>-</w:t>
            </w:r>
          </w:p>
        </w:tc>
        <w:tc>
          <w:tcPr>
            <w:tcW w:w="1408" w:type="dxa"/>
          </w:tcPr>
          <w:p>
            <w:pPr>
              <w:pStyle w:val="TableParagraph"/>
              <w:spacing w:before="8"/>
              <w:ind w:right="332"/>
              <w:jc w:val="right"/>
              <w:rPr>
                <w:sz w:val="14"/>
              </w:rPr>
            </w:pPr>
            <w:r>
              <w:rPr>
                <w:w w:val="99"/>
                <w:sz w:val="14"/>
              </w:rPr>
              <w:t>-</w:t>
            </w:r>
          </w:p>
        </w:tc>
        <w:tc>
          <w:tcPr>
            <w:tcW w:w="2671" w:type="dxa"/>
            <w:gridSpan w:val="2"/>
          </w:tcPr>
          <w:p>
            <w:pPr>
              <w:pStyle w:val="TableParagraph"/>
              <w:tabs>
                <w:tab w:pos="2341" w:val="left" w:leader="none"/>
              </w:tabs>
              <w:spacing w:before="8"/>
              <w:ind w:left="867"/>
              <w:rPr>
                <w:sz w:val="14"/>
              </w:rPr>
            </w:pPr>
            <w:r>
              <w:rPr>
                <w:sz w:val="14"/>
              </w:rPr>
              <w:t>-</w:t>
              <w:tab/>
              <w:t>-</w:t>
            </w:r>
          </w:p>
        </w:tc>
        <w:tc>
          <w:tcPr>
            <w:tcW w:w="1485" w:type="dxa"/>
          </w:tcPr>
          <w:p>
            <w:pPr>
              <w:pStyle w:val="TableParagraph"/>
              <w:rPr>
                <w:rFonts w:ascii="Times New Roman"/>
                <w:sz w:val="14"/>
              </w:rPr>
            </w:pPr>
          </w:p>
        </w:tc>
      </w:tr>
      <w:tr>
        <w:trPr>
          <w:trHeight w:val="336" w:hRule="atLeast"/>
        </w:trPr>
        <w:tc>
          <w:tcPr>
            <w:tcW w:w="4893" w:type="dxa"/>
          </w:tcPr>
          <w:p>
            <w:pPr>
              <w:pStyle w:val="TableParagraph"/>
              <w:spacing w:before="3"/>
              <w:rPr>
                <w:rFonts w:ascii="Times New Roman"/>
                <w:sz w:val="14"/>
              </w:rPr>
            </w:pPr>
          </w:p>
          <w:p>
            <w:pPr>
              <w:pStyle w:val="TableParagraph"/>
              <w:spacing w:line="152" w:lineRule="exact"/>
              <w:ind w:left="162"/>
              <w:rPr>
                <w:sz w:val="14"/>
              </w:rPr>
            </w:pPr>
            <w:r>
              <w:rPr>
                <w:sz w:val="14"/>
              </w:rPr>
              <w:t>10. Rokel Commercial Bank (RCB)</w:t>
            </w:r>
          </w:p>
        </w:tc>
        <w:tc>
          <w:tcPr>
            <w:tcW w:w="2772" w:type="dxa"/>
          </w:tcPr>
          <w:p>
            <w:pPr>
              <w:pStyle w:val="TableParagraph"/>
              <w:rPr>
                <w:rFonts w:ascii="Times New Roman"/>
                <w:sz w:val="14"/>
              </w:rPr>
            </w:pPr>
          </w:p>
        </w:tc>
        <w:tc>
          <w:tcPr>
            <w:tcW w:w="1560" w:type="dxa"/>
          </w:tcPr>
          <w:p>
            <w:pPr>
              <w:pStyle w:val="TableParagraph"/>
              <w:rPr>
                <w:rFonts w:ascii="Times New Roman"/>
                <w:sz w:val="14"/>
              </w:rPr>
            </w:pPr>
          </w:p>
        </w:tc>
        <w:tc>
          <w:tcPr>
            <w:tcW w:w="1408" w:type="dxa"/>
          </w:tcPr>
          <w:p>
            <w:pPr>
              <w:pStyle w:val="TableParagraph"/>
              <w:rPr>
                <w:rFonts w:ascii="Times New Roman"/>
                <w:sz w:val="14"/>
              </w:rPr>
            </w:pPr>
          </w:p>
        </w:tc>
        <w:tc>
          <w:tcPr>
            <w:tcW w:w="2671" w:type="dxa"/>
            <w:gridSpan w:val="2"/>
          </w:tcPr>
          <w:p>
            <w:pPr>
              <w:pStyle w:val="TableParagraph"/>
              <w:rPr>
                <w:rFonts w:ascii="Times New Roman"/>
                <w:sz w:val="14"/>
              </w:rPr>
            </w:pPr>
          </w:p>
        </w:tc>
        <w:tc>
          <w:tcPr>
            <w:tcW w:w="1485" w:type="dxa"/>
          </w:tcPr>
          <w:p>
            <w:pPr>
              <w:pStyle w:val="TableParagraph"/>
              <w:rPr>
                <w:rFonts w:ascii="Times New Roman"/>
                <w:sz w:val="14"/>
              </w:rPr>
            </w:pPr>
          </w:p>
        </w:tc>
      </w:tr>
      <w:tr>
        <w:trPr>
          <w:trHeight w:val="180" w:hRule="atLeast"/>
        </w:trPr>
        <w:tc>
          <w:tcPr>
            <w:tcW w:w="4893" w:type="dxa"/>
          </w:tcPr>
          <w:p>
            <w:pPr>
              <w:pStyle w:val="TableParagraph"/>
              <w:spacing w:line="154" w:lineRule="exact" w:before="5"/>
              <w:ind w:left="728"/>
              <w:rPr>
                <w:sz w:val="14"/>
              </w:rPr>
            </w:pPr>
            <w:r>
              <w:rPr>
                <w:sz w:val="14"/>
              </w:rPr>
              <w:t>Receipts</w:t>
            </w:r>
          </w:p>
        </w:tc>
        <w:tc>
          <w:tcPr>
            <w:tcW w:w="2772" w:type="dxa"/>
          </w:tcPr>
          <w:p>
            <w:pPr>
              <w:pStyle w:val="TableParagraph"/>
              <w:spacing w:line="154" w:lineRule="exact" w:before="5"/>
              <w:ind w:right="445"/>
              <w:jc w:val="right"/>
              <w:rPr>
                <w:sz w:val="14"/>
              </w:rPr>
            </w:pPr>
            <w:r>
              <w:rPr>
                <w:sz w:val="14"/>
              </w:rPr>
              <w:t>293,872</w:t>
            </w:r>
          </w:p>
        </w:tc>
        <w:tc>
          <w:tcPr>
            <w:tcW w:w="1560" w:type="dxa"/>
          </w:tcPr>
          <w:p>
            <w:pPr>
              <w:pStyle w:val="TableParagraph"/>
              <w:spacing w:line="154" w:lineRule="exact" w:before="5"/>
              <w:ind w:right="589"/>
              <w:jc w:val="right"/>
              <w:rPr>
                <w:sz w:val="14"/>
              </w:rPr>
            </w:pPr>
            <w:r>
              <w:rPr>
                <w:sz w:val="14"/>
              </w:rPr>
              <w:t>305,355</w:t>
            </w:r>
          </w:p>
        </w:tc>
        <w:tc>
          <w:tcPr>
            <w:tcW w:w="1408" w:type="dxa"/>
          </w:tcPr>
          <w:p>
            <w:pPr>
              <w:pStyle w:val="TableParagraph"/>
              <w:spacing w:line="154" w:lineRule="exact" w:before="5"/>
              <w:ind w:right="350"/>
              <w:jc w:val="right"/>
              <w:rPr>
                <w:sz w:val="14"/>
              </w:rPr>
            </w:pPr>
            <w:r>
              <w:rPr>
                <w:sz w:val="14"/>
              </w:rPr>
              <w:t>296,395</w:t>
            </w:r>
          </w:p>
        </w:tc>
        <w:tc>
          <w:tcPr>
            <w:tcW w:w="1371" w:type="dxa"/>
          </w:tcPr>
          <w:p>
            <w:pPr>
              <w:pStyle w:val="TableParagraph"/>
              <w:spacing w:line="154" w:lineRule="exact" w:before="5"/>
              <w:ind w:right="473"/>
              <w:jc w:val="right"/>
              <w:rPr>
                <w:sz w:val="14"/>
              </w:rPr>
            </w:pPr>
            <w:r>
              <w:rPr>
                <w:sz w:val="14"/>
              </w:rPr>
              <w:t>458,249</w:t>
            </w:r>
          </w:p>
        </w:tc>
        <w:tc>
          <w:tcPr>
            <w:tcW w:w="1300" w:type="dxa"/>
          </w:tcPr>
          <w:p>
            <w:pPr>
              <w:pStyle w:val="TableParagraph"/>
              <w:spacing w:line="154" w:lineRule="exact" w:before="5"/>
              <w:ind w:right="300"/>
              <w:jc w:val="right"/>
              <w:rPr>
                <w:sz w:val="14"/>
              </w:rPr>
            </w:pPr>
            <w:r>
              <w:rPr>
                <w:sz w:val="14"/>
              </w:rPr>
              <w:t>452,164</w:t>
            </w:r>
          </w:p>
        </w:tc>
        <w:tc>
          <w:tcPr>
            <w:tcW w:w="1485" w:type="dxa"/>
          </w:tcPr>
          <w:p>
            <w:pPr>
              <w:pStyle w:val="TableParagraph"/>
              <w:rPr>
                <w:rFonts w:ascii="Times New Roman"/>
                <w:sz w:val="12"/>
              </w:rPr>
            </w:pPr>
          </w:p>
        </w:tc>
      </w:tr>
      <w:tr>
        <w:trPr>
          <w:trHeight w:val="180" w:hRule="atLeast"/>
        </w:trPr>
        <w:tc>
          <w:tcPr>
            <w:tcW w:w="4893" w:type="dxa"/>
          </w:tcPr>
          <w:p>
            <w:pPr>
              <w:pStyle w:val="TableParagraph"/>
              <w:spacing w:line="152" w:lineRule="exact" w:before="8"/>
              <w:ind w:left="728"/>
              <w:rPr>
                <w:sz w:val="14"/>
              </w:rPr>
            </w:pPr>
            <w:r>
              <w:rPr>
                <w:sz w:val="14"/>
              </w:rPr>
              <w:t>Expenditure</w:t>
            </w:r>
          </w:p>
        </w:tc>
        <w:tc>
          <w:tcPr>
            <w:tcW w:w="2772" w:type="dxa"/>
          </w:tcPr>
          <w:p>
            <w:pPr>
              <w:pStyle w:val="TableParagraph"/>
              <w:spacing w:line="152" w:lineRule="exact" w:before="8"/>
              <w:ind w:right="445"/>
              <w:jc w:val="right"/>
              <w:rPr>
                <w:sz w:val="14"/>
              </w:rPr>
            </w:pPr>
            <w:r>
              <w:rPr>
                <w:sz w:val="14"/>
              </w:rPr>
              <w:t>247,377</w:t>
            </w:r>
          </w:p>
        </w:tc>
        <w:tc>
          <w:tcPr>
            <w:tcW w:w="1560" w:type="dxa"/>
          </w:tcPr>
          <w:p>
            <w:pPr>
              <w:pStyle w:val="TableParagraph"/>
              <w:spacing w:line="152" w:lineRule="exact" w:before="8"/>
              <w:ind w:right="589"/>
              <w:jc w:val="right"/>
              <w:rPr>
                <w:sz w:val="14"/>
              </w:rPr>
            </w:pPr>
            <w:r>
              <w:rPr>
                <w:sz w:val="14"/>
              </w:rPr>
              <w:t>266,585</w:t>
            </w:r>
          </w:p>
        </w:tc>
        <w:tc>
          <w:tcPr>
            <w:tcW w:w="1408" w:type="dxa"/>
          </w:tcPr>
          <w:p>
            <w:pPr>
              <w:pStyle w:val="TableParagraph"/>
              <w:spacing w:line="152" w:lineRule="exact" w:before="8"/>
              <w:ind w:right="350"/>
              <w:jc w:val="right"/>
              <w:rPr>
                <w:sz w:val="14"/>
              </w:rPr>
            </w:pPr>
            <w:r>
              <w:rPr>
                <w:sz w:val="14"/>
              </w:rPr>
              <w:t>261,401</w:t>
            </w:r>
          </w:p>
        </w:tc>
        <w:tc>
          <w:tcPr>
            <w:tcW w:w="1371" w:type="dxa"/>
          </w:tcPr>
          <w:p>
            <w:pPr>
              <w:pStyle w:val="TableParagraph"/>
              <w:spacing w:line="152" w:lineRule="exact" w:before="8"/>
              <w:ind w:right="473"/>
              <w:jc w:val="right"/>
              <w:rPr>
                <w:sz w:val="14"/>
              </w:rPr>
            </w:pPr>
            <w:r>
              <w:rPr>
                <w:sz w:val="14"/>
              </w:rPr>
              <w:t>439,240</w:t>
            </w:r>
          </w:p>
        </w:tc>
        <w:tc>
          <w:tcPr>
            <w:tcW w:w="1300" w:type="dxa"/>
          </w:tcPr>
          <w:p>
            <w:pPr>
              <w:pStyle w:val="TableParagraph"/>
              <w:spacing w:line="152" w:lineRule="exact" w:before="8"/>
              <w:ind w:right="300"/>
              <w:jc w:val="right"/>
              <w:rPr>
                <w:sz w:val="14"/>
              </w:rPr>
            </w:pPr>
            <w:r>
              <w:rPr>
                <w:sz w:val="14"/>
              </w:rPr>
              <w:t>405,135</w:t>
            </w:r>
          </w:p>
        </w:tc>
        <w:tc>
          <w:tcPr>
            <w:tcW w:w="1485" w:type="dxa"/>
          </w:tcPr>
          <w:p>
            <w:pPr>
              <w:pStyle w:val="TableParagraph"/>
              <w:rPr>
                <w:rFonts w:ascii="Times New Roman"/>
                <w:sz w:val="12"/>
              </w:rPr>
            </w:pPr>
          </w:p>
        </w:tc>
      </w:tr>
      <w:tr>
        <w:trPr>
          <w:trHeight w:val="180" w:hRule="atLeast"/>
        </w:trPr>
        <w:tc>
          <w:tcPr>
            <w:tcW w:w="4893" w:type="dxa"/>
          </w:tcPr>
          <w:p>
            <w:pPr>
              <w:pStyle w:val="TableParagraph"/>
              <w:spacing w:line="154" w:lineRule="exact" w:before="5"/>
              <w:ind w:left="728"/>
              <w:rPr>
                <w:sz w:val="14"/>
              </w:rPr>
            </w:pPr>
            <w:r>
              <w:rPr>
                <w:sz w:val="14"/>
              </w:rPr>
              <w:t>Net Profit (Loss)</w:t>
            </w:r>
          </w:p>
        </w:tc>
        <w:tc>
          <w:tcPr>
            <w:tcW w:w="2772" w:type="dxa"/>
          </w:tcPr>
          <w:p>
            <w:pPr>
              <w:pStyle w:val="TableParagraph"/>
              <w:spacing w:line="154" w:lineRule="exact" w:before="5"/>
              <w:ind w:right="439"/>
              <w:jc w:val="right"/>
              <w:rPr>
                <w:sz w:val="14"/>
              </w:rPr>
            </w:pPr>
            <w:r>
              <w:rPr>
                <w:w w:val="95"/>
                <w:sz w:val="14"/>
              </w:rPr>
              <w:t>46,495</w:t>
            </w:r>
          </w:p>
        </w:tc>
        <w:tc>
          <w:tcPr>
            <w:tcW w:w="1560" w:type="dxa"/>
          </w:tcPr>
          <w:p>
            <w:pPr>
              <w:pStyle w:val="TableParagraph"/>
              <w:spacing w:line="154" w:lineRule="exact" w:before="5"/>
              <w:ind w:right="583"/>
              <w:jc w:val="right"/>
              <w:rPr>
                <w:sz w:val="14"/>
              </w:rPr>
            </w:pPr>
            <w:r>
              <w:rPr>
                <w:w w:val="95"/>
                <w:sz w:val="14"/>
              </w:rPr>
              <w:t>38,770</w:t>
            </w:r>
          </w:p>
        </w:tc>
        <w:tc>
          <w:tcPr>
            <w:tcW w:w="1408" w:type="dxa"/>
          </w:tcPr>
          <w:p>
            <w:pPr>
              <w:pStyle w:val="TableParagraph"/>
              <w:spacing w:line="154" w:lineRule="exact" w:before="5"/>
              <w:ind w:right="345"/>
              <w:jc w:val="right"/>
              <w:rPr>
                <w:sz w:val="14"/>
              </w:rPr>
            </w:pPr>
            <w:r>
              <w:rPr>
                <w:w w:val="95"/>
                <w:sz w:val="14"/>
              </w:rPr>
              <w:t>34,994</w:t>
            </w:r>
          </w:p>
        </w:tc>
        <w:tc>
          <w:tcPr>
            <w:tcW w:w="1371" w:type="dxa"/>
          </w:tcPr>
          <w:p>
            <w:pPr>
              <w:pStyle w:val="TableParagraph"/>
              <w:spacing w:line="154" w:lineRule="exact" w:before="5"/>
              <w:ind w:right="473"/>
              <w:jc w:val="right"/>
              <w:rPr>
                <w:sz w:val="14"/>
              </w:rPr>
            </w:pPr>
            <w:r>
              <w:rPr>
                <w:w w:val="95"/>
                <w:sz w:val="14"/>
              </w:rPr>
              <w:t>19,009</w:t>
            </w:r>
          </w:p>
        </w:tc>
        <w:tc>
          <w:tcPr>
            <w:tcW w:w="1300" w:type="dxa"/>
          </w:tcPr>
          <w:p>
            <w:pPr>
              <w:pStyle w:val="TableParagraph"/>
              <w:spacing w:line="154" w:lineRule="exact" w:before="5"/>
              <w:ind w:right="299"/>
              <w:jc w:val="right"/>
              <w:rPr>
                <w:sz w:val="14"/>
              </w:rPr>
            </w:pPr>
            <w:r>
              <w:rPr>
                <w:w w:val="95"/>
                <w:sz w:val="14"/>
              </w:rPr>
              <w:t>47,029</w:t>
            </w:r>
          </w:p>
        </w:tc>
        <w:tc>
          <w:tcPr>
            <w:tcW w:w="1485" w:type="dxa"/>
          </w:tcPr>
          <w:p>
            <w:pPr>
              <w:pStyle w:val="TableParagraph"/>
              <w:spacing w:line="154" w:lineRule="exact" w:before="5"/>
              <w:ind w:right="387"/>
              <w:jc w:val="right"/>
              <w:rPr>
                <w:sz w:val="14"/>
              </w:rPr>
            </w:pPr>
            <w:r>
              <w:rPr>
                <w:sz w:val="14"/>
              </w:rPr>
              <w:t>Profit Making</w:t>
            </w:r>
          </w:p>
        </w:tc>
      </w:tr>
      <w:tr>
        <w:trPr>
          <w:trHeight w:val="203" w:hRule="atLeast"/>
        </w:trPr>
        <w:tc>
          <w:tcPr>
            <w:tcW w:w="4893" w:type="dxa"/>
          </w:tcPr>
          <w:p>
            <w:pPr>
              <w:pStyle w:val="TableParagraph"/>
              <w:spacing w:before="8"/>
              <w:ind w:left="728"/>
              <w:rPr>
                <w:sz w:val="14"/>
              </w:rPr>
            </w:pPr>
            <w:r>
              <w:rPr>
                <w:sz w:val="14"/>
              </w:rPr>
              <w:t>Subsidy from Government</w:t>
            </w:r>
          </w:p>
        </w:tc>
        <w:tc>
          <w:tcPr>
            <w:tcW w:w="2772" w:type="dxa"/>
          </w:tcPr>
          <w:p>
            <w:pPr>
              <w:pStyle w:val="TableParagraph"/>
              <w:spacing w:before="8"/>
              <w:ind w:right="421"/>
              <w:jc w:val="right"/>
              <w:rPr>
                <w:sz w:val="14"/>
              </w:rPr>
            </w:pPr>
            <w:r>
              <w:rPr>
                <w:w w:val="99"/>
                <w:sz w:val="14"/>
              </w:rPr>
              <w:t>-</w:t>
            </w:r>
          </w:p>
        </w:tc>
        <w:tc>
          <w:tcPr>
            <w:tcW w:w="1560" w:type="dxa"/>
          </w:tcPr>
          <w:p>
            <w:pPr>
              <w:pStyle w:val="TableParagraph"/>
              <w:spacing w:before="8"/>
              <w:ind w:right="565"/>
              <w:jc w:val="right"/>
              <w:rPr>
                <w:sz w:val="14"/>
              </w:rPr>
            </w:pPr>
            <w:r>
              <w:rPr>
                <w:w w:val="99"/>
                <w:sz w:val="14"/>
              </w:rPr>
              <w:t>-</w:t>
            </w:r>
          </w:p>
        </w:tc>
        <w:tc>
          <w:tcPr>
            <w:tcW w:w="1408" w:type="dxa"/>
          </w:tcPr>
          <w:p>
            <w:pPr>
              <w:pStyle w:val="TableParagraph"/>
              <w:spacing w:before="8"/>
              <w:ind w:right="332"/>
              <w:jc w:val="right"/>
              <w:rPr>
                <w:sz w:val="14"/>
              </w:rPr>
            </w:pPr>
            <w:r>
              <w:rPr>
                <w:w w:val="99"/>
                <w:sz w:val="14"/>
              </w:rPr>
              <w:t>-</w:t>
            </w:r>
          </w:p>
        </w:tc>
        <w:tc>
          <w:tcPr>
            <w:tcW w:w="1371" w:type="dxa"/>
          </w:tcPr>
          <w:p>
            <w:pPr>
              <w:pStyle w:val="TableParagraph"/>
              <w:spacing w:before="8"/>
              <w:ind w:right="455"/>
              <w:jc w:val="right"/>
              <w:rPr>
                <w:sz w:val="14"/>
              </w:rPr>
            </w:pPr>
            <w:r>
              <w:rPr>
                <w:w w:val="99"/>
                <w:sz w:val="14"/>
              </w:rPr>
              <w:t>-</w:t>
            </w:r>
          </w:p>
        </w:tc>
        <w:tc>
          <w:tcPr>
            <w:tcW w:w="1300" w:type="dxa"/>
          </w:tcPr>
          <w:p>
            <w:pPr>
              <w:pStyle w:val="TableParagraph"/>
              <w:spacing w:before="8"/>
              <w:ind w:right="281"/>
              <w:jc w:val="right"/>
              <w:rPr>
                <w:sz w:val="14"/>
              </w:rPr>
            </w:pPr>
            <w:r>
              <w:rPr>
                <w:w w:val="99"/>
                <w:sz w:val="14"/>
              </w:rPr>
              <w:t>-</w:t>
            </w:r>
          </w:p>
        </w:tc>
        <w:tc>
          <w:tcPr>
            <w:tcW w:w="1485" w:type="dxa"/>
          </w:tcPr>
          <w:p>
            <w:pPr>
              <w:pStyle w:val="TableParagraph"/>
              <w:rPr>
                <w:rFonts w:ascii="Times New Roman"/>
                <w:sz w:val="14"/>
              </w:rPr>
            </w:pPr>
          </w:p>
        </w:tc>
      </w:tr>
    </w:tbl>
    <w:p>
      <w:pPr>
        <w:pStyle w:val="BodyText"/>
        <w:spacing w:before="2" w:after="1"/>
        <w:rPr>
          <w:rFonts w:ascii="Times New Roman"/>
          <w:sz w:val="27"/>
        </w:rPr>
      </w:pPr>
    </w:p>
    <w:tbl>
      <w:tblPr>
        <w:tblW w:w="0" w:type="auto"/>
        <w:jc w:val="lef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5"/>
        <w:gridCol w:w="2478"/>
        <w:gridCol w:w="1531"/>
        <w:gridCol w:w="1443"/>
        <w:gridCol w:w="1319"/>
        <w:gridCol w:w="1266"/>
        <w:gridCol w:w="1188"/>
      </w:tblGrid>
      <w:tr>
        <w:trPr>
          <w:trHeight w:val="203" w:hRule="atLeast"/>
        </w:trPr>
        <w:tc>
          <w:tcPr>
            <w:tcW w:w="5105" w:type="dxa"/>
          </w:tcPr>
          <w:p>
            <w:pPr>
              <w:pStyle w:val="TableParagraph"/>
              <w:spacing w:line="154" w:lineRule="exact" w:before="29"/>
              <w:ind w:left="34"/>
              <w:rPr>
                <w:sz w:val="14"/>
              </w:rPr>
            </w:pPr>
            <w:r>
              <w:rPr>
                <w:sz w:val="14"/>
              </w:rPr>
              <w:t>11. Sierra Leone Airport Authority (SLAA)</w:t>
            </w:r>
          </w:p>
        </w:tc>
        <w:tc>
          <w:tcPr>
            <w:tcW w:w="9225" w:type="dxa"/>
            <w:gridSpan w:val="6"/>
          </w:tcPr>
          <w:p>
            <w:pPr>
              <w:pStyle w:val="TableParagraph"/>
              <w:rPr>
                <w:rFonts w:ascii="Times New Roman"/>
                <w:sz w:val="14"/>
              </w:rPr>
            </w:pPr>
          </w:p>
        </w:tc>
      </w:tr>
      <w:tr>
        <w:trPr>
          <w:trHeight w:val="180" w:hRule="atLeast"/>
        </w:trPr>
        <w:tc>
          <w:tcPr>
            <w:tcW w:w="5105" w:type="dxa"/>
          </w:tcPr>
          <w:p>
            <w:pPr>
              <w:pStyle w:val="TableParagraph"/>
              <w:spacing w:line="152" w:lineRule="exact" w:before="8"/>
              <w:ind w:left="600"/>
              <w:rPr>
                <w:sz w:val="14"/>
              </w:rPr>
            </w:pPr>
            <w:r>
              <w:rPr>
                <w:sz w:val="14"/>
              </w:rPr>
              <w:t>Receipts</w:t>
            </w:r>
          </w:p>
        </w:tc>
        <w:tc>
          <w:tcPr>
            <w:tcW w:w="2478" w:type="dxa"/>
          </w:tcPr>
          <w:p>
            <w:pPr>
              <w:pStyle w:val="TableParagraph"/>
              <w:spacing w:line="152" w:lineRule="exact" w:before="8"/>
              <w:ind w:right="485"/>
              <w:jc w:val="right"/>
              <w:rPr>
                <w:sz w:val="14"/>
              </w:rPr>
            </w:pPr>
            <w:r>
              <w:rPr>
                <w:w w:val="95"/>
                <w:sz w:val="14"/>
              </w:rPr>
              <w:t>85,718</w:t>
            </w:r>
          </w:p>
        </w:tc>
        <w:tc>
          <w:tcPr>
            <w:tcW w:w="1531" w:type="dxa"/>
          </w:tcPr>
          <w:p>
            <w:pPr>
              <w:pStyle w:val="TableParagraph"/>
              <w:spacing w:line="152" w:lineRule="exact" w:before="8"/>
              <w:ind w:right="600"/>
              <w:jc w:val="right"/>
              <w:rPr>
                <w:sz w:val="14"/>
              </w:rPr>
            </w:pPr>
            <w:r>
              <w:rPr>
                <w:w w:val="95"/>
                <w:sz w:val="14"/>
              </w:rPr>
              <w:t>65,447</w:t>
            </w:r>
          </w:p>
        </w:tc>
        <w:tc>
          <w:tcPr>
            <w:tcW w:w="1443" w:type="dxa"/>
          </w:tcPr>
          <w:p>
            <w:pPr>
              <w:pStyle w:val="TableParagraph"/>
              <w:spacing w:line="152" w:lineRule="exact" w:before="8"/>
              <w:ind w:right="397"/>
              <w:jc w:val="right"/>
              <w:rPr>
                <w:sz w:val="14"/>
              </w:rPr>
            </w:pPr>
            <w:r>
              <w:rPr>
                <w:w w:val="95"/>
                <w:sz w:val="14"/>
              </w:rPr>
              <w:t>82,772</w:t>
            </w:r>
          </w:p>
        </w:tc>
        <w:tc>
          <w:tcPr>
            <w:tcW w:w="1319" w:type="dxa"/>
          </w:tcPr>
          <w:p>
            <w:pPr>
              <w:pStyle w:val="TableParagraph"/>
              <w:spacing w:line="152" w:lineRule="exact" w:before="8"/>
              <w:ind w:right="472"/>
              <w:jc w:val="right"/>
              <w:rPr>
                <w:sz w:val="14"/>
              </w:rPr>
            </w:pPr>
            <w:r>
              <w:rPr>
                <w:w w:val="95"/>
                <w:sz w:val="14"/>
              </w:rPr>
              <w:t>93,946</w:t>
            </w:r>
          </w:p>
        </w:tc>
        <w:tc>
          <w:tcPr>
            <w:tcW w:w="1266" w:type="dxa"/>
          </w:tcPr>
          <w:p>
            <w:pPr>
              <w:pStyle w:val="TableParagraph"/>
              <w:spacing w:line="152" w:lineRule="exact" w:before="8"/>
              <w:ind w:right="265"/>
              <w:jc w:val="right"/>
              <w:rPr>
                <w:sz w:val="14"/>
              </w:rPr>
            </w:pPr>
            <w:r>
              <w:rPr>
                <w:sz w:val="14"/>
              </w:rPr>
              <w:t>106,674</w:t>
            </w:r>
          </w:p>
        </w:tc>
        <w:tc>
          <w:tcPr>
            <w:tcW w:w="1188" w:type="dxa"/>
          </w:tcPr>
          <w:p>
            <w:pPr>
              <w:pStyle w:val="TableParagraph"/>
              <w:rPr>
                <w:rFonts w:ascii="Times New Roman"/>
                <w:sz w:val="12"/>
              </w:rPr>
            </w:pPr>
          </w:p>
        </w:tc>
      </w:tr>
      <w:tr>
        <w:trPr>
          <w:trHeight w:val="180" w:hRule="atLeast"/>
        </w:trPr>
        <w:tc>
          <w:tcPr>
            <w:tcW w:w="5105" w:type="dxa"/>
          </w:tcPr>
          <w:p>
            <w:pPr>
              <w:pStyle w:val="TableParagraph"/>
              <w:spacing w:line="154" w:lineRule="exact" w:before="5"/>
              <w:ind w:left="601"/>
              <w:rPr>
                <w:sz w:val="14"/>
              </w:rPr>
            </w:pPr>
            <w:r>
              <w:rPr>
                <w:sz w:val="14"/>
              </w:rPr>
              <w:t>Expenditure</w:t>
            </w:r>
          </w:p>
        </w:tc>
        <w:tc>
          <w:tcPr>
            <w:tcW w:w="2478" w:type="dxa"/>
          </w:tcPr>
          <w:p>
            <w:pPr>
              <w:pStyle w:val="TableParagraph"/>
              <w:spacing w:line="154" w:lineRule="exact" w:before="5"/>
              <w:ind w:right="485"/>
              <w:jc w:val="right"/>
              <w:rPr>
                <w:sz w:val="14"/>
              </w:rPr>
            </w:pPr>
            <w:r>
              <w:rPr>
                <w:w w:val="95"/>
                <w:sz w:val="14"/>
              </w:rPr>
              <w:t>69,963</w:t>
            </w:r>
          </w:p>
        </w:tc>
        <w:tc>
          <w:tcPr>
            <w:tcW w:w="1531" w:type="dxa"/>
          </w:tcPr>
          <w:p>
            <w:pPr>
              <w:pStyle w:val="TableParagraph"/>
              <w:spacing w:line="154" w:lineRule="exact" w:before="5"/>
              <w:ind w:right="600"/>
              <w:jc w:val="right"/>
              <w:rPr>
                <w:sz w:val="14"/>
              </w:rPr>
            </w:pPr>
            <w:r>
              <w:rPr>
                <w:w w:val="95"/>
                <w:sz w:val="14"/>
              </w:rPr>
              <w:t>64,944</w:t>
            </w:r>
          </w:p>
        </w:tc>
        <w:tc>
          <w:tcPr>
            <w:tcW w:w="1443" w:type="dxa"/>
          </w:tcPr>
          <w:p>
            <w:pPr>
              <w:pStyle w:val="TableParagraph"/>
              <w:spacing w:line="154" w:lineRule="exact" w:before="5"/>
              <w:ind w:right="397"/>
              <w:jc w:val="right"/>
              <w:rPr>
                <w:sz w:val="14"/>
              </w:rPr>
            </w:pPr>
            <w:r>
              <w:rPr>
                <w:w w:val="95"/>
                <w:sz w:val="14"/>
              </w:rPr>
              <w:t>80,199</w:t>
            </w:r>
          </w:p>
        </w:tc>
        <w:tc>
          <w:tcPr>
            <w:tcW w:w="1319" w:type="dxa"/>
          </w:tcPr>
          <w:p>
            <w:pPr>
              <w:pStyle w:val="TableParagraph"/>
              <w:spacing w:line="154" w:lineRule="exact" w:before="5"/>
              <w:ind w:right="472"/>
              <w:jc w:val="right"/>
              <w:rPr>
                <w:sz w:val="14"/>
              </w:rPr>
            </w:pPr>
            <w:r>
              <w:rPr>
                <w:w w:val="95"/>
                <w:sz w:val="14"/>
              </w:rPr>
              <w:t>91,787</w:t>
            </w:r>
          </w:p>
        </w:tc>
        <w:tc>
          <w:tcPr>
            <w:tcW w:w="1266" w:type="dxa"/>
          </w:tcPr>
          <w:p>
            <w:pPr>
              <w:pStyle w:val="TableParagraph"/>
              <w:spacing w:line="154" w:lineRule="exact" w:before="5"/>
              <w:ind w:right="265"/>
              <w:jc w:val="right"/>
              <w:rPr>
                <w:sz w:val="14"/>
              </w:rPr>
            </w:pPr>
            <w:r>
              <w:rPr>
                <w:sz w:val="14"/>
              </w:rPr>
              <w:t>101,522</w:t>
            </w:r>
          </w:p>
        </w:tc>
        <w:tc>
          <w:tcPr>
            <w:tcW w:w="1188" w:type="dxa"/>
          </w:tcPr>
          <w:p>
            <w:pPr>
              <w:pStyle w:val="TableParagraph"/>
              <w:rPr>
                <w:rFonts w:ascii="Times New Roman"/>
                <w:sz w:val="12"/>
              </w:rPr>
            </w:pPr>
          </w:p>
        </w:tc>
      </w:tr>
      <w:tr>
        <w:trPr>
          <w:trHeight w:val="180" w:hRule="atLeast"/>
        </w:trPr>
        <w:tc>
          <w:tcPr>
            <w:tcW w:w="5105" w:type="dxa"/>
          </w:tcPr>
          <w:p>
            <w:pPr>
              <w:pStyle w:val="TableParagraph"/>
              <w:spacing w:line="152" w:lineRule="exact" w:before="8"/>
              <w:ind w:left="600"/>
              <w:rPr>
                <w:sz w:val="14"/>
              </w:rPr>
            </w:pPr>
            <w:r>
              <w:rPr>
                <w:sz w:val="14"/>
              </w:rPr>
              <w:t>Net Profit (Loss)</w:t>
            </w:r>
          </w:p>
        </w:tc>
        <w:tc>
          <w:tcPr>
            <w:tcW w:w="2478" w:type="dxa"/>
          </w:tcPr>
          <w:p>
            <w:pPr>
              <w:pStyle w:val="TableParagraph"/>
              <w:spacing w:line="152" w:lineRule="exact" w:before="8"/>
              <w:ind w:right="485"/>
              <w:jc w:val="right"/>
              <w:rPr>
                <w:sz w:val="14"/>
              </w:rPr>
            </w:pPr>
            <w:r>
              <w:rPr>
                <w:w w:val="95"/>
                <w:sz w:val="14"/>
              </w:rPr>
              <w:t>15,755</w:t>
            </w:r>
          </w:p>
        </w:tc>
        <w:tc>
          <w:tcPr>
            <w:tcW w:w="1531" w:type="dxa"/>
          </w:tcPr>
          <w:p>
            <w:pPr>
              <w:pStyle w:val="TableParagraph"/>
              <w:spacing w:line="152" w:lineRule="exact" w:before="8"/>
              <w:ind w:right="584"/>
              <w:jc w:val="right"/>
              <w:rPr>
                <w:sz w:val="14"/>
              </w:rPr>
            </w:pPr>
            <w:r>
              <w:rPr>
                <w:sz w:val="14"/>
              </w:rPr>
              <w:t>503</w:t>
            </w:r>
          </w:p>
        </w:tc>
        <w:tc>
          <w:tcPr>
            <w:tcW w:w="1443" w:type="dxa"/>
          </w:tcPr>
          <w:p>
            <w:pPr>
              <w:pStyle w:val="TableParagraph"/>
              <w:spacing w:line="152" w:lineRule="exact" w:before="8"/>
              <w:ind w:right="393"/>
              <w:jc w:val="right"/>
              <w:rPr>
                <w:sz w:val="14"/>
              </w:rPr>
            </w:pPr>
            <w:r>
              <w:rPr>
                <w:sz w:val="14"/>
              </w:rPr>
              <w:t>2,573</w:t>
            </w:r>
          </w:p>
        </w:tc>
        <w:tc>
          <w:tcPr>
            <w:tcW w:w="1319" w:type="dxa"/>
          </w:tcPr>
          <w:p>
            <w:pPr>
              <w:pStyle w:val="TableParagraph"/>
              <w:spacing w:line="152" w:lineRule="exact" w:before="8"/>
              <w:ind w:right="464"/>
              <w:jc w:val="right"/>
              <w:rPr>
                <w:sz w:val="14"/>
              </w:rPr>
            </w:pPr>
            <w:r>
              <w:rPr>
                <w:sz w:val="14"/>
              </w:rPr>
              <w:t>2,159</w:t>
            </w:r>
          </w:p>
        </w:tc>
        <w:tc>
          <w:tcPr>
            <w:tcW w:w="1266" w:type="dxa"/>
          </w:tcPr>
          <w:p>
            <w:pPr>
              <w:pStyle w:val="TableParagraph"/>
              <w:spacing w:line="152" w:lineRule="exact" w:before="8"/>
              <w:ind w:right="256"/>
              <w:jc w:val="right"/>
              <w:rPr>
                <w:sz w:val="14"/>
              </w:rPr>
            </w:pPr>
            <w:r>
              <w:rPr>
                <w:sz w:val="14"/>
              </w:rPr>
              <w:t>5,152</w:t>
            </w:r>
          </w:p>
        </w:tc>
        <w:tc>
          <w:tcPr>
            <w:tcW w:w="1188" w:type="dxa"/>
          </w:tcPr>
          <w:p>
            <w:pPr>
              <w:pStyle w:val="TableParagraph"/>
              <w:spacing w:line="152" w:lineRule="exact" w:before="8"/>
              <w:ind w:right="56"/>
              <w:jc w:val="right"/>
              <w:rPr>
                <w:sz w:val="14"/>
              </w:rPr>
            </w:pPr>
            <w:r>
              <w:rPr>
                <w:sz w:val="14"/>
              </w:rPr>
              <w:t>Profit Making</w:t>
            </w:r>
          </w:p>
        </w:tc>
      </w:tr>
      <w:tr>
        <w:trPr>
          <w:trHeight w:val="268" w:hRule="atLeast"/>
        </w:trPr>
        <w:tc>
          <w:tcPr>
            <w:tcW w:w="5105" w:type="dxa"/>
          </w:tcPr>
          <w:p>
            <w:pPr>
              <w:pStyle w:val="TableParagraph"/>
              <w:spacing w:before="5"/>
              <w:ind w:left="600"/>
              <w:rPr>
                <w:sz w:val="14"/>
              </w:rPr>
            </w:pPr>
            <w:r>
              <w:rPr>
                <w:sz w:val="14"/>
              </w:rPr>
              <w:t>Subsidy from Government</w:t>
            </w:r>
          </w:p>
        </w:tc>
        <w:tc>
          <w:tcPr>
            <w:tcW w:w="2478" w:type="dxa"/>
          </w:tcPr>
          <w:p>
            <w:pPr>
              <w:pStyle w:val="TableParagraph"/>
              <w:spacing w:before="5"/>
              <w:ind w:right="467"/>
              <w:jc w:val="right"/>
              <w:rPr>
                <w:sz w:val="14"/>
              </w:rPr>
            </w:pPr>
            <w:r>
              <w:rPr>
                <w:w w:val="99"/>
                <w:sz w:val="14"/>
              </w:rPr>
              <w:t>-</w:t>
            </w:r>
          </w:p>
        </w:tc>
        <w:tc>
          <w:tcPr>
            <w:tcW w:w="1531" w:type="dxa"/>
          </w:tcPr>
          <w:p>
            <w:pPr>
              <w:pStyle w:val="TableParagraph"/>
              <w:spacing w:before="5"/>
              <w:ind w:right="582"/>
              <w:jc w:val="right"/>
              <w:rPr>
                <w:sz w:val="14"/>
              </w:rPr>
            </w:pPr>
            <w:r>
              <w:rPr>
                <w:w w:val="99"/>
                <w:sz w:val="14"/>
              </w:rPr>
              <w:t>-</w:t>
            </w:r>
          </w:p>
        </w:tc>
        <w:tc>
          <w:tcPr>
            <w:tcW w:w="1443" w:type="dxa"/>
          </w:tcPr>
          <w:p>
            <w:pPr>
              <w:pStyle w:val="TableParagraph"/>
              <w:spacing w:before="5"/>
              <w:ind w:right="383"/>
              <w:jc w:val="right"/>
              <w:rPr>
                <w:sz w:val="14"/>
              </w:rPr>
            </w:pPr>
            <w:r>
              <w:rPr>
                <w:w w:val="99"/>
                <w:sz w:val="14"/>
              </w:rPr>
              <w:t>-</w:t>
            </w:r>
          </w:p>
        </w:tc>
        <w:tc>
          <w:tcPr>
            <w:tcW w:w="1319" w:type="dxa"/>
          </w:tcPr>
          <w:p>
            <w:pPr>
              <w:pStyle w:val="TableParagraph"/>
              <w:spacing w:before="5"/>
              <w:ind w:right="454"/>
              <w:jc w:val="right"/>
              <w:rPr>
                <w:sz w:val="14"/>
              </w:rPr>
            </w:pPr>
            <w:r>
              <w:rPr>
                <w:w w:val="99"/>
                <w:sz w:val="14"/>
              </w:rPr>
              <w:t>-</w:t>
            </w:r>
          </w:p>
        </w:tc>
        <w:tc>
          <w:tcPr>
            <w:tcW w:w="1266" w:type="dxa"/>
          </w:tcPr>
          <w:p>
            <w:pPr>
              <w:pStyle w:val="TableParagraph"/>
              <w:spacing w:before="5"/>
              <w:ind w:right="247"/>
              <w:jc w:val="right"/>
              <w:rPr>
                <w:sz w:val="14"/>
              </w:rPr>
            </w:pPr>
            <w:r>
              <w:rPr>
                <w:w w:val="99"/>
                <w:sz w:val="14"/>
              </w:rPr>
              <w:t>-</w:t>
            </w:r>
          </w:p>
        </w:tc>
        <w:tc>
          <w:tcPr>
            <w:tcW w:w="1188" w:type="dxa"/>
          </w:tcPr>
          <w:p>
            <w:pPr>
              <w:pStyle w:val="TableParagraph"/>
              <w:rPr>
                <w:rFonts w:ascii="Times New Roman"/>
                <w:sz w:val="14"/>
              </w:rPr>
            </w:pPr>
          </w:p>
        </w:tc>
      </w:tr>
      <w:tr>
        <w:trPr>
          <w:trHeight w:val="271" w:hRule="atLeast"/>
        </w:trPr>
        <w:tc>
          <w:tcPr>
            <w:tcW w:w="5105" w:type="dxa"/>
          </w:tcPr>
          <w:p>
            <w:pPr>
              <w:pStyle w:val="TableParagraph"/>
              <w:spacing w:line="154" w:lineRule="exact" w:before="97"/>
              <w:ind w:left="34"/>
              <w:rPr>
                <w:sz w:val="14"/>
              </w:rPr>
            </w:pPr>
            <w:r>
              <w:rPr>
                <w:sz w:val="14"/>
              </w:rPr>
              <w:t>13. Guma Valley Water Company (GVWC)</w:t>
            </w:r>
          </w:p>
        </w:tc>
        <w:tc>
          <w:tcPr>
            <w:tcW w:w="2478" w:type="dxa"/>
          </w:tcPr>
          <w:p>
            <w:pPr>
              <w:pStyle w:val="TableParagraph"/>
              <w:rPr>
                <w:rFonts w:ascii="Times New Roman"/>
                <w:sz w:val="14"/>
              </w:rPr>
            </w:pPr>
          </w:p>
        </w:tc>
        <w:tc>
          <w:tcPr>
            <w:tcW w:w="1531" w:type="dxa"/>
          </w:tcPr>
          <w:p>
            <w:pPr>
              <w:pStyle w:val="TableParagraph"/>
              <w:rPr>
                <w:rFonts w:ascii="Times New Roman"/>
                <w:sz w:val="14"/>
              </w:rPr>
            </w:pPr>
          </w:p>
        </w:tc>
        <w:tc>
          <w:tcPr>
            <w:tcW w:w="1443" w:type="dxa"/>
          </w:tcPr>
          <w:p>
            <w:pPr>
              <w:pStyle w:val="TableParagraph"/>
              <w:rPr>
                <w:rFonts w:ascii="Times New Roman"/>
                <w:sz w:val="14"/>
              </w:rPr>
            </w:pPr>
          </w:p>
        </w:tc>
        <w:tc>
          <w:tcPr>
            <w:tcW w:w="3773" w:type="dxa"/>
            <w:gridSpan w:val="3"/>
          </w:tcPr>
          <w:p>
            <w:pPr>
              <w:pStyle w:val="TableParagraph"/>
              <w:rPr>
                <w:rFonts w:ascii="Times New Roman"/>
                <w:sz w:val="14"/>
              </w:rPr>
            </w:pPr>
          </w:p>
        </w:tc>
      </w:tr>
      <w:tr>
        <w:trPr>
          <w:trHeight w:val="180" w:hRule="atLeast"/>
        </w:trPr>
        <w:tc>
          <w:tcPr>
            <w:tcW w:w="5105" w:type="dxa"/>
          </w:tcPr>
          <w:p>
            <w:pPr>
              <w:pStyle w:val="TableParagraph"/>
              <w:spacing w:line="152" w:lineRule="exact" w:before="8"/>
              <w:ind w:left="600"/>
              <w:rPr>
                <w:sz w:val="14"/>
              </w:rPr>
            </w:pPr>
            <w:r>
              <w:rPr>
                <w:sz w:val="14"/>
              </w:rPr>
              <w:t>Receipts</w:t>
            </w:r>
          </w:p>
        </w:tc>
        <w:tc>
          <w:tcPr>
            <w:tcW w:w="2478" w:type="dxa"/>
          </w:tcPr>
          <w:p>
            <w:pPr>
              <w:pStyle w:val="TableParagraph"/>
              <w:spacing w:line="152" w:lineRule="exact" w:before="8"/>
              <w:ind w:right="485"/>
              <w:jc w:val="right"/>
              <w:rPr>
                <w:sz w:val="14"/>
              </w:rPr>
            </w:pPr>
            <w:r>
              <w:rPr>
                <w:w w:val="95"/>
                <w:sz w:val="14"/>
              </w:rPr>
              <w:t>31,376</w:t>
            </w:r>
          </w:p>
        </w:tc>
        <w:tc>
          <w:tcPr>
            <w:tcW w:w="1531" w:type="dxa"/>
          </w:tcPr>
          <w:p>
            <w:pPr>
              <w:pStyle w:val="TableParagraph"/>
              <w:spacing w:line="152" w:lineRule="exact" w:before="8"/>
              <w:ind w:right="600"/>
              <w:jc w:val="right"/>
              <w:rPr>
                <w:sz w:val="14"/>
              </w:rPr>
            </w:pPr>
            <w:r>
              <w:rPr>
                <w:w w:val="95"/>
                <w:sz w:val="14"/>
              </w:rPr>
              <w:t>23,231</w:t>
            </w:r>
          </w:p>
        </w:tc>
        <w:tc>
          <w:tcPr>
            <w:tcW w:w="1443" w:type="dxa"/>
          </w:tcPr>
          <w:p>
            <w:pPr>
              <w:pStyle w:val="TableParagraph"/>
              <w:spacing w:line="152" w:lineRule="exact" w:before="8"/>
              <w:ind w:right="397"/>
              <w:jc w:val="right"/>
              <w:rPr>
                <w:sz w:val="14"/>
              </w:rPr>
            </w:pPr>
            <w:r>
              <w:rPr>
                <w:w w:val="95"/>
                <w:sz w:val="14"/>
              </w:rPr>
              <w:t>58,832</w:t>
            </w:r>
          </w:p>
        </w:tc>
        <w:tc>
          <w:tcPr>
            <w:tcW w:w="3773" w:type="dxa"/>
            <w:gridSpan w:val="3"/>
          </w:tcPr>
          <w:p>
            <w:pPr>
              <w:pStyle w:val="TableParagraph"/>
              <w:tabs>
                <w:tab w:pos="2289" w:val="left" w:leader="none"/>
              </w:tabs>
              <w:spacing w:line="152" w:lineRule="exact" w:before="8"/>
              <w:ind w:left="815"/>
              <w:rPr>
                <w:sz w:val="14"/>
              </w:rPr>
            </w:pPr>
            <w:r>
              <w:rPr>
                <w:sz w:val="14"/>
              </w:rPr>
              <w:t>-</w:t>
              <w:tab/>
              <w:t>-</w:t>
            </w:r>
          </w:p>
        </w:tc>
      </w:tr>
      <w:tr>
        <w:trPr>
          <w:trHeight w:val="180" w:hRule="atLeast"/>
        </w:trPr>
        <w:tc>
          <w:tcPr>
            <w:tcW w:w="5105" w:type="dxa"/>
          </w:tcPr>
          <w:p>
            <w:pPr>
              <w:pStyle w:val="TableParagraph"/>
              <w:spacing w:line="154" w:lineRule="exact" w:before="5"/>
              <w:ind w:left="601"/>
              <w:rPr>
                <w:sz w:val="14"/>
              </w:rPr>
            </w:pPr>
            <w:r>
              <w:rPr>
                <w:sz w:val="14"/>
              </w:rPr>
              <w:t>Expenditure</w:t>
            </w:r>
          </w:p>
        </w:tc>
        <w:tc>
          <w:tcPr>
            <w:tcW w:w="2478" w:type="dxa"/>
          </w:tcPr>
          <w:p>
            <w:pPr>
              <w:pStyle w:val="TableParagraph"/>
              <w:spacing w:line="154" w:lineRule="exact" w:before="5"/>
              <w:ind w:right="485"/>
              <w:jc w:val="right"/>
              <w:rPr>
                <w:sz w:val="14"/>
              </w:rPr>
            </w:pPr>
            <w:r>
              <w:rPr>
                <w:w w:val="95"/>
                <w:sz w:val="14"/>
              </w:rPr>
              <w:t>30,767</w:t>
            </w:r>
          </w:p>
        </w:tc>
        <w:tc>
          <w:tcPr>
            <w:tcW w:w="1531" w:type="dxa"/>
          </w:tcPr>
          <w:p>
            <w:pPr>
              <w:pStyle w:val="TableParagraph"/>
              <w:spacing w:line="154" w:lineRule="exact" w:before="5"/>
              <w:ind w:right="600"/>
              <w:jc w:val="right"/>
              <w:rPr>
                <w:sz w:val="14"/>
              </w:rPr>
            </w:pPr>
            <w:r>
              <w:rPr>
                <w:w w:val="95"/>
                <w:sz w:val="14"/>
              </w:rPr>
              <w:t>22,475</w:t>
            </w:r>
          </w:p>
        </w:tc>
        <w:tc>
          <w:tcPr>
            <w:tcW w:w="1443" w:type="dxa"/>
          </w:tcPr>
          <w:p>
            <w:pPr>
              <w:pStyle w:val="TableParagraph"/>
              <w:spacing w:line="154" w:lineRule="exact" w:before="5"/>
              <w:ind w:right="397"/>
              <w:jc w:val="right"/>
              <w:rPr>
                <w:sz w:val="14"/>
              </w:rPr>
            </w:pPr>
            <w:r>
              <w:rPr>
                <w:w w:val="95"/>
                <w:sz w:val="14"/>
              </w:rPr>
              <w:t>51,100</w:t>
            </w:r>
          </w:p>
        </w:tc>
        <w:tc>
          <w:tcPr>
            <w:tcW w:w="3773" w:type="dxa"/>
            <w:gridSpan w:val="3"/>
          </w:tcPr>
          <w:p>
            <w:pPr>
              <w:pStyle w:val="TableParagraph"/>
              <w:tabs>
                <w:tab w:pos="2289" w:val="left" w:leader="none"/>
                <w:tab w:pos="2985" w:val="left" w:leader="none"/>
              </w:tabs>
              <w:spacing w:line="154" w:lineRule="exact" w:before="5"/>
              <w:ind w:left="815"/>
              <w:rPr>
                <w:sz w:val="14"/>
              </w:rPr>
            </w:pPr>
            <w:r>
              <w:rPr>
                <w:sz w:val="14"/>
              </w:rPr>
              <w:t>-</w:t>
              <w:tab/>
              <w:t>-</w:t>
              <w:tab/>
            </w:r>
            <w:r>
              <w:rPr>
                <w:spacing w:val="3"/>
                <w:sz w:val="14"/>
              </w:rPr>
              <w:t>Break</w:t>
            </w:r>
            <w:r>
              <w:rPr>
                <w:spacing w:val="2"/>
                <w:sz w:val="14"/>
              </w:rPr>
              <w:t> </w:t>
            </w:r>
            <w:r>
              <w:rPr>
                <w:sz w:val="14"/>
              </w:rPr>
              <w:t>Even</w:t>
            </w:r>
          </w:p>
        </w:tc>
      </w:tr>
      <w:tr>
        <w:trPr>
          <w:trHeight w:val="180" w:hRule="atLeast"/>
        </w:trPr>
        <w:tc>
          <w:tcPr>
            <w:tcW w:w="5105" w:type="dxa"/>
          </w:tcPr>
          <w:p>
            <w:pPr>
              <w:pStyle w:val="TableParagraph"/>
              <w:spacing w:line="152" w:lineRule="exact" w:before="8"/>
              <w:ind w:left="600"/>
              <w:rPr>
                <w:sz w:val="14"/>
              </w:rPr>
            </w:pPr>
            <w:r>
              <w:rPr>
                <w:sz w:val="14"/>
              </w:rPr>
              <w:t>Net Profit (Loss)</w:t>
            </w:r>
          </w:p>
        </w:tc>
        <w:tc>
          <w:tcPr>
            <w:tcW w:w="2478" w:type="dxa"/>
          </w:tcPr>
          <w:p>
            <w:pPr>
              <w:pStyle w:val="TableParagraph"/>
              <w:spacing w:line="152" w:lineRule="exact" w:before="8"/>
              <w:ind w:right="469"/>
              <w:jc w:val="right"/>
              <w:rPr>
                <w:sz w:val="14"/>
              </w:rPr>
            </w:pPr>
            <w:r>
              <w:rPr>
                <w:sz w:val="14"/>
              </w:rPr>
              <w:t>609</w:t>
            </w:r>
          </w:p>
        </w:tc>
        <w:tc>
          <w:tcPr>
            <w:tcW w:w="1531" w:type="dxa"/>
          </w:tcPr>
          <w:p>
            <w:pPr>
              <w:pStyle w:val="TableParagraph"/>
              <w:spacing w:line="152" w:lineRule="exact" w:before="8"/>
              <w:ind w:right="584"/>
              <w:jc w:val="right"/>
              <w:rPr>
                <w:sz w:val="14"/>
              </w:rPr>
            </w:pPr>
            <w:r>
              <w:rPr>
                <w:sz w:val="14"/>
              </w:rPr>
              <w:t>756</w:t>
            </w:r>
          </w:p>
        </w:tc>
        <w:tc>
          <w:tcPr>
            <w:tcW w:w="1443" w:type="dxa"/>
          </w:tcPr>
          <w:p>
            <w:pPr>
              <w:pStyle w:val="TableParagraph"/>
              <w:spacing w:line="152" w:lineRule="exact" w:before="8"/>
              <w:ind w:right="393"/>
              <w:jc w:val="right"/>
              <w:rPr>
                <w:sz w:val="14"/>
              </w:rPr>
            </w:pPr>
            <w:r>
              <w:rPr>
                <w:sz w:val="14"/>
              </w:rPr>
              <w:t>7,732</w:t>
            </w:r>
          </w:p>
        </w:tc>
        <w:tc>
          <w:tcPr>
            <w:tcW w:w="3773" w:type="dxa"/>
            <w:gridSpan w:val="3"/>
          </w:tcPr>
          <w:p>
            <w:pPr>
              <w:pStyle w:val="TableParagraph"/>
              <w:tabs>
                <w:tab w:pos="2289" w:val="left" w:leader="none"/>
              </w:tabs>
              <w:spacing w:line="152" w:lineRule="exact" w:before="8"/>
              <w:ind w:left="815"/>
              <w:rPr>
                <w:sz w:val="14"/>
              </w:rPr>
            </w:pPr>
            <w:r>
              <w:rPr>
                <w:sz w:val="14"/>
              </w:rPr>
              <w:t>-</w:t>
              <w:tab/>
              <w:t>-</w:t>
            </w:r>
          </w:p>
        </w:tc>
      </w:tr>
      <w:tr>
        <w:trPr>
          <w:trHeight w:val="268" w:hRule="atLeast"/>
        </w:trPr>
        <w:tc>
          <w:tcPr>
            <w:tcW w:w="5105" w:type="dxa"/>
          </w:tcPr>
          <w:p>
            <w:pPr>
              <w:pStyle w:val="TableParagraph"/>
              <w:spacing w:before="5"/>
              <w:ind w:left="600"/>
              <w:rPr>
                <w:sz w:val="14"/>
              </w:rPr>
            </w:pPr>
            <w:r>
              <w:rPr>
                <w:sz w:val="14"/>
              </w:rPr>
              <w:t>Subsidy from Government</w:t>
            </w:r>
          </w:p>
        </w:tc>
        <w:tc>
          <w:tcPr>
            <w:tcW w:w="2478" w:type="dxa"/>
          </w:tcPr>
          <w:p>
            <w:pPr>
              <w:pStyle w:val="TableParagraph"/>
              <w:spacing w:before="5"/>
              <w:ind w:right="467"/>
              <w:jc w:val="right"/>
              <w:rPr>
                <w:sz w:val="14"/>
              </w:rPr>
            </w:pPr>
            <w:r>
              <w:rPr>
                <w:w w:val="99"/>
                <w:sz w:val="14"/>
              </w:rPr>
              <w:t>-</w:t>
            </w:r>
          </w:p>
        </w:tc>
        <w:tc>
          <w:tcPr>
            <w:tcW w:w="1531" w:type="dxa"/>
          </w:tcPr>
          <w:p>
            <w:pPr>
              <w:pStyle w:val="TableParagraph"/>
              <w:spacing w:before="5"/>
              <w:ind w:right="582"/>
              <w:jc w:val="right"/>
              <w:rPr>
                <w:sz w:val="14"/>
              </w:rPr>
            </w:pPr>
            <w:r>
              <w:rPr>
                <w:w w:val="99"/>
                <w:sz w:val="14"/>
              </w:rPr>
              <w:t>-</w:t>
            </w:r>
          </w:p>
        </w:tc>
        <w:tc>
          <w:tcPr>
            <w:tcW w:w="1443" w:type="dxa"/>
          </w:tcPr>
          <w:p>
            <w:pPr>
              <w:pStyle w:val="TableParagraph"/>
              <w:spacing w:before="5"/>
              <w:ind w:right="383"/>
              <w:jc w:val="right"/>
              <w:rPr>
                <w:sz w:val="14"/>
              </w:rPr>
            </w:pPr>
            <w:r>
              <w:rPr>
                <w:w w:val="99"/>
                <w:sz w:val="14"/>
              </w:rPr>
              <w:t>-</w:t>
            </w:r>
          </w:p>
        </w:tc>
        <w:tc>
          <w:tcPr>
            <w:tcW w:w="3773" w:type="dxa"/>
            <w:gridSpan w:val="3"/>
          </w:tcPr>
          <w:p>
            <w:pPr>
              <w:pStyle w:val="TableParagraph"/>
              <w:tabs>
                <w:tab w:pos="2289" w:val="left" w:leader="none"/>
              </w:tabs>
              <w:spacing w:before="5"/>
              <w:ind w:left="815"/>
              <w:rPr>
                <w:sz w:val="14"/>
              </w:rPr>
            </w:pPr>
            <w:r>
              <w:rPr>
                <w:sz w:val="14"/>
              </w:rPr>
              <w:t>-</w:t>
              <w:tab/>
              <w:t>-</w:t>
            </w:r>
          </w:p>
        </w:tc>
      </w:tr>
      <w:tr>
        <w:trPr>
          <w:trHeight w:val="271" w:hRule="atLeast"/>
        </w:trPr>
        <w:tc>
          <w:tcPr>
            <w:tcW w:w="5105" w:type="dxa"/>
          </w:tcPr>
          <w:p>
            <w:pPr>
              <w:pStyle w:val="TableParagraph"/>
              <w:spacing w:line="154" w:lineRule="exact" w:before="97"/>
              <w:ind w:left="34"/>
              <w:rPr>
                <w:sz w:val="14"/>
              </w:rPr>
            </w:pPr>
            <w:r>
              <w:rPr>
                <w:sz w:val="14"/>
              </w:rPr>
              <w:t>15. National Insurance Company Limited (NIC)</w:t>
            </w:r>
          </w:p>
        </w:tc>
        <w:tc>
          <w:tcPr>
            <w:tcW w:w="2478" w:type="dxa"/>
          </w:tcPr>
          <w:p>
            <w:pPr>
              <w:pStyle w:val="TableParagraph"/>
              <w:rPr>
                <w:rFonts w:ascii="Times New Roman"/>
                <w:sz w:val="14"/>
              </w:rPr>
            </w:pPr>
          </w:p>
        </w:tc>
        <w:tc>
          <w:tcPr>
            <w:tcW w:w="1531" w:type="dxa"/>
          </w:tcPr>
          <w:p>
            <w:pPr>
              <w:pStyle w:val="TableParagraph"/>
              <w:rPr>
                <w:rFonts w:ascii="Times New Roman"/>
                <w:sz w:val="14"/>
              </w:rPr>
            </w:pPr>
          </w:p>
        </w:tc>
        <w:tc>
          <w:tcPr>
            <w:tcW w:w="1443" w:type="dxa"/>
          </w:tcPr>
          <w:p>
            <w:pPr>
              <w:pStyle w:val="TableParagraph"/>
              <w:rPr>
                <w:rFonts w:ascii="Times New Roman"/>
                <w:sz w:val="14"/>
              </w:rPr>
            </w:pPr>
          </w:p>
        </w:tc>
        <w:tc>
          <w:tcPr>
            <w:tcW w:w="1319" w:type="dxa"/>
          </w:tcPr>
          <w:p>
            <w:pPr>
              <w:pStyle w:val="TableParagraph"/>
              <w:rPr>
                <w:rFonts w:ascii="Times New Roman"/>
                <w:sz w:val="14"/>
              </w:rPr>
            </w:pPr>
          </w:p>
        </w:tc>
        <w:tc>
          <w:tcPr>
            <w:tcW w:w="1266" w:type="dxa"/>
          </w:tcPr>
          <w:p>
            <w:pPr>
              <w:pStyle w:val="TableParagraph"/>
              <w:rPr>
                <w:rFonts w:ascii="Times New Roman"/>
                <w:sz w:val="14"/>
              </w:rPr>
            </w:pPr>
          </w:p>
        </w:tc>
        <w:tc>
          <w:tcPr>
            <w:tcW w:w="1188" w:type="dxa"/>
          </w:tcPr>
          <w:p>
            <w:pPr>
              <w:pStyle w:val="TableParagraph"/>
              <w:rPr>
                <w:rFonts w:ascii="Times New Roman"/>
                <w:sz w:val="14"/>
              </w:rPr>
            </w:pPr>
          </w:p>
        </w:tc>
      </w:tr>
      <w:tr>
        <w:trPr>
          <w:trHeight w:val="180" w:hRule="atLeast"/>
        </w:trPr>
        <w:tc>
          <w:tcPr>
            <w:tcW w:w="5105" w:type="dxa"/>
          </w:tcPr>
          <w:p>
            <w:pPr>
              <w:pStyle w:val="TableParagraph"/>
              <w:spacing w:line="152" w:lineRule="exact" w:before="8"/>
              <w:ind w:left="600"/>
              <w:rPr>
                <w:sz w:val="14"/>
              </w:rPr>
            </w:pPr>
            <w:r>
              <w:rPr>
                <w:sz w:val="14"/>
              </w:rPr>
              <w:t>Receipts</w:t>
            </w:r>
          </w:p>
        </w:tc>
        <w:tc>
          <w:tcPr>
            <w:tcW w:w="2478" w:type="dxa"/>
          </w:tcPr>
          <w:p>
            <w:pPr>
              <w:pStyle w:val="TableParagraph"/>
              <w:spacing w:line="152" w:lineRule="exact" w:before="8"/>
              <w:ind w:right="485"/>
              <w:jc w:val="right"/>
              <w:rPr>
                <w:sz w:val="14"/>
              </w:rPr>
            </w:pPr>
            <w:r>
              <w:rPr>
                <w:w w:val="95"/>
                <w:sz w:val="14"/>
              </w:rPr>
              <w:t>13,976</w:t>
            </w:r>
          </w:p>
        </w:tc>
        <w:tc>
          <w:tcPr>
            <w:tcW w:w="1531" w:type="dxa"/>
          </w:tcPr>
          <w:p>
            <w:pPr>
              <w:pStyle w:val="TableParagraph"/>
              <w:spacing w:line="152" w:lineRule="exact" w:before="8"/>
              <w:ind w:right="600"/>
              <w:jc w:val="right"/>
              <w:rPr>
                <w:sz w:val="14"/>
              </w:rPr>
            </w:pPr>
            <w:r>
              <w:rPr>
                <w:w w:val="95"/>
                <w:sz w:val="14"/>
              </w:rPr>
              <w:t>21,024</w:t>
            </w:r>
          </w:p>
        </w:tc>
        <w:tc>
          <w:tcPr>
            <w:tcW w:w="1443" w:type="dxa"/>
          </w:tcPr>
          <w:p>
            <w:pPr>
              <w:pStyle w:val="TableParagraph"/>
              <w:spacing w:line="152" w:lineRule="exact" w:before="8"/>
              <w:ind w:right="397"/>
              <w:jc w:val="right"/>
              <w:rPr>
                <w:sz w:val="14"/>
              </w:rPr>
            </w:pPr>
            <w:r>
              <w:rPr>
                <w:w w:val="95"/>
                <w:sz w:val="14"/>
              </w:rPr>
              <w:t>22,075</w:t>
            </w:r>
          </w:p>
        </w:tc>
        <w:tc>
          <w:tcPr>
            <w:tcW w:w="1319" w:type="dxa"/>
          </w:tcPr>
          <w:p>
            <w:pPr>
              <w:pStyle w:val="TableParagraph"/>
              <w:spacing w:line="152" w:lineRule="exact" w:before="8"/>
              <w:ind w:right="472"/>
              <w:jc w:val="right"/>
              <w:rPr>
                <w:sz w:val="14"/>
              </w:rPr>
            </w:pPr>
            <w:r>
              <w:rPr>
                <w:w w:val="95"/>
                <w:sz w:val="14"/>
              </w:rPr>
              <w:t>24,283</w:t>
            </w:r>
          </w:p>
        </w:tc>
        <w:tc>
          <w:tcPr>
            <w:tcW w:w="1266" w:type="dxa"/>
          </w:tcPr>
          <w:p>
            <w:pPr>
              <w:pStyle w:val="TableParagraph"/>
              <w:spacing w:line="152" w:lineRule="exact" w:before="8"/>
              <w:ind w:right="265"/>
              <w:jc w:val="right"/>
              <w:rPr>
                <w:sz w:val="14"/>
              </w:rPr>
            </w:pPr>
            <w:r>
              <w:rPr>
                <w:w w:val="95"/>
                <w:sz w:val="14"/>
              </w:rPr>
              <w:t>27,925</w:t>
            </w:r>
          </w:p>
        </w:tc>
        <w:tc>
          <w:tcPr>
            <w:tcW w:w="1188" w:type="dxa"/>
          </w:tcPr>
          <w:p>
            <w:pPr>
              <w:pStyle w:val="TableParagraph"/>
              <w:rPr>
                <w:rFonts w:ascii="Times New Roman"/>
                <w:sz w:val="12"/>
              </w:rPr>
            </w:pPr>
          </w:p>
        </w:tc>
      </w:tr>
      <w:tr>
        <w:trPr>
          <w:trHeight w:val="180" w:hRule="atLeast"/>
        </w:trPr>
        <w:tc>
          <w:tcPr>
            <w:tcW w:w="5105" w:type="dxa"/>
          </w:tcPr>
          <w:p>
            <w:pPr>
              <w:pStyle w:val="TableParagraph"/>
              <w:spacing w:line="154" w:lineRule="exact" w:before="5"/>
              <w:ind w:left="601"/>
              <w:rPr>
                <w:sz w:val="14"/>
              </w:rPr>
            </w:pPr>
            <w:r>
              <w:rPr>
                <w:sz w:val="14"/>
              </w:rPr>
              <w:t>Expenditure</w:t>
            </w:r>
          </w:p>
        </w:tc>
        <w:tc>
          <w:tcPr>
            <w:tcW w:w="2478" w:type="dxa"/>
          </w:tcPr>
          <w:p>
            <w:pPr>
              <w:pStyle w:val="TableParagraph"/>
              <w:spacing w:line="154" w:lineRule="exact" w:before="5"/>
              <w:ind w:right="477"/>
              <w:jc w:val="right"/>
              <w:rPr>
                <w:sz w:val="14"/>
              </w:rPr>
            </w:pPr>
            <w:r>
              <w:rPr>
                <w:sz w:val="14"/>
              </w:rPr>
              <w:t>6,764</w:t>
            </w:r>
          </w:p>
        </w:tc>
        <w:tc>
          <w:tcPr>
            <w:tcW w:w="1531" w:type="dxa"/>
          </w:tcPr>
          <w:p>
            <w:pPr>
              <w:pStyle w:val="TableParagraph"/>
              <w:spacing w:line="154" w:lineRule="exact" w:before="5"/>
              <w:ind w:right="592"/>
              <w:jc w:val="right"/>
              <w:rPr>
                <w:sz w:val="14"/>
              </w:rPr>
            </w:pPr>
            <w:r>
              <w:rPr>
                <w:sz w:val="14"/>
              </w:rPr>
              <w:t>8,929</w:t>
            </w:r>
          </w:p>
        </w:tc>
        <w:tc>
          <w:tcPr>
            <w:tcW w:w="1443" w:type="dxa"/>
          </w:tcPr>
          <w:p>
            <w:pPr>
              <w:pStyle w:val="TableParagraph"/>
              <w:spacing w:line="154" w:lineRule="exact" w:before="5"/>
              <w:ind w:right="397"/>
              <w:jc w:val="right"/>
              <w:rPr>
                <w:sz w:val="14"/>
              </w:rPr>
            </w:pPr>
            <w:r>
              <w:rPr>
                <w:w w:val="95"/>
                <w:sz w:val="14"/>
              </w:rPr>
              <w:t>10,660</w:t>
            </w:r>
          </w:p>
        </w:tc>
        <w:tc>
          <w:tcPr>
            <w:tcW w:w="1319" w:type="dxa"/>
          </w:tcPr>
          <w:p>
            <w:pPr>
              <w:pStyle w:val="TableParagraph"/>
              <w:spacing w:line="154" w:lineRule="exact" w:before="5"/>
              <w:ind w:right="472"/>
              <w:jc w:val="right"/>
              <w:rPr>
                <w:sz w:val="14"/>
              </w:rPr>
            </w:pPr>
            <w:r>
              <w:rPr>
                <w:w w:val="95"/>
                <w:sz w:val="14"/>
              </w:rPr>
              <w:t>11,727</w:t>
            </w:r>
          </w:p>
        </w:tc>
        <w:tc>
          <w:tcPr>
            <w:tcW w:w="1266" w:type="dxa"/>
          </w:tcPr>
          <w:p>
            <w:pPr>
              <w:pStyle w:val="TableParagraph"/>
              <w:spacing w:line="154" w:lineRule="exact" w:before="5"/>
              <w:ind w:right="265"/>
              <w:jc w:val="right"/>
              <w:rPr>
                <w:sz w:val="14"/>
              </w:rPr>
            </w:pPr>
            <w:r>
              <w:rPr>
                <w:w w:val="95"/>
                <w:sz w:val="14"/>
              </w:rPr>
              <w:t>13,485</w:t>
            </w:r>
          </w:p>
        </w:tc>
        <w:tc>
          <w:tcPr>
            <w:tcW w:w="1188" w:type="dxa"/>
          </w:tcPr>
          <w:p>
            <w:pPr>
              <w:pStyle w:val="TableParagraph"/>
              <w:spacing w:line="154" w:lineRule="exact" w:before="5"/>
              <w:ind w:right="60"/>
              <w:jc w:val="right"/>
              <w:rPr>
                <w:sz w:val="14"/>
              </w:rPr>
            </w:pPr>
            <w:r>
              <w:rPr>
                <w:sz w:val="14"/>
              </w:rPr>
              <w:t>Profit Making</w:t>
            </w:r>
          </w:p>
        </w:tc>
      </w:tr>
      <w:tr>
        <w:trPr>
          <w:trHeight w:val="180" w:hRule="atLeast"/>
        </w:trPr>
        <w:tc>
          <w:tcPr>
            <w:tcW w:w="5105" w:type="dxa"/>
          </w:tcPr>
          <w:p>
            <w:pPr>
              <w:pStyle w:val="TableParagraph"/>
              <w:spacing w:line="152" w:lineRule="exact" w:before="8"/>
              <w:ind w:left="600"/>
              <w:rPr>
                <w:sz w:val="14"/>
              </w:rPr>
            </w:pPr>
            <w:r>
              <w:rPr>
                <w:sz w:val="14"/>
              </w:rPr>
              <w:t>Net Profit (Loss)</w:t>
            </w:r>
          </w:p>
        </w:tc>
        <w:tc>
          <w:tcPr>
            <w:tcW w:w="2478" w:type="dxa"/>
          </w:tcPr>
          <w:p>
            <w:pPr>
              <w:pStyle w:val="TableParagraph"/>
              <w:spacing w:line="152" w:lineRule="exact" w:before="8"/>
              <w:ind w:right="477"/>
              <w:jc w:val="right"/>
              <w:rPr>
                <w:sz w:val="14"/>
              </w:rPr>
            </w:pPr>
            <w:r>
              <w:rPr>
                <w:sz w:val="14"/>
              </w:rPr>
              <w:t>7,212</w:t>
            </w:r>
          </w:p>
        </w:tc>
        <w:tc>
          <w:tcPr>
            <w:tcW w:w="1531" w:type="dxa"/>
          </w:tcPr>
          <w:p>
            <w:pPr>
              <w:pStyle w:val="TableParagraph"/>
              <w:spacing w:line="152" w:lineRule="exact" w:before="8"/>
              <w:ind w:right="600"/>
              <w:jc w:val="right"/>
              <w:rPr>
                <w:sz w:val="14"/>
              </w:rPr>
            </w:pPr>
            <w:r>
              <w:rPr>
                <w:w w:val="95"/>
                <w:sz w:val="14"/>
              </w:rPr>
              <w:t>12,095</w:t>
            </w:r>
          </w:p>
        </w:tc>
        <w:tc>
          <w:tcPr>
            <w:tcW w:w="1443" w:type="dxa"/>
          </w:tcPr>
          <w:p>
            <w:pPr>
              <w:pStyle w:val="TableParagraph"/>
              <w:spacing w:line="152" w:lineRule="exact" w:before="8"/>
              <w:ind w:right="397"/>
              <w:jc w:val="right"/>
              <w:rPr>
                <w:sz w:val="14"/>
              </w:rPr>
            </w:pPr>
            <w:r>
              <w:rPr>
                <w:w w:val="95"/>
                <w:sz w:val="14"/>
              </w:rPr>
              <w:t>11,415</w:t>
            </w:r>
          </w:p>
        </w:tc>
        <w:tc>
          <w:tcPr>
            <w:tcW w:w="1319" w:type="dxa"/>
          </w:tcPr>
          <w:p>
            <w:pPr>
              <w:pStyle w:val="TableParagraph"/>
              <w:spacing w:line="152" w:lineRule="exact" w:before="8"/>
              <w:ind w:right="472"/>
              <w:jc w:val="right"/>
              <w:rPr>
                <w:sz w:val="14"/>
              </w:rPr>
            </w:pPr>
            <w:r>
              <w:rPr>
                <w:w w:val="95"/>
                <w:sz w:val="14"/>
              </w:rPr>
              <w:t>12,556</w:t>
            </w:r>
          </w:p>
        </w:tc>
        <w:tc>
          <w:tcPr>
            <w:tcW w:w="1266" w:type="dxa"/>
          </w:tcPr>
          <w:p>
            <w:pPr>
              <w:pStyle w:val="TableParagraph"/>
              <w:spacing w:line="152" w:lineRule="exact" w:before="8"/>
              <w:ind w:right="265"/>
              <w:jc w:val="right"/>
              <w:rPr>
                <w:sz w:val="14"/>
              </w:rPr>
            </w:pPr>
            <w:r>
              <w:rPr>
                <w:w w:val="95"/>
                <w:sz w:val="14"/>
              </w:rPr>
              <w:t>14,440</w:t>
            </w:r>
          </w:p>
        </w:tc>
        <w:tc>
          <w:tcPr>
            <w:tcW w:w="1188" w:type="dxa"/>
          </w:tcPr>
          <w:p>
            <w:pPr>
              <w:pStyle w:val="TableParagraph"/>
              <w:rPr>
                <w:rFonts w:ascii="Times New Roman"/>
                <w:sz w:val="12"/>
              </w:rPr>
            </w:pPr>
          </w:p>
        </w:tc>
      </w:tr>
      <w:tr>
        <w:trPr>
          <w:trHeight w:val="268" w:hRule="atLeast"/>
        </w:trPr>
        <w:tc>
          <w:tcPr>
            <w:tcW w:w="5105" w:type="dxa"/>
          </w:tcPr>
          <w:p>
            <w:pPr>
              <w:pStyle w:val="TableParagraph"/>
              <w:spacing w:before="5"/>
              <w:ind w:left="600"/>
              <w:rPr>
                <w:sz w:val="14"/>
              </w:rPr>
            </w:pPr>
            <w:r>
              <w:rPr>
                <w:sz w:val="14"/>
              </w:rPr>
              <w:t>Subsidy from Government</w:t>
            </w:r>
          </w:p>
        </w:tc>
        <w:tc>
          <w:tcPr>
            <w:tcW w:w="2478" w:type="dxa"/>
          </w:tcPr>
          <w:p>
            <w:pPr>
              <w:pStyle w:val="TableParagraph"/>
              <w:spacing w:before="5"/>
              <w:ind w:right="467"/>
              <w:jc w:val="right"/>
              <w:rPr>
                <w:sz w:val="14"/>
              </w:rPr>
            </w:pPr>
            <w:r>
              <w:rPr>
                <w:w w:val="99"/>
                <w:sz w:val="14"/>
              </w:rPr>
              <w:t>-</w:t>
            </w:r>
          </w:p>
        </w:tc>
        <w:tc>
          <w:tcPr>
            <w:tcW w:w="1531" w:type="dxa"/>
          </w:tcPr>
          <w:p>
            <w:pPr>
              <w:pStyle w:val="TableParagraph"/>
              <w:spacing w:before="5"/>
              <w:ind w:right="582"/>
              <w:jc w:val="right"/>
              <w:rPr>
                <w:sz w:val="14"/>
              </w:rPr>
            </w:pPr>
            <w:r>
              <w:rPr>
                <w:w w:val="99"/>
                <w:sz w:val="14"/>
              </w:rPr>
              <w:t>-</w:t>
            </w:r>
          </w:p>
        </w:tc>
        <w:tc>
          <w:tcPr>
            <w:tcW w:w="1443" w:type="dxa"/>
          </w:tcPr>
          <w:p>
            <w:pPr>
              <w:pStyle w:val="TableParagraph"/>
              <w:spacing w:before="5"/>
              <w:ind w:right="383"/>
              <w:jc w:val="right"/>
              <w:rPr>
                <w:sz w:val="14"/>
              </w:rPr>
            </w:pPr>
            <w:r>
              <w:rPr>
                <w:w w:val="99"/>
                <w:sz w:val="14"/>
              </w:rPr>
              <w:t>-</w:t>
            </w:r>
          </w:p>
        </w:tc>
        <w:tc>
          <w:tcPr>
            <w:tcW w:w="1319" w:type="dxa"/>
          </w:tcPr>
          <w:p>
            <w:pPr>
              <w:pStyle w:val="TableParagraph"/>
              <w:spacing w:before="5"/>
              <w:ind w:right="454"/>
              <w:jc w:val="right"/>
              <w:rPr>
                <w:sz w:val="14"/>
              </w:rPr>
            </w:pPr>
            <w:r>
              <w:rPr>
                <w:w w:val="99"/>
                <w:sz w:val="14"/>
              </w:rPr>
              <w:t>-</w:t>
            </w:r>
          </w:p>
        </w:tc>
        <w:tc>
          <w:tcPr>
            <w:tcW w:w="1266" w:type="dxa"/>
          </w:tcPr>
          <w:p>
            <w:pPr>
              <w:pStyle w:val="TableParagraph"/>
              <w:spacing w:before="5"/>
              <w:ind w:right="247"/>
              <w:jc w:val="right"/>
              <w:rPr>
                <w:sz w:val="14"/>
              </w:rPr>
            </w:pPr>
            <w:r>
              <w:rPr>
                <w:w w:val="99"/>
                <w:sz w:val="14"/>
              </w:rPr>
              <w:t>-</w:t>
            </w:r>
          </w:p>
        </w:tc>
        <w:tc>
          <w:tcPr>
            <w:tcW w:w="1188" w:type="dxa"/>
          </w:tcPr>
          <w:p>
            <w:pPr>
              <w:pStyle w:val="TableParagraph"/>
              <w:rPr>
                <w:rFonts w:ascii="Times New Roman"/>
                <w:sz w:val="14"/>
              </w:rPr>
            </w:pPr>
          </w:p>
        </w:tc>
      </w:tr>
      <w:tr>
        <w:trPr>
          <w:trHeight w:val="271" w:hRule="atLeast"/>
        </w:trPr>
        <w:tc>
          <w:tcPr>
            <w:tcW w:w="5105" w:type="dxa"/>
          </w:tcPr>
          <w:p>
            <w:pPr>
              <w:pStyle w:val="TableParagraph"/>
              <w:spacing w:line="154" w:lineRule="exact" w:before="97"/>
              <w:ind w:left="34"/>
              <w:rPr>
                <w:sz w:val="14"/>
              </w:rPr>
            </w:pPr>
            <w:r>
              <w:rPr>
                <w:sz w:val="14"/>
              </w:rPr>
              <w:t>16. Sierra Leone Postal Services (SALPOST)</w:t>
            </w:r>
          </w:p>
        </w:tc>
        <w:tc>
          <w:tcPr>
            <w:tcW w:w="2478" w:type="dxa"/>
          </w:tcPr>
          <w:p>
            <w:pPr>
              <w:pStyle w:val="TableParagraph"/>
              <w:rPr>
                <w:rFonts w:ascii="Times New Roman"/>
                <w:sz w:val="14"/>
              </w:rPr>
            </w:pPr>
          </w:p>
        </w:tc>
        <w:tc>
          <w:tcPr>
            <w:tcW w:w="1531" w:type="dxa"/>
          </w:tcPr>
          <w:p>
            <w:pPr>
              <w:pStyle w:val="TableParagraph"/>
              <w:rPr>
                <w:rFonts w:ascii="Times New Roman"/>
                <w:sz w:val="14"/>
              </w:rPr>
            </w:pPr>
          </w:p>
        </w:tc>
        <w:tc>
          <w:tcPr>
            <w:tcW w:w="1443" w:type="dxa"/>
          </w:tcPr>
          <w:p>
            <w:pPr>
              <w:pStyle w:val="TableParagraph"/>
              <w:rPr>
                <w:rFonts w:ascii="Times New Roman"/>
                <w:sz w:val="14"/>
              </w:rPr>
            </w:pPr>
          </w:p>
        </w:tc>
        <w:tc>
          <w:tcPr>
            <w:tcW w:w="1319" w:type="dxa"/>
          </w:tcPr>
          <w:p>
            <w:pPr>
              <w:pStyle w:val="TableParagraph"/>
              <w:rPr>
                <w:rFonts w:ascii="Times New Roman"/>
                <w:sz w:val="14"/>
              </w:rPr>
            </w:pPr>
          </w:p>
        </w:tc>
        <w:tc>
          <w:tcPr>
            <w:tcW w:w="1266" w:type="dxa"/>
          </w:tcPr>
          <w:p>
            <w:pPr>
              <w:pStyle w:val="TableParagraph"/>
              <w:rPr>
                <w:rFonts w:ascii="Times New Roman"/>
                <w:sz w:val="14"/>
              </w:rPr>
            </w:pPr>
          </w:p>
        </w:tc>
        <w:tc>
          <w:tcPr>
            <w:tcW w:w="1188" w:type="dxa"/>
          </w:tcPr>
          <w:p>
            <w:pPr>
              <w:pStyle w:val="TableParagraph"/>
              <w:rPr>
                <w:rFonts w:ascii="Times New Roman"/>
                <w:sz w:val="14"/>
              </w:rPr>
            </w:pPr>
          </w:p>
        </w:tc>
      </w:tr>
      <w:tr>
        <w:trPr>
          <w:trHeight w:val="180" w:hRule="atLeast"/>
        </w:trPr>
        <w:tc>
          <w:tcPr>
            <w:tcW w:w="5105" w:type="dxa"/>
          </w:tcPr>
          <w:p>
            <w:pPr>
              <w:pStyle w:val="TableParagraph"/>
              <w:spacing w:line="152" w:lineRule="exact" w:before="8"/>
              <w:ind w:left="600"/>
              <w:rPr>
                <w:sz w:val="14"/>
              </w:rPr>
            </w:pPr>
            <w:r>
              <w:rPr>
                <w:sz w:val="14"/>
              </w:rPr>
              <w:t>Receipts</w:t>
            </w:r>
          </w:p>
        </w:tc>
        <w:tc>
          <w:tcPr>
            <w:tcW w:w="2478" w:type="dxa"/>
          </w:tcPr>
          <w:p>
            <w:pPr>
              <w:pStyle w:val="TableParagraph"/>
              <w:spacing w:line="152" w:lineRule="exact" w:before="8"/>
              <w:ind w:right="477"/>
              <w:jc w:val="right"/>
              <w:rPr>
                <w:sz w:val="14"/>
              </w:rPr>
            </w:pPr>
            <w:r>
              <w:rPr>
                <w:sz w:val="14"/>
              </w:rPr>
              <w:t>3,889</w:t>
            </w:r>
          </w:p>
        </w:tc>
        <w:tc>
          <w:tcPr>
            <w:tcW w:w="1531" w:type="dxa"/>
          </w:tcPr>
          <w:p>
            <w:pPr>
              <w:pStyle w:val="TableParagraph"/>
              <w:spacing w:line="152" w:lineRule="exact" w:before="8"/>
              <w:ind w:right="592"/>
              <w:jc w:val="right"/>
              <w:rPr>
                <w:sz w:val="14"/>
              </w:rPr>
            </w:pPr>
            <w:r>
              <w:rPr>
                <w:sz w:val="14"/>
              </w:rPr>
              <w:t>2,705</w:t>
            </w:r>
          </w:p>
        </w:tc>
        <w:tc>
          <w:tcPr>
            <w:tcW w:w="1443" w:type="dxa"/>
          </w:tcPr>
          <w:p>
            <w:pPr>
              <w:pStyle w:val="TableParagraph"/>
              <w:spacing w:line="152" w:lineRule="exact" w:before="8"/>
              <w:ind w:right="393"/>
              <w:jc w:val="right"/>
              <w:rPr>
                <w:sz w:val="14"/>
              </w:rPr>
            </w:pPr>
            <w:r>
              <w:rPr>
                <w:sz w:val="14"/>
              </w:rPr>
              <w:t>3,969</w:t>
            </w:r>
          </w:p>
        </w:tc>
        <w:tc>
          <w:tcPr>
            <w:tcW w:w="1319" w:type="dxa"/>
          </w:tcPr>
          <w:p>
            <w:pPr>
              <w:pStyle w:val="TableParagraph"/>
              <w:spacing w:line="152" w:lineRule="exact" w:before="8"/>
              <w:ind w:right="464"/>
              <w:jc w:val="right"/>
              <w:rPr>
                <w:sz w:val="14"/>
              </w:rPr>
            </w:pPr>
            <w:r>
              <w:rPr>
                <w:sz w:val="14"/>
              </w:rPr>
              <w:t>4,446</w:t>
            </w:r>
          </w:p>
        </w:tc>
        <w:tc>
          <w:tcPr>
            <w:tcW w:w="1266" w:type="dxa"/>
          </w:tcPr>
          <w:p>
            <w:pPr>
              <w:pStyle w:val="TableParagraph"/>
              <w:spacing w:line="152" w:lineRule="exact" w:before="8"/>
              <w:ind w:right="256"/>
              <w:jc w:val="right"/>
              <w:rPr>
                <w:sz w:val="14"/>
              </w:rPr>
            </w:pPr>
            <w:r>
              <w:rPr>
                <w:sz w:val="14"/>
              </w:rPr>
              <w:t>4,979</w:t>
            </w:r>
          </w:p>
        </w:tc>
        <w:tc>
          <w:tcPr>
            <w:tcW w:w="1188" w:type="dxa"/>
          </w:tcPr>
          <w:p>
            <w:pPr>
              <w:pStyle w:val="TableParagraph"/>
              <w:rPr>
                <w:rFonts w:ascii="Times New Roman"/>
                <w:sz w:val="12"/>
              </w:rPr>
            </w:pPr>
          </w:p>
        </w:tc>
      </w:tr>
      <w:tr>
        <w:trPr>
          <w:trHeight w:val="180" w:hRule="atLeast"/>
        </w:trPr>
        <w:tc>
          <w:tcPr>
            <w:tcW w:w="5105" w:type="dxa"/>
          </w:tcPr>
          <w:p>
            <w:pPr>
              <w:pStyle w:val="TableParagraph"/>
              <w:spacing w:line="154" w:lineRule="exact" w:before="5"/>
              <w:ind w:left="601"/>
              <w:rPr>
                <w:sz w:val="14"/>
              </w:rPr>
            </w:pPr>
            <w:r>
              <w:rPr>
                <w:sz w:val="14"/>
              </w:rPr>
              <w:t>Expenditure</w:t>
            </w:r>
          </w:p>
        </w:tc>
        <w:tc>
          <w:tcPr>
            <w:tcW w:w="2478" w:type="dxa"/>
          </w:tcPr>
          <w:p>
            <w:pPr>
              <w:pStyle w:val="TableParagraph"/>
              <w:spacing w:line="154" w:lineRule="exact" w:before="5"/>
              <w:ind w:right="477"/>
              <w:jc w:val="right"/>
              <w:rPr>
                <w:sz w:val="14"/>
              </w:rPr>
            </w:pPr>
            <w:r>
              <w:rPr>
                <w:sz w:val="14"/>
              </w:rPr>
              <w:t>3,424</w:t>
            </w:r>
          </w:p>
        </w:tc>
        <w:tc>
          <w:tcPr>
            <w:tcW w:w="1531" w:type="dxa"/>
          </w:tcPr>
          <w:p>
            <w:pPr>
              <w:pStyle w:val="TableParagraph"/>
              <w:spacing w:line="154" w:lineRule="exact" w:before="5"/>
              <w:ind w:right="592"/>
              <w:jc w:val="right"/>
              <w:rPr>
                <w:sz w:val="14"/>
              </w:rPr>
            </w:pPr>
            <w:r>
              <w:rPr>
                <w:sz w:val="14"/>
              </w:rPr>
              <w:t>2,591</w:t>
            </w:r>
          </w:p>
        </w:tc>
        <w:tc>
          <w:tcPr>
            <w:tcW w:w="1443" w:type="dxa"/>
          </w:tcPr>
          <w:p>
            <w:pPr>
              <w:pStyle w:val="TableParagraph"/>
              <w:spacing w:line="154" w:lineRule="exact" w:before="5"/>
              <w:ind w:right="393"/>
              <w:jc w:val="right"/>
              <w:rPr>
                <w:sz w:val="14"/>
              </w:rPr>
            </w:pPr>
            <w:r>
              <w:rPr>
                <w:sz w:val="14"/>
              </w:rPr>
              <w:t>9,604</w:t>
            </w:r>
          </w:p>
        </w:tc>
        <w:tc>
          <w:tcPr>
            <w:tcW w:w="1319" w:type="dxa"/>
          </w:tcPr>
          <w:p>
            <w:pPr>
              <w:pStyle w:val="TableParagraph"/>
              <w:spacing w:line="154" w:lineRule="exact" w:before="5"/>
              <w:ind w:right="464"/>
              <w:jc w:val="right"/>
              <w:rPr>
                <w:sz w:val="14"/>
              </w:rPr>
            </w:pPr>
            <w:r>
              <w:rPr>
                <w:sz w:val="14"/>
              </w:rPr>
              <w:t>7,662</w:t>
            </w:r>
          </w:p>
        </w:tc>
        <w:tc>
          <w:tcPr>
            <w:tcW w:w="1266" w:type="dxa"/>
          </w:tcPr>
          <w:p>
            <w:pPr>
              <w:pStyle w:val="TableParagraph"/>
              <w:spacing w:line="154" w:lineRule="exact" w:before="5"/>
              <w:ind w:right="256"/>
              <w:jc w:val="right"/>
              <w:rPr>
                <w:sz w:val="14"/>
              </w:rPr>
            </w:pPr>
            <w:r>
              <w:rPr>
                <w:sz w:val="14"/>
              </w:rPr>
              <w:t>6,558</w:t>
            </w:r>
          </w:p>
        </w:tc>
        <w:tc>
          <w:tcPr>
            <w:tcW w:w="1188" w:type="dxa"/>
          </w:tcPr>
          <w:p>
            <w:pPr>
              <w:pStyle w:val="TableParagraph"/>
              <w:rPr>
                <w:rFonts w:ascii="Times New Roman"/>
                <w:sz w:val="12"/>
              </w:rPr>
            </w:pPr>
          </w:p>
        </w:tc>
      </w:tr>
      <w:tr>
        <w:trPr>
          <w:trHeight w:val="180" w:hRule="atLeast"/>
        </w:trPr>
        <w:tc>
          <w:tcPr>
            <w:tcW w:w="5105" w:type="dxa"/>
          </w:tcPr>
          <w:p>
            <w:pPr>
              <w:pStyle w:val="TableParagraph"/>
              <w:spacing w:line="152" w:lineRule="exact" w:before="8"/>
              <w:ind w:left="600"/>
              <w:rPr>
                <w:sz w:val="14"/>
              </w:rPr>
            </w:pPr>
            <w:r>
              <w:rPr>
                <w:sz w:val="14"/>
              </w:rPr>
              <w:t>Net Profit (Loss)</w:t>
            </w:r>
          </w:p>
        </w:tc>
        <w:tc>
          <w:tcPr>
            <w:tcW w:w="2478" w:type="dxa"/>
          </w:tcPr>
          <w:p>
            <w:pPr>
              <w:pStyle w:val="TableParagraph"/>
              <w:spacing w:line="152" w:lineRule="exact" w:before="8"/>
              <w:ind w:right="469"/>
              <w:jc w:val="right"/>
              <w:rPr>
                <w:sz w:val="14"/>
              </w:rPr>
            </w:pPr>
            <w:r>
              <w:rPr>
                <w:sz w:val="14"/>
              </w:rPr>
              <w:t>465</w:t>
            </w:r>
          </w:p>
        </w:tc>
        <w:tc>
          <w:tcPr>
            <w:tcW w:w="1531" w:type="dxa"/>
          </w:tcPr>
          <w:p>
            <w:pPr>
              <w:pStyle w:val="TableParagraph"/>
              <w:spacing w:line="152" w:lineRule="exact" w:before="8"/>
              <w:ind w:right="584"/>
              <w:jc w:val="right"/>
              <w:rPr>
                <w:sz w:val="14"/>
              </w:rPr>
            </w:pPr>
            <w:r>
              <w:rPr>
                <w:sz w:val="14"/>
              </w:rPr>
              <w:t>114</w:t>
            </w:r>
          </w:p>
        </w:tc>
        <w:tc>
          <w:tcPr>
            <w:tcW w:w="1443" w:type="dxa"/>
          </w:tcPr>
          <w:p>
            <w:pPr>
              <w:pStyle w:val="TableParagraph"/>
              <w:spacing w:line="152" w:lineRule="exact" w:before="8"/>
              <w:ind w:right="389"/>
              <w:jc w:val="right"/>
              <w:rPr>
                <w:sz w:val="14"/>
              </w:rPr>
            </w:pPr>
            <w:r>
              <w:rPr>
                <w:w w:val="95"/>
                <w:sz w:val="14"/>
              </w:rPr>
              <w:t>(5,635)</w:t>
            </w:r>
          </w:p>
        </w:tc>
        <w:tc>
          <w:tcPr>
            <w:tcW w:w="1319" w:type="dxa"/>
          </w:tcPr>
          <w:p>
            <w:pPr>
              <w:pStyle w:val="TableParagraph"/>
              <w:spacing w:line="152" w:lineRule="exact" w:before="8"/>
              <w:ind w:right="465"/>
              <w:jc w:val="right"/>
              <w:rPr>
                <w:sz w:val="14"/>
              </w:rPr>
            </w:pPr>
            <w:r>
              <w:rPr>
                <w:w w:val="95"/>
                <w:sz w:val="14"/>
              </w:rPr>
              <w:t>(3,216)</w:t>
            </w:r>
          </w:p>
        </w:tc>
        <w:tc>
          <w:tcPr>
            <w:tcW w:w="1266" w:type="dxa"/>
          </w:tcPr>
          <w:p>
            <w:pPr>
              <w:pStyle w:val="TableParagraph"/>
              <w:spacing w:line="152" w:lineRule="exact" w:before="8"/>
              <w:ind w:right="258"/>
              <w:jc w:val="right"/>
              <w:rPr>
                <w:sz w:val="14"/>
              </w:rPr>
            </w:pPr>
            <w:r>
              <w:rPr>
                <w:w w:val="95"/>
                <w:sz w:val="14"/>
              </w:rPr>
              <w:t>(1,579)</w:t>
            </w:r>
          </w:p>
        </w:tc>
        <w:tc>
          <w:tcPr>
            <w:tcW w:w="1188" w:type="dxa"/>
          </w:tcPr>
          <w:p>
            <w:pPr>
              <w:pStyle w:val="TableParagraph"/>
              <w:spacing w:line="152" w:lineRule="exact" w:before="8"/>
              <w:ind w:right="38"/>
              <w:jc w:val="right"/>
              <w:rPr>
                <w:sz w:val="14"/>
              </w:rPr>
            </w:pPr>
            <w:r>
              <w:rPr>
                <w:sz w:val="14"/>
              </w:rPr>
              <w:t>Loss Making</w:t>
            </w:r>
          </w:p>
        </w:tc>
      </w:tr>
      <w:tr>
        <w:trPr>
          <w:trHeight w:val="268" w:hRule="atLeast"/>
        </w:trPr>
        <w:tc>
          <w:tcPr>
            <w:tcW w:w="5105" w:type="dxa"/>
          </w:tcPr>
          <w:p>
            <w:pPr>
              <w:pStyle w:val="TableParagraph"/>
              <w:spacing w:before="5"/>
              <w:ind w:left="600"/>
              <w:rPr>
                <w:sz w:val="14"/>
              </w:rPr>
            </w:pPr>
            <w:r>
              <w:rPr>
                <w:sz w:val="14"/>
              </w:rPr>
              <w:t>Subsidy from Government</w:t>
            </w:r>
          </w:p>
        </w:tc>
        <w:tc>
          <w:tcPr>
            <w:tcW w:w="2478" w:type="dxa"/>
          </w:tcPr>
          <w:p>
            <w:pPr>
              <w:pStyle w:val="TableParagraph"/>
              <w:spacing w:before="5"/>
              <w:ind w:right="467"/>
              <w:jc w:val="right"/>
              <w:rPr>
                <w:sz w:val="14"/>
              </w:rPr>
            </w:pPr>
            <w:r>
              <w:rPr>
                <w:w w:val="99"/>
                <w:sz w:val="14"/>
              </w:rPr>
              <w:t>-</w:t>
            </w:r>
          </w:p>
        </w:tc>
        <w:tc>
          <w:tcPr>
            <w:tcW w:w="1531" w:type="dxa"/>
          </w:tcPr>
          <w:p>
            <w:pPr>
              <w:pStyle w:val="TableParagraph"/>
              <w:spacing w:before="5"/>
              <w:ind w:right="584"/>
              <w:jc w:val="right"/>
              <w:rPr>
                <w:sz w:val="14"/>
              </w:rPr>
            </w:pPr>
            <w:r>
              <w:rPr>
                <w:sz w:val="14"/>
              </w:rPr>
              <w:t>576</w:t>
            </w:r>
          </w:p>
        </w:tc>
        <w:tc>
          <w:tcPr>
            <w:tcW w:w="1443" w:type="dxa"/>
          </w:tcPr>
          <w:p>
            <w:pPr>
              <w:pStyle w:val="TableParagraph"/>
              <w:spacing w:before="5"/>
              <w:ind w:right="383"/>
              <w:jc w:val="right"/>
              <w:rPr>
                <w:sz w:val="14"/>
              </w:rPr>
            </w:pPr>
            <w:r>
              <w:rPr>
                <w:w w:val="99"/>
                <w:sz w:val="14"/>
              </w:rPr>
              <w:t>-</w:t>
            </w:r>
          </w:p>
        </w:tc>
        <w:tc>
          <w:tcPr>
            <w:tcW w:w="1319" w:type="dxa"/>
          </w:tcPr>
          <w:p>
            <w:pPr>
              <w:pStyle w:val="TableParagraph"/>
              <w:spacing w:before="5"/>
              <w:ind w:right="454"/>
              <w:jc w:val="right"/>
              <w:rPr>
                <w:sz w:val="14"/>
              </w:rPr>
            </w:pPr>
            <w:r>
              <w:rPr>
                <w:w w:val="99"/>
                <w:sz w:val="14"/>
              </w:rPr>
              <w:t>-</w:t>
            </w:r>
          </w:p>
        </w:tc>
        <w:tc>
          <w:tcPr>
            <w:tcW w:w="1266" w:type="dxa"/>
          </w:tcPr>
          <w:p>
            <w:pPr>
              <w:pStyle w:val="TableParagraph"/>
              <w:spacing w:before="5"/>
              <w:ind w:right="247"/>
              <w:jc w:val="right"/>
              <w:rPr>
                <w:sz w:val="14"/>
              </w:rPr>
            </w:pPr>
            <w:r>
              <w:rPr>
                <w:w w:val="99"/>
                <w:sz w:val="14"/>
              </w:rPr>
              <w:t>-</w:t>
            </w:r>
          </w:p>
        </w:tc>
        <w:tc>
          <w:tcPr>
            <w:tcW w:w="1188" w:type="dxa"/>
          </w:tcPr>
          <w:p>
            <w:pPr>
              <w:pStyle w:val="TableParagraph"/>
              <w:rPr>
                <w:rFonts w:ascii="Times New Roman"/>
                <w:sz w:val="14"/>
              </w:rPr>
            </w:pPr>
          </w:p>
        </w:tc>
      </w:tr>
      <w:tr>
        <w:trPr>
          <w:trHeight w:val="271" w:hRule="atLeast"/>
        </w:trPr>
        <w:tc>
          <w:tcPr>
            <w:tcW w:w="5105" w:type="dxa"/>
          </w:tcPr>
          <w:p>
            <w:pPr>
              <w:pStyle w:val="TableParagraph"/>
              <w:spacing w:line="154" w:lineRule="exact" w:before="97"/>
              <w:ind w:left="34"/>
              <w:rPr>
                <w:sz w:val="14"/>
              </w:rPr>
            </w:pPr>
            <w:r>
              <w:rPr>
                <w:sz w:val="14"/>
              </w:rPr>
              <w:t>17. Sierra Leone Cable Company Limited (SALCAB)</w:t>
            </w:r>
          </w:p>
        </w:tc>
        <w:tc>
          <w:tcPr>
            <w:tcW w:w="2478" w:type="dxa"/>
          </w:tcPr>
          <w:p>
            <w:pPr>
              <w:pStyle w:val="TableParagraph"/>
              <w:rPr>
                <w:rFonts w:ascii="Times New Roman"/>
                <w:sz w:val="14"/>
              </w:rPr>
            </w:pPr>
          </w:p>
        </w:tc>
        <w:tc>
          <w:tcPr>
            <w:tcW w:w="1531" w:type="dxa"/>
          </w:tcPr>
          <w:p>
            <w:pPr>
              <w:pStyle w:val="TableParagraph"/>
              <w:rPr>
                <w:rFonts w:ascii="Times New Roman"/>
                <w:sz w:val="14"/>
              </w:rPr>
            </w:pPr>
          </w:p>
        </w:tc>
        <w:tc>
          <w:tcPr>
            <w:tcW w:w="1443" w:type="dxa"/>
          </w:tcPr>
          <w:p>
            <w:pPr>
              <w:pStyle w:val="TableParagraph"/>
              <w:rPr>
                <w:rFonts w:ascii="Times New Roman"/>
                <w:sz w:val="14"/>
              </w:rPr>
            </w:pPr>
          </w:p>
        </w:tc>
        <w:tc>
          <w:tcPr>
            <w:tcW w:w="1319" w:type="dxa"/>
          </w:tcPr>
          <w:p>
            <w:pPr>
              <w:pStyle w:val="TableParagraph"/>
              <w:rPr>
                <w:rFonts w:ascii="Times New Roman"/>
                <w:sz w:val="14"/>
              </w:rPr>
            </w:pPr>
          </w:p>
        </w:tc>
        <w:tc>
          <w:tcPr>
            <w:tcW w:w="1266" w:type="dxa"/>
          </w:tcPr>
          <w:p>
            <w:pPr>
              <w:pStyle w:val="TableParagraph"/>
              <w:rPr>
                <w:rFonts w:ascii="Times New Roman"/>
                <w:sz w:val="14"/>
              </w:rPr>
            </w:pPr>
          </w:p>
        </w:tc>
        <w:tc>
          <w:tcPr>
            <w:tcW w:w="1188" w:type="dxa"/>
          </w:tcPr>
          <w:p>
            <w:pPr>
              <w:pStyle w:val="TableParagraph"/>
              <w:rPr>
                <w:rFonts w:ascii="Times New Roman"/>
                <w:sz w:val="14"/>
              </w:rPr>
            </w:pPr>
          </w:p>
        </w:tc>
      </w:tr>
      <w:tr>
        <w:trPr>
          <w:trHeight w:val="180" w:hRule="atLeast"/>
        </w:trPr>
        <w:tc>
          <w:tcPr>
            <w:tcW w:w="5105" w:type="dxa"/>
          </w:tcPr>
          <w:p>
            <w:pPr>
              <w:pStyle w:val="TableParagraph"/>
              <w:spacing w:line="152" w:lineRule="exact" w:before="8"/>
              <w:ind w:left="600"/>
              <w:rPr>
                <w:sz w:val="14"/>
              </w:rPr>
            </w:pPr>
            <w:r>
              <w:rPr>
                <w:sz w:val="14"/>
              </w:rPr>
              <w:t>Receipts</w:t>
            </w:r>
          </w:p>
        </w:tc>
        <w:tc>
          <w:tcPr>
            <w:tcW w:w="2478" w:type="dxa"/>
          </w:tcPr>
          <w:p>
            <w:pPr>
              <w:pStyle w:val="TableParagraph"/>
              <w:spacing w:line="152" w:lineRule="exact" w:before="8"/>
              <w:ind w:right="485"/>
              <w:jc w:val="right"/>
              <w:rPr>
                <w:sz w:val="14"/>
              </w:rPr>
            </w:pPr>
            <w:r>
              <w:rPr>
                <w:w w:val="95"/>
                <w:sz w:val="14"/>
              </w:rPr>
              <w:t>48,617</w:t>
            </w:r>
          </w:p>
        </w:tc>
        <w:tc>
          <w:tcPr>
            <w:tcW w:w="1531" w:type="dxa"/>
          </w:tcPr>
          <w:p>
            <w:pPr>
              <w:pStyle w:val="TableParagraph"/>
              <w:spacing w:line="152" w:lineRule="exact" w:before="8"/>
              <w:ind w:right="600"/>
              <w:jc w:val="right"/>
              <w:rPr>
                <w:sz w:val="14"/>
              </w:rPr>
            </w:pPr>
            <w:r>
              <w:rPr>
                <w:w w:val="95"/>
                <w:sz w:val="14"/>
              </w:rPr>
              <w:t>51,048</w:t>
            </w:r>
          </w:p>
        </w:tc>
        <w:tc>
          <w:tcPr>
            <w:tcW w:w="1443" w:type="dxa"/>
          </w:tcPr>
          <w:p>
            <w:pPr>
              <w:pStyle w:val="TableParagraph"/>
              <w:spacing w:line="152" w:lineRule="exact" w:before="8"/>
              <w:ind w:right="397"/>
              <w:jc w:val="right"/>
              <w:rPr>
                <w:sz w:val="14"/>
              </w:rPr>
            </w:pPr>
            <w:r>
              <w:rPr>
                <w:w w:val="95"/>
                <w:sz w:val="14"/>
              </w:rPr>
              <w:t>53,601</w:t>
            </w:r>
          </w:p>
        </w:tc>
        <w:tc>
          <w:tcPr>
            <w:tcW w:w="1319" w:type="dxa"/>
          </w:tcPr>
          <w:p>
            <w:pPr>
              <w:pStyle w:val="TableParagraph"/>
              <w:spacing w:line="152" w:lineRule="exact" w:before="8"/>
              <w:ind w:right="472"/>
              <w:jc w:val="right"/>
              <w:rPr>
                <w:sz w:val="14"/>
              </w:rPr>
            </w:pPr>
            <w:r>
              <w:rPr>
                <w:w w:val="95"/>
                <w:sz w:val="14"/>
              </w:rPr>
              <w:t>56,261</w:t>
            </w:r>
          </w:p>
        </w:tc>
        <w:tc>
          <w:tcPr>
            <w:tcW w:w="1266" w:type="dxa"/>
          </w:tcPr>
          <w:p>
            <w:pPr>
              <w:pStyle w:val="TableParagraph"/>
              <w:spacing w:line="152" w:lineRule="exact" w:before="8"/>
              <w:ind w:right="265"/>
              <w:jc w:val="right"/>
              <w:rPr>
                <w:sz w:val="14"/>
              </w:rPr>
            </w:pPr>
            <w:r>
              <w:rPr>
                <w:w w:val="95"/>
                <w:sz w:val="14"/>
              </w:rPr>
              <w:t>59,095</w:t>
            </w:r>
          </w:p>
        </w:tc>
        <w:tc>
          <w:tcPr>
            <w:tcW w:w="1188" w:type="dxa"/>
          </w:tcPr>
          <w:p>
            <w:pPr>
              <w:pStyle w:val="TableParagraph"/>
              <w:spacing w:line="152" w:lineRule="exact" w:before="8"/>
              <w:ind w:right="45"/>
              <w:jc w:val="right"/>
              <w:rPr>
                <w:sz w:val="14"/>
              </w:rPr>
            </w:pPr>
            <w:r>
              <w:rPr>
                <w:sz w:val="14"/>
              </w:rPr>
              <w:t>Potential to</w:t>
            </w:r>
          </w:p>
        </w:tc>
      </w:tr>
      <w:tr>
        <w:trPr>
          <w:trHeight w:val="180" w:hRule="atLeast"/>
        </w:trPr>
        <w:tc>
          <w:tcPr>
            <w:tcW w:w="5105" w:type="dxa"/>
          </w:tcPr>
          <w:p>
            <w:pPr>
              <w:pStyle w:val="TableParagraph"/>
              <w:spacing w:line="154" w:lineRule="exact" w:before="5"/>
              <w:ind w:left="601"/>
              <w:rPr>
                <w:sz w:val="14"/>
              </w:rPr>
            </w:pPr>
            <w:r>
              <w:rPr>
                <w:sz w:val="14"/>
              </w:rPr>
              <w:t>Expenditure</w:t>
            </w:r>
          </w:p>
        </w:tc>
        <w:tc>
          <w:tcPr>
            <w:tcW w:w="2478" w:type="dxa"/>
          </w:tcPr>
          <w:p>
            <w:pPr>
              <w:pStyle w:val="TableParagraph"/>
              <w:spacing w:line="154" w:lineRule="exact" w:before="5"/>
              <w:ind w:right="485"/>
              <w:jc w:val="right"/>
              <w:rPr>
                <w:sz w:val="14"/>
              </w:rPr>
            </w:pPr>
            <w:r>
              <w:rPr>
                <w:w w:val="95"/>
                <w:sz w:val="14"/>
              </w:rPr>
              <w:t>46,058</w:t>
            </w:r>
          </w:p>
        </w:tc>
        <w:tc>
          <w:tcPr>
            <w:tcW w:w="1531" w:type="dxa"/>
          </w:tcPr>
          <w:p>
            <w:pPr>
              <w:pStyle w:val="TableParagraph"/>
              <w:spacing w:line="154" w:lineRule="exact" w:before="5"/>
              <w:ind w:right="600"/>
              <w:jc w:val="right"/>
              <w:rPr>
                <w:sz w:val="14"/>
              </w:rPr>
            </w:pPr>
            <w:r>
              <w:rPr>
                <w:w w:val="95"/>
                <w:sz w:val="14"/>
              </w:rPr>
              <w:t>50,219</w:t>
            </w:r>
          </w:p>
        </w:tc>
        <w:tc>
          <w:tcPr>
            <w:tcW w:w="1443" w:type="dxa"/>
          </w:tcPr>
          <w:p>
            <w:pPr>
              <w:pStyle w:val="TableParagraph"/>
              <w:spacing w:line="154" w:lineRule="exact" w:before="5"/>
              <w:ind w:right="397"/>
              <w:jc w:val="right"/>
              <w:rPr>
                <w:sz w:val="14"/>
              </w:rPr>
            </w:pPr>
            <w:r>
              <w:rPr>
                <w:w w:val="95"/>
                <w:sz w:val="14"/>
              </w:rPr>
              <w:t>55,378</w:t>
            </w:r>
          </w:p>
        </w:tc>
        <w:tc>
          <w:tcPr>
            <w:tcW w:w="1319" w:type="dxa"/>
          </w:tcPr>
          <w:p>
            <w:pPr>
              <w:pStyle w:val="TableParagraph"/>
              <w:spacing w:line="154" w:lineRule="exact" w:before="5"/>
              <w:ind w:right="472"/>
              <w:jc w:val="right"/>
              <w:rPr>
                <w:sz w:val="14"/>
              </w:rPr>
            </w:pPr>
            <w:r>
              <w:rPr>
                <w:w w:val="95"/>
                <w:sz w:val="14"/>
              </w:rPr>
              <w:t>61,166</w:t>
            </w:r>
          </w:p>
        </w:tc>
        <w:tc>
          <w:tcPr>
            <w:tcW w:w="1266" w:type="dxa"/>
          </w:tcPr>
          <w:p>
            <w:pPr>
              <w:pStyle w:val="TableParagraph"/>
              <w:spacing w:line="154" w:lineRule="exact" w:before="5"/>
              <w:ind w:right="265"/>
              <w:jc w:val="right"/>
              <w:rPr>
                <w:sz w:val="14"/>
              </w:rPr>
            </w:pPr>
            <w:r>
              <w:rPr>
                <w:w w:val="95"/>
                <w:sz w:val="14"/>
              </w:rPr>
              <w:t>67,663</w:t>
            </w:r>
          </w:p>
        </w:tc>
        <w:tc>
          <w:tcPr>
            <w:tcW w:w="1188" w:type="dxa"/>
          </w:tcPr>
          <w:p>
            <w:pPr>
              <w:pStyle w:val="TableParagraph"/>
              <w:spacing w:line="154" w:lineRule="exact" w:before="5"/>
              <w:ind w:right="48"/>
              <w:jc w:val="right"/>
              <w:rPr>
                <w:sz w:val="14"/>
              </w:rPr>
            </w:pPr>
            <w:r>
              <w:rPr>
                <w:sz w:val="14"/>
              </w:rPr>
              <w:t>Make Profit</w:t>
            </w:r>
          </w:p>
        </w:tc>
      </w:tr>
      <w:tr>
        <w:trPr>
          <w:trHeight w:val="180" w:hRule="atLeast"/>
        </w:trPr>
        <w:tc>
          <w:tcPr>
            <w:tcW w:w="5105" w:type="dxa"/>
          </w:tcPr>
          <w:p>
            <w:pPr>
              <w:pStyle w:val="TableParagraph"/>
              <w:spacing w:line="152" w:lineRule="exact" w:before="8"/>
              <w:ind w:left="600"/>
              <w:rPr>
                <w:sz w:val="14"/>
              </w:rPr>
            </w:pPr>
            <w:r>
              <w:rPr>
                <w:sz w:val="14"/>
              </w:rPr>
              <w:t>Net Profit (Loss)</w:t>
            </w:r>
          </w:p>
        </w:tc>
        <w:tc>
          <w:tcPr>
            <w:tcW w:w="2478" w:type="dxa"/>
          </w:tcPr>
          <w:p>
            <w:pPr>
              <w:pStyle w:val="TableParagraph"/>
              <w:spacing w:line="152" w:lineRule="exact" w:before="8"/>
              <w:ind w:right="477"/>
              <w:jc w:val="right"/>
              <w:rPr>
                <w:sz w:val="14"/>
              </w:rPr>
            </w:pPr>
            <w:r>
              <w:rPr>
                <w:sz w:val="14"/>
              </w:rPr>
              <w:t>2,560</w:t>
            </w:r>
          </w:p>
        </w:tc>
        <w:tc>
          <w:tcPr>
            <w:tcW w:w="1531" w:type="dxa"/>
          </w:tcPr>
          <w:p>
            <w:pPr>
              <w:pStyle w:val="TableParagraph"/>
              <w:spacing w:line="152" w:lineRule="exact" w:before="8"/>
              <w:ind w:right="584"/>
              <w:jc w:val="right"/>
              <w:rPr>
                <w:sz w:val="14"/>
              </w:rPr>
            </w:pPr>
            <w:r>
              <w:rPr>
                <w:sz w:val="14"/>
              </w:rPr>
              <w:t>830</w:t>
            </w:r>
          </w:p>
        </w:tc>
        <w:tc>
          <w:tcPr>
            <w:tcW w:w="1443" w:type="dxa"/>
          </w:tcPr>
          <w:p>
            <w:pPr>
              <w:pStyle w:val="TableParagraph"/>
              <w:spacing w:line="152" w:lineRule="exact" w:before="8"/>
              <w:ind w:right="389"/>
              <w:jc w:val="right"/>
              <w:rPr>
                <w:sz w:val="14"/>
              </w:rPr>
            </w:pPr>
            <w:r>
              <w:rPr>
                <w:w w:val="95"/>
                <w:sz w:val="14"/>
              </w:rPr>
              <w:t>(1,778)</w:t>
            </w:r>
          </w:p>
        </w:tc>
        <w:tc>
          <w:tcPr>
            <w:tcW w:w="1319" w:type="dxa"/>
          </w:tcPr>
          <w:p>
            <w:pPr>
              <w:pStyle w:val="TableParagraph"/>
              <w:spacing w:line="152" w:lineRule="exact" w:before="8"/>
              <w:ind w:right="465"/>
              <w:jc w:val="right"/>
              <w:rPr>
                <w:sz w:val="14"/>
              </w:rPr>
            </w:pPr>
            <w:r>
              <w:rPr>
                <w:w w:val="95"/>
                <w:sz w:val="14"/>
              </w:rPr>
              <w:t>(4,905)</w:t>
            </w:r>
          </w:p>
        </w:tc>
        <w:tc>
          <w:tcPr>
            <w:tcW w:w="1266" w:type="dxa"/>
          </w:tcPr>
          <w:p>
            <w:pPr>
              <w:pStyle w:val="TableParagraph"/>
              <w:spacing w:line="152" w:lineRule="exact" w:before="8"/>
              <w:ind w:right="258"/>
              <w:jc w:val="right"/>
              <w:rPr>
                <w:sz w:val="14"/>
              </w:rPr>
            </w:pPr>
            <w:r>
              <w:rPr>
                <w:w w:val="95"/>
                <w:sz w:val="14"/>
              </w:rPr>
              <w:t>(8,569)</w:t>
            </w:r>
          </w:p>
        </w:tc>
        <w:tc>
          <w:tcPr>
            <w:tcW w:w="1188" w:type="dxa"/>
          </w:tcPr>
          <w:p>
            <w:pPr>
              <w:pStyle w:val="TableParagraph"/>
              <w:rPr>
                <w:rFonts w:ascii="Times New Roman"/>
                <w:sz w:val="12"/>
              </w:rPr>
            </w:pPr>
          </w:p>
        </w:tc>
      </w:tr>
      <w:tr>
        <w:trPr>
          <w:trHeight w:val="201" w:hRule="atLeast"/>
        </w:trPr>
        <w:tc>
          <w:tcPr>
            <w:tcW w:w="5105" w:type="dxa"/>
          </w:tcPr>
          <w:p>
            <w:pPr>
              <w:pStyle w:val="TableParagraph"/>
              <w:spacing w:before="5"/>
              <w:ind w:left="600"/>
              <w:rPr>
                <w:sz w:val="14"/>
              </w:rPr>
            </w:pPr>
            <w:r>
              <w:rPr>
                <w:sz w:val="14"/>
              </w:rPr>
              <w:t>Subsidy from Government</w:t>
            </w:r>
          </w:p>
        </w:tc>
        <w:tc>
          <w:tcPr>
            <w:tcW w:w="2478" w:type="dxa"/>
          </w:tcPr>
          <w:p>
            <w:pPr>
              <w:pStyle w:val="TableParagraph"/>
              <w:spacing w:before="5"/>
              <w:ind w:right="467"/>
              <w:jc w:val="right"/>
              <w:rPr>
                <w:sz w:val="14"/>
              </w:rPr>
            </w:pPr>
            <w:r>
              <w:rPr>
                <w:w w:val="99"/>
                <w:sz w:val="14"/>
              </w:rPr>
              <w:t>-</w:t>
            </w:r>
          </w:p>
        </w:tc>
        <w:tc>
          <w:tcPr>
            <w:tcW w:w="1531" w:type="dxa"/>
          </w:tcPr>
          <w:p>
            <w:pPr>
              <w:pStyle w:val="TableParagraph"/>
              <w:spacing w:before="5"/>
              <w:ind w:right="582"/>
              <w:jc w:val="right"/>
              <w:rPr>
                <w:sz w:val="14"/>
              </w:rPr>
            </w:pPr>
            <w:r>
              <w:rPr>
                <w:w w:val="99"/>
                <w:sz w:val="14"/>
              </w:rPr>
              <w:t>-</w:t>
            </w:r>
          </w:p>
        </w:tc>
        <w:tc>
          <w:tcPr>
            <w:tcW w:w="1443" w:type="dxa"/>
          </w:tcPr>
          <w:p>
            <w:pPr>
              <w:pStyle w:val="TableParagraph"/>
              <w:spacing w:before="5"/>
              <w:ind w:right="383"/>
              <w:jc w:val="right"/>
              <w:rPr>
                <w:sz w:val="14"/>
              </w:rPr>
            </w:pPr>
            <w:r>
              <w:rPr>
                <w:w w:val="99"/>
                <w:sz w:val="14"/>
              </w:rPr>
              <w:t>-</w:t>
            </w:r>
          </w:p>
        </w:tc>
        <w:tc>
          <w:tcPr>
            <w:tcW w:w="1319" w:type="dxa"/>
          </w:tcPr>
          <w:p>
            <w:pPr>
              <w:pStyle w:val="TableParagraph"/>
              <w:spacing w:before="5"/>
              <w:ind w:right="454"/>
              <w:jc w:val="right"/>
              <w:rPr>
                <w:sz w:val="14"/>
              </w:rPr>
            </w:pPr>
            <w:r>
              <w:rPr>
                <w:w w:val="99"/>
                <w:sz w:val="14"/>
              </w:rPr>
              <w:t>-</w:t>
            </w:r>
          </w:p>
        </w:tc>
        <w:tc>
          <w:tcPr>
            <w:tcW w:w="1266" w:type="dxa"/>
          </w:tcPr>
          <w:p>
            <w:pPr>
              <w:pStyle w:val="TableParagraph"/>
              <w:spacing w:before="5"/>
              <w:ind w:right="247"/>
              <w:jc w:val="right"/>
              <w:rPr>
                <w:sz w:val="14"/>
              </w:rPr>
            </w:pPr>
            <w:r>
              <w:rPr>
                <w:w w:val="99"/>
                <w:sz w:val="14"/>
              </w:rPr>
              <w:t>-</w:t>
            </w:r>
          </w:p>
        </w:tc>
        <w:tc>
          <w:tcPr>
            <w:tcW w:w="1188" w:type="dxa"/>
          </w:tcPr>
          <w:p>
            <w:pPr>
              <w:pStyle w:val="TableParagraph"/>
              <w:rPr>
                <w:rFonts w:ascii="Times New Roman"/>
                <w:sz w:val="14"/>
              </w:rPr>
            </w:pPr>
          </w:p>
        </w:tc>
      </w:tr>
    </w:tbl>
    <w:p>
      <w:pPr>
        <w:spacing w:after="0"/>
        <w:rPr>
          <w:rFonts w:ascii="Times New Roman"/>
          <w:sz w:val="14"/>
        </w:rPr>
        <w:sectPr>
          <w:pgSz w:w="16840" w:h="11900" w:orient="landscape"/>
          <w:pgMar w:header="1088" w:footer="0" w:top="1560" w:bottom="280" w:left="880" w:right="920"/>
        </w:sectPr>
      </w:pPr>
    </w:p>
    <w:p>
      <w:pPr>
        <w:spacing w:before="109"/>
        <w:ind w:left="2854" w:right="0" w:firstLine="0"/>
        <w:jc w:val="left"/>
        <w:rPr>
          <w:rFonts w:ascii="Arial"/>
          <w:b/>
          <w:sz w:val="17"/>
        </w:rPr>
      </w:pPr>
      <w:r>
        <w:rPr/>
        <w:pict>
          <v:shape style="position:absolute;margin-left:27.140491pt;margin-top:288.029999pt;width:14.35pt;height:16.3500pt;mso-position-horizontal-relative:page;mso-position-vertical-relative:page;z-index:2488" type="#_x0000_t202" filled="false" stroked="false">
            <v:textbox inset="0,0,0,0" style="layout-flow:vertical">
              <w:txbxContent>
                <w:p>
                  <w:pPr>
                    <w:spacing w:before="13"/>
                    <w:ind w:left="20" w:right="0" w:firstLine="0"/>
                    <w:jc w:val="left"/>
                    <w:rPr>
                      <w:rFonts w:ascii="Arial"/>
                      <w:sz w:val="22"/>
                    </w:rPr>
                  </w:pPr>
                  <w:r>
                    <w:rPr>
                      <w:rFonts w:ascii="Arial"/>
                      <w:sz w:val="22"/>
                    </w:rPr>
                    <w:t>xlv</w:t>
                  </w:r>
                </w:p>
              </w:txbxContent>
            </v:textbox>
            <w10:wrap type="none"/>
          </v:shape>
        </w:pict>
      </w:r>
      <w:r>
        <w:rPr>
          <w:rFonts w:ascii="Arial"/>
          <w:b/>
          <w:w w:val="105"/>
          <w:sz w:val="17"/>
        </w:rPr>
        <w:t>ANNEX 8 -TOTAL DUTY AND TAX EXEMPTIONS BY CATEGORY OF BENEFICIARIES: 2016 TO 2019</w:t>
      </w:r>
    </w:p>
    <w:p>
      <w:pPr>
        <w:spacing w:before="21"/>
        <w:ind w:left="138" w:right="0" w:firstLine="0"/>
        <w:jc w:val="left"/>
        <w:rPr>
          <w:rFonts w:ascii="Arial"/>
          <w:b/>
          <w:sz w:val="17"/>
        </w:rPr>
      </w:pPr>
      <w:r>
        <w:rPr>
          <w:rFonts w:ascii="Arial"/>
          <w:b/>
          <w:w w:val="105"/>
          <w:sz w:val="17"/>
        </w:rPr>
        <w:t>In Millions Leones</w:t>
      </w:r>
    </w:p>
    <w:p>
      <w:pPr>
        <w:pStyle w:val="BodyText"/>
        <w:rPr>
          <w:rFonts w:ascii="Arial"/>
          <w:b/>
          <w:sz w:val="7"/>
        </w:rPr>
      </w:pPr>
    </w:p>
    <w:tbl>
      <w:tblPr>
        <w:tblW w:w="0" w:type="auto"/>
        <w:jc w:val="left"/>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3"/>
        <w:gridCol w:w="2208"/>
        <w:gridCol w:w="1602"/>
        <w:gridCol w:w="1323"/>
        <w:gridCol w:w="1612"/>
        <w:gridCol w:w="1306"/>
        <w:gridCol w:w="1530"/>
      </w:tblGrid>
      <w:tr>
        <w:trPr>
          <w:trHeight w:val="535" w:hRule="atLeast"/>
        </w:trPr>
        <w:tc>
          <w:tcPr>
            <w:tcW w:w="7411" w:type="dxa"/>
            <w:gridSpan w:val="2"/>
            <w:tcBorders>
              <w:top w:val="single" w:sz="18" w:space="0" w:color="000000"/>
              <w:bottom w:val="single" w:sz="18" w:space="0" w:color="000000"/>
            </w:tcBorders>
          </w:tcPr>
          <w:p>
            <w:pPr>
              <w:pStyle w:val="TableParagraph"/>
              <w:spacing w:before="26"/>
              <w:ind w:right="461"/>
              <w:jc w:val="right"/>
              <w:rPr>
                <w:b/>
                <w:sz w:val="14"/>
              </w:rPr>
            </w:pPr>
            <w:r>
              <w:rPr>
                <w:b/>
                <w:w w:val="95"/>
                <w:sz w:val="14"/>
              </w:rPr>
              <w:t>Total</w:t>
            </w:r>
          </w:p>
          <w:p>
            <w:pPr>
              <w:pStyle w:val="TableParagraph"/>
              <w:tabs>
                <w:tab w:pos="6507" w:val="left" w:leader="none"/>
              </w:tabs>
              <w:spacing w:before="55"/>
              <w:ind w:left="752"/>
              <w:rPr>
                <w:b/>
                <w:sz w:val="14"/>
              </w:rPr>
            </w:pPr>
            <w:r>
              <w:rPr>
                <w:b/>
                <w:sz w:val="14"/>
              </w:rPr>
              <w:t>Category </w:t>
            </w:r>
            <w:r>
              <w:rPr>
                <w:b/>
                <w:spacing w:val="8"/>
                <w:sz w:val="14"/>
              </w:rPr>
              <w:t> </w:t>
            </w:r>
            <w:r>
              <w:rPr>
                <w:b/>
                <w:sz w:val="14"/>
              </w:rPr>
              <w:t>of </w:t>
            </w:r>
            <w:r>
              <w:rPr>
                <w:b/>
                <w:spacing w:val="12"/>
                <w:sz w:val="14"/>
              </w:rPr>
              <w:t> </w:t>
            </w:r>
            <w:r>
              <w:rPr>
                <w:b/>
                <w:spacing w:val="2"/>
                <w:sz w:val="14"/>
              </w:rPr>
              <w:t>Beneficiaries</w:t>
              <w:tab/>
            </w:r>
            <w:r>
              <w:rPr>
                <w:b/>
                <w:spacing w:val="3"/>
                <w:sz w:val="14"/>
              </w:rPr>
              <w:t>Waivers</w:t>
            </w:r>
          </w:p>
        </w:tc>
        <w:tc>
          <w:tcPr>
            <w:tcW w:w="1602" w:type="dxa"/>
            <w:tcBorders>
              <w:top w:val="single" w:sz="18" w:space="0" w:color="000000"/>
              <w:bottom w:val="single" w:sz="18" w:space="0" w:color="000000"/>
            </w:tcBorders>
          </w:tcPr>
          <w:p>
            <w:pPr>
              <w:pStyle w:val="TableParagraph"/>
              <w:spacing w:line="321" w:lineRule="auto" w:before="26"/>
              <w:ind w:left="623" w:right="53" w:hanging="275"/>
              <w:rPr>
                <w:b/>
                <w:sz w:val="14"/>
              </w:rPr>
            </w:pPr>
            <w:r>
              <w:rPr>
                <w:b/>
                <w:sz w:val="14"/>
              </w:rPr>
              <w:t>Proportion of Total</w:t>
            </w:r>
          </w:p>
        </w:tc>
        <w:tc>
          <w:tcPr>
            <w:tcW w:w="1323" w:type="dxa"/>
            <w:tcBorders>
              <w:top w:val="single" w:sz="18" w:space="0" w:color="000000"/>
              <w:bottom w:val="single" w:sz="18" w:space="0" w:color="000000"/>
            </w:tcBorders>
          </w:tcPr>
          <w:p>
            <w:pPr>
              <w:pStyle w:val="TableParagraph"/>
              <w:spacing w:line="321" w:lineRule="auto" w:before="26"/>
              <w:ind w:left="388" w:firstLine="121"/>
              <w:rPr>
                <w:b/>
                <w:sz w:val="14"/>
              </w:rPr>
            </w:pPr>
            <w:r>
              <w:rPr>
                <w:b/>
                <w:sz w:val="14"/>
              </w:rPr>
              <w:t>Total </w:t>
            </w:r>
            <w:r>
              <w:rPr>
                <w:b/>
                <w:w w:val="95"/>
                <w:sz w:val="14"/>
              </w:rPr>
              <w:t>Waivers</w:t>
            </w:r>
          </w:p>
        </w:tc>
        <w:tc>
          <w:tcPr>
            <w:tcW w:w="1612" w:type="dxa"/>
            <w:tcBorders>
              <w:top w:val="single" w:sz="18" w:space="0" w:color="000000"/>
              <w:bottom w:val="single" w:sz="18" w:space="0" w:color="000000"/>
            </w:tcBorders>
          </w:tcPr>
          <w:p>
            <w:pPr>
              <w:pStyle w:val="TableParagraph"/>
              <w:spacing w:line="321" w:lineRule="auto" w:before="26"/>
              <w:ind w:left="516" w:right="36" w:hanging="141"/>
              <w:rPr>
                <w:b/>
                <w:sz w:val="14"/>
              </w:rPr>
            </w:pPr>
            <w:r>
              <w:rPr>
                <w:b/>
                <w:sz w:val="14"/>
              </w:rPr>
              <w:t>Proportion of Total (%)</w:t>
            </w:r>
          </w:p>
        </w:tc>
        <w:tc>
          <w:tcPr>
            <w:tcW w:w="1306" w:type="dxa"/>
            <w:tcBorders>
              <w:top w:val="single" w:sz="18" w:space="0" w:color="000000"/>
              <w:bottom w:val="single" w:sz="18" w:space="0" w:color="000000"/>
            </w:tcBorders>
          </w:tcPr>
          <w:p>
            <w:pPr>
              <w:pStyle w:val="TableParagraph"/>
              <w:spacing w:line="321" w:lineRule="auto" w:before="26"/>
              <w:ind w:left="372" w:right="377" w:firstLine="92"/>
              <w:rPr>
                <w:b/>
                <w:sz w:val="14"/>
              </w:rPr>
            </w:pPr>
            <w:r>
              <w:rPr>
                <w:b/>
                <w:sz w:val="14"/>
              </w:rPr>
              <w:t>Total Waivers</w:t>
            </w:r>
          </w:p>
        </w:tc>
        <w:tc>
          <w:tcPr>
            <w:tcW w:w="1530" w:type="dxa"/>
            <w:tcBorders>
              <w:top w:val="single" w:sz="18" w:space="0" w:color="000000"/>
              <w:bottom w:val="single" w:sz="18" w:space="0" w:color="000000"/>
            </w:tcBorders>
          </w:tcPr>
          <w:p>
            <w:pPr>
              <w:pStyle w:val="TableParagraph"/>
              <w:spacing w:line="321" w:lineRule="auto" w:before="26"/>
              <w:ind w:left="435" w:right="39" w:hanging="145"/>
              <w:rPr>
                <w:b/>
                <w:sz w:val="14"/>
              </w:rPr>
            </w:pPr>
            <w:r>
              <w:rPr>
                <w:b/>
                <w:sz w:val="14"/>
              </w:rPr>
              <w:t>Proportion of Total (%)</w:t>
            </w:r>
          </w:p>
        </w:tc>
      </w:tr>
      <w:tr>
        <w:trPr>
          <w:trHeight w:val="502" w:hRule="atLeast"/>
        </w:trPr>
        <w:tc>
          <w:tcPr>
            <w:tcW w:w="5203" w:type="dxa"/>
            <w:tcBorders>
              <w:top w:val="single" w:sz="18" w:space="0" w:color="000000"/>
            </w:tcBorders>
          </w:tcPr>
          <w:p>
            <w:pPr>
              <w:pStyle w:val="TableParagraph"/>
              <w:rPr>
                <w:b/>
                <w:sz w:val="16"/>
              </w:rPr>
            </w:pPr>
          </w:p>
          <w:p>
            <w:pPr>
              <w:pStyle w:val="TableParagraph"/>
              <w:spacing w:before="96"/>
              <w:ind w:left="561"/>
              <w:rPr>
                <w:sz w:val="14"/>
              </w:rPr>
            </w:pPr>
            <w:r>
              <w:rPr>
                <w:sz w:val="14"/>
              </w:rPr>
              <w:t>Diplomats (Embassies)</w:t>
            </w:r>
          </w:p>
        </w:tc>
        <w:tc>
          <w:tcPr>
            <w:tcW w:w="2208" w:type="dxa"/>
            <w:tcBorders>
              <w:top w:val="single" w:sz="18" w:space="0" w:color="000000"/>
            </w:tcBorders>
          </w:tcPr>
          <w:p>
            <w:pPr>
              <w:pStyle w:val="TableParagraph"/>
              <w:rPr>
                <w:b/>
                <w:sz w:val="16"/>
              </w:rPr>
            </w:pPr>
          </w:p>
          <w:p>
            <w:pPr>
              <w:pStyle w:val="TableParagraph"/>
              <w:spacing w:before="96"/>
              <w:ind w:right="417"/>
              <w:jc w:val="right"/>
              <w:rPr>
                <w:sz w:val="14"/>
              </w:rPr>
            </w:pPr>
            <w:r>
              <w:rPr>
                <w:sz w:val="14"/>
              </w:rPr>
              <w:t>15 ,825</w:t>
            </w:r>
          </w:p>
        </w:tc>
        <w:tc>
          <w:tcPr>
            <w:tcW w:w="1602" w:type="dxa"/>
            <w:tcBorders>
              <w:top w:val="single" w:sz="18" w:space="0" w:color="000000"/>
            </w:tcBorders>
          </w:tcPr>
          <w:p>
            <w:pPr>
              <w:pStyle w:val="TableParagraph"/>
              <w:rPr>
                <w:b/>
                <w:sz w:val="16"/>
              </w:rPr>
            </w:pPr>
          </w:p>
          <w:p>
            <w:pPr>
              <w:pStyle w:val="TableParagraph"/>
              <w:spacing w:before="96"/>
              <w:ind w:right="642"/>
              <w:jc w:val="right"/>
              <w:rPr>
                <w:sz w:val="14"/>
              </w:rPr>
            </w:pPr>
            <w:r>
              <w:rPr>
                <w:w w:val="95"/>
                <w:sz w:val="14"/>
              </w:rPr>
              <w:t>2.9</w:t>
            </w:r>
          </w:p>
        </w:tc>
        <w:tc>
          <w:tcPr>
            <w:tcW w:w="1323" w:type="dxa"/>
            <w:tcBorders>
              <w:top w:val="single" w:sz="18" w:space="0" w:color="000000"/>
            </w:tcBorders>
          </w:tcPr>
          <w:p>
            <w:pPr>
              <w:pStyle w:val="TableParagraph"/>
              <w:rPr>
                <w:b/>
                <w:sz w:val="16"/>
              </w:rPr>
            </w:pPr>
          </w:p>
          <w:p>
            <w:pPr>
              <w:pStyle w:val="TableParagraph"/>
              <w:spacing w:before="96"/>
              <w:ind w:right="394"/>
              <w:jc w:val="right"/>
              <w:rPr>
                <w:sz w:val="14"/>
              </w:rPr>
            </w:pPr>
            <w:r>
              <w:rPr>
                <w:sz w:val="14"/>
              </w:rPr>
              <w:t>42 ,482</w:t>
            </w:r>
          </w:p>
        </w:tc>
        <w:tc>
          <w:tcPr>
            <w:tcW w:w="1612" w:type="dxa"/>
            <w:tcBorders>
              <w:top w:val="single" w:sz="18" w:space="0" w:color="000000"/>
            </w:tcBorders>
          </w:tcPr>
          <w:p>
            <w:pPr>
              <w:pStyle w:val="TableParagraph"/>
              <w:rPr>
                <w:b/>
                <w:sz w:val="16"/>
              </w:rPr>
            </w:pPr>
          </w:p>
          <w:p>
            <w:pPr>
              <w:pStyle w:val="TableParagraph"/>
              <w:spacing w:before="96"/>
              <w:ind w:right="572"/>
              <w:jc w:val="right"/>
              <w:rPr>
                <w:sz w:val="14"/>
              </w:rPr>
            </w:pPr>
            <w:r>
              <w:rPr>
                <w:w w:val="95"/>
                <w:sz w:val="14"/>
              </w:rPr>
              <w:t>9.6</w:t>
            </w:r>
          </w:p>
        </w:tc>
        <w:tc>
          <w:tcPr>
            <w:tcW w:w="1306" w:type="dxa"/>
            <w:tcBorders>
              <w:top w:val="single" w:sz="18" w:space="0" w:color="000000"/>
            </w:tcBorders>
          </w:tcPr>
          <w:p>
            <w:pPr>
              <w:pStyle w:val="TableParagraph"/>
              <w:rPr>
                <w:b/>
                <w:sz w:val="16"/>
              </w:rPr>
            </w:pPr>
          </w:p>
          <w:p>
            <w:pPr>
              <w:pStyle w:val="TableParagraph"/>
              <w:spacing w:before="96"/>
              <w:ind w:right="308"/>
              <w:jc w:val="right"/>
              <w:rPr>
                <w:sz w:val="14"/>
              </w:rPr>
            </w:pPr>
            <w:r>
              <w:rPr>
                <w:sz w:val="14"/>
              </w:rPr>
              <w:t>22 ,305</w:t>
            </w:r>
          </w:p>
        </w:tc>
        <w:tc>
          <w:tcPr>
            <w:tcW w:w="1530" w:type="dxa"/>
            <w:tcBorders>
              <w:top w:val="single" w:sz="18" w:space="0" w:color="000000"/>
            </w:tcBorders>
          </w:tcPr>
          <w:p>
            <w:pPr>
              <w:pStyle w:val="TableParagraph"/>
              <w:rPr>
                <w:b/>
                <w:sz w:val="16"/>
              </w:rPr>
            </w:pPr>
          </w:p>
          <w:p>
            <w:pPr>
              <w:pStyle w:val="TableParagraph"/>
              <w:spacing w:before="96"/>
              <w:ind w:right="519"/>
              <w:jc w:val="right"/>
              <w:rPr>
                <w:sz w:val="14"/>
              </w:rPr>
            </w:pPr>
            <w:r>
              <w:rPr>
                <w:w w:val="95"/>
                <w:sz w:val="14"/>
              </w:rPr>
              <w:t>4.4</w:t>
            </w:r>
          </w:p>
        </w:tc>
      </w:tr>
      <w:tr>
        <w:trPr>
          <w:trHeight w:val="280" w:hRule="atLeast"/>
        </w:trPr>
        <w:tc>
          <w:tcPr>
            <w:tcW w:w="5203" w:type="dxa"/>
          </w:tcPr>
          <w:p>
            <w:pPr>
              <w:pStyle w:val="TableParagraph"/>
              <w:spacing w:before="56"/>
              <w:ind w:left="561"/>
              <w:rPr>
                <w:sz w:val="14"/>
              </w:rPr>
            </w:pPr>
            <w:r>
              <w:rPr>
                <w:sz w:val="14"/>
              </w:rPr>
              <w:t>Donor Funded Projects</w:t>
            </w:r>
          </w:p>
        </w:tc>
        <w:tc>
          <w:tcPr>
            <w:tcW w:w="2208" w:type="dxa"/>
          </w:tcPr>
          <w:p>
            <w:pPr>
              <w:pStyle w:val="TableParagraph"/>
              <w:spacing w:before="56"/>
              <w:ind w:right="421"/>
              <w:jc w:val="right"/>
              <w:rPr>
                <w:sz w:val="14"/>
              </w:rPr>
            </w:pPr>
            <w:r>
              <w:rPr>
                <w:sz w:val="14"/>
              </w:rPr>
              <w:t>158,024</w:t>
            </w:r>
          </w:p>
        </w:tc>
        <w:tc>
          <w:tcPr>
            <w:tcW w:w="1602" w:type="dxa"/>
          </w:tcPr>
          <w:p>
            <w:pPr>
              <w:pStyle w:val="TableParagraph"/>
              <w:spacing w:before="56"/>
              <w:ind w:right="646"/>
              <w:jc w:val="right"/>
              <w:rPr>
                <w:sz w:val="14"/>
              </w:rPr>
            </w:pPr>
            <w:r>
              <w:rPr>
                <w:w w:val="95"/>
                <w:sz w:val="14"/>
              </w:rPr>
              <w:t>29.1</w:t>
            </w:r>
          </w:p>
        </w:tc>
        <w:tc>
          <w:tcPr>
            <w:tcW w:w="1323" w:type="dxa"/>
          </w:tcPr>
          <w:p>
            <w:pPr>
              <w:pStyle w:val="TableParagraph"/>
              <w:spacing w:before="56"/>
              <w:ind w:right="394"/>
              <w:jc w:val="right"/>
              <w:rPr>
                <w:sz w:val="14"/>
              </w:rPr>
            </w:pPr>
            <w:r>
              <w:rPr>
                <w:sz w:val="14"/>
              </w:rPr>
              <w:t>68 ,106</w:t>
            </w:r>
          </w:p>
        </w:tc>
        <w:tc>
          <w:tcPr>
            <w:tcW w:w="1612" w:type="dxa"/>
          </w:tcPr>
          <w:p>
            <w:pPr>
              <w:pStyle w:val="TableParagraph"/>
              <w:spacing w:before="56"/>
              <w:ind w:right="577"/>
              <w:jc w:val="right"/>
              <w:rPr>
                <w:sz w:val="14"/>
              </w:rPr>
            </w:pPr>
            <w:r>
              <w:rPr>
                <w:w w:val="95"/>
                <w:sz w:val="14"/>
              </w:rPr>
              <w:t>15.3</w:t>
            </w:r>
          </w:p>
        </w:tc>
        <w:tc>
          <w:tcPr>
            <w:tcW w:w="1306" w:type="dxa"/>
          </w:tcPr>
          <w:p>
            <w:pPr>
              <w:pStyle w:val="TableParagraph"/>
              <w:spacing w:before="56"/>
              <w:ind w:right="312"/>
              <w:jc w:val="right"/>
              <w:rPr>
                <w:sz w:val="14"/>
              </w:rPr>
            </w:pPr>
            <w:r>
              <w:rPr>
                <w:sz w:val="14"/>
              </w:rPr>
              <w:t>118,298</w:t>
            </w:r>
          </w:p>
        </w:tc>
        <w:tc>
          <w:tcPr>
            <w:tcW w:w="1530" w:type="dxa"/>
          </w:tcPr>
          <w:p>
            <w:pPr>
              <w:pStyle w:val="TableParagraph"/>
              <w:spacing w:before="56"/>
              <w:ind w:right="523"/>
              <w:jc w:val="right"/>
              <w:rPr>
                <w:sz w:val="14"/>
              </w:rPr>
            </w:pPr>
            <w:r>
              <w:rPr>
                <w:w w:val="95"/>
                <w:sz w:val="14"/>
              </w:rPr>
              <w:t>23.5</w:t>
            </w:r>
          </w:p>
        </w:tc>
      </w:tr>
      <w:tr>
        <w:trPr>
          <w:trHeight w:val="280" w:hRule="atLeast"/>
        </w:trPr>
        <w:tc>
          <w:tcPr>
            <w:tcW w:w="5203" w:type="dxa"/>
          </w:tcPr>
          <w:p>
            <w:pPr>
              <w:pStyle w:val="TableParagraph"/>
              <w:spacing w:before="58"/>
              <w:ind w:left="561"/>
              <w:rPr>
                <w:sz w:val="14"/>
              </w:rPr>
            </w:pPr>
            <w:r>
              <w:rPr>
                <w:sz w:val="14"/>
              </w:rPr>
              <w:t>International Organisations (UN Agencies &amp; Others)</w:t>
            </w:r>
          </w:p>
        </w:tc>
        <w:tc>
          <w:tcPr>
            <w:tcW w:w="2208" w:type="dxa"/>
          </w:tcPr>
          <w:p>
            <w:pPr>
              <w:pStyle w:val="TableParagraph"/>
              <w:spacing w:before="58"/>
              <w:ind w:right="417"/>
              <w:jc w:val="right"/>
              <w:rPr>
                <w:sz w:val="14"/>
              </w:rPr>
            </w:pPr>
            <w:r>
              <w:rPr>
                <w:sz w:val="14"/>
              </w:rPr>
              <w:t>72 ,343</w:t>
            </w:r>
          </w:p>
        </w:tc>
        <w:tc>
          <w:tcPr>
            <w:tcW w:w="1602" w:type="dxa"/>
          </w:tcPr>
          <w:p>
            <w:pPr>
              <w:pStyle w:val="TableParagraph"/>
              <w:spacing w:before="58"/>
              <w:ind w:right="646"/>
              <w:jc w:val="right"/>
              <w:rPr>
                <w:sz w:val="14"/>
              </w:rPr>
            </w:pPr>
            <w:r>
              <w:rPr>
                <w:w w:val="95"/>
                <w:sz w:val="14"/>
              </w:rPr>
              <w:t>13.3</w:t>
            </w:r>
          </w:p>
        </w:tc>
        <w:tc>
          <w:tcPr>
            <w:tcW w:w="1323" w:type="dxa"/>
          </w:tcPr>
          <w:p>
            <w:pPr>
              <w:pStyle w:val="TableParagraph"/>
              <w:spacing w:before="58"/>
              <w:ind w:right="394"/>
              <w:jc w:val="right"/>
              <w:rPr>
                <w:sz w:val="14"/>
              </w:rPr>
            </w:pPr>
            <w:r>
              <w:rPr>
                <w:sz w:val="14"/>
              </w:rPr>
              <w:t>61 ,364</w:t>
            </w:r>
          </w:p>
        </w:tc>
        <w:tc>
          <w:tcPr>
            <w:tcW w:w="1612" w:type="dxa"/>
          </w:tcPr>
          <w:p>
            <w:pPr>
              <w:pStyle w:val="TableParagraph"/>
              <w:spacing w:before="58"/>
              <w:ind w:right="577"/>
              <w:jc w:val="right"/>
              <w:rPr>
                <w:sz w:val="14"/>
              </w:rPr>
            </w:pPr>
            <w:r>
              <w:rPr>
                <w:w w:val="95"/>
                <w:sz w:val="14"/>
              </w:rPr>
              <w:t>13.8</w:t>
            </w:r>
          </w:p>
        </w:tc>
        <w:tc>
          <w:tcPr>
            <w:tcW w:w="1306" w:type="dxa"/>
          </w:tcPr>
          <w:p>
            <w:pPr>
              <w:pStyle w:val="TableParagraph"/>
              <w:spacing w:before="58"/>
              <w:ind w:right="312"/>
              <w:jc w:val="right"/>
              <w:rPr>
                <w:sz w:val="14"/>
              </w:rPr>
            </w:pPr>
            <w:r>
              <w:rPr>
                <w:sz w:val="14"/>
              </w:rPr>
              <w:t>203,113</w:t>
            </w:r>
          </w:p>
        </w:tc>
        <w:tc>
          <w:tcPr>
            <w:tcW w:w="1530" w:type="dxa"/>
          </w:tcPr>
          <w:p>
            <w:pPr>
              <w:pStyle w:val="TableParagraph"/>
              <w:spacing w:before="58"/>
              <w:ind w:right="523"/>
              <w:jc w:val="right"/>
              <w:rPr>
                <w:sz w:val="14"/>
              </w:rPr>
            </w:pPr>
            <w:r>
              <w:rPr>
                <w:w w:val="95"/>
                <w:sz w:val="14"/>
              </w:rPr>
              <w:t>40.3</w:t>
            </w:r>
          </w:p>
        </w:tc>
      </w:tr>
      <w:tr>
        <w:trPr>
          <w:trHeight w:val="278" w:hRule="atLeast"/>
        </w:trPr>
        <w:tc>
          <w:tcPr>
            <w:tcW w:w="5203" w:type="dxa"/>
          </w:tcPr>
          <w:p>
            <w:pPr>
              <w:pStyle w:val="TableParagraph"/>
              <w:spacing w:before="56"/>
              <w:ind w:left="897"/>
              <w:rPr>
                <w:sz w:val="14"/>
              </w:rPr>
            </w:pPr>
            <w:r>
              <w:rPr>
                <w:sz w:val="14"/>
              </w:rPr>
              <w:t>MDAs</w:t>
            </w:r>
          </w:p>
        </w:tc>
        <w:tc>
          <w:tcPr>
            <w:tcW w:w="2208" w:type="dxa"/>
          </w:tcPr>
          <w:p>
            <w:pPr>
              <w:pStyle w:val="TableParagraph"/>
              <w:spacing w:before="56"/>
              <w:ind w:right="421"/>
              <w:jc w:val="right"/>
              <w:rPr>
                <w:sz w:val="14"/>
              </w:rPr>
            </w:pPr>
            <w:r>
              <w:rPr>
                <w:sz w:val="14"/>
              </w:rPr>
              <w:t>103,663</w:t>
            </w:r>
          </w:p>
        </w:tc>
        <w:tc>
          <w:tcPr>
            <w:tcW w:w="1602" w:type="dxa"/>
          </w:tcPr>
          <w:p>
            <w:pPr>
              <w:pStyle w:val="TableParagraph"/>
              <w:spacing w:before="56"/>
              <w:ind w:right="646"/>
              <w:jc w:val="right"/>
              <w:rPr>
                <w:sz w:val="14"/>
              </w:rPr>
            </w:pPr>
            <w:r>
              <w:rPr>
                <w:w w:val="95"/>
                <w:sz w:val="14"/>
              </w:rPr>
              <w:t>19.1</w:t>
            </w:r>
          </w:p>
        </w:tc>
        <w:tc>
          <w:tcPr>
            <w:tcW w:w="1323" w:type="dxa"/>
          </w:tcPr>
          <w:p>
            <w:pPr>
              <w:pStyle w:val="TableParagraph"/>
              <w:spacing w:before="56"/>
              <w:ind w:right="394"/>
              <w:jc w:val="right"/>
              <w:rPr>
                <w:sz w:val="14"/>
              </w:rPr>
            </w:pPr>
            <w:r>
              <w:rPr>
                <w:sz w:val="14"/>
              </w:rPr>
              <w:t>51 ,431</w:t>
            </w:r>
          </w:p>
        </w:tc>
        <w:tc>
          <w:tcPr>
            <w:tcW w:w="1612" w:type="dxa"/>
          </w:tcPr>
          <w:p>
            <w:pPr>
              <w:pStyle w:val="TableParagraph"/>
              <w:spacing w:before="56"/>
              <w:ind w:right="577"/>
              <w:jc w:val="right"/>
              <w:rPr>
                <w:sz w:val="14"/>
              </w:rPr>
            </w:pPr>
            <w:r>
              <w:rPr>
                <w:w w:val="95"/>
                <w:sz w:val="14"/>
              </w:rPr>
              <w:t>11.6</w:t>
            </w:r>
          </w:p>
        </w:tc>
        <w:tc>
          <w:tcPr>
            <w:tcW w:w="1306" w:type="dxa"/>
          </w:tcPr>
          <w:p>
            <w:pPr>
              <w:pStyle w:val="TableParagraph"/>
              <w:spacing w:before="56"/>
              <w:ind w:right="308"/>
              <w:jc w:val="right"/>
              <w:rPr>
                <w:sz w:val="14"/>
              </w:rPr>
            </w:pPr>
            <w:r>
              <w:rPr>
                <w:sz w:val="14"/>
              </w:rPr>
              <w:t>53 ,673</w:t>
            </w:r>
          </w:p>
        </w:tc>
        <w:tc>
          <w:tcPr>
            <w:tcW w:w="1530" w:type="dxa"/>
          </w:tcPr>
          <w:p>
            <w:pPr>
              <w:pStyle w:val="TableParagraph"/>
              <w:spacing w:before="56"/>
              <w:ind w:right="523"/>
              <w:jc w:val="right"/>
              <w:rPr>
                <w:sz w:val="14"/>
              </w:rPr>
            </w:pPr>
            <w:r>
              <w:rPr>
                <w:w w:val="95"/>
                <w:sz w:val="14"/>
              </w:rPr>
              <w:t>10.6</w:t>
            </w:r>
          </w:p>
        </w:tc>
      </w:tr>
      <w:tr>
        <w:trPr>
          <w:trHeight w:val="280" w:hRule="atLeast"/>
        </w:trPr>
        <w:tc>
          <w:tcPr>
            <w:tcW w:w="5203" w:type="dxa"/>
          </w:tcPr>
          <w:p>
            <w:pPr>
              <w:pStyle w:val="TableParagraph"/>
              <w:spacing w:before="56"/>
              <w:ind w:left="896"/>
              <w:rPr>
                <w:sz w:val="14"/>
              </w:rPr>
            </w:pPr>
            <w:r>
              <w:rPr>
                <w:sz w:val="14"/>
              </w:rPr>
              <w:t>Returning Diplomats &amp; Students</w:t>
            </w:r>
          </w:p>
        </w:tc>
        <w:tc>
          <w:tcPr>
            <w:tcW w:w="2208" w:type="dxa"/>
          </w:tcPr>
          <w:p>
            <w:pPr>
              <w:pStyle w:val="TableParagraph"/>
              <w:spacing w:before="56"/>
              <w:ind w:right="412"/>
              <w:jc w:val="right"/>
              <w:rPr>
                <w:sz w:val="14"/>
              </w:rPr>
            </w:pPr>
            <w:r>
              <w:rPr>
                <w:sz w:val="14"/>
              </w:rPr>
              <w:t>8,390</w:t>
            </w:r>
          </w:p>
        </w:tc>
        <w:tc>
          <w:tcPr>
            <w:tcW w:w="1602" w:type="dxa"/>
          </w:tcPr>
          <w:p>
            <w:pPr>
              <w:pStyle w:val="TableParagraph"/>
              <w:spacing w:before="56"/>
              <w:ind w:right="642"/>
              <w:jc w:val="right"/>
              <w:rPr>
                <w:sz w:val="14"/>
              </w:rPr>
            </w:pPr>
            <w:r>
              <w:rPr>
                <w:w w:val="95"/>
                <w:sz w:val="14"/>
              </w:rPr>
              <w:t>1.5</w:t>
            </w:r>
          </w:p>
        </w:tc>
        <w:tc>
          <w:tcPr>
            <w:tcW w:w="1323" w:type="dxa"/>
          </w:tcPr>
          <w:p>
            <w:pPr>
              <w:pStyle w:val="TableParagraph"/>
              <w:spacing w:before="56"/>
              <w:ind w:right="390"/>
              <w:jc w:val="right"/>
              <w:rPr>
                <w:sz w:val="14"/>
              </w:rPr>
            </w:pPr>
            <w:r>
              <w:rPr>
                <w:sz w:val="14"/>
              </w:rPr>
              <w:t>1,657</w:t>
            </w:r>
          </w:p>
        </w:tc>
        <w:tc>
          <w:tcPr>
            <w:tcW w:w="1612" w:type="dxa"/>
          </w:tcPr>
          <w:p>
            <w:pPr>
              <w:pStyle w:val="TableParagraph"/>
              <w:spacing w:before="56"/>
              <w:ind w:right="572"/>
              <w:jc w:val="right"/>
              <w:rPr>
                <w:sz w:val="14"/>
              </w:rPr>
            </w:pPr>
            <w:r>
              <w:rPr>
                <w:w w:val="95"/>
                <w:sz w:val="14"/>
              </w:rPr>
              <w:t>0.4</w:t>
            </w:r>
          </w:p>
        </w:tc>
        <w:tc>
          <w:tcPr>
            <w:tcW w:w="1306" w:type="dxa"/>
          </w:tcPr>
          <w:p>
            <w:pPr>
              <w:pStyle w:val="TableParagraph"/>
              <w:spacing w:before="56"/>
              <w:ind w:right="296"/>
              <w:jc w:val="right"/>
              <w:rPr>
                <w:sz w:val="14"/>
              </w:rPr>
            </w:pPr>
            <w:r>
              <w:rPr>
                <w:w w:val="95"/>
                <w:sz w:val="14"/>
              </w:rPr>
              <w:t>805</w:t>
            </w:r>
          </w:p>
        </w:tc>
        <w:tc>
          <w:tcPr>
            <w:tcW w:w="1530" w:type="dxa"/>
          </w:tcPr>
          <w:p>
            <w:pPr>
              <w:pStyle w:val="TableParagraph"/>
              <w:spacing w:before="56"/>
              <w:ind w:right="519"/>
              <w:jc w:val="right"/>
              <w:rPr>
                <w:sz w:val="14"/>
              </w:rPr>
            </w:pPr>
            <w:r>
              <w:rPr>
                <w:w w:val="95"/>
                <w:sz w:val="14"/>
              </w:rPr>
              <w:t>0.2</w:t>
            </w:r>
          </w:p>
        </w:tc>
      </w:tr>
      <w:tr>
        <w:trPr>
          <w:trHeight w:val="280" w:hRule="atLeast"/>
        </w:trPr>
        <w:tc>
          <w:tcPr>
            <w:tcW w:w="5203" w:type="dxa"/>
          </w:tcPr>
          <w:p>
            <w:pPr>
              <w:pStyle w:val="TableParagraph"/>
              <w:spacing w:before="58"/>
              <w:ind w:left="896"/>
              <w:rPr>
                <w:sz w:val="14"/>
              </w:rPr>
            </w:pPr>
            <w:r>
              <w:rPr>
                <w:sz w:val="14"/>
              </w:rPr>
              <w:t>SOEs</w:t>
            </w:r>
          </w:p>
        </w:tc>
        <w:tc>
          <w:tcPr>
            <w:tcW w:w="2208" w:type="dxa"/>
          </w:tcPr>
          <w:p>
            <w:pPr>
              <w:pStyle w:val="TableParagraph"/>
              <w:spacing w:before="58"/>
              <w:ind w:right="412"/>
              <w:jc w:val="right"/>
              <w:rPr>
                <w:sz w:val="14"/>
              </w:rPr>
            </w:pPr>
            <w:r>
              <w:rPr>
                <w:sz w:val="14"/>
              </w:rPr>
              <w:t>9,936</w:t>
            </w:r>
          </w:p>
        </w:tc>
        <w:tc>
          <w:tcPr>
            <w:tcW w:w="1602" w:type="dxa"/>
          </w:tcPr>
          <w:p>
            <w:pPr>
              <w:pStyle w:val="TableParagraph"/>
              <w:spacing w:before="58"/>
              <w:ind w:right="642"/>
              <w:jc w:val="right"/>
              <w:rPr>
                <w:sz w:val="14"/>
              </w:rPr>
            </w:pPr>
            <w:r>
              <w:rPr>
                <w:w w:val="95"/>
                <w:sz w:val="14"/>
              </w:rPr>
              <w:t>1.8</w:t>
            </w:r>
          </w:p>
        </w:tc>
        <w:tc>
          <w:tcPr>
            <w:tcW w:w="1323" w:type="dxa"/>
          </w:tcPr>
          <w:p>
            <w:pPr>
              <w:pStyle w:val="TableParagraph"/>
              <w:spacing w:before="58"/>
              <w:ind w:right="382"/>
              <w:jc w:val="right"/>
              <w:rPr>
                <w:sz w:val="14"/>
              </w:rPr>
            </w:pPr>
            <w:r>
              <w:rPr>
                <w:w w:val="95"/>
                <w:sz w:val="14"/>
              </w:rPr>
              <w:t>309</w:t>
            </w:r>
          </w:p>
        </w:tc>
        <w:tc>
          <w:tcPr>
            <w:tcW w:w="1612" w:type="dxa"/>
          </w:tcPr>
          <w:p>
            <w:pPr>
              <w:pStyle w:val="TableParagraph"/>
              <w:spacing w:before="58"/>
              <w:ind w:right="572"/>
              <w:jc w:val="right"/>
              <w:rPr>
                <w:sz w:val="14"/>
              </w:rPr>
            </w:pPr>
            <w:r>
              <w:rPr>
                <w:w w:val="95"/>
                <w:sz w:val="14"/>
              </w:rPr>
              <w:t>0.1</w:t>
            </w:r>
          </w:p>
        </w:tc>
        <w:tc>
          <w:tcPr>
            <w:tcW w:w="1306" w:type="dxa"/>
          </w:tcPr>
          <w:p>
            <w:pPr>
              <w:pStyle w:val="TableParagraph"/>
              <w:spacing w:before="58"/>
              <w:ind w:right="286"/>
              <w:jc w:val="right"/>
              <w:rPr>
                <w:sz w:val="14"/>
              </w:rPr>
            </w:pPr>
            <w:r>
              <w:rPr>
                <w:w w:val="95"/>
                <w:sz w:val="14"/>
              </w:rPr>
              <w:t>65</w:t>
            </w:r>
          </w:p>
        </w:tc>
        <w:tc>
          <w:tcPr>
            <w:tcW w:w="1530" w:type="dxa"/>
          </w:tcPr>
          <w:p>
            <w:pPr>
              <w:pStyle w:val="TableParagraph"/>
              <w:spacing w:before="58"/>
              <w:ind w:right="516"/>
              <w:jc w:val="right"/>
              <w:rPr>
                <w:sz w:val="14"/>
              </w:rPr>
            </w:pPr>
            <w:r>
              <w:rPr>
                <w:w w:val="99"/>
                <w:sz w:val="14"/>
              </w:rPr>
              <w:t>0</w:t>
            </w:r>
          </w:p>
        </w:tc>
      </w:tr>
      <w:tr>
        <w:trPr>
          <w:trHeight w:val="278" w:hRule="atLeast"/>
        </w:trPr>
        <w:tc>
          <w:tcPr>
            <w:tcW w:w="5203" w:type="dxa"/>
          </w:tcPr>
          <w:p>
            <w:pPr>
              <w:pStyle w:val="TableParagraph"/>
              <w:spacing w:before="56"/>
              <w:ind w:left="896"/>
              <w:rPr>
                <w:sz w:val="14"/>
              </w:rPr>
            </w:pPr>
            <w:r>
              <w:rPr>
                <w:sz w:val="14"/>
              </w:rPr>
              <w:t>NGO 2,697</w:t>
            </w:r>
          </w:p>
        </w:tc>
        <w:tc>
          <w:tcPr>
            <w:tcW w:w="2208" w:type="dxa"/>
          </w:tcPr>
          <w:p>
            <w:pPr>
              <w:pStyle w:val="TableParagraph"/>
              <w:spacing w:before="56"/>
              <w:ind w:right="403"/>
              <w:jc w:val="right"/>
              <w:rPr>
                <w:sz w:val="14"/>
              </w:rPr>
            </w:pPr>
            <w:r>
              <w:rPr>
                <w:w w:val="95"/>
                <w:sz w:val="14"/>
              </w:rPr>
              <w:t>0.5</w:t>
            </w:r>
          </w:p>
        </w:tc>
        <w:tc>
          <w:tcPr>
            <w:tcW w:w="1602" w:type="dxa"/>
          </w:tcPr>
          <w:p>
            <w:pPr>
              <w:pStyle w:val="TableParagraph"/>
              <w:spacing w:before="56"/>
              <w:ind w:right="660"/>
              <w:jc w:val="right"/>
              <w:rPr>
                <w:sz w:val="14"/>
              </w:rPr>
            </w:pPr>
            <w:r>
              <w:rPr>
                <w:sz w:val="14"/>
              </w:rPr>
              <w:t>155,133</w:t>
            </w:r>
          </w:p>
        </w:tc>
        <w:tc>
          <w:tcPr>
            <w:tcW w:w="1323" w:type="dxa"/>
          </w:tcPr>
          <w:p>
            <w:pPr>
              <w:pStyle w:val="TableParagraph"/>
              <w:spacing w:before="56"/>
              <w:ind w:right="381"/>
              <w:jc w:val="right"/>
              <w:rPr>
                <w:sz w:val="14"/>
              </w:rPr>
            </w:pPr>
            <w:r>
              <w:rPr>
                <w:w w:val="95"/>
                <w:sz w:val="14"/>
              </w:rPr>
              <w:t>34.9</w:t>
            </w:r>
          </w:p>
        </w:tc>
        <w:tc>
          <w:tcPr>
            <w:tcW w:w="1612" w:type="dxa"/>
          </w:tcPr>
          <w:p>
            <w:pPr>
              <w:pStyle w:val="TableParagraph"/>
              <w:spacing w:before="56"/>
              <w:ind w:right="590"/>
              <w:jc w:val="right"/>
              <w:rPr>
                <w:sz w:val="14"/>
              </w:rPr>
            </w:pPr>
            <w:r>
              <w:rPr>
                <w:sz w:val="14"/>
              </w:rPr>
              <w:t>22 ,699</w:t>
            </w:r>
          </w:p>
        </w:tc>
        <w:tc>
          <w:tcPr>
            <w:tcW w:w="1306" w:type="dxa"/>
          </w:tcPr>
          <w:p>
            <w:pPr>
              <w:pStyle w:val="TableParagraph"/>
              <w:spacing w:before="56"/>
              <w:ind w:right="294"/>
              <w:jc w:val="right"/>
              <w:rPr>
                <w:sz w:val="14"/>
              </w:rPr>
            </w:pPr>
            <w:r>
              <w:rPr>
                <w:w w:val="95"/>
                <w:sz w:val="14"/>
              </w:rPr>
              <w:t>4.5</w:t>
            </w:r>
          </w:p>
        </w:tc>
        <w:tc>
          <w:tcPr>
            <w:tcW w:w="1530" w:type="dxa"/>
          </w:tcPr>
          <w:p>
            <w:pPr>
              <w:pStyle w:val="TableParagraph"/>
              <w:rPr>
                <w:rFonts w:ascii="Times New Roman"/>
                <w:sz w:val="14"/>
              </w:rPr>
            </w:pPr>
          </w:p>
        </w:tc>
      </w:tr>
      <w:tr>
        <w:trPr>
          <w:trHeight w:val="280" w:hRule="atLeast"/>
        </w:trPr>
        <w:tc>
          <w:tcPr>
            <w:tcW w:w="5203" w:type="dxa"/>
          </w:tcPr>
          <w:p>
            <w:pPr>
              <w:pStyle w:val="TableParagraph"/>
              <w:spacing w:before="56"/>
              <w:ind w:left="560"/>
              <w:rPr>
                <w:sz w:val="14"/>
              </w:rPr>
            </w:pPr>
            <w:r>
              <w:rPr>
                <w:sz w:val="14"/>
              </w:rPr>
              <w:t>Political Class (MPs &amp; Ministers)</w:t>
            </w:r>
          </w:p>
        </w:tc>
        <w:tc>
          <w:tcPr>
            <w:tcW w:w="2208" w:type="dxa"/>
          </w:tcPr>
          <w:p>
            <w:pPr>
              <w:pStyle w:val="TableParagraph"/>
              <w:spacing w:before="56"/>
              <w:ind w:right="412"/>
              <w:jc w:val="right"/>
              <w:rPr>
                <w:sz w:val="14"/>
              </w:rPr>
            </w:pPr>
            <w:r>
              <w:rPr>
                <w:sz w:val="14"/>
              </w:rPr>
              <w:t>4,456</w:t>
            </w:r>
          </w:p>
        </w:tc>
        <w:tc>
          <w:tcPr>
            <w:tcW w:w="1602" w:type="dxa"/>
          </w:tcPr>
          <w:p>
            <w:pPr>
              <w:pStyle w:val="TableParagraph"/>
              <w:spacing w:before="56"/>
              <w:ind w:right="642"/>
              <w:jc w:val="right"/>
              <w:rPr>
                <w:sz w:val="14"/>
              </w:rPr>
            </w:pPr>
            <w:r>
              <w:rPr>
                <w:w w:val="95"/>
                <w:sz w:val="14"/>
              </w:rPr>
              <w:t>0.8</w:t>
            </w:r>
          </w:p>
        </w:tc>
        <w:tc>
          <w:tcPr>
            <w:tcW w:w="1323" w:type="dxa"/>
          </w:tcPr>
          <w:p>
            <w:pPr>
              <w:pStyle w:val="TableParagraph"/>
              <w:spacing w:before="56"/>
              <w:ind w:right="382"/>
              <w:jc w:val="right"/>
              <w:rPr>
                <w:sz w:val="14"/>
              </w:rPr>
            </w:pPr>
            <w:r>
              <w:rPr>
                <w:w w:val="95"/>
                <w:sz w:val="14"/>
              </w:rPr>
              <w:t>308</w:t>
            </w:r>
          </w:p>
        </w:tc>
        <w:tc>
          <w:tcPr>
            <w:tcW w:w="1612" w:type="dxa"/>
          </w:tcPr>
          <w:p>
            <w:pPr>
              <w:pStyle w:val="TableParagraph"/>
              <w:spacing w:before="56"/>
              <w:ind w:right="572"/>
              <w:jc w:val="right"/>
              <w:rPr>
                <w:sz w:val="14"/>
              </w:rPr>
            </w:pPr>
            <w:r>
              <w:rPr>
                <w:w w:val="95"/>
                <w:sz w:val="14"/>
              </w:rPr>
              <w:t>0.1</w:t>
            </w:r>
          </w:p>
        </w:tc>
        <w:tc>
          <w:tcPr>
            <w:tcW w:w="1306" w:type="dxa"/>
          </w:tcPr>
          <w:p>
            <w:pPr>
              <w:pStyle w:val="TableParagraph"/>
              <w:spacing w:before="56"/>
              <w:ind w:right="296"/>
              <w:jc w:val="right"/>
              <w:rPr>
                <w:sz w:val="14"/>
              </w:rPr>
            </w:pPr>
            <w:r>
              <w:rPr>
                <w:w w:val="95"/>
                <w:sz w:val="14"/>
              </w:rPr>
              <w:t>448</w:t>
            </w:r>
          </w:p>
        </w:tc>
        <w:tc>
          <w:tcPr>
            <w:tcW w:w="1530" w:type="dxa"/>
          </w:tcPr>
          <w:p>
            <w:pPr>
              <w:pStyle w:val="TableParagraph"/>
              <w:spacing w:before="56"/>
              <w:ind w:right="519"/>
              <w:jc w:val="right"/>
              <w:rPr>
                <w:sz w:val="14"/>
              </w:rPr>
            </w:pPr>
            <w:r>
              <w:rPr>
                <w:w w:val="95"/>
                <w:sz w:val="14"/>
              </w:rPr>
              <w:t>0.1</w:t>
            </w:r>
          </w:p>
        </w:tc>
      </w:tr>
      <w:tr>
        <w:trPr>
          <w:trHeight w:val="280" w:hRule="atLeast"/>
        </w:trPr>
        <w:tc>
          <w:tcPr>
            <w:tcW w:w="5203" w:type="dxa"/>
          </w:tcPr>
          <w:p>
            <w:pPr>
              <w:pStyle w:val="TableParagraph"/>
              <w:spacing w:before="58"/>
              <w:ind w:left="560"/>
              <w:rPr>
                <w:sz w:val="14"/>
              </w:rPr>
            </w:pPr>
            <w:r>
              <w:rPr>
                <w:sz w:val="14"/>
              </w:rPr>
              <w:t>Private Investment Concessions</w:t>
            </w:r>
          </w:p>
        </w:tc>
        <w:tc>
          <w:tcPr>
            <w:tcW w:w="2208" w:type="dxa"/>
          </w:tcPr>
          <w:p>
            <w:pPr>
              <w:pStyle w:val="TableParagraph"/>
              <w:spacing w:before="58"/>
              <w:ind w:right="412"/>
              <w:jc w:val="right"/>
              <w:rPr>
                <w:sz w:val="14"/>
              </w:rPr>
            </w:pPr>
            <w:r>
              <w:rPr>
                <w:sz w:val="14"/>
              </w:rPr>
              <w:t>188.5</w:t>
            </w:r>
          </w:p>
        </w:tc>
        <w:tc>
          <w:tcPr>
            <w:tcW w:w="1602" w:type="dxa"/>
          </w:tcPr>
          <w:p>
            <w:pPr>
              <w:pStyle w:val="TableParagraph"/>
              <w:spacing w:before="58"/>
              <w:ind w:right="639"/>
              <w:jc w:val="right"/>
              <w:rPr>
                <w:sz w:val="14"/>
              </w:rPr>
            </w:pPr>
            <w:r>
              <w:rPr>
                <w:w w:val="95"/>
                <w:sz w:val="14"/>
              </w:rPr>
              <w:t>31</w:t>
            </w:r>
          </w:p>
        </w:tc>
        <w:tc>
          <w:tcPr>
            <w:tcW w:w="1323" w:type="dxa"/>
          </w:tcPr>
          <w:p>
            <w:pPr>
              <w:pStyle w:val="TableParagraph"/>
              <w:spacing w:before="58"/>
              <w:ind w:right="394"/>
              <w:jc w:val="right"/>
              <w:rPr>
                <w:sz w:val="14"/>
              </w:rPr>
            </w:pPr>
            <w:r>
              <w:rPr>
                <w:sz w:val="14"/>
              </w:rPr>
              <w:t>63 ,423</w:t>
            </w:r>
          </w:p>
        </w:tc>
        <w:tc>
          <w:tcPr>
            <w:tcW w:w="1612" w:type="dxa"/>
          </w:tcPr>
          <w:p>
            <w:pPr>
              <w:pStyle w:val="TableParagraph"/>
              <w:spacing w:before="58"/>
              <w:ind w:right="577"/>
              <w:jc w:val="right"/>
              <w:rPr>
                <w:sz w:val="14"/>
              </w:rPr>
            </w:pPr>
            <w:r>
              <w:rPr>
                <w:w w:val="95"/>
                <w:sz w:val="14"/>
              </w:rPr>
              <w:t>14.3</w:t>
            </w:r>
          </w:p>
        </w:tc>
        <w:tc>
          <w:tcPr>
            <w:tcW w:w="1306" w:type="dxa"/>
          </w:tcPr>
          <w:p>
            <w:pPr>
              <w:pStyle w:val="TableParagraph"/>
              <w:spacing w:before="58"/>
              <w:ind w:right="308"/>
              <w:jc w:val="right"/>
              <w:rPr>
                <w:sz w:val="14"/>
              </w:rPr>
            </w:pPr>
            <w:r>
              <w:rPr>
                <w:sz w:val="14"/>
              </w:rPr>
              <w:t>82 ,690</w:t>
            </w:r>
          </w:p>
        </w:tc>
        <w:tc>
          <w:tcPr>
            <w:tcW w:w="1530" w:type="dxa"/>
          </w:tcPr>
          <w:p>
            <w:pPr>
              <w:pStyle w:val="TableParagraph"/>
              <w:spacing w:before="58"/>
              <w:ind w:right="527"/>
              <w:jc w:val="right"/>
              <w:rPr>
                <w:sz w:val="14"/>
              </w:rPr>
            </w:pPr>
            <w:r>
              <w:rPr>
                <w:sz w:val="14"/>
              </w:rPr>
              <w:t>16.45</w:t>
            </w:r>
          </w:p>
        </w:tc>
      </w:tr>
      <w:tr>
        <w:trPr>
          <w:trHeight w:val="278" w:hRule="atLeast"/>
        </w:trPr>
        <w:tc>
          <w:tcPr>
            <w:tcW w:w="5203" w:type="dxa"/>
          </w:tcPr>
          <w:p>
            <w:pPr>
              <w:pStyle w:val="TableParagraph"/>
              <w:spacing w:before="56"/>
              <w:ind w:left="896"/>
              <w:rPr>
                <w:sz w:val="14"/>
              </w:rPr>
            </w:pPr>
            <w:r>
              <w:rPr>
                <w:sz w:val="14"/>
              </w:rPr>
              <w:t>o/ w Agriculture</w:t>
            </w:r>
          </w:p>
        </w:tc>
        <w:tc>
          <w:tcPr>
            <w:tcW w:w="2208" w:type="dxa"/>
          </w:tcPr>
          <w:p>
            <w:pPr>
              <w:pStyle w:val="TableParagraph"/>
              <w:spacing w:before="56"/>
              <w:ind w:right="412"/>
              <w:jc w:val="right"/>
              <w:rPr>
                <w:sz w:val="14"/>
              </w:rPr>
            </w:pPr>
            <w:r>
              <w:rPr>
                <w:sz w:val="14"/>
              </w:rPr>
              <w:t>6,541</w:t>
            </w:r>
          </w:p>
        </w:tc>
        <w:tc>
          <w:tcPr>
            <w:tcW w:w="1602" w:type="dxa"/>
          </w:tcPr>
          <w:p>
            <w:pPr>
              <w:pStyle w:val="TableParagraph"/>
              <w:spacing w:before="56"/>
              <w:ind w:right="642"/>
              <w:jc w:val="right"/>
              <w:rPr>
                <w:sz w:val="14"/>
              </w:rPr>
            </w:pPr>
            <w:r>
              <w:rPr>
                <w:w w:val="95"/>
                <w:sz w:val="14"/>
              </w:rPr>
              <w:t>3.4</w:t>
            </w:r>
          </w:p>
        </w:tc>
        <w:tc>
          <w:tcPr>
            <w:tcW w:w="1323" w:type="dxa"/>
          </w:tcPr>
          <w:p>
            <w:pPr>
              <w:pStyle w:val="TableParagraph"/>
              <w:spacing w:before="56"/>
              <w:ind w:right="390"/>
              <w:jc w:val="right"/>
              <w:rPr>
                <w:sz w:val="14"/>
              </w:rPr>
            </w:pPr>
            <w:r>
              <w:rPr>
                <w:sz w:val="14"/>
              </w:rPr>
              <w:t>6,486</w:t>
            </w:r>
          </w:p>
        </w:tc>
        <w:tc>
          <w:tcPr>
            <w:tcW w:w="1612" w:type="dxa"/>
          </w:tcPr>
          <w:p>
            <w:pPr>
              <w:pStyle w:val="TableParagraph"/>
              <w:spacing w:before="56"/>
              <w:ind w:right="577"/>
              <w:jc w:val="right"/>
              <w:rPr>
                <w:sz w:val="14"/>
              </w:rPr>
            </w:pPr>
            <w:r>
              <w:rPr>
                <w:w w:val="95"/>
                <w:sz w:val="14"/>
              </w:rPr>
              <w:t>10.2</w:t>
            </w:r>
          </w:p>
        </w:tc>
        <w:tc>
          <w:tcPr>
            <w:tcW w:w="1306" w:type="dxa"/>
          </w:tcPr>
          <w:p>
            <w:pPr>
              <w:pStyle w:val="TableParagraph"/>
              <w:spacing w:before="56"/>
              <w:ind w:right="308"/>
              <w:jc w:val="right"/>
              <w:rPr>
                <w:sz w:val="14"/>
              </w:rPr>
            </w:pPr>
            <w:r>
              <w:rPr>
                <w:sz w:val="14"/>
              </w:rPr>
              <w:t>10 ,443</w:t>
            </w:r>
          </w:p>
        </w:tc>
        <w:tc>
          <w:tcPr>
            <w:tcW w:w="1530" w:type="dxa"/>
          </w:tcPr>
          <w:p>
            <w:pPr>
              <w:pStyle w:val="TableParagraph"/>
              <w:spacing w:before="56"/>
              <w:ind w:right="523"/>
              <w:jc w:val="right"/>
              <w:rPr>
                <w:sz w:val="14"/>
              </w:rPr>
            </w:pPr>
            <w:r>
              <w:rPr>
                <w:w w:val="95"/>
                <w:sz w:val="14"/>
              </w:rPr>
              <w:t>12.6</w:t>
            </w:r>
          </w:p>
        </w:tc>
      </w:tr>
      <w:tr>
        <w:trPr>
          <w:trHeight w:val="280" w:hRule="atLeast"/>
        </w:trPr>
        <w:tc>
          <w:tcPr>
            <w:tcW w:w="5203" w:type="dxa"/>
          </w:tcPr>
          <w:p>
            <w:pPr>
              <w:pStyle w:val="TableParagraph"/>
              <w:spacing w:before="56"/>
              <w:ind w:left="1237"/>
              <w:rPr>
                <w:sz w:val="14"/>
              </w:rPr>
            </w:pPr>
            <w:r>
              <w:rPr>
                <w:sz w:val="14"/>
              </w:rPr>
              <w:t>Construction</w:t>
            </w:r>
          </w:p>
        </w:tc>
        <w:tc>
          <w:tcPr>
            <w:tcW w:w="2208" w:type="dxa"/>
          </w:tcPr>
          <w:p>
            <w:pPr>
              <w:pStyle w:val="TableParagraph"/>
              <w:spacing w:before="56"/>
              <w:ind w:right="400"/>
              <w:jc w:val="right"/>
              <w:rPr>
                <w:sz w:val="14"/>
              </w:rPr>
            </w:pPr>
            <w:r>
              <w:rPr>
                <w:w w:val="99"/>
                <w:sz w:val="14"/>
              </w:rPr>
              <w:t>0</w:t>
            </w:r>
          </w:p>
        </w:tc>
        <w:tc>
          <w:tcPr>
            <w:tcW w:w="1602" w:type="dxa"/>
          </w:tcPr>
          <w:p>
            <w:pPr>
              <w:pStyle w:val="TableParagraph"/>
              <w:spacing w:before="56"/>
              <w:ind w:right="639"/>
              <w:jc w:val="right"/>
              <w:rPr>
                <w:sz w:val="14"/>
              </w:rPr>
            </w:pPr>
            <w:r>
              <w:rPr>
                <w:w w:val="99"/>
                <w:sz w:val="14"/>
              </w:rPr>
              <w:t>0</w:t>
            </w:r>
          </w:p>
        </w:tc>
        <w:tc>
          <w:tcPr>
            <w:tcW w:w="1323" w:type="dxa"/>
          </w:tcPr>
          <w:p>
            <w:pPr>
              <w:pStyle w:val="TableParagraph"/>
              <w:spacing w:before="56"/>
              <w:ind w:right="373"/>
              <w:jc w:val="right"/>
              <w:rPr>
                <w:sz w:val="14"/>
              </w:rPr>
            </w:pPr>
            <w:r>
              <w:rPr>
                <w:w w:val="99"/>
                <w:sz w:val="14"/>
              </w:rPr>
              <w:t>0</w:t>
            </w:r>
          </w:p>
        </w:tc>
        <w:tc>
          <w:tcPr>
            <w:tcW w:w="1612" w:type="dxa"/>
          </w:tcPr>
          <w:p>
            <w:pPr>
              <w:pStyle w:val="TableParagraph"/>
              <w:spacing w:before="56"/>
              <w:ind w:right="569"/>
              <w:jc w:val="right"/>
              <w:rPr>
                <w:sz w:val="14"/>
              </w:rPr>
            </w:pPr>
            <w:r>
              <w:rPr>
                <w:w w:val="99"/>
                <w:sz w:val="14"/>
              </w:rPr>
              <w:t>0</w:t>
            </w:r>
          </w:p>
        </w:tc>
        <w:tc>
          <w:tcPr>
            <w:tcW w:w="1306" w:type="dxa"/>
          </w:tcPr>
          <w:p>
            <w:pPr>
              <w:pStyle w:val="TableParagraph"/>
              <w:spacing w:before="56"/>
              <w:ind w:right="303"/>
              <w:jc w:val="right"/>
              <w:rPr>
                <w:sz w:val="14"/>
              </w:rPr>
            </w:pPr>
            <w:r>
              <w:rPr>
                <w:sz w:val="14"/>
              </w:rPr>
              <w:t>3,967</w:t>
            </w:r>
          </w:p>
        </w:tc>
        <w:tc>
          <w:tcPr>
            <w:tcW w:w="1530" w:type="dxa"/>
          </w:tcPr>
          <w:p>
            <w:pPr>
              <w:pStyle w:val="TableParagraph"/>
              <w:spacing w:before="56"/>
              <w:ind w:right="519"/>
              <w:jc w:val="right"/>
              <w:rPr>
                <w:sz w:val="14"/>
              </w:rPr>
            </w:pPr>
            <w:r>
              <w:rPr>
                <w:w w:val="95"/>
                <w:sz w:val="14"/>
              </w:rPr>
              <w:t>4.8</w:t>
            </w:r>
          </w:p>
        </w:tc>
      </w:tr>
      <w:tr>
        <w:trPr>
          <w:trHeight w:val="280" w:hRule="atLeast"/>
        </w:trPr>
        <w:tc>
          <w:tcPr>
            <w:tcW w:w="5203" w:type="dxa"/>
          </w:tcPr>
          <w:p>
            <w:pPr>
              <w:pStyle w:val="TableParagraph"/>
              <w:spacing w:before="58"/>
              <w:ind w:left="1237"/>
              <w:rPr>
                <w:sz w:val="14"/>
              </w:rPr>
            </w:pPr>
            <w:r>
              <w:rPr>
                <w:sz w:val="14"/>
              </w:rPr>
              <w:t>Education</w:t>
            </w:r>
          </w:p>
        </w:tc>
        <w:tc>
          <w:tcPr>
            <w:tcW w:w="2208" w:type="dxa"/>
          </w:tcPr>
          <w:p>
            <w:pPr>
              <w:pStyle w:val="TableParagraph"/>
              <w:spacing w:before="58"/>
              <w:ind w:right="395"/>
              <w:jc w:val="right"/>
              <w:rPr>
                <w:sz w:val="14"/>
              </w:rPr>
            </w:pPr>
            <w:r>
              <w:rPr>
                <w:w w:val="95"/>
                <w:sz w:val="14"/>
              </w:rPr>
              <w:t>58</w:t>
            </w:r>
          </w:p>
        </w:tc>
        <w:tc>
          <w:tcPr>
            <w:tcW w:w="1602" w:type="dxa"/>
          </w:tcPr>
          <w:p>
            <w:pPr>
              <w:pStyle w:val="TableParagraph"/>
              <w:spacing w:before="58"/>
              <w:ind w:right="646"/>
              <w:jc w:val="right"/>
              <w:rPr>
                <w:sz w:val="14"/>
              </w:rPr>
            </w:pPr>
            <w:r>
              <w:rPr>
                <w:w w:val="95"/>
                <w:sz w:val="14"/>
              </w:rPr>
              <w:t>0.03</w:t>
            </w:r>
          </w:p>
        </w:tc>
        <w:tc>
          <w:tcPr>
            <w:tcW w:w="1323" w:type="dxa"/>
          </w:tcPr>
          <w:p>
            <w:pPr>
              <w:pStyle w:val="TableParagraph"/>
              <w:spacing w:before="58"/>
              <w:ind w:right="373"/>
              <w:jc w:val="right"/>
              <w:rPr>
                <w:sz w:val="14"/>
              </w:rPr>
            </w:pPr>
            <w:r>
              <w:rPr>
                <w:w w:val="99"/>
                <w:sz w:val="14"/>
              </w:rPr>
              <w:t>0</w:t>
            </w:r>
          </w:p>
        </w:tc>
        <w:tc>
          <w:tcPr>
            <w:tcW w:w="1612" w:type="dxa"/>
          </w:tcPr>
          <w:p>
            <w:pPr>
              <w:pStyle w:val="TableParagraph"/>
              <w:spacing w:before="58"/>
              <w:ind w:right="569"/>
              <w:jc w:val="right"/>
              <w:rPr>
                <w:sz w:val="14"/>
              </w:rPr>
            </w:pPr>
            <w:r>
              <w:rPr>
                <w:w w:val="99"/>
                <w:sz w:val="14"/>
              </w:rPr>
              <w:t>0</w:t>
            </w:r>
          </w:p>
        </w:tc>
        <w:tc>
          <w:tcPr>
            <w:tcW w:w="1306" w:type="dxa"/>
          </w:tcPr>
          <w:p>
            <w:pPr>
              <w:pStyle w:val="TableParagraph"/>
              <w:spacing w:before="58"/>
              <w:ind w:right="286"/>
              <w:jc w:val="right"/>
              <w:rPr>
                <w:sz w:val="14"/>
              </w:rPr>
            </w:pPr>
            <w:r>
              <w:rPr>
                <w:w w:val="95"/>
                <w:sz w:val="14"/>
              </w:rPr>
              <w:t>57</w:t>
            </w:r>
          </w:p>
        </w:tc>
        <w:tc>
          <w:tcPr>
            <w:tcW w:w="1530" w:type="dxa"/>
          </w:tcPr>
          <w:p>
            <w:pPr>
              <w:pStyle w:val="TableParagraph"/>
              <w:spacing w:before="58"/>
              <w:ind w:right="519"/>
              <w:jc w:val="right"/>
              <w:rPr>
                <w:sz w:val="14"/>
              </w:rPr>
            </w:pPr>
            <w:r>
              <w:rPr>
                <w:w w:val="95"/>
                <w:sz w:val="14"/>
              </w:rPr>
              <w:t>0.1</w:t>
            </w:r>
          </w:p>
        </w:tc>
      </w:tr>
      <w:tr>
        <w:trPr>
          <w:trHeight w:val="278" w:hRule="atLeast"/>
        </w:trPr>
        <w:tc>
          <w:tcPr>
            <w:tcW w:w="5203" w:type="dxa"/>
          </w:tcPr>
          <w:p>
            <w:pPr>
              <w:pStyle w:val="TableParagraph"/>
              <w:spacing w:before="56"/>
              <w:ind w:left="1237"/>
              <w:rPr>
                <w:sz w:val="14"/>
              </w:rPr>
            </w:pPr>
            <w:r>
              <w:rPr>
                <w:sz w:val="14"/>
              </w:rPr>
              <w:t>Energy</w:t>
            </w:r>
          </w:p>
        </w:tc>
        <w:tc>
          <w:tcPr>
            <w:tcW w:w="2208" w:type="dxa"/>
          </w:tcPr>
          <w:p>
            <w:pPr>
              <w:pStyle w:val="TableParagraph"/>
              <w:spacing w:before="56"/>
              <w:ind w:right="412"/>
              <w:jc w:val="right"/>
              <w:rPr>
                <w:sz w:val="14"/>
              </w:rPr>
            </w:pPr>
            <w:r>
              <w:rPr>
                <w:sz w:val="14"/>
              </w:rPr>
              <w:t>2,684</w:t>
            </w:r>
          </w:p>
        </w:tc>
        <w:tc>
          <w:tcPr>
            <w:tcW w:w="1602" w:type="dxa"/>
          </w:tcPr>
          <w:p>
            <w:pPr>
              <w:pStyle w:val="TableParagraph"/>
              <w:spacing w:before="56"/>
              <w:ind w:right="646"/>
              <w:jc w:val="right"/>
              <w:rPr>
                <w:sz w:val="14"/>
              </w:rPr>
            </w:pPr>
            <w:r>
              <w:rPr>
                <w:w w:val="95"/>
                <w:sz w:val="14"/>
              </w:rPr>
              <w:t>1.42</w:t>
            </w:r>
          </w:p>
        </w:tc>
        <w:tc>
          <w:tcPr>
            <w:tcW w:w="1323" w:type="dxa"/>
          </w:tcPr>
          <w:p>
            <w:pPr>
              <w:pStyle w:val="TableParagraph"/>
              <w:spacing w:before="56"/>
              <w:ind w:right="390"/>
              <w:jc w:val="right"/>
              <w:rPr>
                <w:sz w:val="14"/>
              </w:rPr>
            </w:pPr>
            <w:r>
              <w:rPr>
                <w:sz w:val="14"/>
              </w:rPr>
              <w:t>2,380</w:t>
            </w:r>
          </w:p>
        </w:tc>
        <w:tc>
          <w:tcPr>
            <w:tcW w:w="1612" w:type="dxa"/>
          </w:tcPr>
          <w:p>
            <w:pPr>
              <w:pStyle w:val="TableParagraph"/>
              <w:spacing w:before="56"/>
              <w:ind w:right="572"/>
              <w:jc w:val="right"/>
              <w:rPr>
                <w:sz w:val="14"/>
              </w:rPr>
            </w:pPr>
            <w:r>
              <w:rPr>
                <w:w w:val="95"/>
                <w:sz w:val="14"/>
              </w:rPr>
              <w:t>3.8</w:t>
            </w:r>
          </w:p>
        </w:tc>
        <w:tc>
          <w:tcPr>
            <w:tcW w:w="1306" w:type="dxa"/>
          </w:tcPr>
          <w:p>
            <w:pPr>
              <w:pStyle w:val="TableParagraph"/>
              <w:spacing w:before="56"/>
              <w:ind w:right="308"/>
              <w:jc w:val="right"/>
              <w:rPr>
                <w:sz w:val="14"/>
              </w:rPr>
            </w:pPr>
            <w:r>
              <w:rPr>
                <w:sz w:val="14"/>
              </w:rPr>
              <w:t>27 ,855</w:t>
            </w:r>
          </w:p>
        </w:tc>
        <w:tc>
          <w:tcPr>
            <w:tcW w:w="1530" w:type="dxa"/>
          </w:tcPr>
          <w:p>
            <w:pPr>
              <w:pStyle w:val="TableParagraph"/>
              <w:spacing w:before="56"/>
              <w:ind w:right="523"/>
              <w:jc w:val="right"/>
              <w:rPr>
                <w:sz w:val="14"/>
              </w:rPr>
            </w:pPr>
            <w:r>
              <w:rPr>
                <w:w w:val="95"/>
                <w:sz w:val="14"/>
              </w:rPr>
              <w:t>33.7</w:t>
            </w:r>
          </w:p>
        </w:tc>
      </w:tr>
      <w:tr>
        <w:trPr>
          <w:trHeight w:val="280" w:hRule="atLeast"/>
        </w:trPr>
        <w:tc>
          <w:tcPr>
            <w:tcW w:w="5203" w:type="dxa"/>
          </w:tcPr>
          <w:p>
            <w:pPr>
              <w:pStyle w:val="TableParagraph"/>
              <w:spacing w:before="56"/>
              <w:ind w:left="1237"/>
              <w:rPr>
                <w:sz w:val="14"/>
              </w:rPr>
            </w:pPr>
            <w:r>
              <w:rPr>
                <w:sz w:val="14"/>
              </w:rPr>
              <w:t>Fisheries</w:t>
            </w:r>
          </w:p>
        </w:tc>
        <w:tc>
          <w:tcPr>
            <w:tcW w:w="2208" w:type="dxa"/>
          </w:tcPr>
          <w:p>
            <w:pPr>
              <w:pStyle w:val="TableParagraph"/>
              <w:spacing w:before="56"/>
              <w:ind w:right="405"/>
              <w:jc w:val="right"/>
              <w:rPr>
                <w:sz w:val="14"/>
              </w:rPr>
            </w:pPr>
            <w:r>
              <w:rPr>
                <w:w w:val="95"/>
                <w:sz w:val="14"/>
              </w:rPr>
              <w:t>508</w:t>
            </w:r>
          </w:p>
        </w:tc>
        <w:tc>
          <w:tcPr>
            <w:tcW w:w="1602" w:type="dxa"/>
          </w:tcPr>
          <w:p>
            <w:pPr>
              <w:pStyle w:val="TableParagraph"/>
              <w:spacing w:before="56"/>
              <w:ind w:right="646"/>
              <w:jc w:val="right"/>
              <w:rPr>
                <w:sz w:val="14"/>
              </w:rPr>
            </w:pPr>
            <w:r>
              <w:rPr>
                <w:w w:val="95"/>
                <w:sz w:val="14"/>
              </w:rPr>
              <w:t>0.27</w:t>
            </w:r>
          </w:p>
        </w:tc>
        <w:tc>
          <w:tcPr>
            <w:tcW w:w="1323" w:type="dxa"/>
          </w:tcPr>
          <w:p>
            <w:pPr>
              <w:pStyle w:val="TableParagraph"/>
              <w:spacing w:before="56"/>
              <w:ind w:right="373"/>
              <w:jc w:val="right"/>
              <w:rPr>
                <w:sz w:val="14"/>
              </w:rPr>
            </w:pPr>
            <w:r>
              <w:rPr>
                <w:w w:val="99"/>
                <w:sz w:val="14"/>
              </w:rPr>
              <w:t>0</w:t>
            </w:r>
          </w:p>
        </w:tc>
        <w:tc>
          <w:tcPr>
            <w:tcW w:w="1612" w:type="dxa"/>
          </w:tcPr>
          <w:p>
            <w:pPr>
              <w:pStyle w:val="TableParagraph"/>
              <w:spacing w:before="56"/>
              <w:ind w:right="569"/>
              <w:jc w:val="right"/>
              <w:rPr>
                <w:sz w:val="14"/>
              </w:rPr>
            </w:pPr>
            <w:r>
              <w:rPr>
                <w:w w:val="99"/>
                <w:sz w:val="14"/>
              </w:rPr>
              <w:t>0</w:t>
            </w:r>
          </w:p>
        </w:tc>
        <w:tc>
          <w:tcPr>
            <w:tcW w:w="1306" w:type="dxa"/>
          </w:tcPr>
          <w:p>
            <w:pPr>
              <w:pStyle w:val="TableParagraph"/>
              <w:spacing w:before="56"/>
              <w:ind w:right="286"/>
              <w:jc w:val="right"/>
              <w:rPr>
                <w:sz w:val="14"/>
              </w:rPr>
            </w:pPr>
            <w:r>
              <w:rPr>
                <w:w w:val="95"/>
                <w:sz w:val="14"/>
              </w:rPr>
              <w:t>26</w:t>
            </w:r>
          </w:p>
        </w:tc>
        <w:tc>
          <w:tcPr>
            <w:tcW w:w="1530" w:type="dxa"/>
          </w:tcPr>
          <w:p>
            <w:pPr>
              <w:pStyle w:val="TableParagraph"/>
              <w:spacing w:before="56"/>
              <w:ind w:right="516"/>
              <w:jc w:val="right"/>
              <w:rPr>
                <w:sz w:val="14"/>
              </w:rPr>
            </w:pPr>
            <w:r>
              <w:rPr>
                <w:w w:val="99"/>
                <w:sz w:val="14"/>
              </w:rPr>
              <w:t>0</w:t>
            </w:r>
          </w:p>
        </w:tc>
      </w:tr>
      <w:tr>
        <w:trPr>
          <w:trHeight w:val="280" w:hRule="atLeast"/>
        </w:trPr>
        <w:tc>
          <w:tcPr>
            <w:tcW w:w="5203" w:type="dxa"/>
          </w:tcPr>
          <w:p>
            <w:pPr>
              <w:pStyle w:val="TableParagraph"/>
              <w:spacing w:before="58"/>
              <w:ind w:left="1237"/>
              <w:rPr>
                <w:sz w:val="14"/>
              </w:rPr>
            </w:pPr>
            <w:r>
              <w:rPr>
                <w:sz w:val="14"/>
              </w:rPr>
              <w:t>Health</w:t>
            </w:r>
          </w:p>
        </w:tc>
        <w:tc>
          <w:tcPr>
            <w:tcW w:w="2208" w:type="dxa"/>
          </w:tcPr>
          <w:p>
            <w:pPr>
              <w:pStyle w:val="TableParagraph"/>
              <w:spacing w:before="58"/>
              <w:ind w:right="400"/>
              <w:jc w:val="right"/>
              <w:rPr>
                <w:sz w:val="14"/>
              </w:rPr>
            </w:pPr>
            <w:r>
              <w:rPr>
                <w:w w:val="99"/>
                <w:sz w:val="14"/>
              </w:rPr>
              <w:t>0</w:t>
            </w:r>
          </w:p>
        </w:tc>
        <w:tc>
          <w:tcPr>
            <w:tcW w:w="1602" w:type="dxa"/>
          </w:tcPr>
          <w:p>
            <w:pPr>
              <w:pStyle w:val="TableParagraph"/>
              <w:spacing w:before="58"/>
              <w:ind w:right="639"/>
              <w:jc w:val="right"/>
              <w:rPr>
                <w:sz w:val="14"/>
              </w:rPr>
            </w:pPr>
            <w:r>
              <w:rPr>
                <w:w w:val="99"/>
                <w:sz w:val="14"/>
              </w:rPr>
              <w:t>0</w:t>
            </w:r>
          </w:p>
        </w:tc>
        <w:tc>
          <w:tcPr>
            <w:tcW w:w="1323" w:type="dxa"/>
          </w:tcPr>
          <w:p>
            <w:pPr>
              <w:pStyle w:val="TableParagraph"/>
              <w:spacing w:before="58"/>
              <w:ind w:right="373"/>
              <w:jc w:val="right"/>
              <w:rPr>
                <w:sz w:val="14"/>
              </w:rPr>
            </w:pPr>
            <w:r>
              <w:rPr>
                <w:w w:val="99"/>
                <w:sz w:val="14"/>
              </w:rPr>
              <w:t>0</w:t>
            </w:r>
          </w:p>
        </w:tc>
        <w:tc>
          <w:tcPr>
            <w:tcW w:w="1612" w:type="dxa"/>
          </w:tcPr>
          <w:p>
            <w:pPr>
              <w:pStyle w:val="TableParagraph"/>
              <w:spacing w:before="58"/>
              <w:ind w:right="569"/>
              <w:jc w:val="right"/>
              <w:rPr>
                <w:sz w:val="14"/>
              </w:rPr>
            </w:pPr>
            <w:r>
              <w:rPr>
                <w:w w:val="99"/>
                <w:sz w:val="14"/>
              </w:rPr>
              <w:t>0</w:t>
            </w:r>
          </w:p>
        </w:tc>
        <w:tc>
          <w:tcPr>
            <w:tcW w:w="1306" w:type="dxa"/>
          </w:tcPr>
          <w:p>
            <w:pPr>
              <w:pStyle w:val="TableParagraph"/>
              <w:spacing w:before="58"/>
              <w:ind w:right="303"/>
              <w:jc w:val="right"/>
              <w:rPr>
                <w:sz w:val="14"/>
              </w:rPr>
            </w:pPr>
            <w:r>
              <w:rPr>
                <w:sz w:val="14"/>
              </w:rPr>
              <w:t>1,555</w:t>
            </w:r>
          </w:p>
        </w:tc>
        <w:tc>
          <w:tcPr>
            <w:tcW w:w="1530" w:type="dxa"/>
          </w:tcPr>
          <w:p>
            <w:pPr>
              <w:pStyle w:val="TableParagraph"/>
              <w:spacing w:before="58"/>
              <w:ind w:right="519"/>
              <w:jc w:val="right"/>
              <w:rPr>
                <w:sz w:val="14"/>
              </w:rPr>
            </w:pPr>
            <w:r>
              <w:rPr>
                <w:w w:val="95"/>
                <w:sz w:val="14"/>
              </w:rPr>
              <w:t>1.9</w:t>
            </w:r>
          </w:p>
        </w:tc>
      </w:tr>
      <w:tr>
        <w:trPr>
          <w:trHeight w:val="278" w:hRule="atLeast"/>
        </w:trPr>
        <w:tc>
          <w:tcPr>
            <w:tcW w:w="5203" w:type="dxa"/>
          </w:tcPr>
          <w:p>
            <w:pPr>
              <w:pStyle w:val="TableParagraph"/>
              <w:spacing w:before="56"/>
              <w:ind w:left="1238"/>
              <w:rPr>
                <w:sz w:val="14"/>
              </w:rPr>
            </w:pPr>
            <w:r>
              <w:rPr>
                <w:sz w:val="14"/>
              </w:rPr>
              <w:t>Manufacturing</w:t>
            </w:r>
          </w:p>
        </w:tc>
        <w:tc>
          <w:tcPr>
            <w:tcW w:w="2208" w:type="dxa"/>
          </w:tcPr>
          <w:p>
            <w:pPr>
              <w:pStyle w:val="TableParagraph"/>
              <w:spacing w:before="56"/>
              <w:ind w:right="412"/>
              <w:jc w:val="right"/>
              <w:rPr>
                <w:sz w:val="14"/>
              </w:rPr>
            </w:pPr>
            <w:r>
              <w:rPr>
                <w:sz w:val="14"/>
              </w:rPr>
              <w:t>5,389</w:t>
            </w:r>
          </w:p>
        </w:tc>
        <w:tc>
          <w:tcPr>
            <w:tcW w:w="1602" w:type="dxa"/>
          </w:tcPr>
          <w:p>
            <w:pPr>
              <w:pStyle w:val="TableParagraph"/>
              <w:spacing w:before="56"/>
              <w:ind w:right="646"/>
              <w:jc w:val="right"/>
              <w:rPr>
                <w:sz w:val="14"/>
              </w:rPr>
            </w:pPr>
            <w:r>
              <w:rPr>
                <w:w w:val="95"/>
                <w:sz w:val="14"/>
              </w:rPr>
              <w:t>2.86</w:t>
            </w:r>
          </w:p>
        </w:tc>
        <w:tc>
          <w:tcPr>
            <w:tcW w:w="1323" w:type="dxa"/>
          </w:tcPr>
          <w:p>
            <w:pPr>
              <w:pStyle w:val="TableParagraph"/>
              <w:spacing w:before="56"/>
              <w:ind w:right="390"/>
              <w:jc w:val="right"/>
              <w:rPr>
                <w:sz w:val="14"/>
              </w:rPr>
            </w:pPr>
            <w:r>
              <w:rPr>
                <w:sz w:val="14"/>
              </w:rPr>
              <w:t>4,736</w:t>
            </w:r>
          </w:p>
        </w:tc>
        <w:tc>
          <w:tcPr>
            <w:tcW w:w="1612" w:type="dxa"/>
          </w:tcPr>
          <w:p>
            <w:pPr>
              <w:pStyle w:val="TableParagraph"/>
              <w:spacing w:before="56"/>
              <w:ind w:right="572"/>
              <w:jc w:val="right"/>
              <w:rPr>
                <w:sz w:val="14"/>
              </w:rPr>
            </w:pPr>
            <w:r>
              <w:rPr>
                <w:w w:val="95"/>
                <w:sz w:val="14"/>
              </w:rPr>
              <w:t>7.5</w:t>
            </w:r>
          </w:p>
        </w:tc>
        <w:tc>
          <w:tcPr>
            <w:tcW w:w="1306" w:type="dxa"/>
          </w:tcPr>
          <w:p>
            <w:pPr>
              <w:pStyle w:val="TableParagraph"/>
              <w:spacing w:before="56"/>
              <w:ind w:right="303"/>
              <w:jc w:val="right"/>
              <w:rPr>
                <w:sz w:val="14"/>
              </w:rPr>
            </w:pPr>
            <w:r>
              <w:rPr>
                <w:sz w:val="14"/>
              </w:rPr>
              <w:t>9,662</w:t>
            </w:r>
          </w:p>
        </w:tc>
        <w:tc>
          <w:tcPr>
            <w:tcW w:w="1530" w:type="dxa"/>
          </w:tcPr>
          <w:p>
            <w:pPr>
              <w:pStyle w:val="TableParagraph"/>
              <w:spacing w:before="56"/>
              <w:ind w:right="523"/>
              <w:jc w:val="right"/>
              <w:rPr>
                <w:sz w:val="14"/>
              </w:rPr>
            </w:pPr>
            <w:r>
              <w:rPr>
                <w:w w:val="95"/>
                <w:sz w:val="14"/>
              </w:rPr>
              <w:t>11.7</w:t>
            </w:r>
          </w:p>
        </w:tc>
      </w:tr>
      <w:tr>
        <w:trPr>
          <w:trHeight w:val="280" w:hRule="atLeast"/>
        </w:trPr>
        <w:tc>
          <w:tcPr>
            <w:tcW w:w="5203" w:type="dxa"/>
          </w:tcPr>
          <w:p>
            <w:pPr>
              <w:pStyle w:val="TableParagraph"/>
              <w:spacing w:before="56"/>
              <w:ind w:left="1238"/>
              <w:rPr>
                <w:sz w:val="14"/>
              </w:rPr>
            </w:pPr>
            <w:r>
              <w:rPr>
                <w:sz w:val="14"/>
              </w:rPr>
              <w:t>Mining</w:t>
            </w:r>
          </w:p>
        </w:tc>
        <w:tc>
          <w:tcPr>
            <w:tcW w:w="2208" w:type="dxa"/>
          </w:tcPr>
          <w:p>
            <w:pPr>
              <w:pStyle w:val="TableParagraph"/>
              <w:spacing w:before="56"/>
              <w:ind w:right="417"/>
              <w:jc w:val="right"/>
              <w:rPr>
                <w:sz w:val="14"/>
              </w:rPr>
            </w:pPr>
            <w:r>
              <w:rPr>
                <w:sz w:val="14"/>
              </w:rPr>
              <w:t>49 ,734</w:t>
            </w:r>
          </w:p>
        </w:tc>
        <w:tc>
          <w:tcPr>
            <w:tcW w:w="1602" w:type="dxa"/>
          </w:tcPr>
          <w:p>
            <w:pPr>
              <w:pStyle w:val="TableParagraph"/>
              <w:spacing w:before="56"/>
              <w:ind w:right="655"/>
              <w:jc w:val="right"/>
              <w:rPr>
                <w:sz w:val="14"/>
              </w:rPr>
            </w:pPr>
            <w:r>
              <w:rPr>
                <w:sz w:val="14"/>
              </w:rPr>
              <w:t>26.38</w:t>
            </w:r>
          </w:p>
        </w:tc>
        <w:tc>
          <w:tcPr>
            <w:tcW w:w="1323" w:type="dxa"/>
          </w:tcPr>
          <w:p>
            <w:pPr>
              <w:pStyle w:val="TableParagraph"/>
              <w:spacing w:before="56"/>
              <w:ind w:right="390"/>
              <w:jc w:val="right"/>
              <w:rPr>
                <w:sz w:val="14"/>
              </w:rPr>
            </w:pPr>
            <w:r>
              <w:rPr>
                <w:sz w:val="14"/>
              </w:rPr>
              <w:t>6,346</w:t>
            </w:r>
          </w:p>
        </w:tc>
        <w:tc>
          <w:tcPr>
            <w:tcW w:w="1612" w:type="dxa"/>
          </w:tcPr>
          <w:p>
            <w:pPr>
              <w:pStyle w:val="TableParagraph"/>
              <w:spacing w:before="56"/>
              <w:ind w:right="569"/>
              <w:jc w:val="right"/>
              <w:rPr>
                <w:sz w:val="14"/>
              </w:rPr>
            </w:pPr>
            <w:r>
              <w:rPr>
                <w:w w:val="95"/>
                <w:sz w:val="14"/>
              </w:rPr>
              <w:t>10</w:t>
            </w:r>
          </w:p>
        </w:tc>
        <w:tc>
          <w:tcPr>
            <w:tcW w:w="1306" w:type="dxa"/>
          </w:tcPr>
          <w:p>
            <w:pPr>
              <w:pStyle w:val="TableParagraph"/>
              <w:spacing w:before="56"/>
              <w:ind w:right="308"/>
              <w:jc w:val="right"/>
              <w:rPr>
                <w:sz w:val="14"/>
              </w:rPr>
            </w:pPr>
            <w:r>
              <w:rPr>
                <w:sz w:val="14"/>
              </w:rPr>
              <w:t>19 ,497</w:t>
            </w:r>
          </w:p>
        </w:tc>
        <w:tc>
          <w:tcPr>
            <w:tcW w:w="1530" w:type="dxa"/>
          </w:tcPr>
          <w:p>
            <w:pPr>
              <w:pStyle w:val="TableParagraph"/>
              <w:spacing w:before="56"/>
              <w:ind w:right="523"/>
              <w:jc w:val="right"/>
              <w:rPr>
                <w:sz w:val="14"/>
              </w:rPr>
            </w:pPr>
            <w:r>
              <w:rPr>
                <w:w w:val="95"/>
                <w:sz w:val="14"/>
              </w:rPr>
              <w:t>23.6</w:t>
            </w:r>
          </w:p>
        </w:tc>
      </w:tr>
      <w:tr>
        <w:trPr>
          <w:trHeight w:val="280" w:hRule="atLeast"/>
        </w:trPr>
        <w:tc>
          <w:tcPr>
            <w:tcW w:w="5203" w:type="dxa"/>
          </w:tcPr>
          <w:p>
            <w:pPr>
              <w:pStyle w:val="TableParagraph"/>
              <w:spacing w:before="58"/>
              <w:ind w:left="1237"/>
              <w:rPr>
                <w:sz w:val="14"/>
              </w:rPr>
            </w:pPr>
            <w:r>
              <w:rPr>
                <w:sz w:val="14"/>
              </w:rPr>
              <w:t>Road Construction</w:t>
            </w:r>
          </w:p>
        </w:tc>
        <w:tc>
          <w:tcPr>
            <w:tcW w:w="2208" w:type="dxa"/>
          </w:tcPr>
          <w:p>
            <w:pPr>
              <w:pStyle w:val="TableParagraph"/>
              <w:spacing w:before="58"/>
              <w:ind w:right="417"/>
              <w:jc w:val="right"/>
              <w:rPr>
                <w:sz w:val="14"/>
              </w:rPr>
            </w:pPr>
            <w:r>
              <w:rPr>
                <w:sz w:val="14"/>
              </w:rPr>
              <w:t>12 ,910</w:t>
            </w:r>
          </w:p>
        </w:tc>
        <w:tc>
          <w:tcPr>
            <w:tcW w:w="1602" w:type="dxa"/>
          </w:tcPr>
          <w:p>
            <w:pPr>
              <w:pStyle w:val="TableParagraph"/>
              <w:spacing w:before="58"/>
              <w:ind w:right="646"/>
              <w:jc w:val="right"/>
              <w:rPr>
                <w:sz w:val="14"/>
              </w:rPr>
            </w:pPr>
            <w:r>
              <w:rPr>
                <w:w w:val="95"/>
                <w:sz w:val="14"/>
              </w:rPr>
              <w:t>6.85</w:t>
            </w:r>
          </w:p>
        </w:tc>
        <w:tc>
          <w:tcPr>
            <w:tcW w:w="1323" w:type="dxa"/>
          </w:tcPr>
          <w:p>
            <w:pPr>
              <w:pStyle w:val="TableParagraph"/>
              <w:spacing w:before="58"/>
              <w:ind w:right="390"/>
              <w:jc w:val="right"/>
              <w:rPr>
                <w:sz w:val="14"/>
              </w:rPr>
            </w:pPr>
            <w:r>
              <w:rPr>
                <w:sz w:val="14"/>
              </w:rPr>
              <w:t>5,554</w:t>
            </w:r>
          </w:p>
        </w:tc>
        <w:tc>
          <w:tcPr>
            <w:tcW w:w="1612" w:type="dxa"/>
          </w:tcPr>
          <w:p>
            <w:pPr>
              <w:pStyle w:val="TableParagraph"/>
              <w:spacing w:before="58"/>
              <w:ind w:right="572"/>
              <w:jc w:val="right"/>
              <w:rPr>
                <w:sz w:val="14"/>
              </w:rPr>
            </w:pPr>
            <w:r>
              <w:rPr>
                <w:w w:val="95"/>
                <w:sz w:val="14"/>
              </w:rPr>
              <w:t>8.8</w:t>
            </w:r>
          </w:p>
        </w:tc>
        <w:tc>
          <w:tcPr>
            <w:tcW w:w="1306" w:type="dxa"/>
          </w:tcPr>
          <w:p>
            <w:pPr>
              <w:pStyle w:val="TableParagraph"/>
              <w:spacing w:before="58"/>
              <w:ind w:right="303"/>
              <w:jc w:val="right"/>
              <w:rPr>
                <w:sz w:val="14"/>
              </w:rPr>
            </w:pPr>
            <w:r>
              <w:rPr>
                <w:sz w:val="14"/>
              </w:rPr>
              <w:t>1,857</w:t>
            </w:r>
          </w:p>
        </w:tc>
        <w:tc>
          <w:tcPr>
            <w:tcW w:w="1530" w:type="dxa"/>
          </w:tcPr>
          <w:p>
            <w:pPr>
              <w:pStyle w:val="TableParagraph"/>
              <w:spacing w:before="58"/>
              <w:ind w:right="519"/>
              <w:jc w:val="right"/>
              <w:rPr>
                <w:sz w:val="14"/>
              </w:rPr>
            </w:pPr>
            <w:r>
              <w:rPr>
                <w:w w:val="95"/>
                <w:sz w:val="14"/>
              </w:rPr>
              <w:t>2.2</w:t>
            </w:r>
          </w:p>
        </w:tc>
      </w:tr>
      <w:tr>
        <w:trPr>
          <w:trHeight w:val="278" w:hRule="atLeast"/>
        </w:trPr>
        <w:tc>
          <w:tcPr>
            <w:tcW w:w="5203" w:type="dxa"/>
          </w:tcPr>
          <w:p>
            <w:pPr>
              <w:pStyle w:val="TableParagraph"/>
              <w:spacing w:before="56"/>
              <w:ind w:left="1271"/>
              <w:rPr>
                <w:sz w:val="14"/>
              </w:rPr>
            </w:pPr>
            <w:r>
              <w:rPr>
                <w:sz w:val="14"/>
              </w:rPr>
              <w:t>Telecommunications</w:t>
            </w:r>
          </w:p>
        </w:tc>
        <w:tc>
          <w:tcPr>
            <w:tcW w:w="2208" w:type="dxa"/>
          </w:tcPr>
          <w:p>
            <w:pPr>
              <w:pStyle w:val="TableParagraph"/>
              <w:spacing w:before="56"/>
              <w:ind w:right="417"/>
              <w:jc w:val="right"/>
              <w:rPr>
                <w:sz w:val="14"/>
              </w:rPr>
            </w:pPr>
            <w:r>
              <w:rPr>
                <w:sz w:val="14"/>
              </w:rPr>
              <w:t>19 ,930</w:t>
            </w:r>
          </w:p>
        </w:tc>
        <w:tc>
          <w:tcPr>
            <w:tcW w:w="1602" w:type="dxa"/>
          </w:tcPr>
          <w:p>
            <w:pPr>
              <w:pStyle w:val="TableParagraph"/>
              <w:spacing w:before="56"/>
              <w:ind w:right="655"/>
              <w:jc w:val="right"/>
              <w:rPr>
                <w:sz w:val="14"/>
              </w:rPr>
            </w:pPr>
            <w:r>
              <w:rPr>
                <w:sz w:val="14"/>
              </w:rPr>
              <w:t>10.57</w:t>
            </w:r>
          </w:p>
        </w:tc>
        <w:tc>
          <w:tcPr>
            <w:tcW w:w="1323" w:type="dxa"/>
          </w:tcPr>
          <w:p>
            <w:pPr>
              <w:pStyle w:val="TableParagraph"/>
              <w:spacing w:before="56"/>
              <w:ind w:right="394"/>
              <w:jc w:val="right"/>
              <w:rPr>
                <w:sz w:val="14"/>
              </w:rPr>
            </w:pPr>
            <w:r>
              <w:rPr>
                <w:sz w:val="14"/>
              </w:rPr>
              <w:t>12 ,787</w:t>
            </w:r>
          </w:p>
        </w:tc>
        <w:tc>
          <w:tcPr>
            <w:tcW w:w="1612" w:type="dxa"/>
          </w:tcPr>
          <w:p>
            <w:pPr>
              <w:pStyle w:val="TableParagraph"/>
              <w:spacing w:before="56"/>
              <w:ind w:right="577"/>
              <w:jc w:val="right"/>
              <w:rPr>
                <w:sz w:val="14"/>
              </w:rPr>
            </w:pPr>
            <w:r>
              <w:rPr>
                <w:w w:val="95"/>
                <w:sz w:val="14"/>
              </w:rPr>
              <w:t>20.2</w:t>
            </w:r>
          </w:p>
        </w:tc>
        <w:tc>
          <w:tcPr>
            <w:tcW w:w="1306" w:type="dxa"/>
          </w:tcPr>
          <w:p>
            <w:pPr>
              <w:pStyle w:val="TableParagraph"/>
              <w:spacing w:before="56"/>
              <w:ind w:right="296"/>
              <w:jc w:val="right"/>
              <w:rPr>
                <w:sz w:val="14"/>
              </w:rPr>
            </w:pPr>
            <w:r>
              <w:rPr>
                <w:w w:val="95"/>
                <w:sz w:val="14"/>
              </w:rPr>
              <w:t>735</w:t>
            </w:r>
          </w:p>
        </w:tc>
        <w:tc>
          <w:tcPr>
            <w:tcW w:w="1530" w:type="dxa"/>
          </w:tcPr>
          <w:p>
            <w:pPr>
              <w:pStyle w:val="TableParagraph"/>
              <w:spacing w:before="56"/>
              <w:ind w:right="519"/>
              <w:jc w:val="right"/>
              <w:rPr>
                <w:sz w:val="14"/>
              </w:rPr>
            </w:pPr>
            <w:r>
              <w:rPr>
                <w:w w:val="95"/>
                <w:sz w:val="14"/>
              </w:rPr>
              <w:t>0.9</w:t>
            </w:r>
          </w:p>
        </w:tc>
      </w:tr>
      <w:tr>
        <w:trPr>
          <w:trHeight w:val="280" w:hRule="atLeast"/>
        </w:trPr>
        <w:tc>
          <w:tcPr>
            <w:tcW w:w="5203" w:type="dxa"/>
          </w:tcPr>
          <w:p>
            <w:pPr>
              <w:pStyle w:val="TableParagraph"/>
              <w:spacing w:before="56"/>
              <w:ind w:left="1237"/>
              <w:rPr>
                <w:sz w:val="14"/>
              </w:rPr>
            </w:pPr>
            <w:r>
              <w:rPr>
                <w:sz w:val="14"/>
              </w:rPr>
              <w:t>Tourism</w:t>
            </w:r>
          </w:p>
        </w:tc>
        <w:tc>
          <w:tcPr>
            <w:tcW w:w="2208" w:type="dxa"/>
          </w:tcPr>
          <w:p>
            <w:pPr>
              <w:pStyle w:val="TableParagraph"/>
              <w:spacing w:before="56"/>
              <w:ind w:right="417"/>
              <w:jc w:val="right"/>
              <w:rPr>
                <w:sz w:val="14"/>
              </w:rPr>
            </w:pPr>
            <w:r>
              <w:rPr>
                <w:sz w:val="14"/>
              </w:rPr>
              <w:t>31 ,760</w:t>
            </w:r>
          </w:p>
        </w:tc>
        <w:tc>
          <w:tcPr>
            <w:tcW w:w="1602" w:type="dxa"/>
          </w:tcPr>
          <w:p>
            <w:pPr>
              <w:pStyle w:val="TableParagraph"/>
              <w:spacing w:before="56"/>
              <w:ind w:right="655"/>
              <w:jc w:val="right"/>
              <w:rPr>
                <w:sz w:val="14"/>
              </w:rPr>
            </w:pPr>
            <w:r>
              <w:rPr>
                <w:sz w:val="14"/>
              </w:rPr>
              <w:t>16.85</w:t>
            </w:r>
          </w:p>
        </w:tc>
        <w:tc>
          <w:tcPr>
            <w:tcW w:w="1323" w:type="dxa"/>
          </w:tcPr>
          <w:p>
            <w:pPr>
              <w:pStyle w:val="TableParagraph"/>
              <w:spacing w:before="56"/>
              <w:ind w:right="373"/>
              <w:jc w:val="right"/>
              <w:rPr>
                <w:sz w:val="14"/>
              </w:rPr>
            </w:pPr>
            <w:r>
              <w:rPr>
                <w:w w:val="99"/>
                <w:sz w:val="14"/>
              </w:rPr>
              <w:t>0</w:t>
            </w:r>
          </w:p>
        </w:tc>
        <w:tc>
          <w:tcPr>
            <w:tcW w:w="1612" w:type="dxa"/>
          </w:tcPr>
          <w:p>
            <w:pPr>
              <w:pStyle w:val="TableParagraph"/>
              <w:spacing w:before="56"/>
              <w:ind w:right="569"/>
              <w:jc w:val="right"/>
              <w:rPr>
                <w:sz w:val="14"/>
              </w:rPr>
            </w:pPr>
            <w:r>
              <w:rPr>
                <w:w w:val="99"/>
                <w:sz w:val="14"/>
              </w:rPr>
              <w:t>0</w:t>
            </w:r>
          </w:p>
        </w:tc>
        <w:tc>
          <w:tcPr>
            <w:tcW w:w="1306" w:type="dxa"/>
          </w:tcPr>
          <w:p>
            <w:pPr>
              <w:pStyle w:val="TableParagraph"/>
              <w:spacing w:before="56"/>
              <w:ind w:right="296"/>
              <w:jc w:val="right"/>
              <w:rPr>
                <w:sz w:val="14"/>
              </w:rPr>
            </w:pPr>
            <w:r>
              <w:rPr>
                <w:w w:val="95"/>
                <w:sz w:val="14"/>
              </w:rPr>
              <w:t>402</w:t>
            </w:r>
          </w:p>
        </w:tc>
        <w:tc>
          <w:tcPr>
            <w:tcW w:w="1530" w:type="dxa"/>
          </w:tcPr>
          <w:p>
            <w:pPr>
              <w:pStyle w:val="TableParagraph"/>
              <w:spacing w:before="56"/>
              <w:ind w:right="519"/>
              <w:jc w:val="right"/>
              <w:rPr>
                <w:sz w:val="14"/>
              </w:rPr>
            </w:pPr>
            <w:r>
              <w:rPr>
                <w:w w:val="95"/>
                <w:sz w:val="14"/>
              </w:rPr>
              <w:t>0.5</w:t>
            </w:r>
          </w:p>
        </w:tc>
      </w:tr>
      <w:tr>
        <w:trPr>
          <w:trHeight w:val="280" w:hRule="atLeast"/>
        </w:trPr>
        <w:tc>
          <w:tcPr>
            <w:tcW w:w="5203" w:type="dxa"/>
          </w:tcPr>
          <w:p>
            <w:pPr>
              <w:pStyle w:val="TableParagraph"/>
              <w:spacing w:before="58"/>
              <w:ind w:left="1237"/>
              <w:rPr>
                <w:sz w:val="14"/>
              </w:rPr>
            </w:pPr>
            <w:r>
              <w:rPr>
                <w:sz w:val="14"/>
              </w:rPr>
              <w:t>Trade</w:t>
            </w:r>
          </w:p>
        </w:tc>
        <w:tc>
          <w:tcPr>
            <w:tcW w:w="2208" w:type="dxa"/>
          </w:tcPr>
          <w:p>
            <w:pPr>
              <w:pStyle w:val="TableParagraph"/>
              <w:spacing w:before="58"/>
              <w:ind w:right="412"/>
              <w:jc w:val="right"/>
              <w:rPr>
                <w:sz w:val="14"/>
              </w:rPr>
            </w:pPr>
            <w:r>
              <w:rPr>
                <w:sz w:val="14"/>
              </w:rPr>
              <w:t>2,564</w:t>
            </w:r>
          </w:p>
        </w:tc>
        <w:tc>
          <w:tcPr>
            <w:tcW w:w="1602" w:type="dxa"/>
          </w:tcPr>
          <w:p>
            <w:pPr>
              <w:pStyle w:val="TableParagraph"/>
              <w:spacing w:before="58"/>
              <w:ind w:right="646"/>
              <w:jc w:val="right"/>
              <w:rPr>
                <w:sz w:val="14"/>
              </w:rPr>
            </w:pPr>
            <w:r>
              <w:rPr>
                <w:w w:val="95"/>
                <w:sz w:val="14"/>
              </w:rPr>
              <w:t>1.36</w:t>
            </w:r>
          </w:p>
        </w:tc>
        <w:tc>
          <w:tcPr>
            <w:tcW w:w="1323" w:type="dxa"/>
          </w:tcPr>
          <w:p>
            <w:pPr>
              <w:pStyle w:val="TableParagraph"/>
              <w:spacing w:before="58"/>
              <w:ind w:right="390"/>
              <w:jc w:val="right"/>
              <w:rPr>
                <w:sz w:val="14"/>
              </w:rPr>
            </w:pPr>
            <w:r>
              <w:rPr>
                <w:sz w:val="14"/>
              </w:rPr>
              <w:t>2,429</w:t>
            </w:r>
          </w:p>
        </w:tc>
        <w:tc>
          <w:tcPr>
            <w:tcW w:w="1612" w:type="dxa"/>
          </w:tcPr>
          <w:p>
            <w:pPr>
              <w:pStyle w:val="TableParagraph"/>
              <w:spacing w:before="58"/>
              <w:ind w:right="572"/>
              <w:jc w:val="right"/>
              <w:rPr>
                <w:sz w:val="14"/>
              </w:rPr>
            </w:pPr>
            <w:r>
              <w:rPr>
                <w:w w:val="95"/>
                <w:sz w:val="14"/>
              </w:rPr>
              <w:t>3.8</w:t>
            </w:r>
          </w:p>
        </w:tc>
        <w:tc>
          <w:tcPr>
            <w:tcW w:w="1306" w:type="dxa"/>
          </w:tcPr>
          <w:p>
            <w:pPr>
              <w:pStyle w:val="TableParagraph"/>
              <w:spacing w:before="58"/>
              <w:ind w:right="303"/>
              <w:jc w:val="right"/>
              <w:rPr>
                <w:sz w:val="14"/>
              </w:rPr>
            </w:pPr>
            <w:r>
              <w:rPr>
                <w:sz w:val="14"/>
              </w:rPr>
              <w:t>6,121</w:t>
            </w:r>
          </w:p>
        </w:tc>
        <w:tc>
          <w:tcPr>
            <w:tcW w:w="1530" w:type="dxa"/>
          </w:tcPr>
          <w:p>
            <w:pPr>
              <w:pStyle w:val="TableParagraph"/>
              <w:spacing w:before="58"/>
              <w:ind w:right="519"/>
              <w:jc w:val="right"/>
              <w:rPr>
                <w:sz w:val="14"/>
              </w:rPr>
            </w:pPr>
            <w:r>
              <w:rPr>
                <w:w w:val="95"/>
                <w:sz w:val="14"/>
              </w:rPr>
              <w:t>7.4</w:t>
            </w:r>
          </w:p>
        </w:tc>
      </w:tr>
      <w:tr>
        <w:trPr>
          <w:trHeight w:val="278" w:hRule="atLeast"/>
        </w:trPr>
        <w:tc>
          <w:tcPr>
            <w:tcW w:w="5203" w:type="dxa"/>
          </w:tcPr>
          <w:p>
            <w:pPr>
              <w:pStyle w:val="TableParagraph"/>
              <w:spacing w:before="56"/>
              <w:ind w:left="1237"/>
              <w:rPr>
                <w:sz w:val="14"/>
              </w:rPr>
            </w:pPr>
            <w:r>
              <w:rPr>
                <w:sz w:val="14"/>
              </w:rPr>
              <w:t>Transport</w:t>
            </w:r>
          </w:p>
        </w:tc>
        <w:tc>
          <w:tcPr>
            <w:tcW w:w="2208" w:type="dxa"/>
          </w:tcPr>
          <w:p>
            <w:pPr>
              <w:pStyle w:val="TableParagraph"/>
              <w:spacing w:before="56"/>
              <w:ind w:right="417"/>
              <w:jc w:val="right"/>
              <w:rPr>
                <w:sz w:val="14"/>
              </w:rPr>
            </w:pPr>
            <w:r>
              <w:rPr>
                <w:sz w:val="14"/>
              </w:rPr>
              <w:t>56 ,422</w:t>
            </w:r>
          </w:p>
        </w:tc>
        <w:tc>
          <w:tcPr>
            <w:tcW w:w="1602" w:type="dxa"/>
          </w:tcPr>
          <w:p>
            <w:pPr>
              <w:pStyle w:val="TableParagraph"/>
              <w:spacing w:before="56"/>
              <w:ind w:right="655"/>
              <w:jc w:val="right"/>
              <w:rPr>
                <w:sz w:val="14"/>
              </w:rPr>
            </w:pPr>
            <w:r>
              <w:rPr>
                <w:sz w:val="14"/>
              </w:rPr>
              <w:t>29.93</w:t>
            </w:r>
          </w:p>
        </w:tc>
        <w:tc>
          <w:tcPr>
            <w:tcW w:w="1323" w:type="dxa"/>
          </w:tcPr>
          <w:p>
            <w:pPr>
              <w:pStyle w:val="TableParagraph"/>
              <w:spacing w:before="56"/>
              <w:ind w:right="394"/>
              <w:jc w:val="right"/>
              <w:rPr>
                <w:sz w:val="14"/>
              </w:rPr>
            </w:pPr>
            <w:r>
              <w:rPr>
                <w:sz w:val="14"/>
              </w:rPr>
              <w:t>22 ,705</w:t>
            </w:r>
          </w:p>
        </w:tc>
        <w:tc>
          <w:tcPr>
            <w:tcW w:w="1612" w:type="dxa"/>
          </w:tcPr>
          <w:p>
            <w:pPr>
              <w:pStyle w:val="TableParagraph"/>
              <w:spacing w:before="56"/>
              <w:ind w:right="577"/>
              <w:jc w:val="right"/>
              <w:rPr>
                <w:sz w:val="14"/>
              </w:rPr>
            </w:pPr>
            <w:r>
              <w:rPr>
                <w:w w:val="95"/>
                <w:sz w:val="14"/>
              </w:rPr>
              <w:t>35.8</w:t>
            </w:r>
          </w:p>
        </w:tc>
        <w:tc>
          <w:tcPr>
            <w:tcW w:w="1306" w:type="dxa"/>
          </w:tcPr>
          <w:p>
            <w:pPr>
              <w:pStyle w:val="TableParagraph"/>
              <w:spacing w:before="56"/>
              <w:ind w:right="296"/>
              <w:jc w:val="right"/>
              <w:rPr>
                <w:sz w:val="14"/>
              </w:rPr>
            </w:pPr>
            <w:r>
              <w:rPr>
                <w:w w:val="95"/>
                <w:sz w:val="14"/>
              </w:rPr>
              <w:t>354</w:t>
            </w:r>
          </w:p>
        </w:tc>
        <w:tc>
          <w:tcPr>
            <w:tcW w:w="1530" w:type="dxa"/>
          </w:tcPr>
          <w:p>
            <w:pPr>
              <w:pStyle w:val="TableParagraph"/>
              <w:spacing w:before="56"/>
              <w:ind w:right="519"/>
              <w:jc w:val="right"/>
              <w:rPr>
                <w:sz w:val="14"/>
              </w:rPr>
            </w:pPr>
            <w:r>
              <w:rPr>
                <w:w w:val="95"/>
                <w:sz w:val="14"/>
              </w:rPr>
              <w:t>0.4</w:t>
            </w:r>
          </w:p>
        </w:tc>
      </w:tr>
      <w:tr>
        <w:trPr>
          <w:trHeight w:val="251" w:hRule="atLeast"/>
        </w:trPr>
        <w:tc>
          <w:tcPr>
            <w:tcW w:w="5203" w:type="dxa"/>
          </w:tcPr>
          <w:p>
            <w:pPr>
              <w:pStyle w:val="TableParagraph"/>
              <w:spacing w:before="56"/>
              <w:ind w:left="1237"/>
              <w:rPr>
                <w:sz w:val="14"/>
              </w:rPr>
            </w:pPr>
            <w:r>
              <w:rPr>
                <w:sz w:val="14"/>
              </w:rPr>
              <w:t>Water Services</w:t>
            </w:r>
          </w:p>
        </w:tc>
        <w:tc>
          <w:tcPr>
            <w:tcW w:w="2208" w:type="dxa"/>
          </w:tcPr>
          <w:p>
            <w:pPr>
              <w:pStyle w:val="TableParagraph"/>
              <w:spacing w:before="56"/>
              <w:ind w:right="400"/>
              <w:jc w:val="right"/>
              <w:rPr>
                <w:sz w:val="14"/>
              </w:rPr>
            </w:pPr>
            <w:r>
              <w:rPr>
                <w:w w:val="99"/>
                <w:sz w:val="14"/>
              </w:rPr>
              <w:t>0</w:t>
            </w:r>
          </w:p>
        </w:tc>
        <w:tc>
          <w:tcPr>
            <w:tcW w:w="1602" w:type="dxa"/>
          </w:tcPr>
          <w:p>
            <w:pPr>
              <w:pStyle w:val="TableParagraph"/>
              <w:spacing w:before="56"/>
              <w:ind w:right="639"/>
              <w:jc w:val="right"/>
              <w:rPr>
                <w:sz w:val="14"/>
              </w:rPr>
            </w:pPr>
            <w:r>
              <w:rPr>
                <w:w w:val="99"/>
                <w:sz w:val="14"/>
              </w:rPr>
              <w:t>0</w:t>
            </w:r>
          </w:p>
        </w:tc>
        <w:tc>
          <w:tcPr>
            <w:tcW w:w="1323" w:type="dxa"/>
          </w:tcPr>
          <w:p>
            <w:pPr>
              <w:pStyle w:val="TableParagraph"/>
              <w:spacing w:before="56"/>
              <w:ind w:right="373"/>
              <w:jc w:val="right"/>
              <w:rPr>
                <w:sz w:val="14"/>
              </w:rPr>
            </w:pPr>
            <w:r>
              <w:rPr>
                <w:w w:val="99"/>
                <w:sz w:val="14"/>
              </w:rPr>
              <w:t>0</w:t>
            </w:r>
          </w:p>
        </w:tc>
        <w:tc>
          <w:tcPr>
            <w:tcW w:w="1612" w:type="dxa"/>
          </w:tcPr>
          <w:p>
            <w:pPr>
              <w:pStyle w:val="TableParagraph"/>
              <w:spacing w:before="56"/>
              <w:ind w:right="569"/>
              <w:jc w:val="right"/>
              <w:rPr>
                <w:sz w:val="14"/>
              </w:rPr>
            </w:pPr>
            <w:r>
              <w:rPr>
                <w:w w:val="99"/>
                <w:sz w:val="14"/>
              </w:rPr>
              <w:t>0</w:t>
            </w:r>
          </w:p>
        </w:tc>
        <w:tc>
          <w:tcPr>
            <w:tcW w:w="1306" w:type="dxa"/>
          </w:tcPr>
          <w:p>
            <w:pPr>
              <w:pStyle w:val="TableParagraph"/>
              <w:spacing w:before="56"/>
              <w:ind w:right="296"/>
              <w:jc w:val="right"/>
              <w:rPr>
                <w:sz w:val="14"/>
              </w:rPr>
            </w:pPr>
            <w:r>
              <w:rPr>
                <w:w w:val="95"/>
                <w:sz w:val="14"/>
              </w:rPr>
              <w:t>160</w:t>
            </w:r>
          </w:p>
        </w:tc>
        <w:tc>
          <w:tcPr>
            <w:tcW w:w="1530" w:type="dxa"/>
          </w:tcPr>
          <w:p>
            <w:pPr>
              <w:pStyle w:val="TableParagraph"/>
              <w:spacing w:before="56"/>
              <w:ind w:right="519"/>
              <w:jc w:val="right"/>
              <w:rPr>
                <w:sz w:val="14"/>
              </w:rPr>
            </w:pPr>
            <w:r>
              <w:rPr>
                <w:w w:val="95"/>
                <w:sz w:val="14"/>
              </w:rPr>
              <w:t>0.2</w:t>
            </w:r>
          </w:p>
        </w:tc>
      </w:tr>
    </w:tbl>
    <w:p>
      <w:pPr>
        <w:pStyle w:val="BodyText"/>
        <w:spacing w:before="8"/>
        <w:rPr>
          <w:rFonts w:ascii="Arial"/>
          <w:b/>
          <w:sz w:val="7"/>
        </w:rPr>
      </w:pPr>
      <w:r>
        <w:rPr/>
        <w:pict>
          <v:line style="position:absolute;mso-position-horizontal-relative:page;mso-position-vertical-relative:paragraph;z-index:392;mso-wrap-distance-left:0;mso-wrap-distance-right:0" from="359.76001pt,7.51047pt" to="790.56001pt,7.51047pt" stroked="true" strokeweight="2.16pt" strokecolor="#000000">
            <v:stroke dashstyle="solid"/>
            <w10:wrap type="topAndBottom"/>
          </v:line>
        </w:pict>
      </w:r>
    </w:p>
    <w:p>
      <w:pPr>
        <w:pStyle w:val="BodyText"/>
        <w:spacing w:before="2"/>
        <w:rPr>
          <w:rFonts w:ascii="Arial"/>
          <w:b/>
          <w:sz w:val="6"/>
        </w:rPr>
      </w:pPr>
    </w:p>
    <w:p>
      <w:pPr>
        <w:tabs>
          <w:tab w:pos="6580" w:val="left" w:leader="none"/>
          <w:tab w:pos="8255" w:val="left" w:leader="none"/>
          <w:tab w:pos="9527" w:val="left" w:leader="none"/>
          <w:tab w:pos="11260" w:val="left" w:leader="none"/>
          <w:tab w:pos="12532" w:val="left" w:leader="none"/>
          <w:tab w:pos="14395" w:val="right" w:leader="none"/>
        </w:tabs>
        <w:spacing w:before="94"/>
        <w:ind w:left="871" w:right="0" w:firstLine="0"/>
        <w:jc w:val="left"/>
        <w:rPr>
          <w:rFonts w:ascii="Arial"/>
          <w:b/>
          <w:sz w:val="14"/>
        </w:rPr>
      </w:pPr>
      <w:r>
        <w:rPr/>
        <w:pict>
          <v:line style="position:absolute;mso-position-horizontal-relative:page;mso-position-vertical-relative:paragraph;z-index:416;mso-wrap-distance-left:0;mso-wrap-distance-right:0" from="356.880005pt,19.305922pt" to="790.560005pt,19.305922pt" stroked="true" strokeweight="2.16pt" strokecolor="#000000">
            <v:stroke dashstyle="solid"/>
            <w10:wrap type="topAndBottom"/>
          </v:line>
        </w:pict>
      </w:r>
      <w:r>
        <w:rPr>
          <w:rFonts w:ascii="Arial"/>
          <w:b/>
          <w:sz w:val="14"/>
        </w:rPr>
        <w:t>Grand</w:t>
      </w:r>
      <w:r>
        <w:rPr>
          <w:rFonts w:ascii="Arial"/>
          <w:b/>
          <w:spacing w:val="3"/>
          <w:sz w:val="14"/>
        </w:rPr>
        <w:t> </w:t>
      </w:r>
      <w:r>
        <w:rPr>
          <w:rFonts w:ascii="Arial"/>
          <w:b/>
          <w:sz w:val="14"/>
        </w:rPr>
        <w:t>Total</w:t>
        <w:tab/>
      </w:r>
      <w:r>
        <w:rPr>
          <w:rFonts w:ascii="Arial"/>
          <w:b/>
          <w:spacing w:val="3"/>
          <w:sz w:val="14"/>
        </w:rPr>
        <w:t>563,835</w:t>
        <w:tab/>
      </w:r>
      <w:r>
        <w:rPr>
          <w:rFonts w:ascii="Arial"/>
          <w:b/>
          <w:spacing w:val="2"/>
          <w:sz w:val="14"/>
        </w:rPr>
        <w:t>100</w:t>
        <w:tab/>
      </w:r>
      <w:r>
        <w:rPr>
          <w:rFonts w:ascii="Arial"/>
          <w:b/>
          <w:spacing w:val="3"/>
          <w:sz w:val="14"/>
        </w:rPr>
        <w:t>444,213</w:t>
        <w:tab/>
      </w:r>
      <w:r>
        <w:rPr>
          <w:rFonts w:ascii="Arial"/>
          <w:b/>
          <w:spacing w:val="2"/>
          <w:sz w:val="14"/>
        </w:rPr>
        <w:t>100</w:t>
        <w:tab/>
      </w:r>
      <w:r>
        <w:rPr>
          <w:rFonts w:ascii="Arial"/>
          <w:b/>
          <w:spacing w:val="3"/>
          <w:sz w:val="14"/>
        </w:rPr>
        <w:t>504,096</w:t>
        <w:tab/>
      </w:r>
      <w:r>
        <w:rPr>
          <w:rFonts w:ascii="Arial"/>
          <w:b/>
          <w:spacing w:val="2"/>
          <w:sz w:val="14"/>
        </w:rPr>
        <w:t>100</w:t>
      </w:r>
    </w:p>
    <w:p>
      <w:pPr>
        <w:spacing w:after="0"/>
        <w:jc w:val="left"/>
        <w:rPr>
          <w:rFonts w:ascii="Arial"/>
          <w:sz w:val="14"/>
        </w:rPr>
        <w:sectPr>
          <w:headerReference w:type="default" r:id="rId18"/>
          <w:pgSz w:w="16840" w:h="11900" w:orient="landscape"/>
          <w:pgMar w:header="0" w:footer="0" w:top="1100" w:bottom="280" w:left="880" w:right="920"/>
        </w:sectPr>
      </w:pPr>
    </w:p>
    <w:p>
      <w:pPr>
        <w:tabs>
          <w:tab w:pos="10879" w:val="left" w:leader="none"/>
        </w:tabs>
        <w:spacing w:before="133"/>
        <w:ind w:left="3238" w:right="0" w:firstLine="0"/>
        <w:jc w:val="left"/>
        <w:rPr>
          <w:rFonts w:ascii="Arial"/>
          <w:b/>
          <w:sz w:val="17"/>
        </w:rPr>
      </w:pPr>
      <w:r>
        <w:rPr/>
        <w:pict>
          <v:shape style="position:absolute;margin-left:27.140491pt;margin-top:286.350006pt;width:14.35pt;height:18.95pt;mso-position-horizontal-relative:page;mso-position-vertical-relative:page;z-index:2608" type="#_x0000_t202" filled="false" stroked="false">
            <v:textbox inset="0,0,0,0" style="layout-flow:vertical">
              <w:txbxContent>
                <w:p>
                  <w:pPr>
                    <w:spacing w:before="13"/>
                    <w:ind w:left="20" w:right="0" w:firstLine="0"/>
                    <w:jc w:val="left"/>
                    <w:rPr>
                      <w:rFonts w:ascii="Arial"/>
                      <w:sz w:val="22"/>
                    </w:rPr>
                  </w:pPr>
                  <w:r>
                    <w:rPr>
                      <w:rFonts w:ascii="Arial"/>
                      <w:sz w:val="22"/>
                    </w:rPr>
                    <w:t>xlvi</w:t>
                  </w:r>
                </w:p>
              </w:txbxContent>
            </v:textbox>
            <w10:wrap type="none"/>
          </v:shape>
        </w:pict>
      </w:r>
      <w:r>
        <w:rPr>
          <w:rFonts w:ascii="Arial"/>
          <w:b/>
          <w:w w:val="105"/>
          <w:sz w:val="17"/>
        </w:rPr>
        <w:t>ANNEX  9  </w:t>
      </w:r>
      <w:r>
        <w:rPr>
          <w:rFonts w:ascii="Arial"/>
          <w:b/>
          <w:spacing w:val="3"/>
          <w:w w:val="105"/>
          <w:sz w:val="17"/>
        </w:rPr>
        <w:t>-TOTAL  DUTY </w:t>
      </w:r>
      <w:r>
        <w:rPr>
          <w:rFonts w:ascii="Arial"/>
          <w:b/>
          <w:w w:val="105"/>
          <w:sz w:val="17"/>
        </w:rPr>
        <w:t>AND  </w:t>
      </w:r>
      <w:r>
        <w:rPr>
          <w:rFonts w:ascii="Arial"/>
          <w:b/>
          <w:spacing w:val="3"/>
          <w:w w:val="105"/>
          <w:sz w:val="17"/>
        </w:rPr>
        <w:t>TAX  </w:t>
      </w:r>
      <w:r>
        <w:rPr>
          <w:rFonts w:ascii="Arial"/>
          <w:b/>
          <w:spacing w:val="4"/>
          <w:w w:val="105"/>
          <w:sz w:val="17"/>
        </w:rPr>
        <w:t>EXEMPTIONS </w:t>
      </w:r>
      <w:r>
        <w:rPr>
          <w:rFonts w:ascii="Arial"/>
          <w:b/>
          <w:spacing w:val="2"/>
          <w:w w:val="105"/>
          <w:sz w:val="17"/>
        </w:rPr>
        <w:t>FOR  </w:t>
      </w:r>
      <w:r>
        <w:rPr>
          <w:rFonts w:ascii="Arial"/>
          <w:b/>
          <w:spacing w:val="4"/>
          <w:w w:val="105"/>
          <w:sz w:val="17"/>
        </w:rPr>
        <w:t>RICE</w:t>
      </w:r>
      <w:r>
        <w:rPr>
          <w:rFonts w:ascii="Arial"/>
          <w:b/>
          <w:spacing w:val="-4"/>
          <w:w w:val="105"/>
          <w:sz w:val="17"/>
        </w:rPr>
        <w:t> </w:t>
      </w:r>
      <w:r>
        <w:rPr>
          <w:rFonts w:ascii="Arial"/>
          <w:b/>
          <w:spacing w:val="4"/>
          <w:w w:val="105"/>
          <w:sz w:val="17"/>
        </w:rPr>
        <w:t>IMPORTATION:</w:t>
      </w:r>
      <w:r>
        <w:rPr>
          <w:rFonts w:ascii="Arial"/>
          <w:b/>
          <w:spacing w:val="30"/>
          <w:w w:val="105"/>
          <w:sz w:val="17"/>
        </w:rPr>
        <w:t> </w:t>
      </w:r>
      <w:r>
        <w:rPr>
          <w:rFonts w:ascii="Arial"/>
          <w:b/>
          <w:spacing w:val="5"/>
          <w:w w:val="105"/>
          <w:sz w:val="17"/>
        </w:rPr>
        <w:t>2010-</w:t>
        <w:tab/>
      </w:r>
      <w:r>
        <w:rPr>
          <w:rFonts w:ascii="Arial"/>
          <w:b/>
          <w:w w:val="105"/>
          <w:sz w:val="17"/>
        </w:rPr>
        <w:t>Sept</w:t>
      </w:r>
      <w:r>
        <w:rPr>
          <w:rFonts w:ascii="Arial"/>
          <w:b/>
          <w:spacing w:val="9"/>
          <w:w w:val="105"/>
          <w:sz w:val="17"/>
        </w:rPr>
        <w:t> </w:t>
      </w:r>
      <w:r>
        <w:rPr>
          <w:rFonts w:ascii="Arial"/>
          <w:b/>
          <w:spacing w:val="5"/>
          <w:w w:val="105"/>
          <w:sz w:val="17"/>
        </w:rPr>
        <w:t>2019</w:t>
      </w:r>
    </w:p>
    <w:p>
      <w:pPr>
        <w:spacing w:before="21"/>
        <w:ind w:left="138" w:right="0" w:firstLine="0"/>
        <w:jc w:val="left"/>
        <w:rPr>
          <w:rFonts w:ascii="Arial"/>
          <w:b/>
          <w:sz w:val="17"/>
        </w:rPr>
      </w:pPr>
      <w:r>
        <w:rPr/>
        <w:pict>
          <v:line style="position:absolute;mso-position-horizontal-relative:page;mso-position-vertical-relative:paragraph;z-index:464;mso-wrap-distance-left:0;mso-wrap-distance-right:0" from="51.360001pt,14.902898pt" to="790.320001pt,14.902898pt" stroked="true" strokeweight="2.16pt" strokecolor="#000000">
            <v:stroke dashstyle="solid"/>
            <w10:wrap type="topAndBottom"/>
          </v:line>
        </w:pict>
      </w:r>
      <w:r>
        <w:rPr>
          <w:rFonts w:ascii="Arial"/>
          <w:b/>
          <w:w w:val="105"/>
          <w:sz w:val="17"/>
        </w:rPr>
        <w:t>In Millions Leones</w:t>
      </w:r>
    </w:p>
    <w:p>
      <w:pPr>
        <w:tabs>
          <w:tab w:pos="3877" w:val="left" w:leader="none"/>
          <w:tab w:pos="6551" w:val="left" w:leader="none"/>
          <w:tab w:pos="7035" w:val="left" w:leader="none"/>
          <w:tab w:pos="11188" w:val="left" w:leader="none"/>
        </w:tabs>
        <w:spacing w:line="264" w:lineRule="auto" w:before="0" w:after="103"/>
        <w:ind w:left="4131" w:right="2529" w:hanging="2620"/>
        <w:jc w:val="left"/>
        <w:rPr>
          <w:rFonts w:ascii="Arial"/>
          <w:b/>
          <w:sz w:val="14"/>
        </w:rPr>
      </w:pPr>
      <w:r>
        <w:rPr>
          <w:rFonts w:ascii="Arial"/>
          <w:b/>
          <w:sz w:val="14"/>
        </w:rPr>
        <w:t>Year</w:t>
        <w:tab/>
        <w:t>Total</w:t>
      </w:r>
      <w:r>
        <w:rPr>
          <w:rFonts w:ascii="Arial"/>
          <w:b/>
          <w:spacing w:val="-4"/>
          <w:sz w:val="14"/>
        </w:rPr>
        <w:t> </w:t>
      </w:r>
      <w:r>
        <w:rPr>
          <w:rFonts w:ascii="Arial"/>
          <w:b/>
          <w:sz w:val="14"/>
        </w:rPr>
        <w:t>Import</w:t>
      </w:r>
      <w:r>
        <w:rPr>
          <w:rFonts w:ascii="Arial"/>
          <w:b/>
          <w:spacing w:val="3"/>
          <w:sz w:val="14"/>
        </w:rPr>
        <w:t> </w:t>
      </w:r>
      <w:r>
        <w:rPr>
          <w:rFonts w:ascii="Arial"/>
          <w:b/>
          <w:sz w:val="14"/>
        </w:rPr>
        <w:t>Duty</w:t>
        <w:tab/>
        <w:t>Total </w:t>
      </w:r>
      <w:r>
        <w:rPr>
          <w:rFonts w:ascii="Arial"/>
          <w:b/>
          <w:spacing w:val="2"/>
          <w:sz w:val="14"/>
        </w:rPr>
        <w:t>Import </w:t>
      </w:r>
      <w:r>
        <w:rPr>
          <w:rFonts w:ascii="Arial"/>
          <w:b/>
          <w:sz w:val="14"/>
        </w:rPr>
        <w:t>GST</w:t>
      </w:r>
      <w:r>
        <w:rPr>
          <w:rFonts w:ascii="Arial"/>
          <w:b/>
          <w:spacing w:val="-16"/>
          <w:sz w:val="14"/>
        </w:rPr>
        <w:t> </w:t>
      </w:r>
      <w:r>
        <w:rPr>
          <w:rFonts w:ascii="Arial"/>
          <w:b/>
          <w:sz w:val="14"/>
        </w:rPr>
        <w:t>assuming</w:t>
      </w:r>
      <w:r>
        <w:rPr>
          <w:rFonts w:ascii="Arial"/>
          <w:b/>
          <w:spacing w:val="-5"/>
          <w:sz w:val="14"/>
        </w:rPr>
        <w:t> </w:t>
      </w:r>
      <w:r>
        <w:rPr>
          <w:rFonts w:ascii="Arial"/>
          <w:b/>
          <w:spacing w:val="2"/>
          <w:sz w:val="14"/>
        </w:rPr>
        <w:t>15%</w:t>
        <w:tab/>
      </w:r>
      <w:r>
        <w:rPr>
          <w:rFonts w:ascii="Arial"/>
          <w:b/>
          <w:sz w:val="14"/>
        </w:rPr>
        <w:t>Total Revenue</w:t>
      </w:r>
      <w:r>
        <w:rPr>
          <w:rFonts w:ascii="Arial"/>
          <w:b/>
          <w:spacing w:val="-10"/>
          <w:sz w:val="14"/>
        </w:rPr>
        <w:t> </w:t>
      </w:r>
      <w:r>
        <w:rPr>
          <w:rFonts w:ascii="Arial"/>
          <w:b/>
          <w:sz w:val="14"/>
        </w:rPr>
        <w:t>Loss Lost</w:t>
      </w:r>
      <w:r>
        <w:rPr>
          <w:rFonts w:ascii="Arial"/>
          <w:b/>
          <w:spacing w:val="-1"/>
          <w:sz w:val="14"/>
        </w:rPr>
        <w:t> </w:t>
      </w:r>
      <w:r>
        <w:rPr>
          <w:rFonts w:ascii="Arial"/>
          <w:b/>
          <w:sz w:val="14"/>
        </w:rPr>
        <w:t>(10%)</w:t>
        <w:tab/>
        <w:tab/>
        <w:t>GST Paid on</w:t>
      </w:r>
      <w:r>
        <w:rPr>
          <w:rFonts w:ascii="Arial"/>
          <w:b/>
          <w:spacing w:val="-1"/>
          <w:sz w:val="14"/>
        </w:rPr>
        <w:t> </w:t>
      </w:r>
      <w:r>
        <w:rPr>
          <w:rFonts w:ascii="Arial"/>
          <w:b/>
          <w:spacing w:val="2"/>
          <w:sz w:val="14"/>
        </w:rPr>
        <w:t>Rice*</w:t>
      </w:r>
    </w:p>
    <w:p>
      <w:pPr>
        <w:pStyle w:val="BodyText"/>
        <w:spacing w:line="44" w:lineRule="exact"/>
        <w:ind w:left="115"/>
        <w:rPr>
          <w:rFonts w:ascii="Arial"/>
          <w:sz w:val="4"/>
        </w:rPr>
      </w:pPr>
      <w:r>
        <w:rPr>
          <w:rFonts w:ascii="Arial"/>
          <w:position w:val="0"/>
          <w:sz w:val="4"/>
        </w:rPr>
        <w:pict>
          <v:group style="width:739.7pt;height:2.2pt;mso-position-horizontal-relative:char;mso-position-vertical-relative:line" coordorigin="0,0" coordsize="14794,44">
            <v:line style="position:absolute" from="0,22" to="14794,22" stroked="true" strokeweight="2.16pt" strokecolor="#000000">
              <v:stroke dashstyle="solid"/>
            </v:line>
          </v:group>
        </w:pict>
      </w:r>
      <w:r>
        <w:rPr>
          <w:rFonts w:ascii="Arial"/>
          <w:position w:val="0"/>
          <w:sz w:val="4"/>
        </w:rPr>
      </w:r>
    </w:p>
    <w:p>
      <w:pPr>
        <w:pStyle w:val="BodyText"/>
        <w:spacing w:before="1"/>
        <w:rPr>
          <w:rFonts w:ascii="Arial"/>
          <w:b/>
          <w:sz w:val="26"/>
        </w:rPr>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0"/>
        <w:gridCol w:w="2720"/>
        <w:gridCol w:w="3601"/>
        <w:gridCol w:w="2448"/>
      </w:tblGrid>
      <w:tr>
        <w:trPr>
          <w:trHeight w:val="365" w:hRule="atLeast"/>
        </w:trPr>
        <w:tc>
          <w:tcPr>
            <w:tcW w:w="2320" w:type="dxa"/>
          </w:tcPr>
          <w:p>
            <w:pPr>
              <w:pStyle w:val="TableParagraph"/>
              <w:spacing w:before="29"/>
              <w:ind w:left="346"/>
              <w:rPr>
                <w:b/>
                <w:sz w:val="20"/>
              </w:rPr>
            </w:pPr>
            <w:r>
              <w:rPr>
                <w:b/>
                <w:sz w:val="20"/>
              </w:rPr>
              <w:t>2010</w:t>
            </w:r>
          </w:p>
        </w:tc>
        <w:tc>
          <w:tcPr>
            <w:tcW w:w="2720" w:type="dxa"/>
          </w:tcPr>
          <w:p>
            <w:pPr>
              <w:pStyle w:val="TableParagraph"/>
              <w:spacing w:before="29"/>
              <w:ind w:left="911"/>
              <w:rPr>
                <w:sz w:val="20"/>
              </w:rPr>
            </w:pPr>
            <w:r>
              <w:rPr>
                <w:sz w:val="20"/>
              </w:rPr>
              <w:t>27,686</w:t>
            </w:r>
          </w:p>
        </w:tc>
        <w:tc>
          <w:tcPr>
            <w:tcW w:w="3601" w:type="dxa"/>
          </w:tcPr>
          <w:p>
            <w:pPr>
              <w:pStyle w:val="TableParagraph"/>
              <w:spacing w:before="29"/>
              <w:ind w:left="1306"/>
              <w:rPr>
                <w:sz w:val="20"/>
              </w:rPr>
            </w:pPr>
            <w:r>
              <w:rPr>
                <w:sz w:val="20"/>
              </w:rPr>
              <w:t>41,529</w:t>
            </w:r>
          </w:p>
        </w:tc>
        <w:tc>
          <w:tcPr>
            <w:tcW w:w="2448" w:type="dxa"/>
          </w:tcPr>
          <w:p>
            <w:pPr>
              <w:pStyle w:val="TableParagraph"/>
              <w:spacing w:before="29"/>
              <w:ind w:right="35"/>
              <w:jc w:val="right"/>
              <w:rPr>
                <w:sz w:val="20"/>
              </w:rPr>
            </w:pPr>
            <w:r>
              <w:rPr>
                <w:sz w:val="20"/>
              </w:rPr>
              <w:t>69,215</w:t>
            </w:r>
          </w:p>
        </w:tc>
      </w:tr>
      <w:tr>
        <w:trPr>
          <w:trHeight w:val="439" w:hRule="atLeast"/>
        </w:trPr>
        <w:tc>
          <w:tcPr>
            <w:tcW w:w="2320" w:type="dxa"/>
          </w:tcPr>
          <w:p>
            <w:pPr>
              <w:pStyle w:val="TableParagraph"/>
              <w:spacing w:before="100"/>
              <w:ind w:left="346"/>
              <w:rPr>
                <w:b/>
                <w:sz w:val="20"/>
              </w:rPr>
            </w:pPr>
            <w:r>
              <w:rPr>
                <w:b/>
                <w:sz w:val="20"/>
              </w:rPr>
              <w:t>2011</w:t>
            </w:r>
          </w:p>
        </w:tc>
        <w:tc>
          <w:tcPr>
            <w:tcW w:w="2720" w:type="dxa"/>
          </w:tcPr>
          <w:p>
            <w:pPr>
              <w:pStyle w:val="TableParagraph"/>
              <w:spacing w:before="100"/>
              <w:ind w:left="911"/>
              <w:rPr>
                <w:sz w:val="20"/>
              </w:rPr>
            </w:pPr>
            <w:r>
              <w:rPr>
                <w:sz w:val="20"/>
              </w:rPr>
              <w:t>57,455</w:t>
            </w:r>
          </w:p>
        </w:tc>
        <w:tc>
          <w:tcPr>
            <w:tcW w:w="3601" w:type="dxa"/>
          </w:tcPr>
          <w:p>
            <w:pPr>
              <w:pStyle w:val="TableParagraph"/>
              <w:spacing w:before="100"/>
              <w:ind w:left="1306"/>
              <w:rPr>
                <w:sz w:val="20"/>
              </w:rPr>
            </w:pPr>
            <w:r>
              <w:rPr>
                <w:sz w:val="20"/>
              </w:rPr>
              <w:t>86,183</w:t>
            </w:r>
          </w:p>
        </w:tc>
        <w:tc>
          <w:tcPr>
            <w:tcW w:w="2448" w:type="dxa"/>
          </w:tcPr>
          <w:p>
            <w:pPr>
              <w:pStyle w:val="TableParagraph"/>
              <w:spacing w:before="100"/>
              <w:ind w:right="41"/>
              <w:jc w:val="right"/>
              <w:rPr>
                <w:sz w:val="20"/>
              </w:rPr>
            </w:pPr>
            <w:r>
              <w:rPr>
                <w:sz w:val="20"/>
              </w:rPr>
              <w:t>143,638</w:t>
            </w:r>
          </w:p>
        </w:tc>
      </w:tr>
      <w:tr>
        <w:trPr>
          <w:trHeight w:val="441" w:hRule="atLeast"/>
        </w:trPr>
        <w:tc>
          <w:tcPr>
            <w:tcW w:w="2320" w:type="dxa"/>
          </w:tcPr>
          <w:p>
            <w:pPr>
              <w:pStyle w:val="TableParagraph"/>
              <w:spacing w:before="103"/>
              <w:ind w:left="346"/>
              <w:rPr>
                <w:b/>
                <w:sz w:val="20"/>
              </w:rPr>
            </w:pPr>
            <w:r>
              <w:rPr>
                <w:b/>
                <w:sz w:val="20"/>
              </w:rPr>
              <w:t>2012</w:t>
            </w:r>
          </w:p>
        </w:tc>
        <w:tc>
          <w:tcPr>
            <w:tcW w:w="2720" w:type="dxa"/>
          </w:tcPr>
          <w:p>
            <w:pPr>
              <w:pStyle w:val="TableParagraph"/>
              <w:spacing w:before="103"/>
              <w:ind w:left="911"/>
              <w:rPr>
                <w:sz w:val="20"/>
              </w:rPr>
            </w:pPr>
            <w:r>
              <w:rPr>
                <w:sz w:val="20"/>
              </w:rPr>
              <w:t>51,535</w:t>
            </w:r>
          </w:p>
        </w:tc>
        <w:tc>
          <w:tcPr>
            <w:tcW w:w="3601" w:type="dxa"/>
          </w:tcPr>
          <w:p>
            <w:pPr>
              <w:pStyle w:val="TableParagraph"/>
              <w:spacing w:before="103"/>
              <w:ind w:left="1306"/>
              <w:rPr>
                <w:sz w:val="20"/>
              </w:rPr>
            </w:pPr>
            <w:r>
              <w:rPr>
                <w:sz w:val="20"/>
              </w:rPr>
              <w:t>77,302</w:t>
            </w:r>
          </w:p>
        </w:tc>
        <w:tc>
          <w:tcPr>
            <w:tcW w:w="2448" w:type="dxa"/>
          </w:tcPr>
          <w:p>
            <w:pPr>
              <w:pStyle w:val="TableParagraph"/>
              <w:spacing w:before="103"/>
              <w:ind w:right="41"/>
              <w:jc w:val="right"/>
              <w:rPr>
                <w:sz w:val="20"/>
              </w:rPr>
            </w:pPr>
            <w:r>
              <w:rPr>
                <w:sz w:val="20"/>
              </w:rPr>
              <w:t>128,837</w:t>
            </w:r>
          </w:p>
        </w:tc>
      </w:tr>
      <w:tr>
        <w:trPr>
          <w:trHeight w:val="439" w:hRule="atLeast"/>
        </w:trPr>
        <w:tc>
          <w:tcPr>
            <w:tcW w:w="2320" w:type="dxa"/>
          </w:tcPr>
          <w:p>
            <w:pPr>
              <w:pStyle w:val="TableParagraph"/>
              <w:spacing w:before="103"/>
              <w:ind w:left="346"/>
              <w:rPr>
                <w:b/>
                <w:sz w:val="20"/>
              </w:rPr>
            </w:pPr>
            <w:r>
              <w:rPr>
                <w:b/>
                <w:sz w:val="20"/>
              </w:rPr>
              <w:t>2013</w:t>
            </w:r>
          </w:p>
        </w:tc>
        <w:tc>
          <w:tcPr>
            <w:tcW w:w="2720" w:type="dxa"/>
          </w:tcPr>
          <w:p>
            <w:pPr>
              <w:pStyle w:val="TableParagraph"/>
              <w:spacing w:before="103"/>
              <w:ind w:left="911"/>
              <w:rPr>
                <w:sz w:val="20"/>
              </w:rPr>
            </w:pPr>
            <w:r>
              <w:rPr>
                <w:sz w:val="20"/>
              </w:rPr>
              <w:t>57,790</w:t>
            </w:r>
          </w:p>
        </w:tc>
        <w:tc>
          <w:tcPr>
            <w:tcW w:w="3601" w:type="dxa"/>
          </w:tcPr>
          <w:p>
            <w:pPr>
              <w:pStyle w:val="TableParagraph"/>
              <w:spacing w:before="103"/>
              <w:ind w:left="1306"/>
              <w:rPr>
                <w:sz w:val="20"/>
              </w:rPr>
            </w:pPr>
            <w:r>
              <w:rPr>
                <w:sz w:val="20"/>
              </w:rPr>
              <w:t>86,685</w:t>
            </w:r>
          </w:p>
        </w:tc>
        <w:tc>
          <w:tcPr>
            <w:tcW w:w="2448" w:type="dxa"/>
          </w:tcPr>
          <w:p>
            <w:pPr>
              <w:pStyle w:val="TableParagraph"/>
              <w:spacing w:before="103"/>
              <w:ind w:right="41"/>
              <w:jc w:val="right"/>
              <w:rPr>
                <w:sz w:val="20"/>
              </w:rPr>
            </w:pPr>
            <w:r>
              <w:rPr>
                <w:sz w:val="20"/>
              </w:rPr>
              <w:t>144,476</w:t>
            </w:r>
          </w:p>
        </w:tc>
      </w:tr>
      <w:tr>
        <w:trPr>
          <w:trHeight w:val="439" w:hRule="atLeast"/>
        </w:trPr>
        <w:tc>
          <w:tcPr>
            <w:tcW w:w="2320" w:type="dxa"/>
          </w:tcPr>
          <w:p>
            <w:pPr>
              <w:pStyle w:val="TableParagraph"/>
              <w:spacing w:before="100"/>
              <w:ind w:left="346"/>
              <w:rPr>
                <w:b/>
                <w:sz w:val="20"/>
              </w:rPr>
            </w:pPr>
            <w:r>
              <w:rPr>
                <w:b/>
                <w:sz w:val="20"/>
              </w:rPr>
              <w:t>2014</w:t>
            </w:r>
          </w:p>
        </w:tc>
        <w:tc>
          <w:tcPr>
            <w:tcW w:w="2720" w:type="dxa"/>
          </w:tcPr>
          <w:p>
            <w:pPr>
              <w:pStyle w:val="TableParagraph"/>
              <w:spacing w:before="100"/>
              <w:ind w:left="911"/>
              <w:rPr>
                <w:sz w:val="20"/>
              </w:rPr>
            </w:pPr>
            <w:r>
              <w:rPr>
                <w:sz w:val="20"/>
              </w:rPr>
              <w:t>54,781</w:t>
            </w:r>
          </w:p>
        </w:tc>
        <w:tc>
          <w:tcPr>
            <w:tcW w:w="3601" w:type="dxa"/>
          </w:tcPr>
          <w:p>
            <w:pPr>
              <w:pStyle w:val="TableParagraph"/>
              <w:spacing w:before="100"/>
              <w:ind w:left="1306"/>
              <w:rPr>
                <w:sz w:val="20"/>
              </w:rPr>
            </w:pPr>
            <w:r>
              <w:rPr>
                <w:sz w:val="20"/>
              </w:rPr>
              <w:t>82,171</w:t>
            </w:r>
          </w:p>
        </w:tc>
        <w:tc>
          <w:tcPr>
            <w:tcW w:w="2448" w:type="dxa"/>
          </w:tcPr>
          <w:p>
            <w:pPr>
              <w:pStyle w:val="TableParagraph"/>
              <w:spacing w:before="100"/>
              <w:ind w:right="41"/>
              <w:jc w:val="right"/>
              <w:rPr>
                <w:sz w:val="20"/>
              </w:rPr>
            </w:pPr>
            <w:r>
              <w:rPr>
                <w:sz w:val="20"/>
              </w:rPr>
              <w:t>136,952</w:t>
            </w:r>
          </w:p>
        </w:tc>
      </w:tr>
      <w:tr>
        <w:trPr>
          <w:trHeight w:val="441" w:hRule="atLeast"/>
        </w:trPr>
        <w:tc>
          <w:tcPr>
            <w:tcW w:w="2320" w:type="dxa"/>
          </w:tcPr>
          <w:p>
            <w:pPr>
              <w:pStyle w:val="TableParagraph"/>
              <w:spacing w:before="103"/>
              <w:ind w:left="361"/>
              <w:rPr>
                <w:b/>
                <w:sz w:val="20"/>
              </w:rPr>
            </w:pPr>
            <w:r>
              <w:rPr>
                <w:b/>
                <w:sz w:val="20"/>
              </w:rPr>
              <w:t>2015</w:t>
            </w:r>
          </w:p>
        </w:tc>
        <w:tc>
          <w:tcPr>
            <w:tcW w:w="2720" w:type="dxa"/>
          </w:tcPr>
          <w:p>
            <w:pPr>
              <w:pStyle w:val="TableParagraph"/>
              <w:spacing w:before="103"/>
              <w:ind w:left="911"/>
              <w:rPr>
                <w:sz w:val="20"/>
              </w:rPr>
            </w:pPr>
            <w:r>
              <w:rPr>
                <w:sz w:val="20"/>
              </w:rPr>
              <w:t>71,619</w:t>
            </w:r>
          </w:p>
        </w:tc>
        <w:tc>
          <w:tcPr>
            <w:tcW w:w="3601" w:type="dxa"/>
          </w:tcPr>
          <w:p>
            <w:pPr>
              <w:pStyle w:val="TableParagraph"/>
              <w:spacing w:before="103"/>
              <w:ind w:left="1186"/>
              <w:rPr>
                <w:sz w:val="20"/>
              </w:rPr>
            </w:pPr>
            <w:r>
              <w:rPr>
                <w:sz w:val="20"/>
              </w:rPr>
              <w:t>107,429</w:t>
            </w:r>
          </w:p>
        </w:tc>
        <w:tc>
          <w:tcPr>
            <w:tcW w:w="2448" w:type="dxa"/>
          </w:tcPr>
          <w:p>
            <w:pPr>
              <w:pStyle w:val="TableParagraph"/>
              <w:spacing w:before="103"/>
              <w:ind w:right="41"/>
              <w:jc w:val="right"/>
              <w:rPr>
                <w:sz w:val="20"/>
              </w:rPr>
            </w:pPr>
            <w:r>
              <w:rPr>
                <w:sz w:val="20"/>
              </w:rPr>
              <w:t>179,048</w:t>
            </w:r>
          </w:p>
        </w:tc>
      </w:tr>
      <w:tr>
        <w:trPr>
          <w:trHeight w:val="439" w:hRule="atLeast"/>
        </w:trPr>
        <w:tc>
          <w:tcPr>
            <w:tcW w:w="2320" w:type="dxa"/>
          </w:tcPr>
          <w:p>
            <w:pPr>
              <w:pStyle w:val="TableParagraph"/>
              <w:spacing w:before="103"/>
              <w:ind w:left="361"/>
              <w:rPr>
                <w:b/>
                <w:sz w:val="20"/>
              </w:rPr>
            </w:pPr>
            <w:r>
              <w:rPr>
                <w:b/>
                <w:sz w:val="20"/>
              </w:rPr>
              <w:t>2016</w:t>
            </w:r>
          </w:p>
        </w:tc>
        <w:tc>
          <w:tcPr>
            <w:tcW w:w="2720" w:type="dxa"/>
          </w:tcPr>
          <w:p>
            <w:pPr>
              <w:pStyle w:val="TableParagraph"/>
              <w:spacing w:before="103"/>
              <w:ind w:left="911"/>
              <w:rPr>
                <w:sz w:val="20"/>
              </w:rPr>
            </w:pPr>
            <w:r>
              <w:rPr>
                <w:sz w:val="20"/>
              </w:rPr>
              <w:t>63,395</w:t>
            </w:r>
          </w:p>
        </w:tc>
        <w:tc>
          <w:tcPr>
            <w:tcW w:w="3601" w:type="dxa"/>
          </w:tcPr>
          <w:p>
            <w:pPr>
              <w:pStyle w:val="TableParagraph"/>
              <w:spacing w:before="103"/>
              <w:ind w:left="1306"/>
              <w:rPr>
                <w:sz w:val="20"/>
              </w:rPr>
            </w:pPr>
            <w:r>
              <w:rPr>
                <w:sz w:val="20"/>
              </w:rPr>
              <w:t>95,092</w:t>
            </w:r>
          </w:p>
        </w:tc>
        <w:tc>
          <w:tcPr>
            <w:tcW w:w="2448" w:type="dxa"/>
          </w:tcPr>
          <w:p>
            <w:pPr>
              <w:pStyle w:val="TableParagraph"/>
              <w:spacing w:before="103"/>
              <w:ind w:right="41"/>
              <w:jc w:val="right"/>
              <w:rPr>
                <w:sz w:val="20"/>
              </w:rPr>
            </w:pPr>
            <w:r>
              <w:rPr>
                <w:sz w:val="20"/>
              </w:rPr>
              <w:t>158,487</w:t>
            </w:r>
          </w:p>
        </w:tc>
      </w:tr>
      <w:tr>
        <w:trPr>
          <w:trHeight w:val="439" w:hRule="atLeast"/>
        </w:trPr>
        <w:tc>
          <w:tcPr>
            <w:tcW w:w="2320" w:type="dxa"/>
          </w:tcPr>
          <w:p>
            <w:pPr>
              <w:pStyle w:val="TableParagraph"/>
              <w:spacing w:before="100"/>
              <w:ind w:left="346"/>
              <w:rPr>
                <w:b/>
                <w:sz w:val="20"/>
              </w:rPr>
            </w:pPr>
            <w:r>
              <w:rPr>
                <w:b/>
                <w:sz w:val="20"/>
              </w:rPr>
              <w:t>2017</w:t>
            </w:r>
          </w:p>
        </w:tc>
        <w:tc>
          <w:tcPr>
            <w:tcW w:w="2720" w:type="dxa"/>
          </w:tcPr>
          <w:p>
            <w:pPr>
              <w:pStyle w:val="TableParagraph"/>
              <w:spacing w:before="100"/>
              <w:ind w:left="791"/>
              <w:rPr>
                <w:sz w:val="20"/>
              </w:rPr>
            </w:pPr>
            <w:r>
              <w:rPr>
                <w:sz w:val="20"/>
              </w:rPr>
              <w:t>137,550</w:t>
            </w:r>
          </w:p>
        </w:tc>
        <w:tc>
          <w:tcPr>
            <w:tcW w:w="3601" w:type="dxa"/>
          </w:tcPr>
          <w:p>
            <w:pPr>
              <w:pStyle w:val="TableParagraph"/>
              <w:spacing w:before="100"/>
              <w:ind w:left="1186"/>
              <w:rPr>
                <w:sz w:val="20"/>
              </w:rPr>
            </w:pPr>
            <w:r>
              <w:rPr>
                <w:sz w:val="20"/>
              </w:rPr>
              <w:t>206,324</w:t>
            </w:r>
          </w:p>
        </w:tc>
        <w:tc>
          <w:tcPr>
            <w:tcW w:w="2448" w:type="dxa"/>
          </w:tcPr>
          <w:p>
            <w:pPr>
              <w:pStyle w:val="TableParagraph"/>
              <w:spacing w:before="100"/>
              <w:ind w:right="41"/>
              <w:jc w:val="right"/>
              <w:rPr>
                <w:sz w:val="20"/>
              </w:rPr>
            </w:pPr>
            <w:r>
              <w:rPr>
                <w:sz w:val="20"/>
              </w:rPr>
              <w:t>343,874</w:t>
            </w:r>
          </w:p>
        </w:tc>
      </w:tr>
      <w:tr>
        <w:trPr>
          <w:trHeight w:val="441" w:hRule="atLeast"/>
        </w:trPr>
        <w:tc>
          <w:tcPr>
            <w:tcW w:w="2320" w:type="dxa"/>
          </w:tcPr>
          <w:p>
            <w:pPr>
              <w:pStyle w:val="TableParagraph"/>
              <w:spacing w:before="103"/>
              <w:ind w:left="346"/>
              <w:rPr>
                <w:b/>
                <w:sz w:val="20"/>
              </w:rPr>
            </w:pPr>
            <w:r>
              <w:rPr>
                <w:b/>
                <w:sz w:val="20"/>
              </w:rPr>
              <w:t>2018</w:t>
            </w:r>
          </w:p>
        </w:tc>
        <w:tc>
          <w:tcPr>
            <w:tcW w:w="2720" w:type="dxa"/>
          </w:tcPr>
          <w:p>
            <w:pPr>
              <w:pStyle w:val="TableParagraph"/>
              <w:spacing w:before="103"/>
              <w:ind w:left="791"/>
              <w:rPr>
                <w:sz w:val="20"/>
              </w:rPr>
            </w:pPr>
            <w:r>
              <w:rPr>
                <w:sz w:val="20"/>
              </w:rPr>
              <w:t>138,581</w:t>
            </w:r>
          </w:p>
        </w:tc>
        <w:tc>
          <w:tcPr>
            <w:tcW w:w="3601" w:type="dxa"/>
          </w:tcPr>
          <w:p>
            <w:pPr>
              <w:pStyle w:val="TableParagraph"/>
              <w:spacing w:before="103"/>
              <w:ind w:left="1186"/>
              <w:rPr>
                <w:sz w:val="20"/>
              </w:rPr>
            </w:pPr>
            <w:r>
              <w:rPr>
                <w:sz w:val="20"/>
              </w:rPr>
              <w:t>207,871</w:t>
            </w:r>
          </w:p>
        </w:tc>
        <w:tc>
          <w:tcPr>
            <w:tcW w:w="2448" w:type="dxa"/>
          </w:tcPr>
          <w:p>
            <w:pPr>
              <w:pStyle w:val="TableParagraph"/>
              <w:spacing w:before="103"/>
              <w:ind w:right="41"/>
              <w:jc w:val="right"/>
              <w:rPr>
                <w:sz w:val="20"/>
              </w:rPr>
            </w:pPr>
            <w:r>
              <w:rPr>
                <w:sz w:val="20"/>
              </w:rPr>
              <w:t>346,452</w:t>
            </w:r>
          </w:p>
        </w:tc>
      </w:tr>
      <w:tr>
        <w:trPr>
          <w:trHeight w:val="368" w:hRule="atLeast"/>
        </w:trPr>
        <w:tc>
          <w:tcPr>
            <w:tcW w:w="2320" w:type="dxa"/>
          </w:tcPr>
          <w:p>
            <w:pPr>
              <w:pStyle w:val="TableParagraph"/>
              <w:spacing w:before="103"/>
              <w:ind w:left="34"/>
              <w:rPr>
                <w:b/>
                <w:sz w:val="20"/>
              </w:rPr>
            </w:pPr>
            <w:r>
              <w:rPr>
                <w:b/>
                <w:sz w:val="20"/>
              </w:rPr>
              <w:t>2019 (Jan-Sep)</w:t>
            </w:r>
          </w:p>
        </w:tc>
        <w:tc>
          <w:tcPr>
            <w:tcW w:w="2720" w:type="dxa"/>
          </w:tcPr>
          <w:p>
            <w:pPr>
              <w:pStyle w:val="TableParagraph"/>
              <w:spacing w:before="103"/>
              <w:ind w:left="911"/>
              <w:rPr>
                <w:sz w:val="20"/>
              </w:rPr>
            </w:pPr>
            <w:r>
              <w:rPr>
                <w:sz w:val="20"/>
              </w:rPr>
              <w:t>92,567</w:t>
            </w:r>
          </w:p>
        </w:tc>
        <w:tc>
          <w:tcPr>
            <w:tcW w:w="3601" w:type="dxa"/>
          </w:tcPr>
          <w:p>
            <w:pPr>
              <w:pStyle w:val="TableParagraph"/>
              <w:spacing w:before="103"/>
              <w:ind w:left="1186"/>
              <w:rPr>
                <w:sz w:val="20"/>
              </w:rPr>
            </w:pPr>
            <w:r>
              <w:rPr>
                <w:sz w:val="20"/>
              </w:rPr>
              <w:t>138,850</w:t>
            </w:r>
          </w:p>
        </w:tc>
        <w:tc>
          <w:tcPr>
            <w:tcW w:w="2448" w:type="dxa"/>
          </w:tcPr>
          <w:p>
            <w:pPr>
              <w:pStyle w:val="TableParagraph"/>
              <w:spacing w:before="103"/>
              <w:ind w:right="41"/>
              <w:jc w:val="right"/>
              <w:rPr>
                <w:sz w:val="20"/>
              </w:rPr>
            </w:pPr>
            <w:r>
              <w:rPr>
                <w:sz w:val="20"/>
              </w:rPr>
              <w:t>231,417</w:t>
            </w:r>
          </w:p>
        </w:tc>
      </w:tr>
    </w:tbl>
    <w:p>
      <w:pPr>
        <w:pStyle w:val="BodyText"/>
        <w:rPr>
          <w:rFonts w:ascii="Arial"/>
          <w:b/>
          <w:sz w:val="20"/>
        </w:rPr>
      </w:pPr>
    </w:p>
    <w:p>
      <w:pPr>
        <w:pStyle w:val="BodyText"/>
        <w:spacing w:before="8"/>
        <w:rPr>
          <w:rFonts w:ascii="Arial"/>
          <w:b/>
          <w:sz w:val="20"/>
        </w:rPr>
      </w:pPr>
      <w:r>
        <w:rPr/>
        <w:pict>
          <v:line style="position:absolute;mso-position-horizontal-relative:page;mso-position-vertical-relative:paragraph;z-index:512;mso-wrap-distance-left:0;mso-wrap-distance-right:0" from="249.119995pt,14.863273pt" to="790.559995pt,14.863273pt" stroked="true" strokeweight="1.92pt" strokecolor="#000000">
            <v:stroke dashstyle="solid"/>
            <w10:wrap type="topAndBottom"/>
          </v:line>
        </w:pict>
      </w:r>
    </w:p>
    <w:p>
      <w:pPr>
        <w:tabs>
          <w:tab w:pos="4228" w:val="left" w:leader="none"/>
          <w:tab w:pos="7108" w:val="left" w:leader="none"/>
          <w:tab w:pos="11188" w:val="left" w:leader="none"/>
        </w:tabs>
        <w:spacing w:line="205" w:lineRule="exact" w:before="0" w:after="120"/>
        <w:ind w:left="1525" w:right="0" w:firstLine="0"/>
        <w:jc w:val="left"/>
        <w:rPr>
          <w:rFonts w:ascii="Arial"/>
          <w:b/>
          <w:sz w:val="20"/>
        </w:rPr>
      </w:pPr>
      <w:r>
        <w:rPr>
          <w:rFonts w:ascii="Arial"/>
          <w:b/>
          <w:spacing w:val="4"/>
          <w:sz w:val="20"/>
        </w:rPr>
        <w:t>Total</w:t>
        <w:tab/>
        <w:t>752,958</w:t>
        <w:tab/>
      </w:r>
      <w:r>
        <w:rPr>
          <w:rFonts w:ascii="Arial"/>
          <w:b/>
          <w:spacing w:val="9"/>
          <w:sz w:val="20"/>
        </w:rPr>
        <w:t>1,129,437</w:t>
        <w:tab/>
        <w:t>1,882,394</w:t>
      </w:r>
    </w:p>
    <w:p>
      <w:pPr>
        <w:pStyle w:val="BodyText"/>
        <w:spacing w:line="44" w:lineRule="exact"/>
        <w:ind w:left="4080"/>
        <w:rPr>
          <w:rFonts w:ascii="Arial"/>
          <w:sz w:val="4"/>
        </w:rPr>
      </w:pPr>
      <w:r>
        <w:rPr>
          <w:rFonts w:ascii="Arial"/>
          <w:position w:val="0"/>
          <w:sz w:val="4"/>
        </w:rPr>
        <w:pict>
          <v:group style="width:541.450pt;height:2.2pt;mso-position-horizontal-relative:char;mso-position-vertical-relative:line" coordorigin="0,0" coordsize="10829,44">
            <v:line style="position:absolute" from="0,22" to="10829,22" stroked="true" strokeweight="2.16pt" strokecolor="#000000">
              <v:stroke dashstyle="solid"/>
            </v:line>
          </v:group>
        </w:pict>
      </w:r>
      <w:r>
        <w:rPr>
          <w:rFonts w:ascii="Arial"/>
          <w:position w:val="0"/>
          <w:sz w:val="4"/>
        </w:rPr>
      </w:r>
    </w:p>
    <w:p>
      <w:pPr>
        <w:pStyle w:val="BodyText"/>
        <w:rPr>
          <w:rFonts w:ascii="Arial"/>
          <w:b/>
          <w:sz w:val="22"/>
        </w:rPr>
      </w:pPr>
    </w:p>
    <w:p>
      <w:pPr>
        <w:pStyle w:val="BodyText"/>
        <w:rPr>
          <w:rFonts w:ascii="Arial"/>
          <w:b/>
          <w:sz w:val="22"/>
        </w:rPr>
      </w:pPr>
    </w:p>
    <w:p>
      <w:pPr>
        <w:pStyle w:val="BodyText"/>
        <w:rPr>
          <w:rFonts w:ascii="Arial"/>
          <w:b/>
          <w:sz w:val="26"/>
        </w:rPr>
      </w:pPr>
    </w:p>
    <w:p>
      <w:pPr>
        <w:tabs>
          <w:tab w:pos="1039" w:val="left" w:leader="none"/>
        </w:tabs>
        <w:spacing w:before="0"/>
        <w:ind w:left="704" w:right="0" w:firstLine="0"/>
        <w:jc w:val="left"/>
        <w:rPr>
          <w:rFonts w:ascii="Arial"/>
          <w:b/>
          <w:sz w:val="20"/>
        </w:rPr>
      </w:pPr>
      <w:r>
        <w:rPr>
          <w:rFonts w:ascii="Arial"/>
          <w:b/>
          <w:sz w:val="20"/>
        </w:rPr>
        <w:t>*</w:t>
        <w:tab/>
        <w:t>GST on </w:t>
      </w:r>
      <w:r>
        <w:rPr>
          <w:rFonts w:ascii="Arial"/>
          <w:b/>
          <w:spacing w:val="4"/>
          <w:sz w:val="20"/>
        </w:rPr>
        <w:t>Rice </w:t>
      </w:r>
      <w:r>
        <w:rPr>
          <w:rFonts w:ascii="Arial"/>
          <w:b/>
          <w:spacing w:val="5"/>
          <w:sz w:val="20"/>
        </w:rPr>
        <w:t>is currently exempt </w:t>
      </w:r>
      <w:r>
        <w:rPr>
          <w:rFonts w:ascii="Arial"/>
          <w:b/>
          <w:spacing w:val="3"/>
          <w:sz w:val="20"/>
        </w:rPr>
        <w:t>under </w:t>
      </w:r>
      <w:r>
        <w:rPr>
          <w:rFonts w:ascii="Arial"/>
          <w:b/>
          <w:spacing w:val="6"/>
          <w:sz w:val="20"/>
        </w:rPr>
        <w:t>the</w:t>
      </w:r>
      <w:r>
        <w:rPr>
          <w:rFonts w:ascii="Arial"/>
          <w:b/>
          <w:spacing w:val="9"/>
          <w:sz w:val="20"/>
        </w:rPr>
        <w:t> </w:t>
      </w:r>
      <w:r>
        <w:rPr>
          <w:rFonts w:ascii="Arial"/>
          <w:b/>
          <w:sz w:val="20"/>
        </w:rPr>
        <w:t>law</w:t>
      </w:r>
    </w:p>
    <w:p>
      <w:pPr>
        <w:spacing w:after="0"/>
        <w:jc w:val="left"/>
        <w:rPr>
          <w:rFonts w:ascii="Arial"/>
          <w:sz w:val="20"/>
        </w:rPr>
        <w:sectPr>
          <w:headerReference w:type="default" r:id="rId19"/>
          <w:pgSz w:w="16840" w:h="11900" w:orient="landscape"/>
          <w:pgMar w:header="0" w:footer="0" w:top="1100" w:bottom="280" w:left="880" w:right="920"/>
        </w:sectPr>
      </w:pPr>
    </w:p>
    <w:p>
      <w:pPr>
        <w:spacing w:before="105"/>
        <w:ind w:left="1918" w:right="0" w:firstLine="0"/>
        <w:jc w:val="left"/>
        <w:rPr>
          <w:rFonts w:ascii="Arial" w:hAnsi="Arial"/>
          <w:b/>
          <w:sz w:val="20"/>
        </w:rPr>
      </w:pPr>
      <w:r>
        <w:rPr/>
        <w:pict>
          <v:shape style="position:absolute;margin-left:27.140491pt;margin-top:284.670013pt;width:14.35pt;height:21.9pt;mso-position-horizontal-relative:page;mso-position-vertical-relative:page;z-index:2704" type="#_x0000_t202" filled="false" stroked="false">
            <v:textbox inset="0,0,0,0" style="layout-flow:vertical">
              <w:txbxContent>
                <w:p>
                  <w:pPr>
                    <w:spacing w:before="13"/>
                    <w:ind w:left="20" w:right="0" w:firstLine="0"/>
                    <w:jc w:val="left"/>
                    <w:rPr>
                      <w:rFonts w:ascii="Arial"/>
                      <w:sz w:val="22"/>
                    </w:rPr>
                  </w:pPr>
                  <w:r>
                    <w:rPr>
                      <w:rFonts w:ascii="Arial"/>
                      <w:sz w:val="22"/>
                    </w:rPr>
                    <w:t>xlvii</w:t>
                  </w:r>
                </w:p>
              </w:txbxContent>
            </v:textbox>
            <w10:wrap type="none"/>
          </v:shape>
        </w:pict>
      </w:r>
      <w:r>
        <w:rPr>
          <w:rFonts w:ascii="Arial" w:hAnsi="Arial"/>
          <w:b/>
          <w:sz w:val="20"/>
        </w:rPr>
        <w:t>ANNEX 10– RESOURCES MOBILISED FOR NEW AND ONGOING PROJECTS FROM APRIL 2018-OCTOBER 2019</w:t>
      </w:r>
    </w:p>
    <w:p>
      <w:pPr>
        <w:spacing w:before="10"/>
        <w:ind w:left="138" w:right="0" w:firstLine="0"/>
        <w:jc w:val="left"/>
        <w:rPr>
          <w:rFonts w:ascii="Arial"/>
          <w:b/>
          <w:sz w:val="20"/>
        </w:rPr>
      </w:pPr>
      <w:r>
        <w:rPr/>
        <w:pict>
          <v:line style="position:absolute;mso-position-horizontal-relative:page;mso-position-vertical-relative:paragraph;z-index:584;mso-wrap-distance-left:0;mso-wrap-distance-right:0" from="50.880001pt,16.839869pt" to="790.560001pt,16.839869pt" stroked="true" strokeweight=".48pt" strokecolor="#000000">
            <v:stroke dashstyle="solid"/>
            <w10:wrap type="topAndBottom"/>
          </v:line>
        </w:pict>
      </w:r>
      <w:r>
        <w:rPr/>
        <w:pict>
          <v:shape style="position:absolute;margin-left:50.880001pt;margin-top:32.3731pt;width:737.05pt;height:329.4pt;mso-position-horizontal-relative:page;mso-position-vertical-relative:paragraph;z-index:272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73"/>
                    <w:gridCol w:w="2951"/>
                    <w:gridCol w:w="2057"/>
                    <w:gridCol w:w="2057"/>
                  </w:tblGrid>
                  <w:tr>
                    <w:trPr>
                      <w:trHeight w:val="452" w:hRule="atLeast"/>
                    </w:trPr>
                    <w:tc>
                      <w:tcPr>
                        <w:tcW w:w="10624" w:type="dxa"/>
                        <w:gridSpan w:val="2"/>
                        <w:tcBorders>
                          <w:bottom w:val="single" w:sz="4" w:space="0" w:color="000000"/>
                        </w:tcBorders>
                      </w:tcPr>
                      <w:p>
                        <w:pPr>
                          <w:pStyle w:val="TableParagraph"/>
                          <w:rPr>
                            <w:rFonts w:ascii="Times New Roman"/>
                            <w:sz w:val="20"/>
                          </w:rPr>
                        </w:pPr>
                      </w:p>
                    </w:tc>
                    <w:tc>
                      <w:tcPr>
                        <w:tcW w:w="2057" w:type="dxa"/>
                        <w:tcBorders>
                          <w:bottom w:val="single" w:sz="4" w:space="0" w:color="000000"/>
                        </w:tcBorders>
                      </w:tcPr>
                      <w:p>
                        <w:pPr>
                          <w:pStyle w:val="TableParagraph"/>
                          <w:spacing w:before="29"/>
                          <w:ind w:left="584"/>
                          <w:rPr>
                            <w:b/>
                            <w:sz w:val="20"/>
                          </w:rPr>
                        </w:pPr>
                        <w:r>
                          <w:rPr>
                            <w:b/>
                            <w:sz w:val="20"/>
                          </w:rPr>
                          <w:t>Source</w:t>
                        </w:r>
                      </w:p>
                    </w:tc>
                    <w:tc>
                      <w:tcPr>
                        <w:tcW w:w="2057" w:type="dxa"/>
                        <w:tcBorders>
                          <w:bottom w:val="single" w:sz="4" w:space="0" w:color="000000"/>
                        </w:tcBorders>
                      </w:tcPr>
                      <w:p>
                        <w:pPr>
                          <w:pStyle w:val="TableParagraph"/>
                          <w:spacing w:before="29"/>
                          <w:ind w:left="730" w:right="372"/>
                          <w:jc w:val="center"/>
                          <w:rPr>
                            <w:b/>
                            <w:sz w:val="20"/>
                          </w:rPr>
                        </w:pPr>
                        <w:r>
                          <w:rPr>
                            <w:b/>
                            <w:sz w:val="20"/>
                          </w:rPr>
                          <w:t>Funding</w:t>
                        </w:r>
                      </w:p>
                    </w:tc>
                  </w:tr>
                  <w:tr>
                    <w:trPr>
                      <w:trHeight w:val="337" w:hRule="atLeast"/>
                    </w:trPr>
                    <w:tc>
                      <w:tcPr>
                        <w:tcW w:w="7673" w:type="dxa"/>
                        <w:tcBorders>
                          <w:top w:val="single" w:sz="4" w:space="0" w:color="000000"/>
                        </w:tcBorders>
                      </w:tcPr>
                      <w:p>
                        <w:pPr>
                          <w:pStyle w:val="TableParagraph"/>
                          <w:tabs>
                            <w:tab w:pos="451" w:val="left" w:leader="none"/>
                          </w:tabs>
                          <w:spacing w:line="218" w:lineRule="exact" w:before="100"/>
                          <w:ind w:left="43"/>
                          <w:rPr>
                            <w:sz w:val="20"/>
                          </w:rPr>
                        </w:pPr>
                        <w:r>
                          <w:rPr>
                            <w:sz w:val="20"/>
                          </w:rPr>
                          <w:t>1.</w:t>
                          <w:tab/>
                        </w:r>
                        <w:r>
                          <w:rPr>
                            <w:spacing w:val="5"/>
                            <w:sz w:val="20"/>
                          </w:rPr>
                          <w:t>Freetown </w:t>
                        </w:r>
                        <w:r>
                          <w:rPr>
                            <w:spacing w:val="2"/>
                            <w:sz w:val="20"/>
                          </w:rPr>
                          <w:t>WASH </w:t>
                        </w:r>
                        <w:r>
                          <w:rPr>
                            <w:sz w:val="20"/>
                          </w:rPr>
                          <w:t>&amp; </w:t>
                        </w:r>
                        <w:r>
                          <w:rPr>
                            <w:spacing w:val="6"/>
                            <w:sz w:val="20"/>
                          </w:rPr>
                          <w:t>Aquatic </w:t>
                        </w:r>
                        <w:r>
                          <w:rPr>
                            <w:spacing w:val="7"/>
                            <w:sz w:val="20"/>
                          </w:rPr>
                          <w:t>Environment </w:t>
                        </w:r>
                        <w:r>
                          <w:rPr>
                            <w:spacing w:val="4"/>
                            <w:sz w:val="20"/>
                          </w:rPr>
                          <w:t>Revamping</w:t>
                        </w:r>
                        <w:r>
                          <w:rPr>
                            <w:spacing w:val="10"/>
                            <w:sz w:val="20"/>
                          </w:rPr>
                          <w:t> </w:t>
                        </w:r>
                        <w:r>
                          <w:rPr>
                            <w:spacing w:val="4"/>
                            <w:sz w:val="20"/>
                          </w:rPr>
                          <w:t>Project</w:t>
                        </w:r>
                      </w:p>
                    </w:tc>
                    <w:tc>
                      <w:tcPr>
                        <w:tcW w:w="2951" w:type="dxa"/>
                        <w:tcBorders>
                          <w:top w:val="single" w:sz="4" w:space="0" w:color="000000"/>
                        </w:tcBorders>
                      </w:tcPr>
                      <w:p>
                        <w:pPr>
                          <w:pStyle w:val="TableParagraph"/>
                          <w:spacing w:line="218" w:lineRule="exact" w:before="100"/>
                          <w:ind w:left="602"/>
                          <w:rPr>
                            <w:b/>
                            <w:sz w:val="20"/>
                          </w:rPr>
                        </w:pPr>
                        <w:r>
                          <w:rPr>
                            <w:b/>
                            <w:sz w:val="20"/>
                          </w:rPr>
                          <w:t>AfDB</w:t>
                        </w:r>
                      </w:p>
                    </w:tc>
                    <w:tc>
                      <w:tcPr>
                        <w:tcW w:w="2057" w:type="dxa"/>
                        <w:tcBorders>
                          <w:top w:val="single" w:sz="4" w:space="0" w:color="000000"/>
                        </w:tcBorders>
                      </w:tcPr>
                      <w:p>
                        <w:pPr>
                          <w:pStyle w:val="TableParagraph"/>
                          <w:spacing w:line="218" w:lineRule="exact" w:before="100"/>
                          <w:ind w:left="269" w:right="435"/>
                          <w:jc w:val="center"/>
                          <w:rPr>
                            <w:sz w:val="20"/>
                          </w:rPr>
                        </w:pPr>
                        <w:r>
                          <w:rPr>
                            <w:sz w:val="20"/>
                          </w:rPr>
                          <w:t>5.22</w:t>
                        </w:r>
                      </w:p>
                    </w:tc>
                    <w:tc>
                      <w:tcPr>
                        <w:tcW w:w="2057" w:type="dxa"/>
                        <w:tcBorders>
                          <w:top w:val="single" w:sz="4" w:space="0" w:color="000000"/>
                        </w:tcBorders>
                      </w:tcPr>
                      <w:p>
                        <w:pPr>
                          <w:pStyle w:val="TableParagraph"/>
                          <w:spacing w:line="218" w:lineRule="exact" w:before="100"/>
                          <w:ind w:left="730" w:right="435"/>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2.</w:t>
                          <w:tab/>
                        </w:r>
                        <w:r>
                          <w:rPr>
                            <w:spacing w:val="7"/>
                            <w:sz w:val="20"/>
                          </w:rPr>
                          <w:t>Agriculture </w:t>
                        </w:r>
                        <w:r>
                          <w:rPr>
                            <w:spacing w:val="5"/>
                            <w:sz w:val="20"/>
                          </w:rPr>
                          <w:t>Value Chain </w:t>
                        </w:r>
                        <w:r>
                          <w:rPr>
                            <w:spacing w:val="6"/>
                            <w:sz w:val="20"/>
                          </w:rPr>
                          <w:t>Development</w:t>
                        </w:r>
                        <w:r>
                          <w:rPr>
                            <w:spacing w:val="61"/>
                            <w:sz w:val="20"/>
                          </w:rPr>
                          <w:t> </w:t>
                        </w:r>
                        <w:r>
                          <w:rPr>
                            <w:spacing w:val="4"/>
                            <w:sz w:val="20"/>
                          </w:rPr>
                          <w:t>Project</w:t>
                        </w:r>
                      </w:p>
                    </w:tc>
                    <w:tc>
                      <w:tcPr>
                        <w:tcW w:w="2951" w:type="dxa"/>
                      </w:tcPr>
                      <w:p>
                        <w:pPr>
                          <w:pStyle w:val="TableParagraph"/>
                          <w:spacing w:line="218" w:lineRule="exact" w:before="2"/>
                          <w:ind w:left="603"/>
                          <w:rPr>
                            <w:b/>
                            <w:sz w:val="20"/>
                          </w:rPr>
                        </w:pPr>
                        <w:r>
                          <w:rPr>
                            <w:b/>
                            <w:sz w:val="20"/>
                          </w:rPr>
                          <w:t>IFAD</w:t>
                        </w:r>
                      </w:p>
                    </w:tc>
                    <w:tc>
                      <w:tcPr>
                        <w:tcW w:w="2057" w:type="dxa"/>
                      </w:tcPr>
                      <w:p>
                        <w:pPr>
                          <w:pStyle w:val="TableParagraph"/>
                          <w:spacing w:line="218" w:lineRule="exact" w:before="2"/>
                          <w:ind w:left="269" w:right="435"/>
                          <w:jc w:val="center"/>
                          <w:rPr>
                            <w:sz w:val="20"/>
                          </w:rPr>
                        </w:pPr>
                        <w:r>
                          <w:rPr>
                            <w:sz w:val="20"/>
                          </w:rPr>
                          <w:t>5.90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3.</w:t>
                          <w:tab/>
                        </w:r>
                        <w:r>
                          <w:rPr>
                            <w:spacing w:val="3"/>
                            <w:sz w:val="20"/>
                          </w:rPr>
                          <w:t>Second </w:t>
                        </w:r>
                        <w:r>
                          <w:rPr>
                            <w:spacing w:val="6"/>
                            <w:sz w:val="20"/>
                          </w:rPr>
                          <w:t>Productivity </w:t>
                        </w:r>
                        <w:r>
                          <w:rPr>
                            <w:spacing w:val="4"/>
                            <w:sz w:val="20"/>
                          </w:rPr>
                          <w:t>and Transparency </w:t>
                        </w:r>
                        <w:r>
                          <w:rPr>
                            <w:spacing w:val="6"/>
                            <w:sz w:val="20"/>
                          </w:rPr>
                          <w:t>Support</w:t>
                        </w:r>
                        <w:r>
                          <w:rPr>
                            <w:spacing w:val="-24"/>
                            <w:sz w:val="20"/>
                          </w:rPr>
                          <w:t> </w:t>
                        </w:r>
                        <w:r>
                          <w:rPr>
                            <w:spacing w:val="4"/>
                            <w:sz w:val="20"/>
                          </w:rPr>
                          <w:t>Grant</w:t>
                        </w:r>
                      </w:p>
                    </w:tc>
                    <w:tc>
                      <w:tcPr>
                        <w:tcW w:w="2951" w:type="dxa"/>
                      </w:tcPr>
                      <w:p>
                        <w:pPr>
                          <w:pStyle w:val="TableParagraph"/>
                          <w:rPr>
                            <w:rFonts w:ascii="Times New Roman"/>
                            <w:sz w:val="16"/>
                          </w:rPr>
                        </w:pPr>
                      </w:p>
                    </w:tc>
                    <w:tc>
                      <w:tcPr>
                        <w:tcW w:w="2057" w:type="dxa"/>
                      </w:tcPr>
                      <w:p>
                        <w:pPr>
                          <w:pStyle w:val="TableParagraph"/>
                          <w:rPr>
                            <w:rFonts w:ascii="Times New Roman"/>
                            <w:sz w:val="16"/>
                          </w:rPr>
                        </w:pPr>
                      </w:p>
                    </w:tc>
                    <w:tc>
                      <w:tcPr>
                        <w:tcW w:w="2057" w:type="dxa"/>
                      </w:tcPr>
                      <w:p>
                        <w:pPr>
                          <w:pStyle w:val="TableParagraph"/>
                          <w:rPr>
                            <w:rFonts w:ascii="Times New Roman"/>
                            <w:sz w:val="16"/>
                          </w:rPr>
                        </w:pPr>
                      </w:p>
                    </w:tc>
                  </w:tr>
                  <w:tr>
                    <w:trPr>
                      <w:trHeight w:val="240" w:hRule="atLeast"/>
                    </w:trPr>
                    <w:tc>
                      <w:tcPr>
                        <w:tcW w:w="7673" w:type="dxa"/>
                      </w:tcPr>
                      <w:p>
                        <w:pPr>
                          <w:pStyle w:val="TableParagraph"/>
                          <w:spacing w:line="218" w:lineRule="exact" w:before="2"/>
                          <w:ind w:left="451"/>
                          <w:rPr>
                            <w:sz w:val="20"/>
                          </w:rPr>
                        </w:pPr>
                        <w:r>
                          <w:rPr>
                            <w:sz w:val="20"/>
                          </w:rPr>
                          <w:t>Development Policy Financing</w:t>
                        </w:r>
                      </w:p>
                    </w:tc>
                    <w:tc>
                      <w:tcPr>
                        <w:tcW w:w="2951" w:type="dxa"/>
                      </w:tcPr>
                      <w:p>
                        <w:pPr>
                          <w:pStyle w:val="TableParagraph"/>
                          <w:spacing w:line="218" w:lineRule="exact" w:before="2"/>
                          <w:ind w:left="603"/>
                          <w:rPr>
                            <w:b/>
                            <w:sz w:val="20"/>
                          </w:rPr>
                        </w:pPr>
                        <w:r>
                          <w:rPr>
                            <w:b/>
                            <w:sz w:val="20"/>
                          </w:rPr>
                          <w:t>IDA</w:t>
                        </w:r>
                      </w:p>
                    </w:tc>
                    <w:tc>
                      <w:tcPr>
                        <w:tcW w:w="2057" w:type="dxa"/>
                      </w:tcPr>
                      <w:p>
                        <w:pPr>
                          <w:pStyle w:val="TableParagraph"/>
                          <w:spacing w:line="218" w:lineRule="exact" w:before="2"/>
                          <w:ind w:left="627"/>
                          <w:rPr>
                            <w:sz w:val="20"/>
                          </w:rPr>
                        </w:pPr>
                        <w:r>
                          <w:rPr>
                            <w:sz w:val="20"/>
                          </w:rPr>
                          <w:t>40.00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4.</w:t>
                          <w:tab/>
                        </w:r>
                        <w:r>
                          <w:rPr>
                            <w:spacing w:val="4"/>
                            <w:sz w:val="20"/>
                          </w:rPr>
                          <w:t>Regional </w:t>
                        </w:r>
                        <w:r>
                          <w:rPr>
                            <w:spacing w:val="2"/>
                            <w:sz w:val="20"/>
                          </w:rPr>
                          <w:t>Rice </w:t>
                        </w:r>
                        <w:r>
                          <w:rPr>
                            <w:spacing w:val="6"/>
                            <w:sz w:val="20"/>
                          </w:rPr>
                          <w:t>Value </w:t>
                        </w:r>
                        <w:r>
                          <w:rPr>
                            <w:spacing w:val="5"/>
                            <w:sz w:val="20"/>
                          </w:rPr>
                          <w:t>Chain </w:t>
                        </w:r>
                        <w:r>
                          <w:rPr>
                            <w:spacing w:val="6"/>
                            <w:sz w:val="20"/>
                          </w:rPr>
                          <w:t>Development</w:t>
                        </w:r>
                        <w:r>
                          <w:rPr>
                            <w:spacing w:val="21"/>
                            <w:sz w:val="20"/>
                          </w:rPr>
                          <w:t> </w:t>
                        </w:r>
                        <w:r>
                          <w:rPr>
                            <w:spacing w:val="4"/>
                            <w:sz w:val="20"/>
                          </w:rPr>
                          <w:t>Project</w:t>
                        </w:r>
                      </w:p>
                    </w:tc>
                    <w:tc>
                      <w:tcPr>
                        <w:tcW w:w="2951" w:type="dxa"/>
                      </w:tcPr>
                      <w:p>
                        <w:pPr>
                          <w:pStyle w:val="TableParagraph"/>
                          <w:spacing w:line="218" w:lineRule="exact" w:before="2"/>
                          <w:ind w:left="603"/>
                          <w:rPr>
                            <w:b/>
                            <w:sz w:val="20"/>
                          </w:rPr>
                        </w:pPr>
                        <w:r>
                          <w:rPr>
                            <w:b/>
                            <w:sz w:val="20"/>
                          </w:rPr>
                          <w:t>IDB</w:t>
                        </w:r>
                      </w:p>
                    </w:tc>
                    <w:tc>
                      <w:tcPr>
                        <w:tcW w:w="2057" w:type="dxa"/>
                      </w:tcPr>
                      <w:p>
                        <w:pPr>
                          <w:pStyle w:val="TableParagraph"/>
                          <w:spacing w:line="218" w:lineRule="exact" w:before="2"/>
                          <w:ind w:left="269" w:right="435"/>
                          <w:jc w:val="center"/>
                          <w:rPr>
                            <w:sz w:val="20"/>
                          </w:rPr>
                        </w:pPr>
                        <w:r>
                          <w:rPr>
                            <w:sz w:val="20"/>
                          </w:rPr>
                          <w:t>7.30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5.</w:t>
                          <w:tab/>
                        </w:r>
                        <w:r>
                          <w:rPr>
                            <w:spacing w:val="6"/>
                            <w:sz w:val="20"/>
                          </w:rPr>
                          <w:t>Rehabilitation </w:t>
                        </w:r>
                        <w:r>
                          <w:rPr>
                            <w:spacing w:val="4"/>
                            <w:sz w:val="20"/>
                          </w:rPr>
                          <w:t>and </w:t>
                        </w:r>
                        <w:r>
                          <w:rPr>
                            <w:spacing w:val="5"/>
                            <w:sz w:val="20"/>
                          </w:rPr>
                          <w:t>Extension </w:t>
                        </w:r>
                        <w:r>
                          <w:rPr>
                            <w:sz w:val="20"/>
                          </w:rPr>
                          <w:t>of </w:t>
                        </w:r>
                        <w:r>
                          <w:rPr>
                            <w:spacing w:val="8"/>
                            <w:sz w:val="20"/>
                          </w:rPr>
                          <w:t>the </w:t>
                        </w:r>
                        <w:r>
                          <w:rPr>
                            <w:spacing w:val="6"/>
                            <w:sz w:val="20"/>
                          </w:rPr>
                          <w:t>Bo-Kenema </w:t>
                        </w:r>
                        <w:r>
                          <w:rPr>
                            <w:spacing w:val="8"/>
                            <w:sz w:val="20"/>
                          </w:rPr>
                          <w:t>Distribution</w:t>
                        </w:r>
                        <w:r>
                          <w:rPr>
                            <w:spacing w:val="42"/>
                            <w:sz w:val="20"/>
                          </w:rPr>
                          <w:t> </w:t>
                        </w:r>
                        <w:r>
                          <w:rPr>
                            <w:spacing w:val="5"/>
                            <w:sz w:val="20"/>
                          </w:rPr>
                          <w:t>System</w:t>
                        </w:r>
                      </w:p>
                    </w:tc>
                    <w:tc>
                      <w:tcPr>
                        <w:tcW w:w="2951" w:type="dxa"/>
                      </w:tcPr>
                      <w:p>
                        <w:pPr>
                          <w:pStyle w:val="TableParagraph"/>
                          <w:spacing w:line="218" w:lineRule="exact" w:before="2"/>
                          <w:ind w:left="602"/>
                          <w:rPr>
                            <w:b/>
                            <w:sz w:val="20"/>
                          </w:rPr>
                        </w:pPr>
                        <w:r>
                          <w:rPr>
                            <w:b/>
                            <w:sz w:val="20"/>
                          </w:rPr>
                          <w:t>AfDB</w:t>
                        </w:r>
                      </w:p>
                    </w:tc>
                    <w:tc>
                      <w:tcPr>
                        <w:tcW w:w="2057" w:type="dxa"/>
                      </w:tcPr>
                      <w:p>
                        <w:pPr>
                          <w:pStyle w:val="TableParagraph"/>
                          <w:spacing w:line="218" w:lineRule="exact" w:before="2"/>
                          <w:ind w:left="627"/>
                          <w:rPr>
                            <w:sz w:val="20"/>
                          </w:rPr>
                        </w:pPr>
                        <w:r>
                          <w:rPr>
                            <w:sz w:val="20"/>
                          </w:rPr>
                          <w:t>35.98</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6.</w:t>
                          <w:tab/>
                        </w:r>
                        <w:r>
                          <w:rPr>
                            <w:spacing w:val="7"/>
                            <w:sz w:val="20"/>
                          </w:rPr>
                          <w:t>Integrated </w:t>
                        </w:r>
                        <w:r>
                          <w:rPr>
                            <w:spacing w:val="5"/>
                            <w:sz w:val="20"/>
                          </w:rPr>
                          <w:t>and </w:t>
                        </w:r>
                        <w:r>
                          <w:rPr>
                            <w:spacing w:val="6"/>
                            <w:sz w:val="20"/>
                          </w:rPr>
                          <w:t>Resilient </w:t>
                        </w:r>
                        <w:r>
                          <w:rPr>
                            <w:spacing w:val="5"/>
                            <w:sz w:val="20"/>
                          </w:rPr>
                          <w:t>Urban </w:t>
                        </w:r>
                        <w:r>
                          <w:rPr>
                            <w:spacing w:val="7"/>
                            <w:sz w:val="20"/>
                          </w:rPr>
                          <w:t>Mobility</w:t>
                        </w:r>
                        <w:r>
                          <w:rPr>
                            <w:spacing w:val="16"/>
                            <w:sz w:val="20"/>
                          </w:rPr>
                          <w:t> </w:t>
                        </w:r>
                        <w:r>
                          <w:rPr>
                            <w:spacing w:val="4"/>
                            <w:sz w:val="20"/>
                          </w:rPr>
                          <w:t>Project</w:t>
                        </w:r>
                      </w:p>
                    </w:tc>
                    <w:tc>
                      <w:tcPr>
                        <w:tcW w:w="2951" w:type="dxa"/>
                      </w:tcPr>
                      <w:p>
                        <w:pPr>
                          <w:pStyle w:val="TableParagraph"/>
                          <w:spacing w:line="218" w:lineRule="exact" w:before="2"/>
                          <w:ind w:left="603"/>
                          <w:rPr>
                            <w:b/>
                            <w:sz w:val="20"/>
                          </w:rPr>
                        </w:pPr>
                        <w:r>
                          <w:rPr>
                            <w:b/>
                            <w:sz w:val="20"/>
                          </w:rPr>
                          <w:t>IDA</w:t>
                        </w:r>
                      </w:p>
                    </w:tc>
                    <w:tc>
                      <w:tcPr>
                        <w:tcW w:w="2057" w:type="dxa"/>
                      </w:tcPr>
                      <w:p>
                        <w:pPr>
                          <w:pStyle w:val="TableParagraph"/>
                          <w:spacing w:line="218" w:lineRule="exact" w:before="2"/>
                          <w:ind w:left="627"/>
                          <w:rPr>
                            <w:sz w:val="20"/>
                          </w:rPr>
                        </w:pPr>
                        <w:r>
                          <w:rPr>
                            <w:sz w:val="20"/>
                          </w:rPr>
                          <w:t>50.00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7.</w:t>
                          <w:tab/>
                        </w:r>
                        <w:r>
                          <w:rPr>
                            <w:spacing w:val="7"/>
                            <w:sz w:val="20"/>
                          </w:rPr>
                          <w:t>Enhancing </w:t>
                        </w:r>
                        <w:r>
                          <w:rPr>
                            <w:sz w:val="20"/>
                          </w:rPr>
                          <w:t>Tax </w:t>
                        </w:r>
                        <w:r>
                          <w:rPr>
                            <w:spacing w:val="5"/>
                            <w:sz w:val="20"/>
                          </w:rPr>
                          <w:t>Compliance </w:t>
                        </w:r>
                        <w:r>
                          <w:rPr>
                            <w:spacing w:val="4"/>
                            <w:sz w:val="20"/>
                          </w:rPr>
                          <w:t>in </w:t>
                        </w:r>
                        <w:r>
                          <w:rPr>
                            <w:spacing w:val="5"/>
                            <w:sz w:val="20"/>
                          </w:rPr>
                          <w:t>Sierra</w:t>
                        </w:r>
                        <w:r>
                          <w:rPr>
                            <w:spacing w:val="1"/>
                            <w:sz w:val="20"/>
                          </w:rPr>
                          <w:t> </w:t>
                        </w:r>
                        <w:r>
                          <w:rPr>
                            <w:spacing w:val="5"/>
                            <w:sz w:val="20"/>
                          </w:rPr>
                          <w:t>Leone</w:t>
                        </w:r>
                      </w:p>
                    </w:tc>
                    <w:tc>
                      <w:tcPr>
                        <w:tcW w:w="2951" w:type="dxa"/>
                      </w:tcPr>
                      <w:p>
                        <w:pPr>
                          <w:pStyle w:val="TableParagraph"/>
                          <w:spacing w:line="218" w:lineRule="exact" w:before="2"/>
                          <w:ind w:left="602"/>
                          <w:rPr>
                            <w:b/>
                            <w:sz w:val="20"/>
                          </w:rPr>
                        </w:pPr>
                        <w:r>
                          <w:rPr>
                            <w:b/>
                            <w:sz w:val="20"/>
                          </w:rPr>
                          <w:t>AfDB</w:t>
                        </w:r>
                      </w:p>
                    </w:tc>
                    <w:tc>
                      <w:tcPr>
                        <w:tcW w:w="2057" w:type="dxa"/>
                      </w:tcPr>
                      <w:p>
                        <w:pPr>
                          <w:pStyle w:val="TableParagraph"/>
                          <w:spacing w:line="218" w:lineRule="exact" w:before="2"/>
                          <w:ind w:left="269" w:right="435"/>
                          <w:jc w:val="center"/>
                          <w:rPr>
                            <w:sz w:val="20"/>
                          </w:rPr>
                        </w:pPr>
                        <w:r>
                          <w:rPr>
                            <w:sz w:val="20"/>
                          </w:rPr>
                          <w:t>1.40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8.</w:t>
                          <w:tab/>
                        </w:r>
                        <w:r>
                          <w:rPr>
                            <w:spacing w:val="7"/>
                            <w:sz w:val="20"/>
                          </w:rPr>
                          <w:t>Enhancing </w:t>
                        </w:r>
                        <w:r>
                          <w:rPr>
                            <w:spacing w:val="4"/>
                            <w:sz w:val="20"/>
                          </w:rPr>
                          <w:t>Policy </w:t>
                        </w:r>
                        <w:r>
                          <w:rPr>
                            <w:spacing w:val="6"/>
                            <w:sz w:val="20"/>
                          </w:rPr>
                          <w:t>Development </w:t>
                        </w:r>
                        <w:r>
                          <w:rPr>
                            <w:spacing w:val="3"/>
                            <w:sz w:val="20"/>
                          </w:rPr>
                          <w:t>(Research </w:t>
                        </w:r>
                        <w:r>
                          <w:rPr>
                            <w:sz w:val="20"/>
                          </w:rPr>
                          <w:t>&amp; </w:t>
                        </w:r>
                        <w:r>
                          <w:rPr>
                            <w:spacing w:val="6"/>
                            <w:sz w:val="20"/>
                          </w:rPr>
                          <w:t>Development)</w:t>
                        </w:r>
                        <w:r>
                          <w:rPr>
                            <w:spacing w:val="12"/>
                            <w:sz w:val="20"/>
                          </w:rPr>
                          <w:t> </w:t>
                        </w:r>
                        <w:r>
                          <w:rPr>
                            <w:spacing w:val="4"/>
                            <w:sz w:val="20"/>
                          </w:rPr>
                          <w:t>Project</w:t>
                        </w:r>
                      </w:p>
                    </w:tc>
                    <w:tc>
                      <w:tcPr>
                        <w:tcW w:w="2951" w:type="dxa"/>
                      </w:tcPr>
                      <w:p>
                        <w:pPr>
                          <w:pStyle w:val="TableParagraph"/>
                          <w:spacing w:line="218" w:lineRule="exact" w:before="2"/>
                          <w:ind w:left="602"/>
                          <w:rPr>
                            <w:b/>
                            <w:sz w:val="20"/>
                          </w:rPr>
                        </w:pPr>
                        <w:r>
                          <w:rPr>
                            <w:b/>
                            <w:sz w:val="20"/>
                          </w:rPr>
                          <w:t>AfDB</w:t>
                        </w:r>
                      </w:p>
                    </w:tc>
                    <w:tc>
                      <w:tcPr>
                        <w:tcW w:w="2057" w:type="dxa"/>
                      </w:tcPr>
                      <w:p>
                        <w:pPr>
                          <w:pStyle w:val="TableParagraph"/>
                          <w:spacing w:line="218" w:lineRule="exact" w:before="2"/>
                          <w:ind w:left="269" w:right="435"/>
                          <w:jc w:val="center"/>
                          <w:rPr>
                            <w:sz w:val="20"/>
                          </w:rPr>
                        </w:pPr>
                        <w:r>
                          <w:rPr>
                            <w:sz w:val="20"/>
                          </w:rPr>
                          <w:t>0.70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tabs>
                            <w:tab w:pos="451" w:val="left" w:leader="none"/>
                          </w:tabs>
                          <w:spacing w:line="218" w:lineRule="exact" w:before="2"/>
                          <w:ind w:left="43"/>
                          <w:rPr>
                            <w:sz w:val="20"/>
                          </w:rPr>
                        </w:pPr>
                        <w:r>
                          <w:rPr>
                            <w:sz w:val="20"/>
                          </w:rPr>
                          <w:t>9.</w:t>
                          <w:tab/>
                        </w:r>
                        <w:r>
                          <w:rPr>
                            <w:spacing w:val="6"/>
                            <w:sz w:val="20"/>
                          </w:rPr>
                          <w:t>SL-Agribusiness </w:t>
                        </w:r>
                        <w:r>
                          <w:rPr>
                            <w:sz w:val="20"/>
                          </w:rPr>
                          <w:t>&amp; </w:t>
                        </w:r>
                        <w:r>
                          <w:rPr>
                            <w:spacing w:val="2"/>
                            <w:sz w:val="20"/>
                          </w:rPr>
                          <w:t>Rice </w:t>
                        </w:r>
                        <w:r>
                          <w:rPr>
                            <w:spacing w:val="6"/>
                            <w:sz w:val="20"/>
                          </w:rPr>
                          <w:t>Value </w:t>
                        </w:r>
                        <w:r>
                          <w:rPr>
                            <w:spacing w:val="5"/>
                            <w:sz w:val="20"/>
                          </w:rPr>
                          <w:t>Chain </w:t>
                        </w:r>
                        <w:r>
                          <w:rPr>
                            <w:spacing w:val="6"/>
                            <w:sz w:val="20"/>
                          </w:rPr>
                          <w:t>Support</w:t>
                        </w:r>
                        <w:r>
                          <w:rPr>
                            <w:spacing w:val="32"/>
                            <w:sz w:val="20"/>
                          </w:rPr>
                          <w:t> </w:t>
                        </w:r>
                        <w:r>
                          <w:rPr>
                            <w:spacing w:val="4"/>
                            <w:sz w:val="20"/>
                          </w:rPr>
                          <w:t>Project</w:t>
                        </w:r>
                      </w:p>
                    </w:tc>
                    <w:tc>
                      <w:tcPr>
                        <w:tcW w:w="2951" w:type="dxa"/>
                      </w:tcPr>
                      <w:p>
                        <w:pPr>
                          <w:pStyle w:val="TableParagraph"/>
                          <w:spacing w:line="218" w:lineRule="exact" w:before="2"/>
                          <w:ind w:left="602"/>
                          <w:rPr>
                            <w:b/>
                            <w:sz w:val="20"/>
                          </w:rPr>
                        </w:pPr>
                        <w:r>
                          <w:rPr>
                            <w:b/>
                            <w:sz w:val="20"/>
                          </w:rPr>
                          <w:t>AfDB</w:t>
                        </w:r>
                      </w:p>
                    </w:tc>
                    <w:tc>
                      <w:tcPr>
                        <w:tcW w:w="2057" w:type="dxa"/>
                      </w:tcPr>
                      <w:p>
                        <w:pPr>
                          <w:pStyle w:val="TableParagraph"/>
                          <w:spacing w:line="218" w:lineRule="exact" w:before="2"/>
                          <w:ind w:left="627"/>
                          <w:rPr>
                            <w:sz w:val="20"/>
                          </w:rPr>
                        </w:pPr>
                        <w:r>
                          <w:rPr>
                            <w:sz w:val="20"/>
                          </w:rPr>
                          <w:t>11.19</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spacing w:line="218" w:lineRule="exact" w:before="2"/>
                          <w:rPr>
                            <w:sz w:val="20"/>
                          </w:rPr>
                        </w:pPr>
                        <w:r>
                          <w:rPr>
                            <w:sz w:val="20"/>
                          </w:rPr>
                          <w:t>10. Post-Ebola Recovery Social Investment Fund (PERSIF) Project</w:t>
                        </w:r>
                      </w:p>
                    </w:tc>
                    <w:tc>
                      <w:tcPr>
                        <w:tcW w:w="2951" w:type="dxa"/>
                      </w:tcPr>
                      <w:p>
                        <w:pPr>
                          <w:pStyle w:val="TableParagraph"/>
                          <w:spacing w:line="218" w:lineRule="exact" w:before="2"/>
                          <w:ind w:left="602"/>
                          <w:rPr>
                            <w:b/>
                            <w:sz w:val="20"/>
                          </w:rPr>
                        </w:pPr>
                        <w:r>
                          <w:rPr>
                            <w:b/>
                            <w:sz w:val="20"/>
                          </w:rPr>
                          <w:t>AfDB</w:t>
                        </w:r>
                      </w:p>
                    </w:tc>
                    <w:tc>
                      <w:tcPr>
                        <w:tcW w:w="2057" w:type="dxa"/>
                      </w:tcPr>
                      <w:p>
                        <w:pPr>
                          <w:pStyle w:val="TableParagraph"/>
                          <w:spacing w:line="218" w:lineRule="exact" w:before="2"/>
                          <w:ind w:left="627"/>
                          <w:rPr>
                            <w:sz w:val="20"/>
                          </w:rPr>
                        </w:pPr>
                        <w:r>
                          <w:rPr>
                            <w:sz w:val="20"/>
                          </w:rPr>
                          <w:t>13.70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spacing w:line="218" w:lineRule="exact" w:before="2"/>
                          <w:rPr>
                            <w:sz w:val="20"/>
                          </w:rPr>
                        </w:pPr>
                        <w:r>
                          <w:rPr>
                            <w:sz w:val="20"/>
                          </w:rPr>
                          <w:t>11. Education Sector Support Project BADEA &amp; Saudi Fund</w:t>
                        </w:r>
                      </w:p>
                    </w:tc>
                    <w:tc>
                      <w:tcPr>
                        <w:tcW w:w="2951" w:type="dxa"/>
                      </w:tcPr>
                      <w:p>
                        <w:pPr>
                          <w:pStyle w:val="TableParagraph"/>
                          <w:rPr>
                            <w:rFonts w:ascii="Times New Roman"/>
                            <w:sz w:val="16"/>
                          </w:rPr>
                        </w:pPr>
                      </w:p>
                    </w:tc>
                    <w:tc>
                      <w:tcPr>
                        <w:tcW w:w="2057" w:type="dxa"/>
                      </w:tcPr>
                      <w:p>
                        <w:pPr>
                          <w:pStyle w:val="TableParagraph"/>
                          <w:spacing w:line="218" w:lineRule="exact" w:before="2"/>
                          <w:ind w:left="627"/>
                          <w:rPr>
                            <w:sz w:val="20"/>
                          </w:rPr>
                        </w:pPr>
                        <w:r>
                          <w:rPr>
                            <w:sz w:val="20"/>
                          </w:rPr>
                          <w:t>65.00</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12. Freetown WASH and Aquatic Environment Revamping Project</w:t>
                        </w:r>
                      </w:p>
                    </w:tc>
                    <w:tc>
                      <w:tcPr>
                        <w:tcW w:w="2951" w:type="dxa"/>
                      </w:tcPr>
                      <w:p>
                        <w:pPr>
                          <w:pStyle w:val="TableParagraph"/>
                          <w:spacing w:line="218" w:lineRule="exact" w:before="2"/>
                          <w:ind w:left="602"/>
                          <w:rPr>
                            <w:b/>
                            <w:sz w:val="20"/>
                          </w:rPr>
                        </w:pPr>
                        <w:r>
                          <w:rPr>
                            <w:b/>
                            <w:sz w:val="20"/>
                          </w:rPr>
                          <w:t>Kuwait</w:t>
                        </w:r>
                      </w:p>
                    </w:tc>
                    <w:tc>
                      <w:tcPr>
                        <w:tcW w:w="2057" w:type="dxa"/>
                      </w:tcPr>
                      <w:p>
                        <w:pPr>
                          <w:pStyle w:val="TableParagraph"/>
                          <w:spacing w:line="218" w:lineRule="exact" w:before="2"/>
                          <w:ind w:left="627"/>
                          <w:rPr>
                            <w:sz w:val="20"/>
                          </w:rPr>
                        </w:pPr>
                        <w:r>
                          <w:rPr>
                            <w:sz w:val="20"/>
                          </w:rPr>
                          <w:t>35.00</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13. Freetown WASH and Aquatic Environment Revamping Project</w:t>
                        </w:r>
                      </w:p>
                    </w:tc>
                    <w:tc>
                      <w:tcPr>
                        <w:tcW w:w="2951" w:type="dxa"/>
                      </w:tcPr>
                      <w:p>
                        <w:pPr>
                          <w:pStyle w:val="TableParagraph"/>
                          <w:spacing w:line="218" w:lineRule="exact" w:before="2"/>
                          <w:ind w:left="602"/>
                          <w:rPr>
                            <w:b/>
                            <w:sz w:val="20"/>
                          </w:rPr>
                        </w:pPr>
                        <w:r>
                          <w:rPr>
                            <w:b/>
                            <w:sz w:val="20"/>
                          </w:rPr>
                          <w:t>AfDB</w:t>
                        </w:r>
                      </w:p>
                    </w:tc>
                    <w:tc>
                      <w:tcPr>
                        <w:tcW w:w="2057" w:type="dxa"/>
                      </w:tcPr>
                      <w:p>
                        <w:pPr>
                          <w:pStyle w:val="TableParagraph"/>
                          <w:spacing w:line="218" w:lineRule="exact" w:before="2"/>
                          <w:ind w:left="269" w:right="435"/>
                          <w:jc w:val="center"/>
                          <w:rPr>
                            <w:sz w:val="20"/>
                          </w:rPr>
                        </w:pPr>
                        <w:r>
                          <w:rPr>
                            <w:sz w:val="20"/>
                          </w:rPr>
                          <w:t>9.09</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14. Financial Inclusion Project</w:t>
                        </w:r>
                      </w:p>
                    </w:tc>
                    <w:tc>
                      <w:tcPr>
                        <w:tcW w:w="2951" w:type="dxa"/>
                      </w:tcPr>
                      <w:p>
                        <w:pPr>
                          <w:pStyle w:val="TableParagraph"/>
                          <w:spacing w:line="218" w:lineRule="exact" w:before="2"/>
                          <w:ind w:left="603"/>
                          <w:rPr>
                            <w:b/>
                            <w:sz w:val="20"/>
                          </w:rPr>
                        </w:pPr>
                        <w:r>
                          <w:rPr>
                            <w:b/>
                            <w:sz w:val="20"/>
                          </w:rPr>
                          <w:t>IDA</w:t>
                        </w:r>
                      </w:p>
                    </w:tc>
                    <w:tc>
                      <w:tcPr>
                        <w:tcW w:w="2057" w:type="dxa"/>
                      </w:tcPr>
                      <w:p>
                        <w:pPr>
                          <w:pStyle w:val="TableParagraph"/>
                          <w:spacing w:line="218" w:lineRule="exact" w:before="2"/>
                          <w:ind w:left="627"/>
                          <w:rPr>
                            <w:sz w:val="20"/>
                          </w:rPr>
                        </w:pPr>
                        <w:r>
                          <w:rPr>
                            <w:sz w:val="20"/>
                          </w:rPr>
                          <w:t>12.00</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15. </w:t>
                        </w:r>
                        <w:r>
                          <w:rPr>
                            <w:spacing w:val="7"/>
                            <w:sz w:val="20"/>
                          </w:rPr>
                          <w:t>Agriculture </w:t>
                        </w:r>
                        <w:r>
                          <w:rPr>
                            <w:spacing w:val="5"/>
                            <w:sz w:val="20"/>
                          </w:rPr>
                          <w:t>Value Chain </w:t>
                        </w:r>
                        <w:r>
                          <w:rPr>
                            <w:spacing w:val="6"/>
                            <w:sz w:val="20"/>
                          </w:rPr>
                          <w:t>Development</w:t>
                        </w:r>
                        <w:r>
                          <w:rPr>
                            <w:spacing w:val="61"/>
                            <w:sz w:val="20"/>
                          </w:rPr>
                          <w:t> </w:t>
                        </w:r>
                        <w:r>
                          <w:rPr>
                            <w:spacing w:val="4"/>
                            <w:sz w:val="20"/>
                          </w:rPr>
                          <w:t>Project</w:t>
                        </w:r>
                      </w:p>
                    </w:tc>
                    <w:tc>
                      <w:tcPr>
                        <w:tcW w:w="2951" w:type="dxa"/>
                      </w:tcPr>
                      <w:p>
                        <w:pPr>
                          <w:pStyle w:val="TableParagraph"/>
                          <w:spacing w:line="218" w:lineRule="exact" w:before="2"/>
                          <w:ind w:left="603"/>
                          <w:rPr>
                            <w:b/>
                            <w:sz w:val="20"/>
                          </w:rPr>
                        </w:pPr>
                        <w:r>
                          <w:rPr>
                            <w:b/>
                            <w:sz w:val="20"/>
                          </w:rPr>
                          <w:t>IFAD</w:t>
                        </w:r>
                      </w:p>
                    </w:tc>
                    <w:tc>
                      <w:tcPr>
                        <w:tcW w:w="2057" w:type="dxa"/>
                      </w:tcPr>
                      <w:p>
                        <w:pPr>
                          <w:pStyle w:val="TableParagraph"/>
                          <w:spacing w:line="218" w:lineRule="exact" w:before="2"/>
                          <w:ind w:left="269" w:right="435"/>
                          <w:jc w:val="center"/>
                          <w:rPr>
                            <w:sz w:val="20"/>
                          </w:rPr>
                        </w:pPr>
                        <w:r>
                          <w:rPr>
                            <w:sz w:val="20"/>
                          </w:rPr>
                          <w:t>5.90</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16. Regional Rice Value Chain Development Project</w:t>
                        </w:r>
                      </w:p>
                    </w:tc>
                    <w:tc>
                      <w:tcPr>
                        <w:tcW w:w="2951" w:type="dxa"/>
                      </w:tcPr>
                      <w:p>
                        <w:pPr>
                          <w:pStyle w:val="TableParagraph"/>
                          <w:spacing w:line="218" w:lineRule="exact" w:before="2"/>
                          <w:ind w:left="603"/>
                          <w:rPr>
                            <w:b/>
                            <w:sz w:val="20"/>
                          </w:rPr>
                        </w:pPr>
                        <w:r>
                          <w:rPr>
                            <w:b/>
                            <w:sz w:val="20"/>
                          </w:rPr>
                          <w:t>IDB</w:t>
                        </w:r>
                      </w:p>
                    </w:tc>
                    <w:tc>
                      <w:tcPr>
                        <w:tcW w:w="2057" w:type="dxa"/>
                      </w:tcPr>
                      <w:p>
                        <w:pPr>
                          <w:pStyle w:val="TableParagraph"/>
                          <w:spacing w:line="218" w:lineRule="exact" w:before="2"/>
                          <w:ind w:left="627"/>
                          <w:rPr>
                            <w:sz w:val="20"/>
                          </w:rPr>
                        </w:pPr>
                        <w:r>
                          <w:rPr>
                            <w:sz w:val="20"/>
                          </w:rPr>
                          <w:t>15.00</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17. Energy Sector Utility Reform Project (Additional Financing)</w:t>
                        </w:r>
                      </w:p>
                    </w:tc>
                    <w:tc>
                      <w:tcPr>
                        <w:tcW w:w="2951" w:type="dxa"/>
                      </w:tcPr>
                      <w:p>
                        <w:pPr>
                          <w:pStyle w:val="TableParagraph"/>
                          <w:spacing w:line="218" w:lineRule="exact" w:before="2"/>
                          <w:ind w:left="603"/>
                          <w:rPr>
                            <w:b/>
                            <w:sz w:val="20"/>
                          </w:rPr>
                        </w:pPr>
                        <w:r>
                          <w:rPr>
                            <w:b/>
                            <w:sz w:val="20"/>
                          </w:rPr>
                          <w:t>IDA</w:t>
                        </w:r>
                      </w:p>
                    </w:tc>
                    <w:tc>
                      <w:tcPr>
                        <w:tcW w:w="2057" w:type="dxa"/>
                      </w:tcPr>
                      <w:p>
                        <w:pPr>
                          <w:pStyle w:val="TableParagraph"/>
                          <w:spacing w:line="218" w:lineRule="exact" w:before="2"/>
                          <w:ind w:left="627"/>
                          <w:rPr>
                            <w:sz w:val="20"/>
                          </w:rPr>
                        </w:pPr>
                        <w:r>
                          <w:rPr>
                            <w:sz w:val="20"/>
                          </w:rPr>
                          <w:t>50.00</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18. Fibre Backbone Network Phase II Project</w:t>
                        </w:r>
                      </w:p>
                    </w:tc>
                    <w:tc>
                      <w:tcPr>
                        <w:tcW w:w="2951" w:type="dxa"/>
                      </w:tcPr>
                      <w:p>
                        <w:pPr>
                          <w:pStyle w:val="TableParagraph"/>
                          <w:spacing w:line="218" w:lineRule="exact" w:before="2"/>
                          <w:ind w:left="602"/>
                          <w:rPr>
                            <w:b/>
                            <w:sz w:val="20"/>
                          </w:rPr>
                        </w:pPr>
                        <w:r>
                          <w:rPr>
                            <w:b/>
                            <w:sz w:val="20"/>
                          </w:rPr>
                          <w:t>China EXIM Bank</w:t>
                        </w:r>
                      </w:p>
                    </w:tc>
                    <w:tc>
                      <w:tcPr>
                        <w:tcW w:w="2057" w:type="dxa"/>
                      </w:tcPr>
                      <w:p>
                        <w:pPr>
                          <w:pStyle w:val="TableParagraph"/>
                          <w:spacing w:line="218" w:lineRule="exact" w:before="2"/>
                          <w:ind w:left="627"/>
                          <w:rPr>
                            <w:sz w:val="20"/>
                          </w:rPr>
                        </w:pPr>
                        <w:r>
                          <w:rPr>
                            <w:sz w:val="20"/>
                          </w:rPr>
                          <w:t>30.00</w:t>
                        </w:r>
                      </w:p>
                    </w:tc>
                    <w:tc>
                      <w:tcPr>
                        <w:tcW w:w="2057" w:type="dxa"/>
                      </w:tcPr>
                      <w:p>
                        <w:pPr>
                          <w:pStyle w:val="TableParagraph"/>
                          <w:spacing w:line="218" w:lineRule="exact" w:before="2"/>
                          <w:ind w:left="674" w:right="435"/>
                          <w:jc w:val="center"/>
                          <w:rPr>
                            <w:sz w:val="20"/>
                          </w:rPr>
                        </w:pPr>
                        <w:r>
                          <w:rPr>
                            <w:sz w:val="20"/>
                          </w:rPr>
                          <w:t>Loan</w:t>
                        </w:r>
                      </w:p>
                    </w:tc>
                  </w:tr>
                  <w:tr>
                    <w:trPr>
                      <w:trHeight w:val="240" w:hRule="atLeast"/>
                    </w:trPr>
                    <w:tc>
                      <w:tcPr>
                        <w:tcW w:w="7673" w:type="dxa"/>
                      </w:tcPr>
                      <w:p>
                        <w:pPr>
                          <w:pStyle w:val="TableParagraph"/>
                          <w:spacing w:line="218" w:lineRule="exact" w:before="2"/>
                          <w:rPr>
                            <w:sz w:val="20"/>
                          </w:rPr>
                        </w:pPr>
                        <w:r>
                          <w:rPr>
                            <w:sz w:val="20"/>
                          </w:rPr>
                          <w:t>19. Support Education Sector Project</w:t>
                        </w:r>
                      </w:p>
                    </w:tc>
                    <w:tc>
                      <w:tcPr>
                        <w:tcW w:w="2951" w:type="dxa"/>
                      </w:tcPr>
                      <w:p>
                        <w:pPr>
                          <w:pStyle w:val="TableParagraph"/>
                          <w:spacing w:line="218" w:lineRule="exact" w:before="2"/>
                          <w:ind w:left="602"/>
                          <w:rPr>
                            <w:b/>
                            <w:sz w:val="20"/>
                          </w:rPr>
                        </w:pPr>
                        <w:r>
                          <w:rPr>
                            <w:b/>
                            <w:sz w:val="20"/>
                          </w:rPr>
                          <w:t>OFID</w:t>
                        </w:r>
                      </w:p>
                    </w:tc>
                    <w:tc>
                      <w:tcPr>
                        <w:tcW w:w="2057" w:type="dxa"/>
                      </w:tcPr>
                      <w:p>
                        <w:pPr>
                          <w:pStyle w:val="TableParagraph"/>
                          <w:spacing w:line="218" w:lineRule="exact" w:before="2"/>
                          <w:ind w:left="627"/>
                          <w:rPr>
                            <w:sz w:val="20"/>
                          </w:rPr>
                        </w:pPr>
                        <w:r>
                          <w:rPr>
                            <w:sz w:val="20"/>
                          </w:rPr>
                          <w:t>20.00</w:t>
                        </w:r>
                      </w:p>
                    </w:tc>
                    <w:tc>
                      <w:tcPr>
                        <w:tcW w:w="2057" w:type="dxa"/>
                      </w:tcPr>
                      <w:p>
                        <w:pPr>
                          <w:pStyle w:val="TableParagraph"/>
                          <w:spacing w:line="218" w:lineRule="exact" w:before="2"/>
                          <w:ind w:left="674" w:right="435"/>
                          <w:jc w:val="center"/>
                          <w:rPr>
                            <w:sz w:val="20"/>
                          </w:rPr>
                        </w:pPr>
                        <w:r>
                          <w:rPr>
                            <w:sz w:val="20"/>
                          </w:rPr>
                          <w:t>Loan</w:t>
                        </w:r>
                      </w:p>
                    </w:tc>
                  </w:tr>
                  <w:tr>
                    <w:trPr>
                      <w:trHeight w:val="232" w:hRule="atLeast"/>
                    </w:trPr>
                    <w:tc>
                      <w:tcPr>
                        <w:tcW w:w="7673" w:type="dxa"/>
                      </w:tcPr>
                      <w:p>
                        <w:pPr>
                          <w:pStyle w:val="TableParagraph"/>
                          <w:spacing w:line="210" w:lineRule="exact" w:before="2"/>
                          <w:ind w:left="734"/>
                          <w:rPr>
                            <w:b/>
                            <w:sz w:val="20"/>
                          </w:rPr>
                        </w:pPr>
                        <w:r>
                          <w:rPr>
                            <w:b/>
                            <w:sz w:val="20"/>
                          </w:rPr>
                          <w:t>Pipeline Projects</w:t>
                        </w:r>
                      </w:p>
                    </w:tc>
                    <w:tc>
                      <w:tcPr>
                        <w:tcW w:w="2951" w:type="dxa"/>
                      </w:tcPr>
                      <w:p>
                        <w:pPr>
                          <w:pStyle w:val="TableParagraph"/>
                          <w:rPr>
                            <w:rFonts w:ascii="Times New Roman"/>
                            <w:sz w:val="16"/>
                          </w:rPr>
                        </w:pPr>
                      </w:p>
                    </w:tc>
                    <w:tc>
                      <w:tcPr>
                        <w:tcW w:w="2057" w:type="dxa"/>
                      </w:tcPr>
                      <w:p>
                        <w:pPr>
                          <w:pStyle w:val="TableParagraph"/>
                          <w:rPr>
                            <w:rFonts w:ascii="Times New Roman"/>
                            <w:sz w:val="16"/>
                          </w:rPr>
                        </w:pPr>
                      </w:p>
                    </w:tc>
                    <w:tc>
                      <w:tcPr>
                        <w:tcW w:w="2057" w:type="dxa"/>
                      </w:tcPr>
                      <w:p>
                        <w:pPr>
                          <w:pStyle w:val="TableParagraph"/>
                          <w:rPr>
                            <w:rFonts w:ascii="Times New Roman"/>
                            <w:sz w:val="16"/>
                          </w:rPr>
                        </w:pPr>
                      </w:p>
                    </w:tc>
                  </w:tr>
                  <w:tr>
                    <w:trPr>
                      <w:trHeight w:val="247" w:hRule="atLeast"/>
                    </w:trPr>
                    <w:tc>
                      <w:tcPr>
                        <w:tcW w:w="7673" w:type="dxa"/>
                      </w:tcPr>
                      <w:p>
                        <w:pPr>
                          <w:pStyle w:val="TableParagraph"/>
                          <w:spacing w:line="218" w:lineRule="exact" w:before="9"/>
                          <w:rPr>
                            <w:sz w:val="20"/>
                          </w:rPr>
                        </w:pPr>
                        <w:r>
                          <w:rPr>
                            <w:sz w:val="20"/>
                          </w:rPr>
                          <w:t>21. Focused Resources for Equity and Excellence (FREE) Education Project</w:t>
                        </w:r>
                      </w:p>
                    </w:tc>
                    <w:tc>
                      <w:tcPr>
                        <w:tcW w:w="2951" w:type="dxa"/>
                      </w:tcPr>
                      <w:p>
                        <w:pPr>
                          <w:pStyle w:val="TableParagraph"/>
                          <w:spacing w:line="218" w:lineRule="exact" w:before="9"/>
                          <w:ind w:left="603"/>
                          <w:rPr>
                            <w:b/>
                            <w:sz w:val="20"/>
                          </w:rPr>
                        </w:pPr>
                        <w:r>
                          <w:rPr>
                            <w:b/>
                            <w:sz w:val="20"/>
                          </w:rPr>
                          <w:t>IDA</w:t>
                        </w:r>
                      </w:p>
                    </w:tc>
                    <w:tc>
                      <w:tcPr>
                        <w:tcW w:w="2057" w:type="dxa"/>
                      </w:tcPr>
                      <w:p>
                        <w:pPr>
                          <w:pStyle w:val="TableParagraph"/>
                          <w:spacing w:line="218" w:lineRule="exact" w:before="9"/>
                          <w:ind w:left="627"/>
                          <w:rPr>
                            <w:sz w:val="20"/>
                          </w:rPr>
                        </w:pPr>
                        <w:r>
                          <w:rPr>
                            <w:sz w:val="20"/>
                          </w:rPr>
                          <w:t>70.00</w:t>
                        </w:r>
                      </w:p>
                    </w:tc>
                    <w:tc>
                      <w:tcPr>
                        <w:tcW w:w="2057" w:type="dxa"/>
                      </w:tcPr>
                      <w:p>
                        <w:pPr>
                          <w:pStyle w:val="TableParagraph"/>
                          <w:spacing w:line="218" w:lineRule="exact" w:before="9"/>
                          <w:ind w:left="730" w:right="417"/>
                          <w:jc w:val="center"/>
                          <w:rPr>
                            <w:sz w:val="20"/>
                          </w:rPr>
                        </w:pPr>
                        <w:r>
                          <w:rPr>
                            <w:sz w:val="20"/>
                          </w:rPr>
                          <w:t>Grant</w:t>
                        </w:r>
                      </w:p>
                    </w:tc>
                  </w:tr>
                  <w:tr>
                    <w:trPr>
                      <w:trHeight w:val="240" w:hRule="atLeast"/>
                    </w:trPr>
                    <w:tc>
                      <w:tcPr>
                        <w:tcW w:w="7673" w:type="dxa"/>
                      </w:tcPr>
                      <w:p>
                        <w:pPr>
                          <w:pStyle w:val="TableParagraph"/>
                          <w:spacing w:line="218" w:lineRule="exact" w:before="2"/>
                          <w:rPr>
                            <w:sz w:val="20"/>
                          </w:rPr>
                        </w:pPr>
                        <w:r>
                          <w:rPr>
                            <w:sz w:val="20"/>
                          </w:rPr>
                          <w:t>22. Economic Diversification Project</w:t>
                        </w:r>
                      </w:p>
                    </w:tc>
                    <w:tc>
                      <w:tcPr>
                        <w:tcW w:w="2951" w:type="dxa"/>
                      </w:tcPr>
                      <w:p>
                        <w:pPr>
                          <w:pStyle w:val="TableParagraph"/>
                          <w:spacing w:line="218" w:lineRule="exact" w:before="2"/>
                          <w:ind w:left="603"/>
                          <w:rPr>
                            <w:b/>
                            <w:sz w:val="20"/>
                          </w:rPr>
                        </w:pPr>
                        <w:r>
                          <w:rPr>
                            <w:b/>
                            <w:sz w:val="20"/>
                          </w:rPr>
                          <w:t>IDA</w:t>
                        </w:r>
                      </w:p>
                    </w:tc>
                    <w:tc>
                      <w:tcPr>
                        <w:tcW w:w="2057" w:type="dxa"/>
                      </w:tcPr>
                      <w:p>
                        <w:pPr>
                          <w:pStyle w:val="TableParagraph"/>
                          <w:spacing w:line="218" w:lineRule="exact" w:before="2"/>
                          <w:ind w:left="627"/>
                          <w:rPr>
                            <w:sz w:val="20"/>
                          </w:rPr>
                        </w:pPr>
                        <w:r>
                          <w:rPr>
                            <w:sz w:val="20"/>
                          </w:rPr>
                          <w:t>50.00</w:t>
                        </w:r>
                      </w:p>
                    </w:tc>
                    <w:tc>
                      <w:tcPr>
                        <w:tcW w:w="2057" w:type="dxa"/>
                      </w:tcPr>
                      <w:p>
                        <w:pPr>
                          <w:pStyle w:val="TableParagraph"/>
                          <w:spacing w:line="218" w:lineRule="exact" w:before="2"/>
                          <w:ind w:left="730" w:right="417"/>
                          <w:jc w:val="center"/>
                          <w:rPr>
                            <w:sz w:val="20"/>
                          </w:rPr>
                        </w:pPr>
                        <w:r>
                          <w:rPr>
                            <w:sz w:val="20"/>
                          </w:rPr>
                          <w:t>Grant</w:t>
                        </w:r>
                      </w:p>
                    </w:tc>
                  </w:tr>
                  <w:tr>
                    <w:trPr>
                      <w:trHeight w:val="240" w:hRule="atLeast"/>
                    </w:trPr>
                    <w:tc>
                      <w:tcPr>
                        <w:tcW w:w="7673" w:type="dxa"/>
                      </w:tcPr>
                      <w:p>
                        <w:pPr>
                          <w:pStyle w:val="TableParagraph"/>
                          <w:spacing w:line="218" w:lineRule="exact" w:before="2"/>
                          <w:rPr>
                            <w:sz w:val="20"/>
                          </w:rPr>
                        </w:pPr>
                        <w:r>
                          <w:rPr>
                            <w:sz w:val="20"/>
                          </w:rPr>
                          <w:t>23. Sierra Leone Urban Resilient Project</w:t>
                        </w:r>
                      </w:p>
                    </w:tc>
                    <w:tc>
                      <w:tcPr>
                        <w:tcW w:w="2951" w:type="dxa"/>
                      </w:tcPr>
                      <w:p>
                        <w:pPr>
                          <w:pStyle w:val="TableParagraph"/>
                          <w:spacing w:line="218" w:lineRule="exact" w:before="2"/>
                          <w:ind w:left="603"/>
                          <w:rPr>
                            <w:b/>
                            <w:sz w:val="20"/>
                          </w:rPr>
                        </w:pPr>
                        <w:r>
                          <w:rPr>
                            <w:b/>
                            <w:sz w:val="20"/>
                          </w:rPr>
                          <w:t>IDA</w:t>
                        </w:r>
                      </w:p>
                    </w:tc>
                    <w:tc>
                      <w:tcPr>
                        <w:tcW w:w="2057" w:type="dxa"/>
                      </w:tcPr>
                      <w:p>
                        <w:pPr>
                          <w:pStyle w:val="TableParagraph"/>
                          <w:spacing w:line="218" w:lineRule="exact" w:before="2"/>
                          <w:ind w:left="627"/>
                          <w:rPr>
                            <w:sz w:val="20"/>
                          </w:rPr>
                        </w:pPr>
                        <w:r>
                          <w:rPr>
                            <w:sz w:val="20"/>
                          </w:rPr>
                          <w:t>50.00</w:t>
                        </w:r>
                      </w:p>
                    </w:tc>
                    <w:tc>
                      <w:tcPr>
                        <w:tcW w:w="2057" w:type="dxa"/>
                      </w:tcPr>
                      <w:p>
                        <w:pPr>
                          <w:pStyle w:val="TableParagraph"/>
                          <w:spacing w:line="218" w:lineRule="exact" w:before="2"/>
                          <w:ind w:left="730" w:right="417"/>
                          <w:jc w:val="center"/>
                          <w:rPr>
                            <w:sz w:val="20"/>
                          </w:rPr>
                        </w:pPr>
                        <w:r>
                          <w:rPr>
                            <w:sz w:val="20"/>
                          </w:rPr>
                          <w:t>Grant</w:t>
                        </w:r>
                      </w:p>
                    </w:tc>
                  </w:tr>
                  <w:tr>
                    <w:trPr>
                      <w:trHeight w:val="267" w:hRule="atLeast"/>
                    </w:trPr>
                    <w:tc>
                      <w:tcPr>
                        <w:tcW w:w="7673" w:type="dxa"/>
                      </w:tcPr>
                      <w:p>
                        <w:pPr>
                          <w:pStyle w:val="TableParagraph"/>
                          <w:spacing w:before="2"/>
                          <w:rPr>
                            <w:sz w:val="20"/>
                          </w:rPr>
                        </w:pPr>
                        <w:r>
                          <w:rPr>
                            <w:sz w:val="20"/>
                          </w:rPr>
                          <w:t>24. Smallholder Commercialization and Agribusiness Development</w:t>
                        </w:r>
                      </w:p>
                    </w:tc>
                    <w:tc>
                      <w:tcPr>
                        <w:tcW w:w="2951" w:type="dxa"/>
                      </w:tcPr>
                      <w:p>
                        <w:pPr>
                          <w:pStyle w:val="TableParagraph"/>
                          <w:spacing w:before="2"/>
                          <w:ind w:left="603"/>
                          <w:rPr>
                            <w:b/>
                            <w:sz w:val="20"/>
                          </w:rPr>
                        </w:pPr>
                        <w:r>
                          <w:rPr>
                            <w:b/>
                            <w:sz w:val="20"/>
                          </w:rPr>
                          <w:t>IDA</w:t>
                        </w:r>
                      </w:p>
                    </w:tc>
                    <w:tc>
                      <w:tcPr>
                        <w:tcW w:w="2057" w:type="dxa"/>
                      </w:tcPr>
                      <w:p>
                        <w:pPr>
                          <w:pStyle w:val="TableParagraph"/>
                          <w:spacing w:before="2"/>
                          <w:ind w:left="269" w:right="435"/>
                          <w:jc w:val="center"/>
                          <w:rPr>
                            <w:sz w:val="20"/>
                          </w:rPr>
                        </w:pPr>
                        <w:r>
                          <w:rPr>
                            <w:sz w:val="20"/>
                          </w:rPr>
                          <w:t>30.0</w:t>
                        </w:r>
                      </w:p>
                    </w:tc>
                    <w:tc>
                      <w:tcPr>
                        <w:tcW w:w="2057" w:type="dxa"/>
                      </w:tcPr>
                      <w:p>
                        <w:pPr>
                          <w:pStyle w:val="TableParagraph"/>
                          <w:spacing w:before="2"/>
                          <w:ind w:left="674" w:right="435"/>
                          <w:jc w:val="center"/>
                          <w:rPr>
                            <w:sz w:val="20"/>
                          </w:rPr>
                        </w:pPr>
                        <w:r>
                          <w:rPr>
                            <w:sz w:val="20"/>
                          </w:rPr>
                          <w:t>Loan</w:t>
                        </w:r>
                      </w:p>
                    </w:tc>
                  </w:tr>
                </w:tbl>
                <w:p>
                  <w:pPr>
                    <w:pStyle w:val="BodyText"/>
                  </w:pPr>
                </w:p>
              </w:txbxContent>
            </v:textbox>
            <w10:wrap type="none"/>
          </v:shape>
        </w:pict>
      </w:r>
      <w:r>
        <w:rPr>
          <w:rFonts w:ascii="Arial"/>
          <w:b/>
          <w:sz w:val="20"/>
        </w:rPr>
        <w:t>In Millions of Leones</w:t>
      </w:r>
    </w:p>
    <w:p>
      <w:pPr>
        <w:tabs>
          <w:tab w:pos="7620" w:val="left" w:leader="none"/>
          <w:tab w:pos="11274" w:val="left" w:leader="none"/>
          <w:tab w:pos="13626" w:val="left" w:leader="none"/>
        </w:tabs>
        <w:spacing w:before="105"/>
        <w:ind w:left="1760" w:right="0" w:firstLine="0"/>
        <w:jc w:val="left"/>
        <w:rPr>
          <w:rFonts w:ascii="Arial"/>
          <w:b/>
          <w:sz w:val="20"/>
        </w:rPr>
      </w:pPr>
      <w:r>
        <w:rPr>
          <w:rFonts w:ascii="Arial"/>
          <w:b/>
          <w:spacing w:val="2"/>
          <w:sz w:val="20"/>
        </w:rPr>
        <w:t>Project</w:t>
      </w:r>
      <w:r>
        <w:rPr>
          <w:rFonts w:ascii="Arial"/>
          <w:b/>
          <w:spacing w:val="18"/>
          <w:sz w:val="20"/>
        </w:rPr>
        <w:t> </w:t>
      </w:r>
      <w:r>
        <w:rPr>
          <w:rFonts w:ascii="Arial"/>
          <w:b/>
          <w:spacing w:val="6"/>
          <w:sz w:val="20"/>
        </w:rPr>
        <w:t>Title</w:t>
        <w:tab/>
      </w:r>
      <w:r>
        <w:rPr>
          <w:rFonts w:ascii="Arial"/>
          <w:b/>
          <w:spacing w:val="5"/>
          <w:sz w:val="20"/>
        </w:rPr>
        <w:t>Amount</w:t>
      </w:r>
      <w:r>
        <w:rPr>
          <w:rFonts w:ascii="Arial"/>
          <w:b/>
          <w:spacing w:val="11"/>
          <w:sz w:val="20"/>
        </w:rPr>
        <w:t> </w:t>
      </w:r>
      <w:r>
        <w:rPr>
          <w:rFonts w:ascii="Arial"/>
          <w:b/>
          <w:spacing w:val="5"/>
          <w:sz w:val="20"/>
        </w:rPr>
        <w:t>(Million</w:t>
      </w:r>
      <w:r>
        <w:rPr>
          <w:rFonts w:ascii="Arial"/>
          <w:b/>
          <w:spacing w:val="15"/>
          <w:sz w:val="20"/>
        </w:rPr>
        <w:t> </w:t>
      </w:r>
      <w:r>
        <w:rPr>
          <w:rFonts w:ascii="Arial"/>
          <w:b/>
          <w:spacing w:val="3"/>
          <w:sz w:val="20"/>
        </w:rPr>
        <w:t>USD)</w:t>
        <w:tab/>
        <w:t>Funding</w:t>
        <w:tab/>
        <w:t>Type</w:t>
      </w:r>
      <w:r>
        <w:rPr>
          <w:rFonts w:ascii="Arial"/>
          <w:b/>
          <w:spacing w:val="8"/>
          <w:sz w:val="20"/>
        </w:rPr>
        <w:t> </w:t>
      </w:r>
      <w:r>
        <w:rPr>
          <w:rFonts w:ascii="Arial"/>
          <w:b/>
          <w:sz w:val="20"/>
        </w:rPr>
        <w:t>of</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spacing w:before="179"/>
        <w:ind w:left="871" w:right="0" w:firstLine="0"/>
        <w:jc w:val="left"/>
        <w:rPr>
          <w:rFonts w:ascii="Arial"/>
          <w:sz w:val="20"/>
        </w:rPr>
      </w:pPr>
      <w:r>
        <w:rPr>
          <w:rFonts w:ascii="Arial"/>
          <w:sz w:val="20"/>
        </w:rPr>
        <w:t>Project (Additional Financing)</w:t>
      </w:r>
    </w:p>
    <w:p>
      <w:pPr>
        <w:tabs>
          <w:tab w:pos="11889" w:val="right" w:leader="none"/>
        </w:tabs>
        <w:spacing w:before="250" w:after="16"/>
        <w:ind w:left="588" w:right="0" w:firstLine="0"/>
        <w:jc w:val="left"/>
        <w:rPr>
          <w:rFonts w:ascii="Arial"/>
          <w:sz w:val="20"/>
        </w:rPr>
      </w:pPr>
      <w:r>
        <w:rPr/>
        <w:pict>
          <v:line style="position:absolute;mso-position-horizontal-relative:page;mso-position-vertical-relative:paragraph;z-index:2680" from="589.200012pt,7.959883pt" to="654.480012pt,7.959883pt" stroked="true" strokeweight="1.92pt" strokecolor="#000000">
            <v:stroke dashstyle="solid"/>
            <w10:wrap type="none"/>
          </v:line>
        </w:pict>
      </w:r>
      <w:r>
        <w:rPr>
          <w:rFonts w:ascii="Arial"/>
          <w:sz w:val="20"/>
        </w:rPr>
        <w:t>Total </w:t>
      </w:r>
      <w:r>
        <w:rPr>
          <w:rFonts w:ascii="Arial"/>
          <w:spacing w:val="4"/>
          <w:sz w:val="20"/>
        </w:rPr>
        <w:t>Expected </w:t>
      </w:r>
      <w:r>
        <w:rPr>
          <w:rFonts w:ascii="Arial"/>
          <w:spacing w:val="3"/>
          <w:sz w:val="20"/>
        </w:rPr>
        <w:t>Resources by End</w:t>
      </w:r>
      <w:r>
        <w:rPr>
          <w:rFonts w:ascii="Arial"/>
          <w:spacing w:val="-22"/>
          <w:sz w:val="20"/>
        </w:rPr>
        <w:t> </w:t>
      </w:r>
      <w:r>
        <w:rPr>
          <w:rFonts w:ascii="Arial"/>
          <w:spacing w:val="5"/>
          <w:sz w:val="20"/>
        </w:rPr>
        <w:t>December</w:t>
      </w:r>
      <w:r>
        <w:rPr>
          <w:rFonts w:ascii="Arial"/>
          <w:spacing w:val="1"/>
          <w:sz w:val="20"/>
        </w:rPr>
        <w:t> </w:t>
      </w:r>
      <w:r>
        <w:rPr>
          <w:rFonts w:ascii="Arial"/>
          <w:spacing w:val="4"/>
          <w:sz w:val="20"/>
        </w:rPr>
        <w:t>2019</w:t>
        <w:tab/>
      </w:r>
      <w:r>
        <w:rPr>
          <w:rFonts w:ascii="Arial"/>
          <w:sz w:val="20"/>
        </w:rPr>
        <w:t>613.38</w:t>
      </w:r>
    </w:p>
    <w:p>
      <w:pPr>
        <w:pStyle w:val="BodyText"/>
        <w:spacing w:line="44" w:lineRule="exact"/>
        <w:ind w:left="10877"/>
        <w:rPr>
          <w:rFonts w:ascii="Arial"/>
          <w:sz w:val="4"/>
        </w:rPr>
      </w:pPr>
      <w:r>
        <w:rPr>
          <w:rFonts w:ascii="Arial"/>
          <w:position w:val="0"/>
          <w:sz w:val="4"/>
        </w:rPr>
        <w:pict>
          <v:group style="width:65.05pt;height:2.2pt;mso-position-horizontal-relative:char;mso-position-vertical-relative:line" coordorigin="0,0" coordsize="1301,44">
            <v:line style="position:absolute" from="0,22" to="1301,22" stroked="true" strokeweight="2.16pt" strokecolor="#000000">
              <v:stroke dashstyle="solid"/>
            </v:line>
          </v:group>
        </w:pict>
      </w:r>
      <w:r>
        <w:rPr>
          <w:rFonts w:ascii="Arial"/>
          <w:position w:val="0"/>
          <w:sz w:val="4"/>
        </w:rPr>
      </w:r>
    </w:p>
    <w:p>
      <w:pPr>
        <w:spacing w:after="0" w:line="44" w:lineRule="exact"/>
        <w:rPr>
          <w:rFonts w:ascii="Arial"/>
          <w:sz w:val="4"/>
        </w:rPr>
        <w:sectPr>
          <w:headerReference w:type="default" r:id="rId20"/>
          <w:pgSz w:w="16840" w:h="11900" w:orient="landscape"/>
          <w:pgMar w:header="0" w:footer="0" w:top="1100" w:bottom="280" w:left="880" w:right="920"/>
        </w:sectPr>
      </w:pPr>
    </w:p>
    <w:p>
      <w:pPr>
        <w:spacing w:before="78"/>
        <w:ind w:left="4184" w:right="0" w:firstLine="0"/>
        <w:jc w:val="left"/>
        <w:rPr>
          <w:rFonts w:ascii="Arial"/>
          <w:b/>
          <w:sz w:val="17"/>
        </w:rPr>
      </w:pPr>
      <w:r>
        <w:rPr/>
        <w:pict>
          <v:shape style="position:absolute;margin-left:56.400002pt;margin-top:405.880005pt;width:720pt;height:70.8pt;mso-position-horizontal-relative:page;mso-position-vertical-relative:page;z-index:-1065496" coordorigin="1128,8118" coordsize="14400,1416" path="m1128,8118l1128,9534,15528,9534,15528,9524,1138,9524,1128,8118xm15528,8118l1128,8118,1138,9524,1138,8127,15528,8127,15528,8118xm15528,8127l15518,8127,15518,9524,15528,9524,15528,8127xe" filled="true" fillcolor="#000000" stroked="false">
            <v:path arrowok="t"/>
            <v:fill type="solid"/>
            <w10:wrap type="none"/>
          </v:shape>
        </w:pict>
      </w:r>
      <w:r>
        <w:rPr/>
        <w:pict>
          <v:shape style="position:absolute;margin-left:27.140491pt;margin-top:282.989990pt;width:14.35pt;height:24.8pt;mso-position-horizontal-relative:page;mso-position-vertical-relative:page;z-index:2824" type="#_x0000_t202" filled="false" stroked="false">
            <v:textbox inset="0,0,0,0" style="layout-flow:vertical">
              <w:txbxContent>
                <w:p>
                  <w:pPr>
                    <w:spacing w:before="13"/>
                    <w:ind w:left="20" w:right="0" w:firstLine="0"/>
                    <w:jc w:val="left"/>
                    <w:rPr>
                      <w:rFonts w:ascii="Arial"/>
                      <w:sz w:val="22"/>
                    </w:rPr>
                  </w:pPr>
                  <w:r>
                    <w:rPr>
                      <w:rFonts w:ascii="Arial"/>
                      <w:sz w:val="22"/>
                    </w:rPr>
                    <w:t>xlviii</w:t>
                  </w:r>
                </w:p>
              </w:txbxContent>
            </v:textbox>
            <w10:wrap type="none"/>
          </v:shape>
        </w:pict>
      </w:r>
      <w:r>
        <w:rPr>
          <w:rFonts w:ascii="Arial"/>
          <w:b/>
          <w:w w:val="105"/>
          <w:sz w:val="17"/>
        </w:rPr>
        <w:t>ANNEX 11: SUMMARY OF POVERTY RELATED EXPENDITURE, FY2020</w:t>
      </w:r>
    </w:p>
    <w:p>
      <w:pPr>
        <w:pStyle w:val="BodyText"/>
        <w:rPr>
          <w:rFonts w:ascii="Arial"/>
          <w:b/>
          <w:sz w:val="20"/>
        </w:rPr>
      </w:pPr>
    </w:p>
    <w:p>
      <w:pPr>
        <w:pStyle w:val="BodyText"/>
        <w:rPr>
          <w:rFonts w:ascii="Arial"/>
          <w:b/>
          <w:sz w:val="20"/>
        </w:rPr>
      </w:pPr>
    </w:p>
    <w:p>
      <w:pPr>
        <w:pStyle w:val="BodyText"/>
        <w:spacing w:before="6"/>
        <w:rPr>
          <w:rFonts w:ascii="Arial"/>
          <w:b/>
        </w:rPr>
      </w:pPr>
    </w:p>
    <w:p>
      <w:pPr>
        <w:spacing w:before="0"/>
        <w:ind w:left="138" w:right="0" w:firstLine="0"/>
        <w:jc w:val="left"/>
        <w:rPr>
          <w:rFonts w:ascii="Arial"/>
          <w:b/>
          <w:sz w:val="17"/>
        </w:rPr>
      </w:pPr>
      <w:r>
        <w:rPr/>
        <w:pict>
          <v:line style="position:absolute;mso-position-horizontal-relative:page;mso-position-vertical-relative:paragraph;z-index:704;mso-wrap-distance-left:0;mso-wrap-distance-right:0" from="50.880001pt,16.492887pt" to="790.560001pt,16.492887pt" stroked="true" strokeweight="2.16pt" strokecolor="#000000">
            <v:stroke dashstyle="solid"/>
            <w10:wrap type="topAndBottom"/>
          </v:line>
        </w:pict>
      </w:r>
      <w:r>
        <w:rPr>
          <w:rFonts w:ascii="Arial"/>
          <w:b/>
          <w:w w:val="105"/>
          <w:sz w:val="17"/>
        </w:rPr>
        <w:t>In Millions of Leones</w:t>
      </w:r>
    </w:p>
    <w:p>
      <w:pPr>
        <w:spacing w:before="70"/>
        <w:ind w:left="11350" w:right="0" w:firstLine="0"/>
        <w:jc w:val="left"/>
        <w:rPr>
          <w:rFonts w:ascii="Arial"/>
          <w:b/>
          <w:sz w:val="16"/>
        </w:rPr>
      </w:pPr>
      <w:r>
        <w:rPr>
          <w:rFonts w:ascii="Arial"/>
          <w:b/>
          <w:sz w:val="16"/>
        </w:rPr>
        <w:t>Total Budget</w:t>
      </w:r>
    </w:p>
    <w:p>
      <w:pPr>
        <w:tabs>
          <w:tab w:pos="11456" w:val="left" w:leader="none"/>
          <w:tab w:pos="13679" w:val="left" w:leader="none"/>
        </w:tabs>
        <w:spacing w:before="89"/>
        <w:ind w:left="9291" w:right="0" w:firstLine="0"/>
        <w:jc w:val="left"/>
        <w:rPr>
          <w:rFonts w:ascii="Arial"/>
          <w:b/>
          <w:sz w:val="16"/>
        </w:rPr>
      </w:pPr>
      <w:r>
        <w:rPr>
          <w:rFonts w:ascii="Arial"/>
          <w:b/>
          <w:spacing w:val="8"/>
          <w:sz w:val="16"/>
        </w:rPr>
        <w:t>Non-Salary</w:t>
        <w:tab/>
      </w:r>
      <w:r>
        <w:rPr>
          <w:rFonts w:ascii="Arial"/>
          <w:b/>
          <w:spacing w:val="9"/>
          <w:sz w:val="16"/>
        </w:rPr>
        <w:t>Domestic</w:t>
        <w:tab/>
      </w:r>
      <w:r>
        <w:rPr>
          <w:rFonts w:ascii="Arial"/>
          <w:b/>
          <w:spacing w:val="8"/>
          <w:sz w:val="16"/>
        </w:rPr>
        <w:t>Tot</w:t>
      </w:r>
      <w:r>
        <w:rPr>
          <w:rFonts w:ascii="Arial"/>
          <w:b/>
          <w:spacing w:val="-23"/>
          <w:sz w:val="16"/>
        </w:rPr>
        <w:t> </w:t>
      </w:r>
      <w:r>
        <w:rPr>
          <w:rFonts w:ascii="Arial"/>
          <w:b/>
          <w:spacing w:val="5"/>
          <w:sz w:val="16"/>
        </w:rPr>
        <w:t>al</w:t>
      </w:r>
    </w:p>
    <w:p>
      <w:pPr>
        <w:tabs>
          <w:tab w:pos="9195" w:val="left" w:leader="none"/>
          <w:tab w:pos="11547" w:val="left" w:leader="none"/>
        </w:tabs>
        <w:spacing w:before="8"/>
        <w:ind w:left="138" w:right="0" w:firstLine="0"/>
        <w:jc w:val="left"/>
        <w:rPr>
          <w:rFonts w:ascii="Arial"/>
          <w:b/>
          <w:sz w:val="16"/>
        </w:rPr>
      </w:pPr>
      <w:r>
        <w:rPr>
          <w:rFonts w:ascii="Arial"/>
          <w:b/>
          <w:spacing w:val="7"/>
          <w:sz w:val="16"/>
        </w:rPr>
        <w:t>Expenditure</w:t>
      </w:r>
      <w:r>
        <w:rPr>
          <w:rFonts w:ascii="Arial"/>
          <w:b/>
          <w:spacing w:val="41"/>
          <w:sz w:val="16"/>
        </w:rPr>
        <w:t> </w:t>
      </w:r>
      <w:r>
        <w:rPr>
          <w:rFonts w:ascii="Arial"/>
          <w:b/>
          <w:spacing w:val="5"/>
          <w:sz w:val="16"/>
        </w:rPr>
        <w:t>Category</w:t>
        <w:tab/>
      </w:r>
      <w:r>
        <w:rPr>
          <w:rFonts w:ascii="Arial"/>
          <w:b/>
          <w:spacing w:val="3"/>
          <w:sz w:val="16"/>
        </w:rPr>
        <w:t>Non-</w:t>
      </w:r>
      <w:r>
        <w:rPr>
          <w:rFonts w:ascii="Arial"/>
          <w:b/>
          <w:spacing w:val="46"/>
          <w:sz w:val="16"/>
        </w:rPr>
        <w:t> </w:t>
      </w:r>
      <w:r>
        <w:rPr>
          <w:rFonts w:ascii="Arial"/>
          <w:b/>
          <w:spacing w:val="6"/>
          <w:sz w:val="16"/>
        </w:rPr>
        <w:t>Interest</w:t>
        <w:tab/>
      </w:r>
      <w:r>
        <w:rPr>
          <w:rFonts w:ascii="Arial"/>
          <w:b/>
          <w:spacing w:val="9"/>
          <w:sz w:val="16"/>
        </w:rPr>
        <w:t>Capit</w:t>
      </w:r>
      <w:r>
        <w:rPr>
          <w:rFonts w:ascii="Arial"/>
          <w:b/>
          <w:spacing w:val="-22"/>
          <w:sz w:val="16"/>
        </w:rPr>
        <w:t> </w:t>
      </w:r>
      <w:r>
        <w:rPr>
          <w:rFonts w:ascii="Arial"/>
          <w:b/>
          <w:spacing w:val="5"/>
          <w:sz w:val="16"/>
        </w:rPr>
        <w:t>al</w:t>
      </w:r>
    </w:p>
    <w:p>
      <w:pPr>
        <w:tabs>
          <w:tab w:pos="11477" w:val="left" w:leader="none"/>
        </w:tabs>
        <w:spacing w:line="249" w:lineRule="auto" w:before="8"/>
        <w:ind w:left="9224" w:right="2577" w:firstLine="115"/>
        <w:jc w:val="left"/>
        <w:rPr>
          <w:rFonts w:ascii="Arial"/>
          <w:b/>
          <w:sz w:val="16"/>
        </w:rPr>
      </w:pPr>
      <w:r>
        <w:rPr>
          <w:rFonts w:ascii="Arial"/>
          <w:b/>
          <w:spacing w:val="7"/>
          <w:sz w:val="16"/>
        </w:rPr>
        <w:t>Recurrent</w:t>
        <w:tab/>
      </w:r>
      <w:r>
        <w:rPr>
          <w:rFonts w:ascii="Arial"/>
          <w:b/>
          <w:spacing w:val="3"/>
          <w:sz w:val="16"/>
        </w:rPr>
        <w:t>Expenditure </w:t>
      </w:r>
      <w:r>
        <w:rPr>
          <w:rFonts w:ascii="Arial"/>
          <w:b/>
          <w:spacing w:val="11"/>
          <w:sz w:val="16"/>
        </w:rPr>
        <w:t>Expenditure</w:t>
      </w:r>
    </w:p>
    <w:p>
      <w:pPr>
        <w:pStyle w:val="BodyText"/>
        <w:rPr>
          <w:rFonts w:ascii="Arial"/>
          <w:b/>
          <w:sz w:val="29"/>
        </w:rPr>
      </w:pPr>
      <w:r>
        <w:rPr/>
        <w:pict>
          <v:line style="position:absolute;mso-position-horizontal-relative:page;mso-position-vertical-relative:paragraph;z-index:728;mso-wrap-distance-left:0;mso-wrap-distance-right:0" from="50.880001pt,19.727968pt" to="791.040001pt,19.727968pt" stroked="true" strokeweight="2.16pt" strokecolor="#000000">
            <v:stroke dashstyle="solid"/>
            <w10:wrap type="topAndBottom"/>
          </v:line>
        </w:pict>
      </w:r>
    </w:p>
    <w:p>
      <w:pPr>
        <w:pStyle w:val="BodyText"/>
        <w:spacing w:before="2"/>
        <w:rPr>
          <w:rFonts w:ascii="Arial"/>
          <w:b/>
          <w:sz w:val="20"/>
        </w:rPr>
      </w:pPr>
    </w:p>
    <w:tbl>
      <w:tblPr>
        <w:tblW w:w="0" w:type="auto"/>
        <w:jc w:val="left"/>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15"/>
        <w:gridCol w:w="3376"/>
        <w:gridCol w:w="2211"/>
        <w:gridCol w:w="1516"/>
      </w:tblGrid>
      <w:tr>
        <w:trPr>
          <w:trHeight w:val="196" w:hRule="atLeast"/>
        </w:trPr>
        <w:tc>
          <w:tcPr>
            <w:tcW w:w="7215" w:type="dxa"/>
          </w:tcPr>
          <w:p>
            <w:pPr>
              <w:pStyle w:val="TableParagraph"/>
              <w:spacing w:line="147" w:lineRule="exact" w:before="29"/>
              <w:ind w:left="188"/>
              <w:rPr>
                <w:sz w:val="14"/>
              </w:rPr>
            </w:pPr>
            <w:r>
              <w:rPr>
                <w:sz w:val="14"/>
              </w:rPr>
              <w:t>Total Discretionary Primary Expenditure</w:t>
            </w:r>
          </w:p>
        </w:tc>
        <w:tc>
          <w:tcPr>
            <w:tcW w:w="3376" w:type="dxa"/>
          </w:tcPr>
          <w:p>
            <w:pPr>
              <w:pStyle w:val="TableParagraph"/>
              <w:spacing w:line="147" w:lineRule="exact" w:before="29"/>
              <w:ind w:right="751"/>
              <w:jc w:val="right"/>
              <w:rPr>
                <w:sz w:val="14"/>
              </w:rPr>
            </w:pPr>
            <w:r>
              <w:rPr>
                <w:w w:val="95"/>
                <w:sz w:val="14"/>
              </w:rPr>
              <w:t>2,079,729.8</w:t>
            </w:r>
          </w:p>
        </w:tc>
        <w:tc>
          <w:tcPr>
            <w:tcW w:w="2211" w:type="dxa"/>
          </w:tcPr>
          <w:p>
            <w:pPr>
              <w:pStyle w:val="TableParagraph"/>
              <w:spacing w:line="147" w:lineRule="exact" w:before="29"/>
              <w:ind w:right="696"/>
              <w:jc w:val="right"/>
              <w:rPr>
                <w:sz w:val="14"/>
              </w:rPr>
            </w:pPr>
            <w:r>
              <w:rPr>
                <w:w w:val="95"/>
                <w:sz w:val="14"/>
              </w:rPr>
              <w:t>1,060,030.6</w:t>
            </w:r>
          </w:p>
        </w:tc>
        <w:tc>
          <w:tcPr>
            <w:tcW w:w="1516" w:type="dxa"/>
          </w:tcPr>
          <w:p>
            <w:pPr>
              <w:pStyle w:val="TableParagraph"/>
              <w:spacing w:line="147" w:lineRule="exact" w:before="29"/>
              <w:ind w:right="57"/>
              <w:jc w:val="right"/>
              <w:rPr>
                <w:sz w:val="14"/>
              </w:rPr>
            </w:pPr>
            <w:r>
              <w:rPr>
                <w:w w:val="95"/>
                <w:sz w:val="14"/>
              </w:rPr>
              <w:t>3,139,760.4</w:t>
            </w:r>
          </w:p>
        </w:tc>
      </w:tr>
      <w:tr>
        <w:trPr>
          <w:trHeight w:val="168" w:hRule="atLeast"/>
        </w:trPr>
        <w:tc>
          <w:tcPr>
            <w:tcW w:w="7215" w:type="dxa"/>
          </w:tcPr>
          <w:p>
            <w:pPr>
              <w:pStyle w:val="TableParagraph"/>
              <w:spacing w:line="147" w:lineRule="exact" w:before="1"/>
              <w:ind w:left="188"/>
              <w:rPr>
                <w:sz w:val="14"/>
              </w:rPr>
            </w:pPr>
            <w:r>
              <w:rPr>
                <w:sz w:val="14"/>
              </w:rPr>
              <w:t>Total Poverty Related Expenditure</w:t>
            </w:r>
          </w:p>
        </w:tc>
        <w:tc>
          <w:tcPr>
            <w:tcW w:w="3376" w:type="dxa"/>
          </w:tcPr>
          <w:p>
            <w:pPr>
              <w:pStyle w:val="TableParagraph"/>
              <w:spacing w:line="147" w:lineRule="exact" w:before="1"/>
              <w:ind w:right="744"/>
              <w:jc w:val="right"/>
              <w:rPr>
                <w:sz w:val="14"/>
              </w:rPr>
            </w:pPr>
            <w:r>
              <w:rPr>
                <w:w w:val="95"/>
                <w:sz w:val="14"/>
              </w:rPr>
              <w:t>676,460.9</w:t>
            </w:r>
          </w:p>
        </w:tc>
        <w:tc>
          <w:tcPr>
            <w:tcW w:w="2211" w:type="dxa"/>
          </w:tcPr>
          <w:p>
            <w:pPr>
              <w:pStyle w:val="TableParagraph"/>
              <w:spacing w:line="147" w:lineRule="exact" w:before="1"/>
              <w:ind w:right="689"/>
              <w:jc w:val="right"/>
              <w:rPr>
                <w:sz w:val="14"/>
              </w:rPr>
            </w:pPr>
            <w:r>
              <w:rPr>
                <w:w w:val="95"/>
                <w:sz w:val="14"/>
              </w:rPr>
              <w:t>820,969.3</w:t>
            </w:r>
          </w:p>
        </w:tc>
        <w:tc>
          <w:tcPr>
            <w:tcW w:w="1516" w:type="dxa"/>
          </w:tcPr>
          <w:p>
            <w:pPr>
              <w:pStyle w:val="TableParagraph"/>
              <w:spacing w:line="147" w:lineRule="exact" w:before="1"/>
              <w:ind w:right="57"/>
              <w:jc w:val="right"/>
              <w:rPr>
                <w:sz w:val="14"/>
              </w:rPr>
            </w:pPr>
            <w:r>
              <w:rPr>
                <w:w w:val="95"/>
                <w:sz w:val="14"/>
              </w:rPr>
              <w:t>1,497,430.2</w:t>
            </w:r>
          </w:p>
        </w:tc>
      </w:tr>
      <w:tr>
        <w:trPr>
          <w:trHeight w:val="167" w:hRule="atLeast"/>
        </w:trPr>
        <w:tc>
          <w:tcPr>
            <w:tcW w:w="7215" w:type="dxa"/>
          </w:tcPr>
          <w:p>
            <w:pPr>
              <w:pStyle w:val="TableParagraph"/>
              <w:spacing w:line="147" w:lineRule="exact" w:before="1"/>
              <w:ind w:left="413"/>
              <w:rPr>
                <w:sz w:val="14"/>
              </w:rPr>
            </w:pPr>
            <w:r>
              <w:rPr>
                <w:sz w:val="14"/>
              </w:rPr>
              <w:t>Anti-Corruption Commission (ACC)</w:t>
            </w:r>
          </w:p>
        </w:tc>
        <w:tc>
          <w:tcPr>
            <w:tcW w:w="3376" w:type="dxa"/>
          </w:tcPr>
          <w:p>
            <w:pPr>
              <w:pStyle w:val="TableParagraph"/>
              <w:spacing w:line="147" w:lineRule="exact" w:before="1"/>
              <w:ind w:right="715"/>
              <w:jc w:val="right"/>
              <w:rPr>
                <w:sz w:val="14"/>
              </w:rPr>
            </w:pPr>
            <w:r>
              <w:rPr>
                <w:w w:val="99"/>
                <w:sz w:val="14"/>
              </w:rPr>
              <w:t>-</w:t>
            </w:r>
          </w:p>
        </w:tc>
        <w:tc>
          <w:tcPr>
            <w:tcW w:w="2211" w:type="dxa"/>
          </w:tcPr>
          <w:p>
            <w:pPr>
              <w:pStyle w:val="TableParagraph"/>
              <w:spacing w:line="147" w:lineRule="exact" w:before="1"/>
              <w:ind w:right="681"/>
              <w:jc w:val="right"/>
              <w:rPr>
                <w:sz w:val="14"/>
              </w:rPr>
            </w:pPr>
            <w:r>
              <w:rPr>
                <w:sz w:val="14"/>
              </w:rPr>
              <w:t>5,000.0</w:t>
            </w:r>
          </w:p>
        </w:tc>
        <w:tc>
          <w:tcPr>
            <w:tcW w:w="1516" w:type="dxa"/>
          </w:tcPr>
          <w:p>
            <w:pPr>
              <w:pStyle w:val="TableParagraph"/>
              <w:spacing w:line="147" w:lineRule="exact" w:before="1"/>
              <w:ind w:right="42"/>
              <w:jc w:val="right"/>
              <w:rPr>
                <w:sz w:val="14"/>
              </w:rPr>
            </w:pPr>
            <w:r>
              <w:rPr>
                <w:sz w:val="14"/>
              </w:rPr>
              <w:t>5,000.0</w:t>
            </w:r>
          </w:p>
        </w:tc>
      </w:tr>
      <w:tr>
        <w:trPr>
          <w:trHeight w:val="167" w:hRule="atLeast"/>
        </w:trPr>
        <w:tc>
          <w:tcPr>
            <w:tcW w:w="7215" w:type="dxa"/>
          </w:tcPr>
          <w:p>
            <w:pPr>
              <w:pStyle w:val="TableParagraph"/>
              <w:spacing w:line="147" w:lineRule="exact" w:before="1"/>
              <w:ind w:left="413"/>
              <w:rPr>
                <w:sz w:val="14"/>
              </w:rPr>
            </w:pPr>
            <w:r>
              <w:rPr>
                <w:sz w:val="14"/>
              </w:rPr>
              <w:t>Statistics - Sierra Leone</w:t>
            </w:r>
          </w:p>
        </w:tc>
        <w:tc>
          <w:tcPr>
            <w:tcW w:w="3376" w:type="dxa"/>
          </w:tcPr>
          <w:p>
            <w:pPr>
              <w:pStyle w:val="TableParagraph"/>
              <w:spacing w:line="147" w:lineRule="exact" w:before="1"/>
              <w:ind w:right="715"/>
              <w:jc w:val="right"/>
              <w:rPr>
                <w:sz w:val="14"/>
              </w:rPr>
            </w:pPr>
            <w:r>
              <w:rPr>
                <w:w w:val="99"/>
                <w:sz w:val="14"/>
              </w:rPr>
              <w:t>-</w:t>
            </w:r>
          </w:p>
        </w:tc>
        <w:tc>
          <w:tcPr>
            <w:tcW w:w="2211" w:type="dxa"/>
          </w:tcPr>
          <w:p>
            <w:pPr>
              <w:pStyle w:val="TableParagraph"/>
              <w:spacing w:line="147" w:lineRule="exact" w:before="1"/>
              <w:ind w:right="681"/>
              <w:jc w:val="right"/>
              <w:rPr>
                <w:sz w:val="14"/>
              </w:rPr>
            </w:pPr>
            <w:r>
              <w:rPr>
                <w:sz w:val="14"/>
              </w:rPr>
              <w:t>2,500.0</w:t>
            </w:r>
          </w:p>
        </w:tc>
        <w:tc>
          <w:tcPr>
            <w:tcW w:w="1516" w:type="dxa"/>
          </w:tcPr>
          <w:p>
            <w:pPr>
              <w:pStyle w:val="TableParagraph"/>
              <w:spacing w:line="147" w:lineRule="exact" w:before="1"/>
              <w:ind w:right="42"/>
              <w:jc w:val="right"/>
              <w:rPr>
                <w:sz w:val="14"/>
              </w:rPr>
            </w:pPr>
            <w:r>
              <w:rPr>
                <w:sz w:val="14"/>
              </w:rPr>
              <w:t>2,500.0</w:t>
            </w:r>
          </w:p>
        </w:tc>
      </w:tr>
      <w:tr>
        <w:trPr>
          <w:trHeight w:val="167" w:hRule="atLeast"/>
        </w:trPr>
        <w:tc>
          <w:tcPr>
            <w:tcW w:w="7215" w:type="dxa"/>
          </w:tcPr>
          <w:p>
            <w:pPr>
              <w:pStyle w:val="TableParagraph"/>
              <w:spacing w:line="147" w:lineRule="exact" w:before="1"/>
              <w:ind w:left="413"/>
              <w:rPr>
                <w:sz w:val="14"/>
              </w:rPr>
            </w:pPr>
            <w:r>
              <w:rPr>
                <w:sz w:val="14"/>
              </w:rPr>
              <w:t>Sierra Leone Police</w:t>
            </w:r>
          </w:p>
        </w:tc>
        <w:tc>
          <w:tcPr>
            <w:tcW w:w="3376" w:type="dxa"/>
          </w:tcPr>
          <w:p>
            <w:pPr>
              <w:pStyle w:val="TableParagraph"/>
              <w:spacing w:line="147" w:lineRule="exact" w:before="1"/>
              <w:ind w:right="740"/>
              <w:jc w:val="right"/>
              <w:rPr>
                <w:sz w:val="14"/>
              </w:rPr>
            </w:pPr>
            <w:r>
              <w:rPr>
                <w:w w:val="95"/>
                <w:sz w:val="14"/>
              </w:rPr>
              <w:t>60,075.1</w:t>
            </w:r>
          </w:p>
        </w:tc>
        <w:tc>
          <w:tcPr>
            <w:tcW w:w="2211" w:type="dxa"/>
          </w:tcPr>
          <w:p>
            <w:pPr>
              <w:pStyle w:val="TableParagraph"/>
              <w:spacing w:line="147" w:lineRule="exact" w:before="1"/>
              <w:ind w:right="660"/>
              <w:jc w:val="right"/>
              <w:rPr>
                <w:sz w:val="14"/>
              </w:rPr>
            </w:pPr>
            <w:r>
              <w:rPr>
                <w:w w:val="99"/>
                <w:sz w:val="14"/>
              </w:rPr>
              <w:t>-</w:t>
            </w:r>
          </w:p>
        </w:tc>
        <w:tc>
          <w:tcPr>
            <w:tcW w:w="1516" w:type="dxa"/>
          </w:tcPr>
          <w:p>
            <w:pPr>
              <w:pStyle w:val="TableParagraph"/>
              <w:spacing w:line="147" w:lineRule="exact" w:before="1"/>
              <w:ind w:right="46"/>
              <w:jc w:val="right"/>
              <w:rPr>
                <w:sz w:val="14"/>
              </w:rPr>
            </w:pPr>
            <w:r>
              <w:rPr>
                <w:w w:val="95"/>
                <w:sz w:val="14"/>
              </w:rPr>
              <w:t>60,075.1</w:t>
            </w:r>
          </w:p>
        </w:tc>
      </w:tr>
      <w:tr>
        <w:trPr>
          <w:trHeight w:val="168" w:hRule="atLeast"/>
        </w:trPr>
        <w:tc>
          <w:tcPr>
            <w:tcW w:w="7215" w:type="dxa"/>
          </w:tcPr>
          <w:p>
            <w:pPr>
              <w:pStyle w:val="TableParagraph"/>
              <w:spacing w:line="147" w:lineRule="exact" w:before="1"/>
              <w:ind w:left="413"/>
              <w:rPr>
                <w:sz w:val="14"/>
              </w:rPr>
            </w:pPr>
            <w:r>
              <w:rPr>
                <w:sz w:val="14"/>
              </w:rPr>
              <w:t>Sierra Leone Correctional Services</w:t>
            </w:r>
          </w:p>
        </w:tc>
        <w:tc>
          <w:tcPr>
            <w:tcW w:w="3376" w:type="dxa"/>
          </w:tcPr>
          <w:p>
            <w:pPr>
              <w:pStyle w:val="TableParagraph"/>
              <w:spacing w:line="147" w:lineRule="exact" w:before="1"/>
              <w:ind w:right="740"/>
              <w:jc w:val="right"/>
              <w:rPr>
                <w:sz w:val="14"/>
              </w:rPr>
            </w:pPr>
            <w:r>
              <w:rPr>
                <w:w w:val="95"/>
                <w:sz w:val="14"/>
              </w:rPr>
              <w:t>43,817.4</w:t>
            </w:r>
          </w:p>
        </w:tc>
        <w:tc>
          <w:tcPr>
            <w:tcW w:w="2211" w:type="dxa"/>
          </w:tcPr>
          <w:p>
            <w:pPr>
              <w:pStyle w:val="TableParagraph"/>
              <w:spacing w:line="147" w:lineRule="exact" w:before="1"/>
              <w:ind w:right="660"/>
              <w:jc w:val="right"/>
              <w:rPr>
                <w:sz w:val="14"/>
              </w:rPr>
            </w:pPr>
            <w:r>
              <w:rPr>
                <w:w w:val="99"/>
                <w:sz w:val="14"/>
              </w:rPr>
              <w:t>-</w:t>
            </w:r>
          </w:p>
        </w:tc>
        <w:tc>
          <w:tcPr>
            <w:tcW w:w="1516" w:type="dxa"/>
          </w:tcPr>
          <w:p>
            <w:pPr>
              <w:pStyle w:val="TableParagraph"/>
              <w:spacing w:line="147" w:lineRule="exact" w:before="1"/>
              <w:ind w:right="46"/>
              <w:jc w:val="right"/>
              <w:rPr>
                <w:sz w:val="14"/>
              </w:rPr>
            </w:pPr>
            <w:r>
              <w:rPr>
                <w:w w:val="95"/>
                <w:sz w:val="14"/>
              </w:rPr>
              <w:t>43,817.4</w:t>
            </w:r>
          </w:p>
        </w:tc>
      </w:tr>
      <w:tr>
        <w:trPr>
          <w:trHeight w:val="168" w:hRule="atLeast"/>
        </w:trPr>
        <w:tc>
          <w:tcPr>
            <w:tcW w:w="7215" w:type="dxa"/>
          </w:tcPr>
          <w:p>
            <w:pPr>
              <w:pStyle w:val="TableParagraph"/>
              <w:spacing w:line="147" w:lineRule="exact" w:before="1"/>
              <w:ind w:left="413"/>
              <w:rPr>
                <w:sz w:val="14"/>
              </w:rPr>
            </w:pPr>
            <w:r>
              <w:rPr>
                <w:sz w:val="14"/>
              </w:rPr>
              <w:t>National Fire Authority</w:t>
            </w:r>
          </w:p>
        </w:tc>
        <w:tc>
          <w:tcPr>
            <w:tcW w:w="3376" w:type="dxa"/>
          </w:tcPr>
          <w:p>
            <w:pPr>
              <w:pStyle w:val="TableParagraph"/>
              <w:spacing w:line="147" w:lineRule="exact" w:before="1"/>
              <w:ind w:right="741"/>
              <w:jc w:val="right"/>
              <w:rPr>
                <w:sz w:val="14"/>
              </w:rPr>
            </w:pPr>
            <w:r>
              <w:rPr>
                <w:sz w:val="14"/>
              </w:rPr>
              <w:t>3,428.9</w:t>
            </w:r>
          </w:p>
        </w:tc>
        <w:tc>
          <w:tcPr>
            <w:tcW w:w="2211" w:type="dxa"/>
          </w:tcPr>
          <w:p>
            <w:pPr>
              <w:pStyle w:val="TableParagraph"/>
              <w:spacing w:line="147" w:lineRule="exact" w:before="1"/>
              <w:ind w:right="660"/>
              <w:jc w:val="right"/>
              <w:rPr>
                <w:sz w:val="14"/>
              </w:rPr>
            </w:pPr>
            <w:r>
              <w:rPr>
                <w:w w:val="99"/>
                <w:sz w:val="14"/>
              </w:rPr>
              <w:t>-</w:t>
            </w:r>
          </w:p>
        </w:tc>
        <w:tc>
          <w:tcPr>
            <w:tcW w:w="1516" w:type="dxa"/>
          </w:tcPr>
          <w:p>
            <w:pPr>
              <w:pStyle w:val="TableParagraph"/>
              <w:spacing w:line="147" w:lineRule="exact" w:before="1"/>
              <w:ind w:right="42"/>
              <w:jc w:val="right"/>
              <w:rPr>
                <w:sz w:val="14"/>
              </w:rPr>
            </w:pPr>
            <w:r>
              <w:rPr>
                <w:sz w:val="14"/>
              </w:rPr>
              <w:t>3,428.9</w:t>
            </w:r>
          </w:p>
        </w:tc>
      </w:tr>
      <w:tr>
        <w:trPr>
          <w:trHeight w:val="167" w:hRule="atLeast"/>
        </w:trPr>
        <w:tc>
          <w:tcPr>
            <w:tcW w:w="7215" w:type="dxa"/>
          </w:tcPr>
          <w:p>
            <w:pPr>
              <w:pStyle w:val="TableParagraph"/>
              <w:spacing w:line="147" w:lineRule="exact" w:before="1"/>
              <w:ind w:left="414"/>
              <w:rPr>
                <w:sz w:val="14"/>
              </w:rPr>
            </w:pPr>
            <w:r>
              <w:rPr>
                <w:sz w:val="14"/>
              </w:rPr>
              <w:t>Ministry of Technical and Higher Education</w:t>
            </w:r>
          </w:p>
        </w:tc>
        <w:tc>
          <w:tcPr>
            <w:tcW w:w="3376" w:type="dxa"/>
          </w:tcPr>
          <w:p>
            <w:pPr>
              <w:pStyle w:val="TableParagraph"/>
              <w:spacing w:line="147" w:lineRule="exact" w:before="1"/>
              <w:ind w:right="744"/>
              <w:jc w:val="right"/>
              <w:rPr>
                <w:sz w:val="14"/>
              </w:rPr>
            </w:pPr>
            <w:r>
              <w:rPr>
                <w:w w:val="95"/>
                <w:sz w:val="14"/>
              </w:rPr>
              <w:t>121,981.9</w:t>
            </w:r>
          </w:p>
        </w:tc>
        <w:tc>
          <w:tcPr>
            <w:tcW w:w="2211" w:type="dxa"/>
          </w:tcPr>
          <w:p>
            <w:pPr>
              <w:pStyle w:val="TableParagraph"/>
              <w:spacing w:line="147" w:lineRule="exact" w:before="1"/>
              <w:ind w:right="685"/>
              <w:jc w:val="right"/>
              <w:rPr>
                <w:sz w:val="14"/>
              </w:rPr>
            </w:pPr>
            <w:r>
              <w:rPr>
                <w:w w:val="95"/>
                <w:sz w:val="14"/>
              </w:rPr>
              <w:t>25,900.0</w:t>
            </w:r>
          </w:p>
        </w:tc>
        <w:tc>
          <w:tcPr>
            <w:tcW w:w="1516" w:type="dxa"/>
          </w:tcPr>
          <w:p>
            <w:pPr>
              <w:pStyle w:val="TableParagraph"/>
              <w:spacing w:line="147" w:lineRule="exact" w:before="1"/>
              <w:ind w:right="50"/>
              <w:jc w:val="right"/>
              <w:rPr>
                <w:sz w:val="14"/>
              </w:rPr>
            </w:pPr>
            <w:r>
              <w:rPr>
                <w:w w:val="95"/>
                <w:sz w:val="14"/>
              </w:rPr>
              <w:t>147,881.9</w:t>
            </w:r>
          </w:p>
        </w:tc>
      </w:tr>
      <w:tr>
        <w:trPr>
          <w:trHeight w:val="167" w:hRule="atLeast"/>
        </w:trPr>
        <w:tc>
          <w:tcPr>
            <w:tcW w:w="7215" w:type="dxa"/>
          </w:tcPr>
          <w:p>
            <w:pPr>
              <w:pStyle w:val="TableParagraph"/>
              <w:spacing w:line="147" w:lineRule="exact" w:before="1"/>
              <w:ind w:left="414"/>
              <w:rPr>
                <w:sz w:val="14"/>
              </w:rPr>
            </w:pPr>
            <w:r>
              <w:rPr>
                <w:sz w:val="14"/>
              </w:rPr>
              <w:t>Ministry of Basic and Secondary Education</w:t>
            </w:r>
          </w:p>
        </w:tc>
        <w:tc>
          <w:tcPr>
            <w:tcW w:w="3376" w:type="dxa"/>
          </w:tcPr>
          <w:p>
            <w:pPr>
              <w:pStyle w:val="TableParagraph"/>
              <w:spacing w:line="147" w:lineRule="exact" w:before="1"/>
              <w:ind w:right="740"/>
              <w:jc w:val="right"/>
              <w:rPr>
                <w:sz w:val="14"/>
              </w:rPr>
            </w:pPr>
            <w:r>
              <w:rPr>
                <w:w w:val="95"/>
                <w:sz w:val="14"/>
              </w:rPr>
              <w:t>26,077.7</w:t>
            </w:r>
          </w:p>
        </w:tc>
        <w:tc>
          <w:tcPr>
            <w:tcW w:w="2211" w:type="dxa"/>
          </w:tcPr>
          <w:p>
            <w:pPr>
              <w:pStyle w:val="TableParagraph"/>
              <w:spacing w:line="147" w:lineRule="exact" w:before="1"/>
              <w:ind w:right="689"/>
              <w:jc w:val="right"/>
              <w:rPr>
                <w:sz w:val="14"/>
              </w:rPr>
            </w:pPr>
            <w:r>
              <w:rPr>
                <w:w w:val="95"/>
                <w:sz w:val="14"/>
              </w:rPr>
              <w:t>292,700.0</w:t>
            </w:r>
          </w:p>
        </w:tc>
        <w:tc>
          <w:tcPr>
            <w:tcW w:w="1516" w:type="dxa"/>
          </w:tcPr>
          <w:p>
            <w:pPr>
              <w:pStyle w:val="TableParagraph"/>
              <w:spacing w:line="147" w:lineRule="exact" w:before="1"/>
              <w:ind w:right="50"/>
              <w:jc w:val="right"/>
              <w:rPr>
                <w:sz w:val="14"/>
              </w:rPr>
            </w:pPr>
            <w:r>
              <w:rPr>
                <w:w w:val="95"/>
                <w:sz w:val="14"/>
              </w:rPr>
              <w:t>318,777.7</w:t>
            </w:r>
          </w:p>
        </w:tc>
      </w:tr>
      <w:tr>
        <w:trPr>
          <w:trHeight w:val="167" w:hRule="atLeast"/>
        </w:trPr>
        <w:tc>
          <w:tcPr>
            <w:tcW w:w="7215" w:type="dxa"/>
          </w:tcPr>
          <w:p>
            <w:pPr>
              <w:pStyle w:val="TableParagraph"/>
              <w:spacing w:line="147" w:lineRule="exact" w:before="1"/>
              <w:ind w:left="414"/>
              <w:rPr>
                <w:sz w:val="14"/>
              </w:rPr>
            </w:pPr>
            <w:r>
              <w:rPr>
                <w:sz w:val="14"/>
              </w:rPr>
              <w:t>Ministry of Health and Sanitation</w:t>
            </w:r>
          </w:p>
        </w:tc>
        <w:tc>
          <w:tcPr>
            <w:tcW w:w="3376" w:type="dxa"/>
          </w:tcPr>
          <w:p>
            <w:pPr>
              <w:pStyle w:val="TableParagraph"/>
              <w:spacing w:line="147" w:lineRule="exact" w:before="1"/>
              <w:ind w:right="740"/>
              <w:jc w:val="right"/>
              <w:rPr>
                <w:sz w:val="14"/>
              </w:rPr>
            </w:pPr>
            <w:r>
              <w:rPr>
                <w:w w:val="95"/>
                <w:sz w:val="14"/>
              </w:rPr>
              <w:t>51,237.3</w:t>
            </w:r>
          </w:p>
        </w:tc>
        <w:tc>
          <w:tcPr>
            <w:tcW w:w="2211" w:type="dxa"/>
          </w:tcPr>
          <w:p>
            <w:pPr>
              <w:pStyle w:val="TableParagraph"/>
              <w:spacing w:line="147" w:lineRule="exact" w:before="1"/>
              <w:ind w:right="685"/>
              <w:jc w:val="right"/>
              <w:rPr>
                <w:sz w:val="14"/>
              </w:rPr>
            </w:pPr>
            <w:r>
              <w:rPr>
                <w:w w:val="95"/>
                <w:sz w:val="14"/>
              </w:rPr>
              <w:t>37,200.0</w:t>
            </w:r>
          </w:p>
        </w:tc>
        <w:tc>
          <w:tcPr>
            <w:tcW w:w="1516" w:type="dxa"/>
          </w:tcPr>
          <w:p>
            <w:pPr>
              <w:pStyle w:val="TableParagraph"/>
              <w:spacing w:line="147" w:lineRule="exact" w:before="1"/>
              <w:ind w:right="46"/>
              <w:jc w:val="right"/>
              <w:rPr>
                <w:sz w:val="14"/>
              </w:rPr>
            </w:pPr>
            <w:r>
              <w:rPr>
                <w:w w:val="95"/>
                <w:sz w:val="14"/>
              </w:rPr>
              <w:t>88,437.3</w:t>
            </w:r>
          </w:p>
        </w:tc>
      </w:tr>
      <w:tr>
        <w:trPr>
          <w:trHeight w:val="168" w:hRule="atLeast"/>
        </w:trPr>
        <w:tc>
          <w:tcPr>
            <w:tcW w:w="7215" w:type="dxa"/>
          </w:tcPr>
          <w:p>
            <w:pPr>
              <w:pStyle w:val="TableParagraph"/>
              <w:spacing w:line="147" w:lineRule="exact" w:before="1"/>
              <w:ind w:left="414"/>
              <w:rPr>
                <w:sz w:val="14"/>
              </w:rPr>
            </w:pPr>
            <w:r>
              <w:rPr>
                <w:sz w:val="14"/>
              </w:rPr>
              <w:t>Ministry of Social Welfare, Gender &amp; Children's Affairs</w:t>
            </w:r>
          </w:p>
        </w:tc>
        <w:tc>
          <w:tcPr>
            <w:tcW w:w="3376" w:type="dxa"/>
          </w:tcPr>
          <w:p>
            <w:pPr>
              <w:pStyle w:val="TableParagraph"/>
              <w:spacing w:line="147" w:lineRule="exact" w:before="1"/>
              <w:ind w:right="740"/>
              <w:jc w:val="right"/>
              <w:rPr>
                <w:sz w:val="14"/>
              </w:rPr>
            </w:pPr>
            <w:r>
              <w:rPr>
                <w:w w:val="95"/>
                <w:sz w:val="14"/>
              </w:rPr>
              <w:t>20,657.5</w:t>
            </w:r>
          </w:p>
        </w:tc>
        <w:tc>
          <w:tcPr>
            <w:tcW w:w="2211" w:type="dxa"/>
          </w:tcPr>
          <w:p>
            <w:pPr>
              <w:pStyle w:val="TableParagraph"/>
              <w:spacing w:line="147" w:lineRule="exact" w:before="1"/>
              <w:ind w:right="660"/>
              <w:jc w:val="right"/>
              <w:rPr>
                <w:sz w:val="14"/>
              </w:rPr>
            </w:pPr>
            <w:r>
              <w:rPr>
                <w:w w:val="99"/>
                <w:sz w:val="14"/>
              </w:rPr>
              <w:t>-</w:t>
            </w:r>
          </w:p>
        </w:tc>
        <w:tc>
          <w:tcPr>
            <w:tcW w:w="1516" w:type="dxa"/>
          </w:tcPr>
          <w:p>
            <w:pPr>
              <w:pStyle w:val="TableParagraph"/>
              <w:spacing w:line="147" w:lineRule="exact" w:before="1"/>
              <w:ind w:right="46"/>
              <w:jc w:val="right"/>
              <w:rPr>
                <w:sz w:val="14"/>
              </w:rPr>
            </w:pPr>
            <w:r>
              <w:rPr>
                <w:w w:val="95"/>
                <w:sz w:val="14"/>
              </w:rPr>
              <w:t>20,657.5</w:t>
            </w:r>
          </w:p>
        </w:tc>
      </w:tr>
      <w:tr>
        <w:trPr>
          <w:trHeight w:val="168" w:hRule="atLeast"/>
        </w:trPr>
        <w:tc>
          <w:tcPr>
            <w:tcW w:w="7215" w:type="dxa"/>
          </w:tcPr>
          <w:p>
            <w:pPr>
              <w:pStyle w:val="TableParagraph"/>
              <w:spacing w:line="147" w:lineRule="exact" w:before="1"/>
              <w:ind w:left="414"/>
              <w:rPr>
                <w:sz w:val="14"/>
              </w:rPr>
            </w:pPr>
            <w:r>
              <w:rPr>
                <w:sz w:val="14"/>
              </w:rPr>
              <w:t>Health Service Commission</w:t>
            </w:r>
          </w:p>
        </w:tc>
        <w:tc>
          <w:tcPr>
            <w:tcW w:w="3376" w:type="dxa"/>
          </w:tcPr>
          <w:p>
            <w:pPr>
              <w:pStyle w:val="TableParagraph"/>
              <w:spacing w:line="147" w:lineRule="exact" w:before="1"/>
              <w:ind w:right="741"/>
              <w:jc w:val="right"/>
              <w:rPr>
                <w:sz w:val="14"/>
              </w:rPr>
            </w:pPr>
            <w:r>
              <w:rPr>
                <w:sz w:val="14"/>
              </w:rPr>
              <w:t>1,034.0</w:t>
            </w:r>
          </w:p>
        </w:tc>
        <w:tc>
          <w:tcPr>
            <w:tcW w:w="2211" w:type="dxa"/>
          </w:tcPr>
          <w:p>
            <w:pPr>
              <w:pStyle w:val="TableParagraph"/>
              <w:spacing w:line="147" w:lineRule="exact" w:before="1"/>
              <w:ind w:right="660"/>
              <w:jc w:val="right"/>
              <w:rPr>
                <w:sz w:val="14"/>
              </w:rPr>
            </w:pPr>
            <w:r>
              <w:rPr>
                <w:w w:val="99"/>
                <w:sz w:val="14"/>
              </w:rPr>
              <w:t>-</w:t>
            </w:r>
          </w:p>
        </w:tc>
        <w:tc>
          <w:tcPr>
            <w:tcW w:w="1516" w:type="dxa"/>
          </w:tcPr>
          <w:p>
            <w:pPr>
              <w:pStyle w:val="TableParagraph"/>
              <w:spacing w:line="147" w:lineRule="exact" w:before="1"/>
              <w:ind w:right="42"/>
              <w:jc w:val="right"/>
              <w:rPr>
                <w:sz w:val="14"/>
              </w:rPr>
            </w:pPr>
            <w:r>
              <w:rPr>
                <w:sz w:val="14"/>
              </w:rPr>
              <w:t>1,034.0</w:t>
            </w:r>
          </w:p>
        </w:tc>
      </w:tr>
      <w:tr>
        <w:trPr>
          <w:trHeight w:val="167" w:hRule="atLeast"/>
        </w:trPr>
        <w:tc>
          <w:tcPr>
            <w:tcW w:w="7215" w:type="dxa"/>
          </w:tcPr>
          <w:p>
            <w:pPr>
              <w:pStyle w:val="TableParagraph"/>
              <w:spacing w:line="147" w:lineRule="exact" w:before="1"/>
              <w:ind w:left="414"/>
              <w:rPr>
                <w:sz w:val="14"/>
              </w:rPr>
            </w:pPr>
            <w:r>
              <w:rPr>
                <w:sz w:val="14"/>
              </w:rPr>
              <w:t>Ministry of Transport and Aviation (MoTA)</w:t>
            </w:r>
          </w:p>
        </w:tc>
        <w:tc>
          <w:tcPr>
            <w:tcW w:w="3376" w:type="dxa"/>
          </w:tcPr>
          <w:p>
            <w:pPr>
              <w:pStyle w:val="TableParagraph"/>
              <w:spacing w:line="147" w:lineRule="exact" w:before="1"/>
              <w:ind w:right="740"/>
              <w:jc w:val="right"/>
              <w:rPr>
                <w:sz w:val="14"/>
              </w:rPr>
            </w:pPr>
            <w:r>
              <w:rPr>
                <w:w w:val="95"/>
                <w:sz w:val="14"/>
              </w:rPr>
              <w:t>56,370.8</w:t>
            </w:r>
          </w:p>
        </w:tc>
        <w:tc>
          <w:tcPr>
            <w:tcW w:w="2211" w:type="dxa"/>
          </w:tcPr>
          <w:p>
            <w:pPr>
              <w:pStyle w:val="TableParagraph"/>
              <w:spacing w:line="147" w:lineRule="exact" w:before="1"/>
              <w:ind w:right="660"/>
              <w:jc w:val="right"/>
              <w:rPr>
                <w:sz w:val="14"/>
              </w:rPr>
            </w:pPr>
            <w:r>
              <w:rPr>
                <w:w w:val="99"/>
                <w:sz w:val="14"/>
              </w:rPr>
              <w:t>-</w:t>
            </w:r>
          </w:p>
        </w:tc>
        <w:tc>
          <w:tcPr>
            <w:tcW w:w="1516" w:type="dxa"/>
          </w:tcPr>
          <w:p>
            <w:pPr>
              <w:pStyle w:val="TableParagraph"/>
              <w:spacing w:line="147" w:lineRule="exact" w:before="1"/>
              <w:ind w:right="46"/>
              <w:jc w:val="right"/>
              <w:rPr>
                <w:sz w:val="14"/>
              </w:rPr>
            </w:pPr>
            <w:r>
              <w:rPr>
                <w:w w:val="95"/>
                <w:sz w:val="14"/>
              </w:rPr>
              <w:t>56,370.8</w:t>
            </w:r>
          </w:p>
        </w:tc>
      </w:tr>
      <w:tr>
        <w:trPr>
          <w:trHeight w:val="167" w:hRule="atLeast"/>
        </w:trPr>
        <w:tc>
          <w:tcPr>
            <w:tcW w:w="7215" w:type="dxa"/>
          </w:tcPr>
          <w:p>
            <w:pPr>
              <w:pStyle w:val="TableParagraph"/>
              <w:spacing w:line="147" w:lineRule="exact" w:before="1"/>
              <w:ind w:left="414"/>
              <w:rPr>
                <w:sz w:val="14"/>
              </w:rPr>
            </w:pPr>
            <w:r>
              <w:rPr>
                <w:sz w:val="14"/>
              </w:rPr>
              <w:t>Ministry of Agriculture, Forestry and Food Security</w:t>
            </w:r>
          </w:p>
        </w:tc>
        <w:tc>
          <w:tcPr>
            <w:tcW w:w="3376" w:type="dxa"/>
          </w:tcPr>
          <w:p>
            <w:pPr>
              <w:pStyle w:val="TableParagraph"/>
              <w:spacing w:line="147" w:lineRule="exact" w:before="1"/>
              <w:ind w:right="740"/>
              <w:jc w:val="right"/>
              <w:rPr>
                <w:sz w:val="14"/>
              </w:rPr>
            </w:pPr>
            <w:r>
              <w:rPr>
                <w:w w:val="95"/>
                <w:sz w:val="14"/>
              </w:rPr>
              <w:t>38,925.7</w:t>
            </w:r>
          </w:p>
        </w:tc>
        <w:tc>
          <w:tcPr>
            <w:tcW w:w="2211" w:type="dxa"/>
          </w:tcPr>
          <w:p>
            <w:pPr>
              <w:pStyle w:val="TableParagraph"/>
              <w:spacing w:line="147" w:lineRule="exact" w:before="1"/>
              <w:ind w:right="689"/>
              <w:jc w:val="right"/>
              <w:rPr>
                <w:sz w:val="14"/>
              </w:rPr>
            </w:pPr>
            <w:r>
              <w:rPr>
                <w:w w:val="95"/>
                <w:sz w:val="14"/>
              </w:rPr>
              <w:t>109,377.7</w:t>
            </w:r>
          </w:p>
        </w:tc>
        <w:tc>
          <w:tcPr>
            <w:tcW w:w="1516" w:type="dxa"/>
          </w:tcPr>
          <w:p>
            <w:pPr>
              <w:pStyle w:val="TableParagraph"/>
              <w:spacing w:line="147" w:lineRule="exact" w:before="1"/>
              <w:ind w:right="50"/>
              <w:jc w:val="right"/>
              <w:rPr>
                <w:sz w:val="14"/>
              </w:rPr>
            </w:pPr>
            <w:r>
              <w:rPr>
                <w:w w:val="95"/>
                <w:sz w:val="14"/>
              </w:rPr>
              <w:t>148,303.4</w:t>
            </w:r>
          </w:p>
        </w:tc>
      </w:tr>
      <w:tr>
        <w:trPr>
          <w:trHeight w:val="167" w:hRule="atLeast"/>
        </w:trPr>
        <w:tc>
          <w:tcPr>
            <w:tcW w:w="7215" w:type="dxa"/>
          </w:tcPr>
          <w:p>
            <w:pPr>
              <w:pStyle w:val="TableParagraph"/>
              <w:spacing w:line="147" w:lineRule="exact" w:before="1"/>
              <w:ind w:left="414"/>
              <w:rPr>
                <w:sz w:val="14"/>
              </w:rPr>
            </w:pPr>
            <w:r>
              <w:rPr>
                <w:sz w:val="14"/>
              </w:rPr>
              <w:t>Ministry of Energy</w:t>
            </w:r>
          </w:p>
        </w:tc>
        <w:tc>
          <w:tcPr>
            <w:tcW w:w="3376" w:type="dxa"/>
          </w:tcPr>
          <w:p>
            <w:pPr>
              <w:pStyle w:val="TableParagraph"/>
              <w:spacing w:line="147" w:lineRule="exact" w:before="1"/>
              <w:ind w:right="744"/>
              <w:jc w:val="right"/>
              <w:rPr>
                <w:sz w:val="14"/>
              </w:rPr>
            </w:pPr>
            <w:r>
              <w:rPr>
                <w:w w:val="95"/>
                <w:sz w:val="14"/>
              </w:rPr>
              <w:t>127,537.2</w:t>
            </w:r>
          </w:p>
        </w:tc>
        <w:tc>
          <w:tcPr>
            <w:tcW w:w="2211" w:type="dxa"/>
          </w:tcPr>
          <w:p>
            <w:pPr>
              <w:pStyle w:val="TableParagraph"/>
              <w:spacing w:line="147" w:lineRule="exact" w:before="1"/>
              <w:ind w:right="685"/>
              <w:jc w:val="right"/>
              <w:rPr>
                <w:sz w:val="14"/>
              </w:rPr>
            </w:pPr>
            <w:r>
              <w:rPr>
                <w:w w:val="95"/>
                <w:sz w:val="14"/>
              </w:rPr>
              <w:t>42,152.6</w:t>
            </w:r>
          </w:p>
        </w:tc>
        <w:tc>
          <w:tcPr>
            <w:tcW w:w="1516" w:type="dxa"/>
          </w:tcPr>
          <w:p>
            <w:pPr>
              <w:pStyle w:val="TableParagraph"/>
              <w:spacing w:line="147" w:lineRule="exact" w:before="1"/>
              <w:ind w:right="50"/>
              <w:jc w:val="right"/>
              <w:rPr>
                <w:sz w:val="14"/>
              </w:rPr>
            </w:pPr>
            <w:r>
              <w:rPr>
                <w:w w:val="95"/>
                <w:sz w:val="14"/>
              </w:rPr>
              <w:t>169,689.9</w:t>
            </w:r>
          </w:p>
        </w:tc>
      </w:tr>
      <w:tr>
        <w:trPr>
          <w:trHeight w:val="168" w:hRule="atLeast"/>
        </w:trPr>
        <w:tc>
          <w:tcPr>
            <w:tcW w:w="7215" w:type="dxa"/>
          </w:tcPr>
          <w:p>
            <w:pPr>
              <w:pStyle w:val="TableParagraph"/>
              <w:spacing w:line="147" w:lineRule="exact" w:before="1"/>
              <w:ind w:left="413"/>
              <w:rPr>
                <w:sz w:val="14"/>
              </w:rPr>
            </w:pPr>
            <w:r>
              <w:rPr>
                <w:sz w:val="14"/>
              </w:rPr>
              <w:t>National Commission for Social Action(NaCSA)</w:t>
            </w:r>
          </w:p>
        </w:tc>
        <w:tc>
          <w:tcPr>
            <w:tcW w:w="3376" w:type="dxa"/>
          </w:tcPr>
          <w:p>
            <w:pPr>
              <w:pStyle w:val="TableParagraph"/>
              <w:spacing w:line="147" w:lineRule="exact" w:before="1"/>
              <w:ind w:right="715"/>
              <w:jc w:val="right"/>
              <w:rPr>
                <w:sz w:val="14"/>
              </w:rPr>
            </w:pPr>
            <w:r>
              <w:rPr>
                <w:w w:val="99"/>
                <w:sz w:val="14"/>
              </w:rPr>
              <w:t>-</w:t>
            </w:r>
          </w:p>
        </w:tc>
        <w:tc>
          <w:tcPr>
            <w:tcW w:w="2211" w:type="dxa"/>
          </w:tcPr>
          <w:p>
            <w:pPr>
              <w:pStyle w:val="TableParagraph"/>
              <w:spacing w:line="147" w:lineRule="exact" w:before="1"/>
              <w:ind w:right="685"/>
              <w:jc w:val="right"/>
              <w:rPr>
                <w:sz w:val="14"/>
              </w:rPr>
            </w:pPr>
            <w:r>
              <w:rPr>
                <w:w w:val="95"/>
                <w:sz w:val="14"/>
              </w:rPr>
              <w:t>14,711.0</w:t>
            </w:r>
          </w:p>
        </w:tc>
        <w:tc>
          <w:tcPr>
            <w:tcW w:w="1516" w:type="dxa"/>
          </w:tcPr>
          <w:p>
            <w:pPr>
              <w:pStyle w:val="TableParagraph"/>
              <w:spacing w:line="147" w:lineRule="exact" w:before="1"/>
              <w:ind w:right="46"/>
              <w:jc w:val="right"/>
              <w:rPr>
                <w:sz w:val="14"/>
              </w:rPr>
            </w:pPr>
            <w:r>
              <w:rPr>
                <w:w w:val="95"/>
                <w:sz w:val="14"/>
              </w:rPr>
              <w:t>14,711.0</w:t>
            </w:r>
          </w:p>
        </w:tc>
      </w:tr>
      <w:tr>
        <w:trPr>
          <w:trHeight w:val="167" w:hRule="atLeast"/>
        </w:trPr>
        <w:tc>
          <w:tcPr>
            <w:tcW w:w="7215" w:type="dxa"/>
          </w:tcPr>
          <w:p>
            <w:pPr>
              <w:pStyle w:val="TableParagraph"/>
              <w:spacing w:line="147" w:lineRule="exact" w:before="1"/>
              <w:ind w:left="413"/>
              <w:rPr>
                <w:sz w:val="14"/>
              </w:rPr>
            </w:pPr>
            <w:r>
              <w:rPr>
                <w:sz w:val="14"/>
              </w:rPr>
              <w:t>Sierra Leone Electricity and Water Regulatory Commission</w:t>
            </w:r>
          </w:p>
        </w:tc>
        <w:tc>
          <w:tcPr>
            <w:tcW w:w="3376" w:type="dxa"/>
          </w:tcPr>
          <w:p>
            <w:pPr>
              <w:pStyle w:val="TableParagraph"/>
              <w:spacing w:line="147" w:lineRule="exact" w:before="1"/>
              <w:ind w:right="729"/>
              <w:jc w:val="right"/>
              <w:rPr>
                <w:sz w:val="14"/>
              </w:rPr>
            </w:pPr>
            <w:r>
              <w:rPr>
                <w:sz w:val="14"/>
              </w:rPr>
              <w:t>821.8</w:t>
            </w:r>
          </w:p>
        </w:tc>
        <w:tc>
          <w:tcPr>
            <w:tcW w:w="2211" w:type="dxa"/>
          </w:tcPr>
          <w:p>
            <w:pPr>
              <w:pStyle w:val="TableParagraph"/>
              <w:spacing w:line="147" w:lineRule="exact" w:before="1"/>
              <w:ind w:right="660"/>
              <w:jc w:val="right"/>
              <w:rPr>
                <w:sz w:val="14"/>
              </w:rPr>
            </w:pPr>
            <w:r>
              <w:rPr>
                <w:w w:val="99"/>
                <w:sz w:val="14"/>
              </w:rPr>
              <w:t>-</w:t>
            </w:r>
          </w:p>
        </w:tc>
        <w:tc>
          <w:tcPr>
            <w:tcW w:w="1516" w:type="dxa"/>
          </w:tcPr>
          <w:p>
            <w:pPr>
              <w:pStyle w:val="TableParagraph"/>
              <w:spacing w:line="147" w:lineRule="exact" w:before="1"/>
              <w:ind w:right="35"/>
              <w:jc w:val="right"/>
              <w:rPr>
                <w:sz w:val="14"/>
              </w:rPr>
            </w:pPr>
            <w:r>
              <w:rPr>
                <w:sz w:val="14"/>
              </w:rPr>
              <w:t>821.8</w:t>
            </w:r>
          </w:p>
        </w:tc>
      </w:tr>
      <w:tr>
        <w:trPr>
          <w:trHeight w:val="168" w:hRule="atLeast"/>
        </w:trPr>
        <w:tc>
          <w:tcPr>
            <w:tcW w:w="7215" w:type="dxa"/>
          </w:tcPr>
          <w:p>
            <w:pPr>
              <w:pStyle w:val="TableParagraph"/>
              <w:spacing w:line="147" w:lineRule="exact" w:before="1"/>
              <w:ind w:left="414"/>
              <w:rPr>
                <w:sz w:val="14"/>
              </w:rPr>
            </w:pPr>
            <w:r>
              <w:rPr>
                <w:sz w:val="14"/>
              </w:rPr>
              <w:t>Ministry of Water Resources</w:t>
            </w:r>
          </w:p>
        </w:tc>
        <w:tc>
          <w:tcPr>
            <w:tcW w:w="3376" w:type="dxa"/>
          </w:tcPr>
          <w:p>
            <w:pPr>
              <w:pStyle w:val="TableParagraph"/>
              <w:spacing w:line="147" w:lineRule="exact" w:before="1"/>
              <w:ind w:right="740"/>
              <w:jc w:val="right"/>
              <w:rPr>
                <w:sz w:val="14"/>
              </w:rPr>
            </w:pPr>
            <w:r>
              <w:rPr>
                <w:w w:val="95"/>
                <w:sz w:val="14"/>
              </w:rPr>
              <w:t>11,312.2</w:t>
            </w:r>
          </w:p>
        </w:tc>
        <w:tc>
          <w:tcPr>
            <w:tcW w:w="2211" w:type="dxa"/>
          </w:tcPr>
          <w:p>
            <w:pPr>
              <w:pStyle w:val="TableParagraph"/>
              <w:spacing w:line="147" w:lineRule="exact" w:before="1"/>
              <w:ind w:right="685"/>
              <w:jc w:val="right"/>
              <w:rPr>
                <w:sz w:val="14"/>
              </w:rPr>
            </w:pPr>
            <w:r>
              <w:rPr>
                <w:w w:val="95"/>
                <w:sz w:val="14"/>
              </w:rPr>
              <w:t>44,742.0</w:t>
            </w:r>
          </w:p>
        </w:tc>
        <w:tc>
          <w:tcPr>
            <w:tcW w:w="1516" w:type="dxa"/>
          </w:tcPr>
          <w:p>
            <w:pPr>
              <w:pStyle w:val="TableParagraph"/>
              <w:spacing w:line="147" w:lineRule="exact" w:before="1"/>
              <w:ind w:right="46"/>
              <w:jc w:val="right"/>
              <w:rPr>
                <w:sz w:val="14"/>
              </w:rPr>
            </w:pPr>
            <w:r>
              <w:rPr>
                <w:w w:val="95"/>
                <w:sz w:val="14"/>
              </w:rPr>
              <w:t>56,054.2</w:t>
            </w:r>
          </w:p>
        </w:tc>
      </w:tr>
      <w:tr>
        <w:trPr>
          <w:trHeight w:val="168" w:hRule="atLeast"/>
        </w:trPr>
        <w:tc>
          <w:tcPr>
            <w:tcW w:w="7215" w:type="dxa"/>
          </w:tcPr>
          <w:p>
            <w:pPr>
              <w:pStyle w:val="TableParagraph"/>
              <w:spacing w:line="147" w:lineRule="exact" w:before="1"/>
              <w:ind w:left="414"/>
              <w:rPr>
                <w:sz w:val="14"/>
              </w:rPr>
            </w:pPr>
            <w:r>
              <w:rPr>
                <w:sz w:val="14"/>
              </w:rPr>
              <w:t>Ministry of Works</w:t>
            </w:r>
          </w:p>
        </w:tc>
        <w:tc>
          <w:tcPr>
            <w:tcW w:w="3376" w:type="dxa"/>
          </w:tcPr>
          <w:p>
            <w:pPr>
              <w:pStyle w:val="TableParagraph"/>
              <w:spacing w:line="147" w:lineRule="exact" w:before="1"/>
              <w:ind w:right="715"/>
              <w:jc w:val="right"/>
              <w:rPr>
                <w:sz w:val="14"/>
              </w:rPr>
            </w:pPr>
            <w:r>
              <w:rPr>
                <w:w w:val="99"/>
                <w:sz w:val="14"/>
              </w:rPr>
              <w:t>-</w:t>
            </w:r>
          </w:p>
        </w:tc>
        <w:tc>
          <w:tcPr>
            <w:tcW w:w="2211" w:type="dxa"/>
          </w:tcPr>
          <w:p>
            <w:pPr>
              <w:pStyle w:val="TableParagraph"/>
              <w:spacing w:line="147" w:lineRule="exact" w:before="1"/>
              <w:ind w:right="689"/>
              <w:jc w:val="right"/>
              <w:rPr>
                <w:sz w:val="14"/>
              </w:rPr>
            </w:pPr>
            <w:r>
              <w:rPr>
                <w:w w:val="95"/>
                <w:sz w:val="14"/>
              </w:rPr>
              <w:t>217,000.0</w:t>
            </w:r>
          </w:p>
        </w:tc>
        <w:tc>
          <w:tcPr>
            <w:tcW w:w="1516" w:type="dxa"/>
          </w:tcPr>
          <w:p>
            <w:pPr>
              <w:pStyle w:val="TableParagraph"/>
              <w:spacing w:line="147" w:lineRule="exact" w:before="1"/>
              <w:ind w:right="50"/>
              <w:jc w:val="right"/>
              <w:rPr>
                <w:sz w:val="14"/>
              </w:rPr>
            </w:pPr>
            <w:r>
              <w:rPr>
                <w:w w:val="95"/>
                <w:sz w:val="14"/>
              </w:rPr>
              <w:t>217,000.0</w:t>
            </w:r>
          </w:p>
        </w:tc>
      </w:tr>
      <w:tr>
        <w:trPr>
          <w:trHeight w:val="168" w:hRule="atLeast"/>
        </w:trPr>
        <w:tc>
          <w:tcPr>
            <w:tcW w:w="7215" w:type="dxa"/>
          </w:tcPr>
          <w:p>
            <w:pPr>
              <w:pStyle w:val="TableParagraph"/>
              <w:spacing w:line="147" w:lineRule="exact" w:before="1"/>
              <w:ind w:left="414"/>
              <w:rPr>
                <w:sz w:val="14"/>
              </w:rPr>
            </w:pPr>
            <w:r>
              <w:rPr>
                <w:sz w:val="14"/>
              </w:rPr>
              <w:t>Local Councils</w:t>
            </w:r>
          </w:p>
        </w:tc>
        <w:tc>
          <w:tcPr>
            <w:tcW w:w="3376" w:type="dxa"/>
          </w:tcPr>
          <w:p>
            <w:pPr>
              <w:pStyle w:val="TableParagraph"/>
              <w:spacing w:line="147" w:lineRule="exact" w:before="1"/>
              <w:ind w:right="744"/>
              <w:jc w:val="right"/>
              <w:rPr>
                <w:sz w:val="14"/>
              </w:rPr>
            </w:pPr>
            <w:r>
              <w:rPr>
                <w:w w:val="95"/>
                <w:sz w:val="14"/>
              </w:rPr>
              <w:t>113,183.2</w:t>
            </w:r>
          </w:p>
        </w:tc>
        <w:tc>
          <w:tcPr>
            <w:tcW w:w="2211" w:type="dxa"/>
          </w:tcPr>
          <w:p>
            <w:pPr>
              <w:pStyle w:val="TableParagraph"/>
              <w:spacing w:line="147" w:lineRule="exact" w:before="1"/>
              <w:ind w:right="685"/>
              <w:jc w:val="right"/>
              <w:rPr>
                <w:sz w:val="14"/>
              </w:rPr>
            </w:pPr>
            <w:r>
              <w:rPr>
                <w:w w:val="95"/>
                <w:sz w:val="14"/>
              </w:rPr>
              <w:t>29,686.0</w:t>
            </w:r>
          </w:p>
        </w:tc>
        <w:tc>
          <w:tcPr>
            <w:tcW w:w="1516" w:type="dxa"/>
          </w:tcPr>
          <w:p>
            <w:pPr>
              <w:pStyle w:val="TableParagraph"/>
              <w:spacing w:line="147" w:lineRule="exact" w:before="1"/>
              <w:ind w:right="50"/>
              <w:jc w:val="right"/>
              <w:rPr>
                <w:sz w:val="14"/>
              </w:rPr>
            </w:pPr>
            <w:r>
              <w:rPr>
                <w:w w:val="95"/>
                <w:sz w:val="14"/>
              </w:rPr>
              <w:t>142,869.2</w:t>
            </w:r>
          </w:p>
        </w:tc>
      </w:tr>
      <w:tr>
        <w:trPr>
          <w:trHeight w:val="251" w:hRule="atLeast"/>
        </w:trPr>
        <w:tc>
          <w:tcPr>
            <w:tcW w:w="7215" w:type="dxa"/>
          </w:tcPr>
          <w:p>
            <w:pPr>
              <w:pStyle w:val="TableParagraph"/>
              <w:spacing w:before="1"/>
              <w:ind w:left="34"/>
              <w:rPr>
                <w:b/>
                <w:sz w:val="14"/>
              </w:rPr>
            </w:pPr>
            <w:r>
              <w:rPr>
                <w:b/>
                <w:sz w:val="14"/>
              </w:rPr>
              <w:t>Other Discretionary Expenditures</w:t>
            </w:r>
          </w:p>
        </w:tc>
        <w:tc>
          <w:tcPr>
            <w:tcW w:w="3376" w:type="dxa"/>
          </w:tcPr>
          <w:p>
            <w:pPr>
              <w:pStyle w:val="TableParagraph"/>
              <w:spacing w:before="1"/>
              <w:ind w:right="784"/>
              <w:jc w:val="right"/>
              <w:rPr>
                <w:b/>
                <w:sz w:val="14"/>
              </w:rPr>
            </w:pPr>
            <w:r>
              <w:rPr>
                <w:b/>
                <w:sz w:val="14"/>
              </w:rPr>
              <w:t>1,403,268.9</w:t>
            </w:r>
          </w:p>
        </w:tc>
        <w:tc>
          <w:tcPr>
            <w:tcW w:w="2211" w:type="dxa"/>
          </w:tcPr>
          <w:p>
            <w:pPr>
              <w:pStyle w:val="TableParagraph"/>
              <w:spacing w:before="1"/>
              <w:ind w:right="713"/>
              <w:jc w:val="right"/>
              <w:rPr>
                <w:b/>
                <w:sz w:val="14"/>
              </w:rPr>
            </w:pPr>
            <w:r>
              <w:rPr>
                <w:b/>
                <w:sz w:val="14"/>
              </w:rPr>
              <w:t>239,061.2</w:t>
            </w:r>
          </w:p>
        </w:tc>
        <w:tc>
          <w:tcPr>
            <w:tcW w:w="1516" w:type="dxa"/>
          </w:tcPr>
          <w:p>
            <w:pPr>
              <w:pStyle w:val="TableParagraph"/>
              <w:spacing w:before="1"/>
              <w:ind w:right="90"/>
              <w:jc w:val="right"/>
              <w:rPr>
                <w:b/>
                <w:sz w:val="14"/>
              </w:rPr>
            </w:pPr>
            <w:r>
              <w:rPr>
                <w:b/>
                <w:sz w:val="14"/>
              </w:rPr>
              <w:t>1,642,330.1</w:t>
            </w:r>
          </w:p>
        </w:tc>
      </w:tr>
      <w:tr>
        <w:trPr>
          <w:trHeight w:val="336" w:hRule="atLeast"/>
        </w:trPr>
        <w:tc>
          <w:tcPr>
            <w:tcW w:w="7215" w:type="dxa"/>
          </w:tcPr>
          <w:p>
            <w:pPr>
              <w:pStyle w:val="TableParagraph"/>
              <w:spacing w:before="85"/>
              <w:ind w:left="188"/>
              <w:rPr>
                <w:b/>
                <w:sz w:val="14"/>
              </w:rPr>
            </w:pPr>
            <w:r>
              <w:rPr>
                <w:b/>
                <w:sz w:val="14"/>
              </w:rPr>
              <w:t>Summary:</w:t>
            </w:r>
          </w:p>
        </w:tc>
        <w:tc>
          <w:tcPr>
            <w:tcW w:w="3376" w:type="dxa"/>
          </w:tcPr>
          <w:p>
            <w:pPr>
              <w:pStyle w:val="TableParagraph"/>
              <w:rPr>
                <w:rFonts w:ascii="Times New Roman"/>
                <w:sz w:val="14"/>
              </w:rPr>
            </w:pPr>
          </w:p>
        </w:tc>
        <w:tc>
          <w:tcPr>
            <w:tcW w:w="2211" w:type="dxa"/>
          </w:tcPr>
          <w:p>
            <w:pPr>
              <w:pStyle w:val="TableParagraph"/>
              <w:rPr>
                <w:rFonts w:ascii="Times New Roman"/>
                <w:sz w:val="14"/>
              </w:rPr>
            </w:pPr>
          </w:p>
        </w:tc>
        <w:tc>
          <w:tcPr>
            <w:tcW w:w="1516" w:type="dxa"/>
          </w:tcPr>
          <w:p>
            <w:pPr>
              <w:pStyle w:val="TableParagraph"/>
              <w:rPr>
                <w:rFonts w:ascii="Times New Roman"/>
                <w:sz w:val="14"/>
              </w:rPr>
            </w:pPr>
          </w:p>
        </w:tc>
      </w:tr>
      <w:tr>
        <w:trPr>
          <w:trHeight w:val="251" w:hRule="atLeast"/>
        </w:trPr>
        <w:tc>
          <w:tcPr>
            <w:tcW w:w="7215" w:type="dxa"/>
          </w:tcPr>
          <w:p>
            <w:pPr>
              <w:pStyle w:val="TableParagraph"/>
              <w:spacing w:line="147" w:lineRule="exact" w:before="85"/>
              <w:ind w:left="188"/>
              <w:rPr>
                <w:sz w:val="14"/>
              </w:rPr>
            </w:pPr>
            <w:r>
              <w:rPr>
                <w:sz w:val="14"/>
              </w:rPr>
              <w:t>Total Discretionary Primary Expenditure</w:t>
            </w:r>
          </w:p>
        </w:tc>
        <w:tc>
          <w:tcPr>
            <w:tcW w:w="3376" w:type="dxa"/>
          </w:tcPr>
          <w:p>
            <w:pPr>
              <w:pStyle w:val="TableParagraph"/>
              <w:spacing w:line="147" w:lineRule="exact" w:before="85"/>
              <w:ind w:right="784"/>
              <w:jc w:val="right"/>
              <w:rPr>
                <w:b/>
                <w:sz w:val="14"/>
              </w:rPr>
            </w:pPr>
            <w:r>
              <w:rPr>
                <w:b/>
                <w:sz w:val="14"/>
              </w:rPr>
              <w:t>2,079,729.8</w:t>
            </w:r>
          </w:p>
        </w:tc>
        <w:tc>
          <w:tcPr>
            <w:tcW w:w="2211" w:type="dxa"/>
          </w:tcPr>
          <w:p>
            <w:pPr>
              <w:pStyle w:val="TableParagraph"/>
              <w:spacing w:line="147" w:lineRule="exact" w:before="85"/>
              <w:ind w:right="725"/>
              <w:jc w:val="right"/>
              <w:rPr>
                <w:b/>
                <w:sz w:val="14"/>
              </w:rPr>
            </w:pPr>
            <w:r>
              <w:rPr>
                <w:b/>
                <w:sz w:val="14"/>
              </w:rPr>
              <w:t>1,060,030.6</w:t>
            </w:r>
          </w:p>
        </w:tc>
        <w:tc>
          <w:tcPr>
            <w:tcW w:w="1516" w:type="dxa"/>
          </w:tcPr>
          <w:p>
            <w:pPr>
              <w:pStyle w:val="TableParagraph"/>
              <w:spacing w:line="147" w:lineRule="exact" w:before="85"/>
              <w:ind w:right="90"/>
              <w:jc w:val="right"/>
              <w:rPr>
                <w:b/>
                <w:sz w:val="14"/>
              </w:rPr>
            </w:pPr>
            <w:r>
              <w:rPr>
                <w:b/>
                <w:sz w:val="14"/>
              </w:rPr>
              <w:t>3,139,760.4</w:t>
            </w:r>
          </w:p>
        </w:tc>
      </w:tr>
      <w:tr>
        <w:trPr>
          <w:trHeight w:val="335" w:hRule="atLeast"/>
        </w:trPr>
        <w:tc>
          <w:tcPr>
            <w:tcW w:w="7215" w:type="dxa"/>
          </w:tcPr>
          <w:p>
            <w:pPr>
              <w:pStyle w:val="TableParagraph"/>
              <w:spacing w:before="1"/>
              <w:ind w:left="188"/>
              <w:rPr>
                <w:sz w:val="14"/>
              </w:rPr>
            </w:pPr>
            <w:r>
              <w:rPr>
                <w:sz w:val="14"/>
              </w:rPr>
              <w:t>Total Poverty Related Expenditure</w:t>
            </w:r>
          </w:p>
        </w:tc>
        <w:tc>
          <w:tcPr>
            <w:tcW w:w="3376" w:type="dxa"/>
          </w:tcPr>
          <w:p>
            <w:pPr>
              <w:pStyle w:val="TableParagraph"/>
              <w:spacing w:before="1"/>
              <w:ind w:right="772"/>
              <w:jc w:val="right"/>
              <w:rPr>
                <w:b/>
                <w:sz w:val="14"/>
              </w:rPr>
            </w:pPr>
            <w:r>
              <w:rPr>
                <w:b/>
                <w:sz w:val="14"/>
              </w:rPr>
              <w:t>676,460.9</w:t>
            </w:r>
          </w:p>
        </w:tc>
        <w:tc>
          <w:tcPr>
            <w:tcW w:w="2211" w:type="dxa"/>
          </w:tcPr>
          <w:p>
            <w:pPr>
              <w:pStyle w:val="TableParagraph"/>
              <w:spacing w:before="1"/>
              <w:ind w:right="713"/>
              <w:jc w:val="right"/>
              <w:rPr>
                <w:b/>
                <w:sz w:val="14"/>
              </w:rPr>
            </w:pPr>
            <w:r>
              <w:rPr>
                <w:b/>
                <w:sz w:val="14"/>
              </w:rPr>
              <w:t>820,969.3</w:t>
            </w:r>
          </w:p>
        </w:tc>
        <w:tc>
          <w:tcPr>
            <w:tcW w:w="1516" w:type="dxa"/>
          </w:tcPr>
          <w:p>
            <w:pPr>
              <w:pStyle w:val="TableParagraph"/>
              <w:spacing w:before="1"/>
              <w:ind w:right="90"/>
              <w:jc w:val="right"/>
              <w:rPr>
                <w:b/>
                <w:sz w:val="14"/>
              </w:rPr>
            </w:pPr>
            <w:r>
              <w:rPr>
                <w:b/>
                <w:sz w:val="14"/>
              </w:rPr>
              <w:t>1,497,430.2</w:t>
            </w:r>
          </w:p>
        </w:tc>
      </w:tr>
      <w:tr>
        <w:trPr>
          <w:trHeight w:val="364" w:hRule="atLeast"/>
        </w:trPr>
        <w:tc>
          <w:tcPr>
            <w:tcW w:w="7215" w:type="dxa"/>
          </w:tcPr>
          <w:p>
            <w:pPr>
              <w:pStyle w:val="TableParagraph"/>
              <w:spacing w:before="7"/>
              <w:rPr>
                <w:b/>
                <w:sz w:val="14"/>
              </w:rPr>
            </w:pPr>
          </w:p>
          <w:p>
            <w:pPr>
              <w:pStyle w:val="TableParagraph"/>
              <w:spacing w:before="1"/>
              <w:ind w:left="188"/>
              <w:rPr>
                <w:sz w:val="14"/>
              </w:rPr>
            </w:pPr>
            <w:r>
              <w:rPr>
                <w:sz w:val="14"/>
              </w:rPr>
              <w:t>Poverty Related Expenditure as a % of Total Discretionary Primary Expenditure</w:t>
            </w:r>
          </w:p>
        </w:tc>
        <w:tc>
          <w:tcPr>
            <w:tcW w:w="3376" w:type="dxa"/>
          </w:tcPr>
          <w:p>
            <w:pPr>
              <w:pStyle w:val="TableParagraph"/>
              <w:spacing w:before="7"/>
              <w:rPr>
                <w:b/>
                <w:sz w:val="14"/>
              </w:rPr>
            </w:pPr>
          </w:p>
          <w:p>
            <w:pPr>
              <w:pStyle w:val="TableParagraph"/>
              <w:spacing w:before="1"/>
              <w:ind w:right="735"/>
              <w:jc w:val="right"/>
              <w:rPr>
                <w:b/>
                <w:sz w:val="14"/>
              </w:rPr>
            </w:pPr>
            <w:r>
              <w:rPr>
                <w:b/>
                <w:sz w:val="14"/>
              </w:rPr>
              <w:t>32.5%</w:t>
            </w:r>
          </w:p>
        </w:tc>
        <w:tc>
          <w:tcPr>
            <w:tcW w:w="2211" w:type="dxa"/>
          </w:tcPr>
          <w:p>
            <w:pPr>
              <w:pStyle w:val="TableParagraph"/>
              <w:spacing w:before="7"/>
              <w:rPr>
                <w:b/>
                <w:sz w:val="14"/>
              </w:rPr>
            </w:pPr>
          </w:p>
          <w:p>
            <w:pPr>
              <w:pStyle w:val="TableParagraph"/>
              <w:spacing w:before="1"/>
              <w:ind w:right="681"/>
              <w:jc w:val="right"/>
              <w:rPr>
                <w:b/>
                <w:sz w:val="14"/>
              </w:rPr>
            </w:pPr>
            <w:r>
              <w:rPr>
                <w:b/>
                <w:sz w:val="14"/>
              </w:rPr>
              <w:t>77.4%</w:t>
            </w:r>
          </w:p>
        </w:tc>
        <w:tc>
          <w:tcPr>
            <w:tcW w:w="1516" w:type="dxa"/>
          </w:tcPr>
          <w:p>
            <w:pPr>
              <w:pStyle w:val="TableParagraph"/>
              <w:spacing w:before="7"/>
              <w:rPr>
                <w:b/>
                <w:sz w:val="14"/>
              </w:rPr>
            </w:pPr>
          </w:p>
          <w:p>
            <w:pPr>
              <w:pStyle w:val="TableParagraph"/>
              <w:spacing w:before="1"/>
              <w:ind w:right="42"/>
              <w:jc w:val="right"/>
              <w:rPr>
                <w:b/>
                <w:sz w:val="14"/>
              </w:rPr>
            </w:pPr>
            <w:r>
              <w:rPr>
                <w:b/>
                <w:sz w:val="14"/>
              </w:rPr>
              <w:t>47.7%</w:t>
            </w:r>
          </w:p>
        </w:tc>
      </w:tr>
    </w:tbl>
    <w:p>
      <w:pPr>
        <w:spacing w:after="0"/>
        <w:jc w:val="right"/>
        <w:rPr>
          <w:sz w:val="14"/>
        </w:rPr>
        <w:sectPr>
          <w:headerReference w:type="default" r:id="rId21"/>
          <w:pgSz w:w="16840" w:h="11900" w:orient="landscape"/>
          <w:pgMar w:header="0" w:footer="0" w:top="1040" w:bottom="280" w:left="880" w:right="920"/>
        </w:sectPr>
      </w:pPr>
    </w:p>
    <w:p>
      <w:pPr>
        <w:spacing w:before="88"/>
        <w:ind w:left="704" w:right="0" w:firstLine="0"/>
        <w:jc w:val="left"/>
        <w:rPr>
          <w:rFonts w:ascii="Arial"/>
          <w:b/>
          <w:sz w:val="17"/>
        </w:rPr>
      </w:pPr>
      <w:r>
        <w:rPr/>
        <w:pict>
          <v:shape style="position:absolute;margin-left:27.140491pt;margin-top:286.110016pt;width:14.35pt;height:19.3pt;mso-position-horizontal-relative:page;mso-position-vertical-relative:page;z-index:2896" type="#_x0000_t202" filled="false" stroked="false">
            <v:textbox inset="0,0,0,0" style="layout-flow:vertical">
              <w:txbxContent>
                <w:p>
                  <w:pPr>
                    <w:spacing w:before="13"/>
                    <w:ind w:left="20" w:right="0" w:firstLine="0"/>
                    <w:jc w:val="left"/>
                    <w:rPr>
                      <w:rFonts w:ascii="Arial"/>
                      <w:sz w:val="22"/>
                    </w:rPr>
                  </w:pPr>
                  <w:r>
                    <w:rPr>
                      <w:rFonts w:ascii="Arial"/>
                      <w:sz w:val="22"/>
                    </w:rPr>
                    <w:t>xlix</w:t>
                  </w:r>
                </w:p>
              </w:txbxContent>
            </v:textbox>
            <w10:wrap type="none"/>
          </v:shape>
        </w:pict>
      </w:r>
      <w:r>
        <w:rPr>
          <w:rFonts w:ascii="Arial"/>
          <w:b/>
          <w:w w:val="105"/>
          <w:sz w:val="17"/>
        </w:rPr>
        <w:t>ANNEX 12: TREASURY SINGLE ACCOUNT (TSA) AGENCIES REVENUE AND EXPENDITURE PROJECTIONS FOR FY2019-2020</w:t>
      </w:r>
    </w:p>
    <w:p>
      <w:pPr>
        <w:pStyle w:val="BodyText"/>
        <w:spacing w:before="7"/>
        <w:rPr>
          <w:rFonts w:ascii="Arial"/>
          <w:b/>
          <w:sz w:val="20"/>
        </w:rPr>
      </w:pPr>
    </w:p>
    <w:p>
      <w:pPr>
        <w:spacing w:before="0"/>
        <w:ind w:left="138" w:right="0" w:firstLine="0"/>
        <w:jc w:val="left"/>
        <w:rPr>
          <w:rFonts w:ascii="Arial"/>
          <w:b/>
          <w:sz w:val="17"/>
        </w:rPr>
      </w:pPr>
      <w:r>
        <w:rPr/>
        <w:pict>
          <v:line style="position:absolute;mso-position-horizontal-relative:page;mso-position-vertical-relative:paragraph;z-index:-1065448" from="50.880001pt,82.252899pt" to="790.560001pt,82.252899pt" stroked="true" strokeweight="2.16pt" strokecolor="#000000">
            <v:stroke dashstyle="solid"/>
            <w10:wrap type="none"/>
          </v:line>
        </w:pict>
      </w:r>
      <w:r>
        <w:rPr/>
        <w:pict>
          <v:line style="position:absolute;mso-position-horizontal-relative:page;mso-position-vertical-relative:paragraph;z-index:-1065424" from="50.880001pt,40.612900pt" to="790.560001pt,40.612900pt" stroked="true" strokeweight=".48pt" strokecolor="#000000">
            <v:stroke dashstyle="solid"/>
            <w10:wrap type="none"/>
          </v:line>
        </w:pict>
      </w:r>
      <w:r>
        <w:rPr>
          <w:rFonts w:ascii="Arial"/>
          <w:b/>
          <w:w w:val="105"/>
          <w:sz w:val="17"/>
        </w:rPr>
        <w:t>In Million Leones</w:t>
      </w:r>
    </w:p>
    <w:p>
      <w:pPr>
        <w:pStyle w:val="BodyText"/>
        <w:spacing w:before="10"/>
        <w:rPr>
          <w:rFonts w:ascii="Arial"/>
          <w:b/>
          <w:sz w:val="25"/>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8"/>
        <w:gridCol w:w="5875"/>
        <w:gridCol w:w="1168"/>
        <w:gridCol w:w="1667"/>
        <w:gridCol w:w="1364"/>
        <w:gridCol w:w="1310"/>
        <w:gridCol w:w="1494"/>
        <w:gridCol w:w="1385"/>
      </w:tblGrid>
      <w:tr>
        <w:trPr>
          <w:trHeight w:val="1475" w:hRule="atLeast"/>
        </w:trPr>
        <w:tc>
          <w:tcPr>
            <w:tcW w:w="6403" w:type="dxa"/>
            <w:gridSpan w:val="2"/>
            <w:tcBorders>
              <w:top w:val="single" w:sz="18" w:space="0" w:color="000000"/>
            </w:tcBorders>
          </w:tcPr>
          <w:p>
            <w:pPr>
              <w:pStyle w:val="TableParagraph"/>
              <w:rPr>
                <w:b/>
                <w:sz w:val="20"/>
              </w:rPr>
            </w:pPr>
          </w:p>
          <w:p>
            <w:pPr>
              <w:pStyle w:val="TableParagraph"/>
              <w:rPr>
                <w:b/>
                <w:sz w:val="20"/>
              </w:rPr>
            </w:pPr>
          </w:p>
          <w:p>
            <w:pPr>
              <w:pStyle w:val="TableParagraph"/>
              <w:rPr>
                <w:b/>
                <w:sz w:val="17"/>
              </w:rPr>
            </w:pPr>
          </w:p>
          <w:p>
            <w:pPr>
              <w:pStyle w:val="TableParagraph"/>
              <w:ind w:left="1368"/>
              <w:rPr>
                <w:sz w:val="17"/>
              </w:rPr>
            </w:pPr>
            <w:r>
              <w:rPr>
                <w:w w:val="105"/>
                <w:sz w:val="17"/>
              </w:rPr>
              <w:t>Details</w:t>
            </w:r>
          </w:p>
        </w:tc>
        <w:tc>
          <w:tcPr>
            <w:tcW w:w="4199" w:type="dxa"/>
            <w:gridSpan w:val="3"/>
            <w:tcBorders>
              <w:top w:val="single" w:sz="18" w:space="0" w:color="000000"/>
              <w:right w:val="single" w:sz="4" w:space="0" w:color="000000"/>
            </w:tcBorders>
          </w:tcPr>
          <w:p>
            <w:pPr>
              <w:pStyle w:val="TableParagraph"/>
              <w:spacing w:line="194" w:lineRule="exact"/>
              <w:ind w:left="1085"/>
              <w:rPr>
                <w:sz w:val="17"/>
              </w:rPr>
            </w:pPr>
            <w:r>
              <w:rPr>
                <w:w w:val="105"/>
                <w:sz w:val="17"/>
              </w:rPr>
              <w:t>FY 2019 Estimate/ 1</w:t>
            </w:r>
          </w:p>
          <w:p>
            <w:pPr>
              <w:pStyle w:val="TableParagraph"/>
              <w:spacing w:line="179" w:lineRule="exact" w:before="140"/>
              <w:ind w:right="486"/>
              <w:jc w:val="right"/>
              <w:rPr>
                <w:sz w:val="17"/>
              </w:rPr>
            </w:pPr>
            <w:r>
              <w:rPr>
                <w:w w:val="104"/>
                <w:sz w:val="17"/>
              </w:rPr>
              <w:t>%</w:t>
            </w:r>
          </w:p>
          <w:p>
            <w:pPr>
              <w:pStyle w:val="TableParagraph"/>
              <w:tabs>
                <w:tab w:pos="1612" w:val="left" w:leader="none"/>
                <w:tab w:pos="3254" w:val="left" w:leader="none"/>
              </w:tabs>
              <w:spacing w:line="179" w:lineRule="exact"/>
              <w:ind w:left="177"/>
              <w:rPr>
                <w:sz w:val="17"/>
              </w:rPr>
            </w:pPr>
            <w:r>
              <w:rPr>
                <w:spacing w:val="8"/>
                <w:w w:val="105"/>
                <w:sz w:val="17"/>
              </w:rPr>
              <w:t>Revenue</w:t>
              <w:tab/>
            </w:r>
            <w:r>
              <w:rPr>
                <w:spacing w:val="7"/>
                <w:w w:val="105"/>
                <w:sz w:val="17"/>
              </w:rPr>
              <w:t>Transfers</w:t>
              <w:tab/>
            </w:r>
            <w:r>
              <w:rPr>
                <w:spacing w:val="5"/>
                <w:w w:val="105"/>
                <w:sz w:val="17"/>
              </w:rPr>
              <w:t>Transfer</w:t>
            </w:r>
          </w:p>
        </w:tc>
        <w:tc>
          <w:tcPr>
            <w:tcW w:w="4189" w:type="dxa"/>
            <w:gridSpan w:val="3"/>
            <w:tcBorders>
              <w:top w:val="single" w:sz="18" w:space="0" w:color="000000"/>
              <w:left w:val="single" w:sz="4" w:space="0" w:color="000000"/>
            </w:tcBorders>
          </w:tcPr>
          <w:p>
            <w:pPr>
              <w:pStyle w:val="TableParagraph"/>
              <w:spacing w:line="194" w:lineRule="exact"/>
              <w:ind w:left="1207"/>
              <w:rPr>
                <w:sz w:val="17"/>
              </w:rPr>
            </w:pPr>
            <w:r>
              <w:rPr>
                <w:w w:val="105"/>
                <w:sz w:val="17"/>
              </w:rPr>
              <w:t>FY 2020 Budget</w:t>
            </w:r>
          </w:p>
          <w:p>
            <w:pPr>
              <w:pStyle w:val="TableParagraph"/>
              <w:spacing w:line="179" w:lineRule="exact" w:before="140"/>
              <w:ind w:right="456"/>
              <w:jc w:val="right"/>
              <w:rPr>
                <w:sz w:val="17"/>
              </w:rPr>
            </w:pPr>
            <w:r>
              <w:rPr>
                <w:w w:val="104"/>
                <w:sz w:val="17"/>
              </w:rPr>
              <w:t>%</w:t>
            </w:r>
          </w:p>
          <w:p>
            <w:pPr>
              <w:pStyle w:val="TableParagraph"/>
              <w:tabs>
                <w:tab w:pos="1830" w:val="left" w:leader="none"/>
                <w:tab w:pos="3130" w:val="left" w:leader="none"/>
              </w:tabs>
              <w:spacing w:line="179" w:lineRule="exact"/>
              <w:ind w:left="341"/>
              <w:rPr>
                <w:sz w:val="17"/>
              </w:rPr>
            </w:pPr>
            <w:r>
              <w:rPr>
                <w:spacing w:val="8"/>
                <w:w w:val="105"/>
                <w:sz w:val="17"/>
              </w:rPr>
              <w:t>Revenue</w:t>
              <w:tab/>
            </w:r>
            <w:r>
              <w:rPr>
                <w:spacing w:val="2"/>
                <w:w w:val="105"/>
                <w:sz w:val="17"/>
              </w:rPr>
              <w:t>Transfer</w:t>
              <w:tab/>
            </w:r>
            <w:r>
              <w:rPr>
                <w:spacing w:val="5"/>
                <w:w w:val="105"/>
                <w:sz w:val="17"/>
              </w:rPr>
              <w:t>Transfer</w:t>
            </w:r>
          </w:p>
        </w:tc>
      </w:tr>
      <w:tr>
        <w:trPr>
          <w:trHeight w:val="219" w:hRule="atLeast"/>
        </w:trPr>
        <w:tc>
          <w:tcPr>
            <w:tcW w:w="528" w:type="dxa"/>
          </w:tcPr>
          <w:p>
            <w:pPr>
              <w:pStyle w:val="TableParagraph"/>
              <w:rPr>
                <w:rFonts w:ascii="Times New Roman"/>
                <w:sz w:val="14"/>
              </w:rPr>
            </w:pPr>
          </w:p>
        </w:tc>
        <w:tc>
          <w:tcPr>
            <w:tcW w:w="5875" w:type="dxa"/>
          </w:tcPr>
          <w:p>
            <w:pPr>
              <w:pStyle w:val="TableParagraph"/>
              <w:spacing w:before="1"/>
              <w:ind w:left="38"/>
              <w:rPr>
                <w:sz w:val="17"/>
              </w:rPr>
            </w:pPr>
            <w:r>
              <w:rPr>
                <w:w w:val="105"/>
                <w:sz w:val="17"/>
              </w:rPr>
              <w:t>National Telecommunications Commission</w:t>
            </w:r>
          </w:p>
        </w:tc>
        <w:tc>
          <w:tcPr>
            <w:tcW w:w="1168" w:type="dxa"/>
          </w:tcPr>
          <w:p>
            <w:pPr>
              <w:pStyle w:val="TableParagraph"/>
              <w:spacing w:before="1"/>
              <w:ind w:right="359"/>
              <w:jc w:val="right"/>
              <w:rPr>
                <w:sz w:val="17"/>
              </w:rPr>
            </w:pPr>
            <w:r>
              <w:rPr>
                <w:sz w:val="17"/>
              </w:rPr>
              <w:t>173,960</w:t>
            </w:r>
          </w:p>
        </w:tc>
        <w:tc>
          <w:tcPr>
            <w:tcW w:w="1667" w:type="dxa"/>
          </w:tcPr>
          <w:p>
            <w:pPr>
              <w:pStyle w:val="TableParagraph"/>
              <w:spacing w:before="1"/>
              <w:ind w:right="599"/>
              <w:jc w:val="right"/>
              <w:rPr>
                <w:sz w:val="17"/>
              </w:rPr>
            </w:pPr>
            <w:r>
              <w:rPr>
                <w:w w:val="105"/>
                <w:sz w:val="17"/>
              </w:rPr>
              <w:t>97,700</w:t>
            </w:r>
          </w:p>
        </w:tc>
        <w:tc>
          <w:tcPr>
            <w:tcW w:w="1364" w:type="dxa"/>
            <w:tcBorders>
              <w:right w:val="single" w:sz="4" w:space="0" w:color="000000"/>
            </w:tcBorders>
          </w:tcPr>
          <w:p>
            <w:pPr>
              <w:pStyle w:val="TableParagraph"/>
              <w:spacing w:before="1"/>
              <w:ind w:right="305"/>
              <w:jc w:val="right"/>
              <w:rPr>
                <w:sz w:val="17"/>
              </w:rPr>
            </w:pPr>
            <w:r>
              <w:rPr>
                <w:sz w:val="17"/>
              </w:rPr>
              <w:t>56%</w:t>
            </w:r>
          </w:p>
        </w:tc>
        <w:tc>
          <w:tcPr>
            <w:tcW w:w="1310" w:type="dxa"/>
            <w:tcBorders>
              <w:left w:val="single" w:sz="4" w:space="0" w:color="000000"/>
            </w:tcBorders>
          </w:tcPr>
          <w:p>
            <w:pPr>
              <w:pStyle w:val="TableParagraph"/>
              <w:spacing w:before="1"/>
              <w:ind w:left="237"/>
              <w:rPr>
                <w:sz w:val="17"/>
              </w:rPr>
            </w:pPr>
            <w:r>
              <w:rPr>
                <w:w w:val="105"/>
                <w:sz w:val="17"/>
              </w:rPr>
              <w:t>250,210</w:t>
            </w:r>
          </w:p>
        </w:tc>
        <w:tc>
          <w:tcPr>
            <w:tcW w:w="1494" w:type="dxa"/>
          </w:tcPr>
          <w:p>
            <w:pPr>
              <w:pStyle w:val="TableParagraph"/>
              <w:spacing w:before="1"/>
              <w:ind w:right="410"/>
              <w:jc w:val="right"/>
              <w:rPr>
                <w:sz w:val="17"/>
              </w:rPr>
            </w:pPr>
            <w:r>
              <w:rPr>
                <w:sz w:val="17"/>
              </w:rPr>
              <w:t>167,641</w:t>
            </w:r>
          </w:p>
        </w:tc>
        <w:tc>
          <w:tcPr>
            <w:tcW w:w="1385" w:type="dxa"/>
          </w:tcPr>
          <w:p>
            <w:pPr>
              <w:pStyle w:val="TableParagraph"/>
              <w:spacing w:before="1"/>
              <w:ind w:right="530"/>
              <w:jc w:val="right"/>
              <w:rPr>
                <w:sz w:val="17"/>
              </w:rPr>
            </w:pPr>
            <w:r>
              <w:rPr>
                <w:sz w:val="17"/>
              </w:rPr>
              <w:t>67%</w:t>
            </w:r>
          </w:p>
        </w:tc>
      </w:tr>
      <w:tr>
        <w:trPr>
          <w:trHeight w:val="240" w:hRule="atLeast"/>
        </w:trPr>
        <w:tc>
          <w:tcPr>
            <w:tcW w:w="528" w:type="dxa"/>
          </w:tcPr>
          <w:p>
            <w:pPr>
              <w:pStyle w:val="TableParagraph"/>
              <w:rPr>
                <w:rFonts w:ascii="Times New Roman"/>
                <w:sz w:val="16"/>
              </w:rPr>
            </w:pPr>
          </w:p>
        </w:tc>
        <w:tc>
          <w:tcPr>
            <w:tcW w:w="5875" w:type="dxa"/>
          </w:tcPr>
          <w:p>
            <w:pPr>
              <w:pStyle w:val="TableParagraph"/>
              <w:spacing w:before="22"/>
              <w:ind w:left="38"/>
              <w:rPr>
                <w:sz w:val="17"/>
              </w:rPr>
            </w:pPr>
            <w:r>
              <w:rPr>
                <w:w w:val="105"/>
                <w:sz w:val="17"/>
              </w:rPr>
              <w:t>Petroleum Regulatory Agency</w:t>
            </w:r>
          </w:p>
        </w:tc>
        <w:tc>
          <w:tcPr>
            <w:tcW w:w="1168" w:type="dxa"/>
          </w:tcPr>
          <w:p>
            <w:pPr>
              <w:pStyle w:val="TableParagraph"/>
              <w:spacing w:before="22"/>
              <w:ind w:right="348"/>
              <w:jc w:val="right"/>
              <w:rPr>
                <w:sz w:val="17"/>
              </w:rPr>
            </w:pPr>
            <w:r>
              <w:rPr>
                <w:w w:val="105"/>
                <w:sz w:val="17"/>
              </w:rPr>
              <w:t>11,153</w:t>
            </w:r>
          </w:p>
        </w:tc>
        <w:tc>
          <w:tcPr>
            <w:tcW w:w="1667" w:type="dxa"/>
          </w:tcPr>
          <w:p>
            <w:pPr>
              <w:pStyle w:val="TableParagraph"/>
              <w:spacing w:before="22"/>
              <w:ind w:right="593"/>
              <w:jc w:val="right"/>
              <w:rPr>
                <w:sz w:val="17"/>
              </w:rPr>
            </w:pPr>
            <w:r>
              <w:rPr>
                <w:w w:val="105"/>
                <w:sz w:val="17"/>
              </w:rPr>
              <w:t>9,618</w:t>
            </w:r>
          </w:p>
        </w:tc>
        <w:tc>
          <w:tcPr>
            <w:tcW w:w="1364" w:type="dxa"/>
            <w:tcBorders>
              <w:right w:val="single" w:sz="4" w:space="0" w:color="000000"/>
            </w:tcBorders>
          </w:tcPr>
          <w:p>
            <w:pPr>
              <w:pStyle w:val="TableParagraph"/>
              <w:spacing w:before="22"/>
              <w:ind w:right="305"/>
              <w:jc w:val="right"/>
              <w:rPr>
                <w:sz w:val="17"/>
              </w:rPr>
            </w:pPr>
            <w:r>
              <w:rPr>
                <w:sz w:val="17"/>
              </w:rPr>
              <w:t>86%</w:t>
            </w:r>
          </w:p>
        </w:tc>
        <w:tc>
          <w:tcPr>
            <w:tcW w:w="1310" w:type="dxa"/>
            <w:tcBorders>
              <w:left w:val="single" w:sz="4" w:space="0" w:color="000000"/>
            </w:tcBorders>
          </w:tcPr>
          <w:p>
            <w:pPr>
              <w:pStyle w:val="TableParagraph"/>
              <w:spacing w:before="22"/>
              <w:ind w:left="338"/>
              <w:rPr>
                <w:sz w:val="17"/>
              </w:rPr>
            </w:pPr>
            <w:r>
              <w:rPr>
                <w:w w:val="105"/>
                <w:sz w:val="17"/>
              </w:rPr>
              <w:t>11,352</w:t>
            </w:r>
          </w:p>
        </w:tc>
        <w:tc>
          <w:tcPr>
            <w:tcW w:w="1494" w:type="dxa"/>
          </w:tcPr>
          <w:p>
            <w:pPr>
              <w:pStyle w:val="TableParagraph"/>
              <w:spacing w:before="22"/>
              <w:ind w:right="399"/>
              <w:jc w:val="right"/>
              <w:rPr>
                <w:sz w:val="17"/>
              </w:rPr>
            </w:pPr>
            <w:r>
              <w:rPr>
                <w:w w:val="105"/>
                <w:sz w:val="17"/>
              </w:rPr>
              <w:t>10,217</w:t>
            </w:r>
          </w:p>
        </w:tc>
        <w:tc>
          <w:tcPr>
            <w:tcW w:w="1385" w:type="dxa"/>
          </w:tcPr>
          <w:p>
            <w:pPr>
              <w:pStyle w:val="TableParagraph"/>
              <w:spacing w:before="22"/>
              <w:ind w:right="530"/>
              <w:jc w:val="right"/>
              <w:rPr>
                <w:sz w:val="17"/>
              </w:rPr>
            </w:pPr>
            <w:r>
              <w:rPr>
                <w:sz w:val="17"/>
              </w:rPr>
              <w:t>90%</w:t>
            </w:r>
          </w:p>
        </w:tc>
      </w:tr>
      <w:tr>
        <w:trPr>
          <w:trHeight w:val="240" w:hRule="atLeast"/>
        </w:trPr>
        <w:tc>
          <w:tcPr>
            <w:tcW w:w="528" w:type="dxa"/>
          </w:tcPr>
          <w:p>
            <w:pPr>
              <w:pStyle w:val="TableParagraph"/>
              <w:rPr>
                <w:rFonts w:ascii="Times New Roman"/>
                <w:sz w:val="16"/>
              </w:rPr>
            </w:pPr>
          </w:p>
        </w:tc>
        <w:tc>
          <w:tcPr>
            <w:tcW w:w="5875" w:type="dxa"/>
          </w:tcPr>
          <w:p>
            <w:pPr>
              <w:pStyle w:val="TableParagraph"/>
              <w:spacing w:before="22"/>
              <w:ind w:left="38"/>
              <w:rPr>
                <w:sz w:val="17"/>
              </w:rPr>
            </w:pPr>
            <w:r>
              <w:rPr>
                <w:w w:val="105"/>
                <w:sz w:val="17"/>
              </w:rPr>
              <w:t>Sierra Leone Maritime Adminisration</w:t>
            </w:r>
          </w:p>
        </w:tc>
        <w:tc>
          <w:tcPr>
            <w:tcW w:w="1168" w:type="dxa"/>
          </w:tcPr>
          <w:p>
            <w:pPr>
              <w:pStyle w:val="TableParagraph"/>
              <w:spacing w:before="22"/>
              <w:ind w:right="348"/>
              <w:jc w:val="right"/>
              <w:rPr>
                <w:sz w:val="17"/>
              </w:rPr>
            </w:pPr>
            <w:r>
              <w:rPr>
                <w:w w:val="105"/>
                <w:sz w:val="17"/>
              </w:rPr>
              <w:t>42,700</w:t>
            </w:r>
          </w:p>
        </w:tc>
        <w:tc>
          <w:tcPr>
            <w:tcW w:w="1667" w:type="dxa"/>
          </w:tcPr>
          <w:p>
            <w:pPr>
              <w:pStyle w:val="TableParagraph"/>
              <w:spacing w:before="22"/>
              <w:ind w:right="599"/>
              <w:jc w:val="right"/>
              <w:rPr>
                <w:sz w:val="17"/>
              </w:rPr>
            </w:pPr>
            <w:r>
              <w:rPr>
                <w:w w:val="105"/>
                <w:sz w:val="17"/>
              </w:rPr>
              <w:t>39,536</w:t>
            </w:r>
          </w:p>
        </w:tc>
        <w:tc>
          <w:tcPr>
            <w:tcW w:w="1364" w:type="dxa"/>
            <w:tcBorders>
              <w:right w:val="single" w:sz="4" w:space="0" w:color="000000"/>
            </w:tcBorders>
          </w:tcPr>
          <w:p>
            <w:pPr>
              <w:pStyle w:val="TableParagraph"/>
              <w:spacing w:before="22"/>
              <w:ind w:right="305"/>
              <w:jc w:val="right"/>
              <w:rPr>
                <w:sz w:val="17"/>
              </w:rPr>
            </w:pPr>
            <w:r>
              <w:rPr>
                <w:sz w:val="17"/>
              </w:rPr>
              <w:t>93%</w:t>
            </w:r>
          </w:p>
        </w:tc>
        <w:tc>
          <w:tcPr>
            <w:tcW w:w="1310" w:type="dxa"/>
            <w:tcBorders>
              <w:left w:val="single" w:sz="4" w:space="0" w:color="000000"/>
            </w:tcBorders>
          </w:tcPr>
          <w:p>
            <w:pPr>
              <w:pStyle w:val="TableParagraph"/>
              <w:spacing w:before="22"/>
              <w:ind w:left="338"/>
              <w:rPr>
                <w:sz w:val="17"/>
              </w:rPr>
            </w:pPr>
            <w:r>
              <w:rPr>
                <w:w w:val="105"/>
                <w:sz w:val="17"/>
              </w:rPr>
              <w:t>42,340</w:t>
            </w:r>
          </w:p>
        </w:tc>
        <w:tc>
          <w:tcPr>
            <w:tcW w:w="1494" w:type="dxa"/>
          </w:tcPr>
          <w:p>
            <w:pPr>
              <w:pStyle w:val="TableParagraph"/>
              <w:spacing w:before="22"/>
              <w:ind w:right="399"/>
              <w:jc w:val="right"/>
              <w:rPr>
                <w:sz w:val="17"/>
              </w:rPr>
            </w:pPr>
            <w:r>
              <w:rPr>
                <w:w w:val="105"/>
                <w:sz w:val="17"/>
              </w:rPr>
              <w:t>33,872</w:t>
            </w:r>
          </w:p>
        </w:tc>
        <w:tc>
          <w:tcPr>
            <w:tcW w:w="1385" w:type="dxa"/>
          </w:tcPr>
          <w:p>
            <w:pPr>
              <w:pStyle w:val="TableParagraph"/>
              <w:spacing w:before="22"/>
              <w:ind w:right="530"/>
              <w:jc w:val="right"/>
              <w:rPr>
                <w:sz w:val="17"/>
              </w:rPr>
            </w:pPr>
            <w:r>
              <w:rPr>
                <w:sz w:val="17"/>
              </w:rPr>
              <w:t>80%</w:t>
            </w:r>
          </w:p>
        </w:tc>
      </w:tr>
      <w:tr>
        <w:trPr>
          <w:trHeight w:val="240" w:hRule="atLeast"/>
        </w:trPr>
        <w:tc>
          <w:tcPr>
            <w:tcW w:w="528" w:type="dxa"/>
          </w:tcPr>
          <w:p>
            <w:pPr>
              <w:pStyle w:val="TableParagraph"/>
              <w:rPr>
                <w:rFonts w:ascii="Times New Roman"/>
                <w:sz w:val="16"/>
              </w:rPr>
            </w:pPr>
          </w:p>
        </w:tc>
        <w:tc>
          <w:tcPr>
            <w:tcW w:w="5875" w:type="dxa"/>
          </w:tcPr>
          <w:p>
            <w:pPr>
              <w:pStyle w:val="TableParagraph"/>
              <w:spacing w:before="22"/>
              <w:ind w:left="38"/>
              <w:rPr>
                <w:sz w:val="17"/>
              </w:rPr>
            </w:pPr>
            <w:r>
              <w:rPr>
                <w:w w:val="105"/>
                <w:sz w:val="17"/>
              </w:rPr>
              <w:t>Environment Protection Agency</w:t>
            </w:r>
          </w:p>
        </w:tc>
        <w:tc>
          <w:tcPr>
            <w:tcW w:w="1168" w:type="dxa"/>
          </w:tcPr>
          <w:p>
            <w:pPr>
              <w:pStyle w:val="TableParagraph"/>
              <w:spacing w:before="22"/>
              <w:ind w:right="348"/>
              <w:jc w:val="right"/>
              <w:rPr>
                <w:sz w:val="17"/>
              </w:rPr>
            </w:pPr>
            <w:r>
              <w:rPr>
                <w:w w:val="105"/>
                <w:sz w:val="17"/>
              </w:rPr>
              <w:t>26,958</w:t>
            </w:r>
          </w:p>
        </w:tc>
        <w:tc>
          <w:tcPr>
            <w:tcW w:w="1667" w:type="dxa"/>
          </w:tcPr>
          <w:p>
            <w:pPr>
              <w:pStyle w:val="TableParagraph"/>
              <w:spacing w:before="22"/>
              <w:ind w:right="599"/>
              <w:jc w:val="right"/>
              <w:rPr>
                <w:sz w:val="17"/>
              </w:rPr>
            </w:pPr>
            <w:r>
              <w:rPr>
                <w:w w:val="105"/>
                <w:sz w:val="17"/>
              </w:rPr>
              <w:t>25,171</w:t>
            </w:r>
          </w:p>
        </w:tc>
        <w:tc>
          <w:tcPr>
            <w:tcW w:w="1364" w:type="dxa"/>
            <w:tcBorders>
              <w:right w:val="single" w:sz="4" w:space="0" w:color="000000"/>
            </w:tcBorders>
          </w:tcPr>
          <w:p>
            <w:pPr>
              <w:pStyle w:val="TableParagraph"/>
              <w:spacing w:before="22"/>
              <w:ind w:right="305"/>
              <w:jc w:val="right"/>
              <w:rPr>
                <w:sz w:val="17"/>
              </w:rPr>
            </w:pPr>
            <w:r>
              <w:rPr>
                <w:sz w:val="17"/>
              </w:rPr>
              <w:t>93%</w:t>
            </w:r>
          </w:p>
        </w:tc>
        <w:tc>
          <w:tcPr>
            <w:tcW w:w="1310" w:type="dxa"/>
            <w:tcBorders>
              <w:left w:val="single" w:sz="4" w:space="0" w:color="000000"/>
            </w:tcBorders>
          </w:tcPr>
          <w:p>
            <w:pPr>
              <w:pStyle w:val="TableParagraph"/>
              <w:spacing w:before="22"/>
              <w:ind w:left="338"/>
              <w:rPr>
                <w:sz w:val="17"/>
              </w:rPr>
            </w:pPr>
            <w:r>
              <w:rPr>
                <w:w w:val="105"/>
                <w:sz w:val="17"/>
              </w:rPr>
              <w:t>35,677</w:t>
            </w:r>
          </w:p>
        </w:tc>
        <w:tc>
          <w:tcPr>
            <w:tcW w:w="1494" w:type="dxa"/>
          </w:tcPr>
          <w:p>
            <w:pPr>
              <w:pStyle w:val="TableParagraph"/>
              <w:spacing w:before="22"/>
              <w:ind w:right="399"/>
              <w:jc w:val="right"/>
              <w:rPr>
                <w:sz w:val="17"/>
              </w:rPr>
            </w:pPr>
            <w:r>
              <w:rPr>
                <w:w w:val="105"/>
                <w:sz w:val="17"/>
              </w:rPr>
              <w:t>28,542</w:t>
            </w:r>
          </w:p>
        </w:tc>
        <w:tc>
          <w:tcPr>
            <w:tcW w:w="1385" w:type="dxa"/>
          </w:tcPr>
          <w:p>
            <w:pPr>
              <w:pStyle w:val="TableParagraph"/>
              <w:spacing w:before="22"/>
              <w:ind w:right="530"/>
              <w:jc w:val="right"/>
              <w:rPr>
                <w:sz w:val="17"/>
              </w:rPr>
            </w:pPr>
            <w:r>
              <w:rPr>
                <w:sz w:val="17"/>
              </w:rPr>
              <w:t>80%</w:t>
            </w:r>
          </w:p>
        </w:tc>
      </w:tr>
      <w:tr>
        <w:trPr>
          <w:trHeight w:val="240" w:hRule="atLeast"/>
        </w:trPr>
        <w:tc>
          <w:tcPr>
            <w:tcW w:w="528" w:type="dxa"/>
          </w:tcPr>
          <w:p>
            <w:pPr>
              <w:pStyle w:val="TableParagraph"/>
              <w:rPr>
                <w:rFonts w:ascii="Times New Roman"/>
                <w:sz w:val="16"/>
              </w:rPr>
            </w:pPr>
          </w:p>
        </w:tc>
        <w:tc>
          <w:tcPr>
            <w:tcW w:w="5875" w:type="dxa"/>
          </w:tcPr>
          <w:p>
            <w:pPr>
              <w:pStyle w:val="TableParagraph"/>
              <w:spacing w:before="22"/>
              <w:ind w:left="38"/>
              <w:rPr>
                <w:sz w:val="17"/>
              </w:rPr>
            </w:pPr>
            <w:r>
              <w:rPr>
                <w:w w:val="105"/>
                <w:sz w:val="17"/>
              </w:rPr>
              <w:t>Sierra Leone Civil Aviation Authority</w:t>
            </w:r>
          </w:p>
        </w:tc>
        <w:tc>
          <w:tcPr>
            <w:tcW w:w="1168" w:type="dxa"/>
          </w:tcPr>
          <w:p>
            <w:pPr>
              <w:pStyle w:val="TableParagraph"/>
              <w:spacing w:before="22"/>
              <w:ind w:right="348"/>
              <w:jc w:val="right"/>
              <w:rPr>
                <w:sz w:val="17"/>
              </w:rPr>
            </w:pPr>
            <w:r>
              <w:rPr>
                <w:w w:val="105"/>
                <w:sz w:val="17"/>
              </w:rPr>
              <w:t>70,040</w:t>
            </w:r>
          </w:p>
        </w:tc>
        <w:tc>
          <w:tcPr>
            <w:tcW w:w="1667" w:type="dxa"/>
          </w:tcPr>
          <w:p>
            <w:pPr>
              <w:pStyle w:val="TableParagraph"/>
              <w:spacing w:before="22"/>
              <w:ind w:right="599"/>
              <w:jc w:val="right"/>
              <w:rPr>
                <w:sz w:val="17"/>
              </w:rPr>
            </w:pPr>
            <w:r>
              <w:rPr>
                <w:w w:val="105"/>
                <w:sz w:val="17"/>
              </w:rPr>
              <w:t>46,277</w:t>
            </w:r>
          </w:p>
        </w:tc>
        <w:tc>
          <w:tcPr>
            <w:tcW w:w="1364" w:type="dxa"/>
            <w:tcBorders>
              <w:right w:val="single" w:sz="4" w:space="0" w:color="000000"/>
            </w:tcBorders>
          </w:tcPr>
          <w:p>
            <w:pPr>
              <w:pStyle w:val="TableParagraph"/>
              <w:spacing w:before="22"/>
              <w:ind w:right="305"/>
              <w:jc w:val="right"/>
              <w:rPr>
                <w:sz w:val="17"/>
              </w:rPr>
            </w:pPr>
            <w:r>
              <w:rPr>
                <w:sz w:val="17"/>
              </w:rPr>
              <w:t>66%</w:t>
            </w:r>
          </w:p>
        </w:tc>
        <w:tc>
          <w:tcPr>
            <w:tcW w:w="1310" w:type="dxa"/>
            <w:tcBorders>
              <w:left w:val="single" w:sz="4" w:space="0" w:color="000000"/>
            </w:tcBorders>
          </w:tcPr>
          <w:p>
            <w:pPr>
              <w:pStyle w:val="TableParagraph"/>
              <w:spacing w:before="22"/>
              <w:ind w:left="338"/>
              <w:rPr>
                <w:sz w:val="17"/>
              </w:rPr>
            </w:pPr>
            <w:r>
              <w:rPr>
                <w:w w:val="105"/>
                <w:sz w:val="17"/>
              </w:rPr>
              <w:t>57,651</w:t>
            </w:r>
          </w:p>
        </w:tc>
        <w:tc>
          <w:tcPr>
            <w:tcW w:w="1494" w:type="dxa"/>
          </w:tcPr>
          <w:p>
            <w:pPr>
              <w:pStyle w:val="TableParagraph"/>
              <w:spacing w:before="22"/>
              <w:ind w:right="399"/>
              <w:jc w:val="right"/>
              <w:rPr>
                <w:sz w:val="17"/>
              </w:rPr>
            </w:pPr>
            <w:r>
              <w:rPr>
                <w:w w:val="105"/>
                <w:sz w:val="17"/>
              </w:rPr>
              <w:t>43,238</w:t>
            </w:r>
          </w:p>
        </w:tc>
        <w:tc>
          <w:tcPr>
            <w:tcW w:w="1385" w:type="dxa"/>
          </w:tcPr>
          <w:p>
            <w:pPr>
              <w:pStyle w:val="TableParagraph"/>
              <w:spacing w:before="22"/>
              <w:ind w:right="530"/>
              <w:jc w:val="right"/>
              <w:rPr>
                <w:sz w:val="17"/>
              </w:rPr>
            </w:pPr>
            <w:r>
              <w:rPr>
                <w:sz w:val="17"/>
              </w:rPr>
              <w:t>75%</w:t>
            </w:r>
          </w:p>
        </w:tc>
      </w:tr>
      <w:tr>
        <w:trPr>
          <w:trHeight w:val="240" w:hRule="atLeast"/>
        </w:trPr>
        <w:tc>
          <w:tcPr>
            <w:tcW w:w="528" w:type="dxa"/>
          </w:tcPr>
          <w:p>
            <w:pPr>
              <w:pStyle w:val="TableParagraph"/>
              <w:rPr>
                <w:rFonts w:ascii="Times New Roman"/>
                <w:sz w:val="16"/>
              </w:rPr>
            </w:pPr>
          </w:p>
        </w:tc>
        <w:tc>
          <w:tcPr>
            <w:tcW w:w="5875" w:type="dxa"/>
          </w:tcPr>
          <w:p>
            <w:pPr>
              <w:pStyle w:val="TableParagraph"/>
              <w:spacing w:before="22"/>
              <w:ind w:left="38"/>
              <w:rPr>
                <w:sz w:val="17"/>
              </w:rPr>
            </w:pPr>
            <w:r>
              <w:rPr>
                <w:w w:val="105"/>
                <w:sz w:val="17"/>
              </w:rPr>
              <w:t>Sierra Leone Road Safety Authority/ 2</w:t>
            </w:r>
          </w:p>
        </w:tc>
        <w:tc>
          <w:tcPr>
            <w:tcW w:w="1168" w:type="dxa"/>
          </w:tcPr>
          <w:p>
            <w:pPr>
              <w:pStyle w:val="TableParagraph"/>
              <w:spacing w:before="22"/>
              <w:ind w:right="348"/>
              <w:jc w:val="right"/>
              <w:rPr>
                <w:sz w:val="17"/>
              </w:rPr>
            </w:pPr>
            <w:r>
              <w:rPr>
                <w:w w:val="105"/>
                <w:sz w:val="17"/>
              </w:rPr>
              <w:t>51,827</w:t>
            </w:r>
          </w:p>
        </w:tc>
        <w:tc>
          <w:tcPr>
            <w:tcW w:w="1667" w:type="dxa"/>
          </w:tcPr>
          <w:p>
            <w:pPr>
              <w:pStyle w:val="TableParagraph"/>
              <w:spacing w:before="22"/>
              <w:ind w:right="599"/>
              <w:jc w:val="right"/>
              <w:rPr>
                <w:sz w:val="17"/>
              </w:rPr>
            </w:pPr>
            <w:r>
              <w:rPr>
                <w:w w:val="105"/>
                <w:sz w:val="17"/>
              </w:rPr>
              <w:t>50,114</w:t>
            </w:r>
          </w:p>
        </w:tc>
        <w:tc>
          <w:tcPr>
            <w:tcW w:w="1364" w:type="dxa"/>
            <w:tcBorders>
              <w:right w:val="single" w:sz="4" w:space="0" w:color="000000"/>
            </w:tcBorders>
          </w:tcPr>
          <w:p>
            <w:pPr>
              <w:pStyle w:val="TableParagraph"/>
              <w:spacing w:before="22"/>
              <w:ind w:right="305"/>
              <w:jc w:val="right"/>
              <w:rPr>
                <w:sz w:val="17"/>
              </w:rPr>
            </w:pPr>
            <w:r>
              <w:rPr>
                <w:sz w:val="17"/>
              </w:rPr>
              <w:t>97%</w:t>
            </w:r>
          </w:p>
        </w:tc>
        <w:tc>
          <w:tcPr>
            <w:tcW w:w="1310" w:type="dxa"/>
            <w:tcBorders>
              <w:left w:val="single" w:sz="4" w:space="0" w:color="000000"/>
            </w:tcBorders>
          </w:tcPr>
          <w:p>
            <w:pPr>
              <w:pStyle w:val="TableParagraph"/>
              <w:spacing w:before="22"/>
              <w:ind w:left="338"/>
              <w:rPr>
                <w:sz w:val="17"/>
              </w:rPr>
            </w:pPr>
            <w:r>
              <w:rPr>
                <w:w w:val="105"/>
                <w:sz w:val="17"/>
              </w:rPr>
              <w:t>45,827</w:t>
            </w:r>
          </w:p>
        </w:tc>
        <w:tc>
          <w:tcPr>
            <w:tcW w:w="1494" w:type="dxa"/>
          </w:tcPr>
          <w:p>
            <w:pPr>
              <w:pStyle w:val="TableParagraph"/>
              <w:spacing w:before="22"/>
              <w:ind w:right="399"/>
              <w:jc w:val="right"/>
              <w:rPr>
                <w:sz w:val="17"/>
              </w:rPr>
            </w:pPr>
            <w:r>
              <w:rPr>
                <w:w w:val="105"/>
                <w:sz w:val="17"/>
              </w:rPr>
              <w:t>41,244</w:t>
            </w:r>
          </w:p>
        </w:tc>
        <w:tc>
          <w:tcPr>
            <w:tcW w:w="1385" w:type="dxa"/>
          </w:tcPr>
          <w:p>
            <w:pPr>
              <w:pStyle w:val="TableParagraph"/>
              <w:spacing w:before="22"/>
              <w:ind w:right="530"/>
              <w:jc w:val="right"/>
              <w:rPr>
                <w:sz w:val="17"/>
              </w:rPr>
            </w:pPr>
            <w:r>
              <w:rPr>
                <w:sz w:val="17"/>
              </w:rPr>
              <w:t>90%</w:t>
            </w:r>
          </w:p>
        </w:tc>
      </w:tr>
      <w:tr>
        <w:trPr>
          <w:trHeight w:val="240" w:hRule="atLeast"/>
        </w:trPr>
        <w:tc>
          <w:tcPr>
            <w:tcW w:w="528" w:type="dxa"/>
          </w:tcPr>
          <w:p>
            <w:pPr>
              <w:pStyle w:val="TableParagraph"/>
              <w:rPr>
                <w:rFonts w:ascii="Times New Roman"/>
                <w:sz w:val="16"/>
              </w:rPr>
            </w:pPr>
          </w:p>
        </w:tc>
        <w:tc>
          <w:tcPr>
            <w:tcW w:w="5875" w:type="dxa"/>
          </w:tcPr>
          <w:p>
            <w:pPr>
              <w:pStyle w:val="TableParagraph"/>
              <w:spacing w:before="22"/>
              <w:ind w:left="38"/>
              <w:rPr>
                <w:sz w:val="17"/>
              </w:rPr>
            </w:pPr>
            <w:r>
              <w:rPr>
                <w:w w:val="105"/>
                <w:sz w:val="17"/>
              </w:rPr>
              <w:t>Petroleum Directorate</w:t>
            </w:r>
          </w:p>
        </w:tc>
        <w:tc>
          <w:tcPr>
            <w:tcW w:w="1168" w:type="dxa"/>
          </w:tcPr>
          <w:p>
            <w:pPr>
              <w:pStyle w:val="TableParagraph"/>
              <w:spacing w:before="22"/>
              <w:ind w:right="338"/>
              <w:jc w:val="right"/>
              <w:rPr>
                <w:sz w:val="17"/>
              </w:rPr>
            </w:pPr>
            <w:r>
              <w:rPr>
                <w:sz w:val="17"/>
              </w:rPr>
              <w:t>338</w:t>
            </w:r>
          </w:p>
        </w:tc>
        <w:tc>
          <w:tcPr>
            <w:tcW w:w="1667" w:type="dxa"/>
          </w:tcPr>
          <w:p>
            <w:pPr>
              <w:pStyle w:val="TableParagraph"/>
              <w:spacing w:before="22"/>
              <w:ind w:right="599"/>
              <w:jc w:val="right"/>
              <w:rPr>
                <w:sz w:val="17"/>
              </w:rPr>
            </w:pPr>
            <w:r>
              <w:rPr>
                <w:w w:val="105"/>
                <w:sz w:val="17"/>
              </w:rPr>
              <w:t>21,653</w:t>
            </w:r>
          </w:p>
        </w:tc>
        <w:tc>
          <w:tcPr>
            <w:tcW w:w="1364" w:type="dxa"/>
            <w:tcBorders>
              <w:right w:val="single" w:sz="4" w:space="0" w:color="000000"/>
            </w:tcBorders>
          </w:tcPr>
          <w:p>
            <w:pPr>
              <w:pStyle w:val="TableParagraph"/>
              <w:spacing w:before="22"/>
              <w:ind w:right="291"/>
              <w:jc w:val="right"/>
              <w:rPr>
                <w:sz w:val="17"/>
              </w:rPr>
            </w:pPr>
            <w:r>
              <w:rPr>
                <w:w w:val="104"/>
                <w:sz w:val="17"/>
              </w:rPr>
              <w:t>-</w:t>
            </w:r>
          </w:p>
        </w:tc>
        <w:tc>
          <w:tcPr>
            <w:tcW w:w="1310" w:type="dxa"/>
            <w:tcBorders>
              <w:left w:val="single" w:sz="4" w:space="0" w:color="000000"/>
            </w:tcBorders>
          </w:tcPr>
          <w:p>
            <w:pPr>
              <w:pStyle w:val="TableParagraph"/>
              <w:spacing w:before="22"/>
              <w:ind w:right="358"/>
              <w:jc w:val="right"/>
              <w:rPr>
                <w:sz w:val="17"/>
              </w:rPr>
            </w:pPr>
            <w:r>
              <w:rPr>
                <w:w w:val="104"/>
                <w:sz w:val="17"/>
              </w:rPr>
              <w:t>-</w:t>
            </w:r>
          </w:p>
        </w:tc>
        <w:tc>
          <w:tcPr>
            <w:tcW w:w="1494" w:type="dxa"/>
          </w:tcPr>
          <w:p>
            <w:pPr>
              <w:pStyle w:val="TableParagraph"/>
              <w:spacing w:before="22"/>
              <w:ind w:right="393"/>
              <w:jc w:val="right"/>
              <w:rPr>
                <w:sz w:val="17"/>
              </w:rPr>
            </w:pPr>
            <w:r>
              <w:rPr>
                <w:w w:val="105"/>
                <w:sz w:val="17"/>
              </w:rPr>
              <w:t>6,000</w:t>
            </w:r>
          </w:p>
        </w:tc>
        <w:tc>
          <w:tcPr>
            <w:tcW w:w="1385" w:type="dxa"/>
          </w:tcPr>
          <w:p>
            <w:pPr>
              <w:pStyle w:val="TableParagraph"/>
              <w:spacing w:before="22"/>
              <w:ind w:right="516"/>
              <w:jc w:val="right"/>
              <w:rPr>
                <w:sz w:val="17"/>
              </w:rPr>
            </w:pPr>
            <w:r>
              <w:rPr>
                <w:w w:val="104"/>
                <w:sz w:val="17"/>
              </w:rPr>
              <w:t>-</w:t>
            </w:r>
          </w:p>
        </w:tc>
      </w:tr>
      <w:tr>
        <w:trPr>
          <w:trHeight w:val="360" w:hRule="atLeast"/>
        </w:trPr>
        <w:tc>
          <w:tcPr>
            <w:tcW w:w="528" w:type="dxa"/>
          </w:tcPr>
          <w:p>
            <w:pPr>
              <w:pStyle w:val="TableParagraph"/>
              <w:rPr>
                <w:rFonts w:ascii="Times New Roman"/>
                <w:sz w:val="16"/>
              </w:rPr>
            </w:pPr>
          </w:p>
        </w:tc>
        <w:tc>
          <w:tcPr>
            <w:tcW w:w="5875" w:type="dxa"/>
          </w:tcPr>
          <w:p>
            <w:pPr>
              <w:pStyle w:val="TableParagraph"/>
              <w:spacing w:before="22"/>
              <w:ind w:left="38"/>
              <w:rPr>
                <w:b/>
                <w:sz w:val="17"/>
              </w:rPr>
            </w:pPr>
            <w:r>
              <w:rPr>
                <w:b/>
                <w:w w:val="105"/>
                <w:sz w:val="17"/>
              </w:rPr>
              <w:t>Sub-Total</w:t>
            </w:r>
          </w:p>
        </w:tc>
        <w:tc>
          <w:tcPr>
            <w:tcW w:w="1168" w:type="dxa"/>
          </w:tcPr>
          <w:p>
            <w:pPr>
              <w:pStyle w:val="TableParagraph"/>
              <w:spacing w:before="22"/>
              <w:ind w:right="382"/>
              <w:jc w:val="right"/>
              <w:rPr>
                <w:b/>
                <w:sz w:val="17"/>
              </w:rPr>
            </w:pPr>
            <w:r>
              <w:rPr>
                <w:b/>
                <w:sz w:val="17"/>
              </w:rPr>
              <w:t>376,976</w:t>
            </w:r>
          </w:p>
        </w:tc>
        <w:tc>
          <w:tcPr>
            <w:tcW w:w="1667" w:type="dxa"/>
          </w:tcPr>
          <w:p>
            <w:pPr>
              <w:pStyle w:val="TableParagraph"/>
              <w:spacing w:before="22"/>
              <w:ind w:right="628"/>
              <w:jc w:val="right"/>
              <w:rPr>
                <w:b/>
                <w:sz w:val="17"/>
              </w:rPr>
            </w:pPr>
            <w:r>
              <w:rPr>
                <w:b/>
                <w:sz w:val="17"/>
              </w:rPr>
              <w:t>290,069</w:t>
            </w:r>
          </w:p>
        </w:tc>
        <w:tc>
          <w:tcPr>
            <w:tcW w:w="1364" w:type="dxa"/>
            <w:tcBorders>
              <w:right w:val="single" w:sz="4" w:space="0" w:color="000000"/>
            </w:tcBorders>
          </w:tcPr>
          <w:p>
            <w:pPr>
              <w:pStyle w:val="TableParagraph"/>
              <w:spacing w:before="22"/>
              <w:ind w:right="303"/>
              <w:jc w:val="right"/>
              <w:rPr>
                <w:b/>
                <w:sz w:val="17"/>
              </w:rPr>
            </w:pPr>
            <w:r>
              <w:rPr>
                <w:b/>
                <w:w w:val="105"/>
                <w:sz w:val="17"/>
              </w:rPr>
              <w:t>77 %</w:t>
            </w:r>
          </w:p>
        </w:tc>
        <w:tc>
          <w:tcPr>
            <w:tcW w:w="1310" w:type="dxa"/>
            <w:tcBorders>
              <w:left w:val="single" w:sz="4" w:space="0" w:color="000000"/>
            </w:tcBorders>
          </w:tcPr>
          <w:p>
            <w:pPr>
              <w:pStyle w:val="TableParagraph"/>
              <w:spacing w:before="22"/>
              <w:ind w:left="194"/>
              <w:rPr>
                <w:b/>
                <w:sz w:val="17"/>
              </w:rPr>
            </w:pPr>
            <w:r>
              <w:rPr>
                <w:b/>
                <w:w w:val="105"/>
                <w:sz w:val="17"/>
              </w:rPr>
              <w:t>443,056</w:t>
            </w:r>
          </w:p>
        </w:tc>
        <w:tc>
          <w:tcPr>
            <w:tcW w:w="1494" w:type="dxa"/>
          </w:tcPr>
          <w:p>
            <w:pPr>
              <w:pStyle w:val="TableParagraph"/>
              <w:spacing w:before="22"/>
              <w:ind w:right="433"/>
              <w:jc w:val="right"/>
              <w:rPr>
                <w:b/>
                <w:sz w:val="17"/>
              </w:rPr>
            </w:pPr>
            <w:r>
              <w:rPr>
                <w:b/>
                <w:sz w:val="17"/>
              </w:rPr>
              <w:t>330,753</w:t>
            </w:r>
          </w:p>
        </w:tc>
        <w:tc>
          <w:tcPr>
            <w:tcW w:w="1385" w:type="dxa"/>
          </w:tcPr>
          <w:p>
            <w:pPr>
              <w:pStyle w:val="TableParagraph"/>
              <w:spacing w:before="22"/>
              <w:ind w:right="527"/>
              <w:jc w:val="right"/>
              <w:rPr>
                <w:b/>
                <w:sz w:val="17"/>
              </w:rPr>
            </w:pPr>
            <w:r>
              <w:rPr>
                <w:b/>
                <w:w w:val="105"/>
                <w:sz w:val="17"/>
              </w:rPr>
              <w:t>75 %</w:t>
            </w:r>
          </w:p>
        </w:tc>
      </w:tr>
      <w:tr>
        <w:trPr>
          <w:trHeight w:val="480" w:hRule="atLeast"/>
        </w:trPr>
        <w:tc>
          <w:tcPr>
            <w:tcW w:w="528" w:type="dxa"/>
          </w:tcPr>
          <w:p>
            <w:pPr>
              <w:pStyle w:val="TableParagraph"/>
              <w:rPr>
                <w:rFonts w:ascii="Times New Roman"/>
                <w:sz w:val="16"/>
              </w:rPr>
            </w:pPr>
          </w:p>
        </w:tc>
        <w:tc>
          <w:tcPr>
            <w:tcW w:w="5875" w:type="dxa"/>
          </w:tcPr>
          <w:p>
            <w:pPr>
              <w:pStyle w:val="TableParagraph"/>
              <w:spacing w:before="142"/>
              <w:ind w:left="38"/>
              <w:rPr>
                <w:sz w:val="17"/>
              </w:rPr>
            </w:pPr>
            <w:r>
              <w:rPr>
                <w:w w:val="105"/>
                <w:sz w:val="17"/>
              </w:rPr>
              <w:t>Transfer to Road Maintenance Fund Administration (RMFA)</w:t>
            </w:r>
          </w:p>
        </w:tc>
        <w:tc>
          <w:tcPr>
            <w:tcW w:w="1168" w:type="dxa"/>
            <w:tcBorders>
              <w:bottom w:val="single" w:sz="18" w:space="0" w:color="000000"/>
            </w:tcBorders>
          </w:tcPr>
          <w:p>
            <w:pPr>
              <w:pStyle w:val="TableParagraph"/>
              <w:spacing w:before="142"/>
              <w:ind w:right="359"/>
              <w:jc w:val="right"/>
              <w:rPr>
                <w:sz w:val="17"/>
              </w:rPr>
            </w:pPr>
            <w:r>
              <w:rPr>
                <w:sz w:val="17"/>
              </w:rPr>
              <w:t>103,408</w:t>
            </w:r>
          </w:p>
        </w:tc>
        <w:tc>
          <w:tcPr>
            <w:tcW w:w="1667" w:type="dxa"/>
            <w:tcBorders>
              <w:bottom w:val="single" w:sz="18" w:space="0" w:color="000000"/>
            </w:tcBorders>
          </w:tcPr>
          <w:p>
            <w:pPr>
              <w:pStyle w:val="TableParagraph"/>
              <w:spacing w:before="142"/>
              <w:ind w:right="610"/>
              <w:jc w:val="right"/>
              <w:rPr>
                <w:sz w:val="17"/>
              </w:rPr>
            </w:pPr>
            <w:r>
              <w:rPr>
                <w:sz w:val="17"/>
              </w:rPr>
              <w:t>109,696</w:t>
            </w:r>
          </w:p>
        </w:tc>
        <w:tc>
          <w:tcPr>
            <w:tcW w:w="1364" w:type="dxa"/>
            <w:tcBorders>
              <w:bottom w:val="single" w:sz="18" w:space="0" w:color="000000"/>
              <w:right w:val="single" w:sz="4" w:space="0" w:color="000000"/>
            </w:tcBorders>
          </w:tcPr>
          <w:p>
            <w:pPr>
              <w:pStyle w:val="TableParagraph"/>
              <w:spacing w:before="142"/>
              <w:ind w:right="311"/>
              <w:jc w:val="right"/>
              <w:rPr>
                <w:sz w:val="17"/>
              </w:rPr>
            </w:pPr>
            <w:r>
              <w:rPr>
                <w:sz w:val="17"/>
              </w:rPr>
              <w:t>106%</w:t>
            </w:r>
          </w:p>
        </w:tc>
        <w:tc>
          <w:tcPr>
            <w:tcW w:w="1310" w:type="dxa"/>
            <w:tcBorders>
              <w:left w:val="single" w:sz="4" w:space="0" w:color="000000"/>
              <w:bottom w:val="single" w:sz="18" w:space="0" w:color="000000"/>
            </w:tcBorders>
          </w:tcPr>
          <w:p>
            <w:pPr>
              <w:pStyle w:val="TableParagraph"/>
              <w:spacing w:before="142"/>
              <w:ind w:left="237"/>
              <w:rPr>
                <w:sz w:val="17"/>
              </w:rPr>
            </w:pPr>
            <w:r>
              <w:rPr>
                <w:w w:val="105"/>
                <w:sz w:val="17"/>
              </w:rPr>
              <w:t>124,829</w:t>
            </w:r>
          </w:p>
        </w:tc>
        <w:tc>
          <w:tcPr>
            <w:tcW w:w="1494" w:type="dxa"/>
            <w:tcBorders>
              <w:bottom w:val="single" w:sz="18" w:space="0" w:color="000000"/>
            </w:tcBorders>
          </w:tcPr>
          <w:p>
            <w:pPr>
              <w:pStyle w:val="TableParagraph"/>
              <w:spacing w:before="142"/>
              <w:ind w:right="410"/>
              <w:jc w:val="right"/>
              <w:rPr>
                <w:sz w:val="17"/>
              </w:rPr>
            </w:pPr>
            <w:r>
              <w:rPr>
                <w:sz w:val="17"/>
              </w:rPr>
              <w:t>124,829</w:t>
            </w:r>
          </w:p>
        </w:tc>
        <w:tc>
          <w:tcPr>
            <w:tcW w:w="1385" w:type="dxa"/>
            <w:tcBorders>
              <w:bottom w:val="single" w:sz="18" w:space="0" w:color="000000"/>
            </w:tcBorders>
          </w:tcPr>
          <w:p>
            <w:pPr>
              <w:pStyle w:val="TableParagraph"/>
              <w:spacing w:before="142"/>
              <w:ind w:right="535"/>
              <w:jc w:val="right"/>
              <w:rPr>
                <w:sz w:val="17"/>
              </w:rPr>
            </w:pPr>
            <w:r>
              <w:rPr>
                <w:sz w:val="17"/>
              </w:rPr>
              <w:t>100%</w:t>
            </w:r>
          </w:p>
        </w:tc>
      </w:tr>
      <w:tr>
        <w:trPr>
          <w:trHeight w:val="521" w:hRule="atLeast"/>
        </w:trPr>
        <w:tc>
          <w:tcPr>
            <w:tcW w:w="528" w:type="dxa"/>
          </w:tcPr>
          <w:p>
            <w:pPr>
              <w:pStyle w:val="TableParagraph"/>
              <w:rPr>
                <w:rFonts w:ascii="Times New Roman"/>
                <w:sz w:val="16"/>
              </w:rPr>
            </w:pPr>
          </w:p>
        </w:tc>
        <w:tc>
          <w:tcPr>
            <w:tcW w:w="5875" w:type="dxa"/>
          </w:tcPr>
          <w:p>
            <w:pPr>
              <w:pStyle w:val="TableParagraph"/>
              <w:spacing w:before="96"/>
              <w:ind w:left="38"/>
              <w:rPr>
                <w:b/>
                <w:sz w:val="17"/>
              </w:rPr>
            </w:pPr>
            <w:r>
              <w:rPr>
                <w:b/>
                <w:w w:val="105"/>
                <w:sz w:val="17"/>
              </w:rPr>
              <w:t>Grand Total</w:t>
            </w:r>
          </w:p>
        </w:tc>
        <w:tc>
          <w:tcPr>
            <w:tcW w:w="1168" w:type="dxa"/>
            <w:tcBorders>
              <w:top w:val="single" w:sz="18" w:space="0" w:color="000000"/>
              <w:bottom w:val="single" w:sz="18" w:space="0" w:color="000000"/>
            </w:tcBorders>
          </w:tcPr>
          <w:p>
            <w:pPr>
              <w:pStyle w:val="TableParagraph"/>
              <w:spacing w:before="96"/>
              <w:ind w:right="382"/>
              <w:jc w:val="right"/>
              <w:rPr>
                <w:b/>
                <w:sz w:val="17"/>
              </w:rPr>
            </w:pPr>
            <w:r>
              <w:rPr>
                <w:b/>
                <w:sz w:val="17"/>
              </w:rPr>
              <w:t>480,383</w:t>
            </w:r>
          </w:p>
        </w:tc>
        <w:tc>
          <w:tcPr>
            <w:tcW w:w="1667" w:type="dxa"/>
            <w:tcBorders>
              <w:top w:val="single" w:sz="18" w:space="0" w:color="000000"/>
              <w:bottom w:val="single" w:sz="18" w:space="0" w:color="000000"/>
            </w:tcBorders>
          </w:tcPr>
          <w:p>
            <w:pPr>
              <w:pStyle w:val="TableParagraph"/>
              <w:spacing w:before="96"/>
              <w:ind w:right="628"/>
              <w:jc w:val="right"/>
              <w:rPr>
                <w:b/>
                <w:sz w:val="17"/>
              </w:rPr>
            </w:pPr>
            <w:r>
              <w:rPr>
                <w:b/>
                <w:sz w:val="17"/>
              </w:rPr>
              <w:t>399,765</w:t>
            </w:r>
          </w:p>
        </w:tc>
        <w:tc>
          <w:tcPr>
            <w:tcW w:w="1364" w:type="dxa"/>
            <w:tcBorders>
              <w:top w:val="single" w:sz="18" w:space="0" w:color="000000"/>
              <w:bottom w:val="single" w:sz="18" w:space="0" w:color="000000"/>
              <w:right w:val="single" w:sz="4" w:space="0" w:color="000000"/>
            </w:tcBorders>
          </w:tcPr>
          <w:p>
            <w:pPr>
              <w:pStyle w:val="TableParagraph"/>
              <w:spacing w:before="96"/>
              <w:ind w:right="303"/>
              <w:jc w:val="right"/>
              <w:rPr>
                <w:b/>
                <w:sz w:val="17"/>
              </w:rPr>
            </w:pPr>
            <w:r>
              <w:rPr>
                <w:b/>
                <w:w w:val="105"/>
                <w:sz w:val="17"/>
              </w:rPr>
              <w:t>83 %</w:t>
            </w:r>
          </w:p>
        </w:tc>
        <w:tc>
          <w:tcPr>
            <w:tcW w:w="1310" w:type="dxa"/>
            <w:tcBorders>
              <w:top w:val="single" w:sz="18" w:space="0" w:color="000000"/>
              <w:left w:val="single" w:sz="4" w:space="0" w:color="000000"/>
              <w:bottom w:val="single" w:sz="18" w:space="0" w:color="000000"/>
            </w:tcBorders>
          </w:tcPr>
          <w:p>
            <w:pPr>
              <w:pStyle w:val="TableParagraph"/>
              <w:spacing w:before="96"/>
              <w:ind w:left="194"/>
              <w:rPr>
                <w:b/>
                <w:sz w:val="17"/>
              </w:rPr>
            </w:pPr>
            <w:r>
              <w:rPr>
                <w:b/>
                <w:w w:val="105"/>
                <w:sz w:val="17"/>
              </w:rPr>
              <w:t>567,885</w:t>
            </w:r>
          </w:p>
        </w:tc>
        <w:tc>
          <w:tcPr>
            <w:tcW w:w="1494" w:type="dxa"/>
            <w:tcBorders>
              <w:top w:val="single" w:sz="18" w:space="0" w:color="000000"/>
              <w:bottom w:val="single" w:sz="18" w:space="0" w:color="000000"/>
            </w:tcBorders>
          </w:tcPr>
          <w:p>
            <w:pPr>
              <w:pStyle w:val="TableParagraph"/>
              <w:spacing w:before="96"/>
              <w:ind w:right="433"/>
              <w:jc w:val="right"/>
              <w:rPr>
                <w:b/>
                <w:sz w:val="17"/>
              </w:rPr>
            </w:pPr>
            <w:r>
              <w:rPr>
                <w:b/>
                <w:sz w:val="17"/>
              </w:rPr>
              <w:t>455,582</w:t>
            </w:r>
          </w:p>
        </w:tc>
        <w:tc>
          <w:tcPr>
            <w:tcW w:w="1385" w:type="dxa"/>
            <w:tcBorders>
              <w:top w:val="single" w:sz="18" w:space="0" w:color="000000"/>
              <w:bottom w:val="single" w:sz="18" w:space="0" w:color="000000"/>
            </w:tcBorders>
          </w:tcPr>
          <w:p>
            <w:pPr>
              <w:pStyle w:val="TableParagraph"/>
              <w:spacing w:before="96"/>
              <w:ind w:right="527"/>
              <w:jc w:val="right"/>
              <w:rPr>
                <w:b/>
                <w:sz w:val="17"/>
              </w:rPr>
            </w:pPr>
            <w:r>
              <w:rPr>
                <w:b/>
                <w:w w:val="105"/>
                <w:sz w:val="17"/>
              </w:rPr>
              <w:t>80 %</w:t>
            </w:r>
          </w:p>
        </w:tc>
      </w:tr>
      <w:tr>
        <w:trPr>
          <w:trHeight w:val="390" w:hRule="atLeast"/>
        </w:trPr>
        <w:tc>
          <w:tcPr>
            <w:tcW w:w="528" w:type="dxa"/>
          </w:tcPr>
          <w:p>
            <w:pPr>
              <w:pStyle w:val="TableParagraph"/>
              <w:spacing w:before="159"/>
              <w:rPr>
                <w:b/>
                <w:sz w:val="17"/>
              </w:rPr>
            </w:pPr>
            <w:r>
              <w:rPr>
                <w:b/>
                <w:w w:val="105"/>
                <w:sz w:val="17"/>
              </w:rPr>
              <w:t>Note:</w:t>
            </w:r>
          </w:p>
        </w:tc>
        <w:tc>
          <w:tcPr>
            <w:tcW w:w="5875" w:type="dxa"/>
          </w:tcPr>
          <w:p>
            <w:pPr>
              <w:pStyle w:val="TableParagraph"/>
              <w:rPr>
                <w:rFonts w:ascii="Times New Roman"/>
                <w:sz w:val="16"/>
              </w:rPr>
            </w:pPr>
          </w:p>
        </w:tc>
        <w:tc>
          <w:tcPr>
            <w:tcW w:w="1168" w:type="dxa"/>
            <w:tcBorders>
              <w:top w:val="single" w:sz="18" w:space="0" w:color="000000"/>
            </w:tcBorders>
          </w:tcPr>
          <w:p>
            <w:pPr>
              <w:pStyle w:val="TableParagraph"/>
              <w:rPr>
                <w:rFonts w:ascii="Times New Roman"/>
                <w:sz w:val="16"/>
              </w:rPr>
            </w:pPr>
          </w:p>
        </w:tc>
        <w:tc>
          <w:tcPr>
            <w:tcW w:w="1667" w:type="dxa"/>
            <w:tcBorders>
              <w:top w:val="single" w:sz="18" w:space="0" w:color="000000"/>
            </w:tcBorders>
          </w:tcPr>
          <w:p>
            <w:pPr>
              <w:pStyle w:val="TableParagraph"/>
              <w:rPr>
                <w:rFonts w:ascii="Times New Roman"/>
                <w:sz w:val="16"/>
              </w:rPr>
            </w:pPr>
          </w:p>
        </w:tc>
        <w:tc>
          <w:tcPr>
            <w:tcW w:w="1364" w:type="dxa"/>
            <w:tcBorders>
              <w:top w:val="single" w:sz="18" w:space="0" w:color="000000"/>
            </w:tcBorders>
          </w:tcPr>
          <w:p>
            <w:pPr>
              <w:pStyle w:val="TableParagraph"/>
              <w:rPr>
                <w:rFonts w:ascii="Times New Roman"/>
                <w:sz w:val="16"/>
              </w:rPr>
            </w:pPr>
          </w:p>
        </w:tc>
        <w:tc>
          <w:tcPr>
            <w:tcW w:w="1310" w:type="dxa"/>
            <w:tcBorders>
              <w:top w:val="single" w:sz="18" w:space="0" w:color="000000"/>
            </w:tcBorders>
          </w:tcPr>
          <w:p>
            <w:pPr>
              <w:pStyle w:val="TableParagraph"/>
              <w:rPr>
                <w:rFonts w:ascii="Times New Roman"/>
                <w:sz w:val="16"/>
              </w:rPr>
            </w:pPr>
          </w:p>
        </w:tc>
        <w:tc>
          <w:tcPr>
            <w:tcW w:w="1494" w:type="dxa"/>
            <w:tcBorders>
              <w:top w:val="single" w:sz="18" w:space="0" w:color="000000"/>
            </w:tcBorders>
          </w:tcPr>
          <w:p>
            <w:pPr>
              <w:pStyle w:val="TableParagraph"/>
              <w:rPr>
                <w:rFonts w:ascii="Times New Roman"/>
                <w:sz w:val="16"/>
              </w:rPr>
            </w:pPr>
          </w:p>
        </w:tc>
        <w:tc>
          <w:tcPr>
            <w:tcW w:w="1385" w:type="dxa"/>
            <w:tcBorders>
              <w:top w:val="single" w:sz="18" w:space="0" w:color="000000"/>
            </w:tcBorders>
          </w:tcPr>
          <w:p>
            <w:pPr>
              <w:pStyle w:val="TableParagraph"/>
              <w:rPr>
                <w:rFonts w:ascii="Times New Roman"/>
                <w:sz w:val="16"/>
              </w:rPr>
            </w:pPr>
          </w:p>
        </w:tc>
      </w:tr>
    </w:tbl>
    <w:p>
      <w:pPr>
        <w:pStyle w:val="ListParagraph"/>
        <w:numPr>
          <w:ilvl w:val="1"/>
          <w:numId w:val="10"/>
        </w:numPr>
        <w:tabs>
          <w:tab w:pos="781" w:val="left" w:leader="none"/>
          <w:tab w:pos="782" w:val="left" w:leader="none"/>
          <w:tab w:pos="10088" w:val="left" w:leader="none"/>
        </w:tabs>
        <w:spacing w:line="240" w:lineRule="auto" w:before="70" w:after="0"/>
        <w:ind w:left="781" w:right="0" w:hanging="413"/>
        <w:jc w:val="left"/>
        <w:rPr>
          <w:rFonts w:ascii="Arial"/>
          <w:sz w:val="17"/>
        </w:rPr>
      </w:pPr>
      <w:r>
        <w:rPr>
          <w:rFonts w:ascii="Arial"/>
          <w:spacing w:val="2"/>
          <w:w w:val="105"/>
          <w:sz w:val="17"/>
        </w:rPr>
        <w:t>The </w:t>
      </w:r>
      <w:r>
        <w:rPr>
          <w:rFonts w:ascii="Arial"/>
          <w:spacing w:val="5"/>
          <w:w w:val="105"/>
          <w:sz w:val="17"/>
        </w:rPr>
        <w:t>FY2019  includes </w:t>
      </w:r>
      <w:r>
        <w:rPr>
          <w:rFonts w:ascii="Arial"/>
          <w:spacing w:val="4"/>
          <w:w w:val="105"/>
          <w:sz w:val="17"/>
        </w:rPr>
        <w:t>actual </w:t>
      </w:r>
      <w:r>
        <w:rPr>
          <w:rFonts w:ascii="Arial"/>
          <w:spacing w:val="5"/>
          <w:w w:val="105"/>
          <w:sz w:val="17"/>
        </w:rPr>
        <w:t>revenue  </w:t>
      </w:r>
      <w:r>
        <w:rPr>
          <w:rFonts w:ascii="Arial"/>
          <w:w w:val="105"/>
          <w:sz w:val="17"/>
        </w:rPr>
        <w:t>and  </w:t>
      </w:r>
      <w:r>
        <w:rPr>
          <w:rFonts w:ascii="Arial"/>
          <w:spacing w:val="5"/>
          <w:w w:val="105"/>
          <w:sz w:val="17"/>
        </w:rPr>
        <w:t>transfers </w:t>
      </w:r>
      <w:r>
        <w:rPr>
          <w:rFonts w:ascii="Arial"/>
          <w:spacing w:val="2"/>
          <w:w w:val="105"/>
          <w:sz w:val="17"/>
        </w:rPr>
        <w:t>for  </w:t>
      </w:r>
      <w:r>
        <w:rPr>
          <w:rFonts w:ascii="Arial"/>
          <w:spacing w:val="5"/>
          <w:w w:val="105"/>
          <w:sz w:val="17"/>
        </w:rPr>
        <w:t>January </w:t>
      </w:r>
      <w:r>
        <w:rPr>
          <w:rFonts w:ascii="Arial"/>
          <w:w w:val="105"/>
          <w:sz w:val="17"/>
        </w:rPr>
        <w:t>-</w:t>
      </w:r>
      <w:r>
        <w:rPr>
          <w:rFonts w:ascii="Arial"/>
          <w:spacing w:val="49"/>
          <w:w w:val="105"/>
          <w:sz w:val="17"/>
        </w:rPr>
        <w:t> </w:t>
      </w:r>
      <w:r>
        <w:rPr>
          <w:rFonts w:ascii="Arial"/>
          <w:spacing w:val="4"/>
          <w:w w:val="105"/>
          <w:sz w:val="17"/>
        </w:rPr>
        <w:t>October  </w:t>
      </w:r>
      <w:r>
        <w:rPr>
          <w:rFonts w:ascii="Arial"/>
          <w:spacing w:val="3"/>
          <w:w w:val="105"/>
          <w:sz w:val="17"/>
        </w:rPr>
        <w:t>and </w:t>
      </w:r>
      <w:r>
        <w:rPr>
          <w:rFonts w:ascii="Arial"/>
          <w:spacing w:val="5"/>
          <w:w w:val="105"/>
          <w:sz w:val="17"/>
        </w:rPr>
        <w:t>projection</w:t>
      </w:r>
      <w:r>
        <w:rPr>
          <w:rFonts w:ascii="Arial"/>
          <w:spacing w:val="21"/>
          <w:w w:val="105"/>
          <w:sz w:val="17"/>
        </w:rPr>
        <w:t> </w:t>
      </w:r>
      <w:r>
        <w:rPr>
          <w:rFonts w:ascii="Arial"/>
          <w:spacing w:val="2"/>
          <w:w w:val="105"/>
          <w:sz w:val="17"/>
        </w:rPr>
        <w:t>for</w:t>
      </w:r>
      <w:r>
        <w:rPr>
          <w:rFonts w:ascii="Arial"/>
          <w:spacing w:val="34"/>
          <w:w w:val="105"/>
          <w:sz w:val="17"/>
        </w:rPr>
        <w:t> </w:t>
      </w:r>
      <w:r>
        <w:rPr>
          <w:rFonts w:ascii="Arial"/>
          <w:spacing w:val="4"/>
          <w:w w:val="105"/>
          <w:sz w:val="17"/>
        </w:rPr>
        <w:t>November</w:t>
        <w:tab/>
      </w:r>
      <w:r>
        <w:rPr>
          <w:rFonts w:ascii="Arial"/>
          <w:w w:val="105"/>
          <w:sz w:val="17"/>
        </w:rPr>
        <w:t>-</w:t>
      </w:r>
      <w:r>
        <w:rPr>
          <w:rFonts w:ascii="Arial"/>
          <w:spacing w:val="38"/>
          <w:w w:val="105"/>
          <w:sz w:val="17"/>
        </w:rPr>
        <w:t> </w:t>
      </w:r>
      <w:r>
        <w:rPr>
          <w:rFonts w:ascii="Arial"/>
          <w:spacing w:val="5"/>
          <w:w w:val="105"/>
          <w:sz w:val="17"/>
        </w:rPr>
        <w:t>December</w:t>
      </w:r>
    </w:p>
    <w:p>
      <w:pPr>
        <w:pStyle w:val="ListParagraph"/>
        <w:numPr>
          <w:ilvl w:val="1"/>
          <w:numId w:val="10"/>
        </w:numPr>
        <w:tabs>
          <w:tab w:pos="776" w:val="left" w:leader="none"/>
          <w:tab w:pos="777" w:val="left" w:leader="none"/>
          <w:tab w:pos="10266" w:val="left" w:leader="none"/>
        </w:tabs>
        <w:spacing w:line="240" w:lineRule="auto" w:before="102" w:after="0"/>
        <w:ind w:left="776" w:right="0" w:hanging="408"/>
        <w:jc w:val="left"/>
        <w:rPr>
          <w:rFonts w:ascii="Arial"/>
          <w:sz w:val="17"/>
        </w:rPr>
      </w:pPr>
      <w:r>
        <w:rPr>
          <w:rFonts w:ascii="Arial"/>
          <w:spacing w:val="4"/>
          <w:w w:val="105"/>
          <w:sz w:val="17"/>
        </w:rPr>
        <w:t>Of</w:t>
      </w:r>
      <w:r>
        <w:rPr>
          <w:rFonts w:ascii="Arial"/>
          <w:spacing w:val="24"/>
          <w:w w:val="105"/>
          <w:sz w:val="17"/>
        </w:rPr>
        <w:t> </w:t>
      </w:r>
      <w:r>
        <w:rPr>
          <w:rFonts w:ascii="Arial"/>
          <w:spacing w:val="6"/>
          <w:w w:val="105"/>
          <w:sz w:val="17"/>
        </w:rPr>
        <w:t>the</w:t>
      </w:r>
      <w:r>
        <w:rPr>
          <w:rFonts w:ascii="Arial"/>
          <w:spacing w:val="24"/>
          <w:w w:val="105"/>
          <w:sz w:val="17"/>
        </w:rPr>
        <w:t> </w:t>
      </w:r>
      <w:r>
        <w:rPr>
          <w:rFonts w:ascii="Arial"/>
          <w:spacing w:val="5"/>
          <w:w w:val="105"/>
          <w:sz w:val="17"/>
        </w:rPr>
        <w:t>total</w:t>
      </w:r>
      <w:r>
        <w:rPr>
          <w:rFonts w:ascii="Arial"/>
          <w:spacing w:val="25"/>
          <w:w w:val="105"/>
          <w:sz w:val="17"/>
        </w:rPr>
        <w:t> </w:t>
      </w:r>
      <w:r>
        <w:rPr>
          <w:rFonts w:ascii="Arial"/>
          <w:w w:val="105"/>
          <w:sz w:val="17"/>
        </w:rPr>
        <w:t>SLRSA</w:t>
      </w:r>
      <w:r>
        <w:rPr>
          <w:rFonts w:ascii="Arial"/>
          <w:spacing w:val="26"/>
          <w:w w:val="105"/>
          <w:sz w:val="17"/>
        </w:rPr>
        <w:t> </w:t>
      </w:r>
      <w:r>
        <w:rPr>
          <w:rFonts w:ascii="Arial"/>
          <w:spacing w:val="5"/>
          <w:w w:val="105"/>
          <w:sz w:val="17"/>
        </w:rPr>
        <w:t>revenue</w:t>
      </w:r>
      <w:r>
        <w:rPr>
          <w:rFonts w:ascii="Arial"/>
          <w:spacing w:val="23"/>
          <w:w w:val="105"/>
          <w:sz w:val="17"/>
        </w:rPr>
        <w:t> </w:t>
      </w:r>
      <w:r>
        <w:rPr>
          <w:rFonts w:ascii="Arial"/>
          <w:spacing w:val="4"/>
          <w:w w:val="105"/>
          <w:sz w:val="17"/>
        </w:rPr>
        <w:t>collected,</w:t>
      </w:r>
      <w:r>
        <w:rPr>
          <w:rFonts w:ascii="Arial"/>
          <w:spacing w:val="29"/>
          <w:w w:val="105"/>
          <w:sz w:val="17"/>
        </w:rPr>
        <w:t> </w:t>
      </w:r>
      <w:r>
        <w:rPr>
          <w:rFonts w:ascii="Arial"/>
          <w:spacing w:val="3"/>
          <w:w w:val="105"/>
          <w:sz w:val="17"/>
        </w:rPr>
        <w:t>90%</w:t>
      </w:r>
      <w:r>
        <w:rPr>
          <w:rFonts w:ascii="Arial"/>
          <w:spacing w:val="39"/>
          <w:w w:val="105"/>
          <w:sz w:val="17"/>
        </w:rPr>
        <w:t> </w:t>
      </w:r>
      <w:r>
        <w:rPr>
          <w:rFonts w:ascii="Arial"/>
          <w:spacing w:val="2"/>
          <w:w w:val="105"/>
          <w:sz w:val="17"/>
        </w:rPr>
        <w:t>is</w:t>
      </w:r>
      <w:r>
        <w:rPr>
          <w:rFonts w:ascii="Arial"/>
          <w:spacing w:val="26"/>
          <w:w w:val="105"/>
          <w:sz w:val="17"/>
        </w:rPr>
        <w:t> </w:t>
      </w:r>
      <w:r>
        <w:rPr>
          <w:rFonts w:ascii="Arial"/>
          <w:spacing w:val="5"/>
          <w:w w:val="105"/>
          <w:sz w:val="17"/>
        </w:rPr>
        <w:t>transferred</w:t>
      </w:r>
      <w:r>
        <w:rPr>
          <w:rFonts w:ascii="Arial"/>
          <w:spacing w:val="26"/>
          <w:w w:val="105"/>
          <w:sz w:val="17"/>
        </w:rPr>
        <w:t> </w:t>
      </w:r>
      <w:r>
        <w:rPr>
          <w:rFonts w:ascii="Arial"/>
          <w:spacing w:val="3"/>
          <w:w w:val="105"/>
          <w:sz w:val="17"/>
        </w:rPr>
        <w:t>to</w:t>
      </w:r>
      <w:r>
        <w:rPr>
          <w:rFonts w:ascii="Arial"/>
          <w:spacing w:val="31"/>
          <w:w w:val="105"/>
          <w:sz w:val="17"/>
        </w:rPr>
        <w:t> </w:t>
      </w:r>
      <w:r>
        <w:rPr>
          <w:rFonts w:ascii="Arial"/>
          <w:w w:val="105"/>
          <w:sz w:val="17"/>
        </w:rPr>
        <w:t>SLRSA</w:t>
      </w:r>
      <w:r>
        <w:rPr>
          <w:rFonts w:ascii="Arial"/>
          <w:spacing w:val="25"/>
          <w:w w:val="105"/>
          <w:sz w:val="17"/>
        </w:rPr>
        <w:t> </w:t>
      </w:r>
      <w:r>
        <w:rPr>
          <w:rFonts w:ascii="Arial"/>
          <w:w w:val="105"/>
          <w:sz w:val="17"/>
        </w:rPr>
        <w:t>and</w:t>
      </w:r>
      <w:r>
        <w:rPr>
          <w:rFonts w:ascii="Arial"/>
          <w:spacing w:val="30"/>
          <w:w w:val="105"/>
          <w:sz w:val="17"/>
        </w:rPr>
        <w:t> </w:t>
      </w:r>
      <w:r>
        <w:rPr>
          <w:rFonts w:ascii="Arial"/>
          <w:spacing w:val="5"/>
          <w:w w:val="105"/>
          <w:sz w:val="17"/>
        </w:rPr>
        <w:t>10%</w:t>
      </w:r>
      <w:r>
        <w:rPr>
          <w:rFonts w:ascii="Arial"/>
          <w:spacing w:val="34"/>
          <w:w w:val="105"/>
          <w:sz w:val="17"/>
        </w:rPr>
        <w:t> </w:t>
      </w:r>
      <w:r>
        <w:rPr>
          <w:rFonts w:ascii="Arial"/>
          <w:spacing w:val="3"/>
          <w:w w:val="105"/>
          <w:sz w:val="17"/>
        </w:rPr>
        <w:t>to</w:t>
      </w:r>
      <w:r>
        <w:rPr>
          <w:rFonts w:ascii="Arial"/>
          <w:spacing w:val="26"/>
          <w:w w:val="105"/>
          <w:sz w:val="17"/>
        </w:rPr>
        <w:t> </w:t>
      </w:r>
      <w:r>
        <w:rPr>
          <w:rFonts w:ascii="Arial"/>
          <w:spacing w:val="4"/>
          <w:w w:val="105"/>
          <w:sz w:val="17"/>
        </w:rPr>
        <w:t>RMFA</w:t>
      </w:r>
      <w:r>
        <w:rPr>
          <w:rFonts w:ascii="Arial"/>
          <w:spacing w:val="25"/>
          <w:w w:val="105"/>
          <w:sz w:val="17"/>
        </w:rPr>
        <w:t> </w:t>
      </w:r>
      <w:r>
        <w:rPr>
          <w:rFonts w:ascii="Arial"/>
          <w:spacing w:val="2"/>
          <w:w w:val="105"/>
          <w:sz w:val="17"/>
        </w:rPr>
        <w:t>by</w:t>
      </w:r>
      <w:r>
        <w:rPr>
          <w:rFonts w:ascii="Arial"/>
          <w:spacing w:val="28"/>
          <w:w w:val="105"/>
          <w:sz w:val="17"/>
        </w:rPr>
        <w:t> </w:t>
      </w:r>
      <w:r>
        <w:rPr>
          <w:rFonts w:ascii="Arial"/>
          <w:spacing w:val="3"/>
          <w:w w:val="105"/>
          <w:sz w:val="17"/>
        </w:rPr>
        <w:t>Bank</w:t>
      </w:r>
      <w:r>
        <w:rPr>
          <w:rFonts w:ascii="Arial"/>
          <w:spacing w:val="33"/>
          <w:w w:val="105"/>
          <w:sz w:val="17"/>
        </w:rPr>
        <w:t> </w:t>
      </w:r>
      <w:r>
        <w:rPr>
          <w:rFonts w:ascii="Arial"/>
          <w:w w:val="105"/>
          <w:sz w:val="17"/>
        </w:rPr>
        <w:t>of</w:t>
      </w:r>
      <w:r>
        <w:rPr>
          <w:rFonts w:ascii="Arial"/>
          <w:spacing w:val="28"/>
          <w:w w:val="105"/>
          <w:sz w:val="17"/>
        </w:rPr>
        <w:t> </w:t>
      </w:r>
      <w:r>
        <w:rPr>
          <w:rFonts w:ascii="Arial"/>
          <w:spacing w:val="4"/>
          <w:w w:val="105"/>
          <w:sz w:val="17"/>
        </w:rPr>
        <w:t>Sierra</w:t>
        <w:tab/>
      </w:r>
      <w:r>
        <w:rPr>
          <w:rFonts w:ascii="Arial"/>
          <w:spacing w:val="3"/>
          <w:w w:val="105"/>
          <w:sz w:val="17"/>
        </w:rPr>
        <w:t>Leone</w:t>
      </w:r>
    </w:p>
    <w:p>
      <w:pPr>
        <w:spacing w:after="0" w:line="240" w:lineRule="auto"/>
        <w:jc w:val="left"/>
        <w:rPr>
          <w:rFonts w:ascii="Arial"/>
          <w:sz w:val="17"/>
        </w:rPr>
        <w:sectPr>
          <w:headerReference w:type="default" r:id="rId22"/>
          <w:pgSz w:w="16840" w:h="11900" w:orient="landscape"/>
          <w:pgMar w:header="0" w:footer="0" w:top="1020" w:bottom="280" w:left="880" w:right="920"/>
        </w:sectPr>
      </w:pPr>
    </w:p>
    <w:p>
      <w:pPr>
        <w:spacing w:before="172"/>
        <w:ind w:left="4894" w:right="0" w:firstLine="0"/>
        <w:jc w:val="left"/>
        <w:rPr>
          <w:rFonts w:ascii="Arial"/>
          <w:b/>
          <w:sz w:val="17"/>
        </w:rPr>
      </w:pPr>
      <w:r>
        <w:rPr/>
        <w:pict>
          <v:shape style="position:absolute;margin-left:27.140491pt;margin-top:294.03891pt;width:14.35pt;height:4.5pt;mso-position-horizontal-relative:page;mso-position-vertical-relative:page;z-index:2920" type="#_x0000_t202" filled="false" stroked="false">
            <v:textbox inset="0,0,0,0" style="layout-flow:vertical">
              <w:txbxContent>
                <w:p>
                  <w:pPr>
                    <w:spacing w:before="13"/>
                    <w:ind w:left="20" w:right="0" w:firstLine="0"/>
                    <w:jc w:val="left"/>
                    <w:rPr>
                      <w:rFonts w:ascii="Arial"/>
                      <w:sz w:val="22"/>
                    </w:rPr>
                  </w:pPr>
                  <w:r>
                    <w:rPr>
                      <w:rFonts w:ascii="Arial"/>
                      <w:w w:val="100"/>
                      <w:sz w:val="22"/>
                    </w:rPr>
                    <w:t>l</w:t>
                  </w:r>
                </w:p>
              </w:txbxContent>
            </v:textbox>
            <w10:wrap type="none"/>
          </v:shape>
        </w:pict>
      </w:r>
      <w:r>
        <w:rPr>
          <w:rFonts w:ascii="Arial"/>
          <w:b/>
          <w:w w:val="105"/>
          <w:sz w:val="17"/>
        </w:rPr>
        <w:t>ANNEX 13A: FY2020 TRANSFERS TO LOCAL COUNCILS</w:t>
      </w:r>
    </w:p>
    <w:p>
      <w:pPr>
        <w:pStyle w:val="BodyText"/>
        <w:spacing w:before="5"/>
        <w:rPr>
          <w:rFonts w:ascii="Arial"/>
          <w:b/>
          <w:sz w:val="20"/>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
        <w:gridCol w:w="2328"/>
        <w:gridCol w:w="957"/>
        <w:gridCol w:w="1789"/>
        <w:gridCol w:w="616"/>
        <w:gridCol w:w="758"/>
        <w:gridCol w:w="645"/>
        <w:gridCol w:w="793"/>
        <w:gridCol w:w="859"/>
        <w:gridCol w:w="828"/>
        <w:gridCol w:w="753"/>
        <w:gridCol w:w="726"/>
        <w:gridCol w:w="732"/>
        <w:gridCol w:w="818"/>
        <w:gridCol w:w="746"/>
        <w:gridCol w:w="1265"/>
      </w:tblGrid>
      <w:tr>
        <w:trPr>
          <w:trHeight w:val="362" w:hRule="atLeast"/>
        </w:trPr>
        <w:tc>
          <w:tcPr>
            <w:tcW w:w="14807" w:type="dxa"/>
            <w:gridSpan w:val="16"/>
            <w:tcBorders>
              <w:bottom w:val="single" w:sz="6" w:space="0" w:color="000000"/>
            </w:tcBorders>
          </w:tcPr>
          <w:p>
            <w:pPr>
              <w:pStyle w:val="TableParagraph"/>
              <w:spacing w:before="1"/>
              <w:ind w:left="1"/>
              <w:rPr>
                <w:b/>
                <w:sz w:val="17"/>
              </w:rPr>
            </w:pPr>
            <w:r>
              <w:rPr>
                <w:b/>
                <w:w w:val="105"/>
                <w:sz w:val="17"/>
              </w:rPr>
              <w:t>In Millions of Leones (Le’m)</w:t>
            </w:r>
          </w:p>
        </w:tc>
      </w:tr>
      <w:tr>
        <w:trPr>
          <w:trHeight w:val="232" w:hRule="atLeast"/>
        </w:trPr>
        <w:tc>
          <w:tcPr>
            <w:tcW w:w="2522" w:type="dxa"/>
            <w:gridSpan w:val="2"/>
            <w:tcBorders>
              <w:top w:val="single" w:sz="6" w:space="0" w:color="000000"/>
            </w:tcBorders>
          </w:tcPr>
          <w:p>
            <w:pPr>
              <w:pStyle w:val="TableParagraph"/>
              <w:tabs>
                <w:tab w:pos="451" w:val="left" w:leader="none"/>
              </w:tabs>
              <w:spacing w:line="152" w:lineRule="exact" w:before="60"/>
              <w:rPr>
                <w:b/>
                <w:sz w:val="14"/>
              </w:rPr>
            </w:pPr>
            <w:r>
              <w:rPr>
                <w:b/>
                <w:spacing w:val="-9"/>
                <w:sz w:val="14"/>
              </w:rPr>
              <w:t>No.</w:t>
              <w:tab/>
            </w:r>
            <w:r>
              <w:rPr>
                <w:b/>
                <w:sz w:val="14"/>
              </w:rPr>
              <w:t>Grant</w:t>
            </w:r>
            <w:r>
              <w:rPr>
                <w:b/>
                <w:spacing w:val="2"/>
                <w:sz w:val="14"/>
              </w:rPr>
              <w:t> </w:t>
            </w:r>
            <w:r>
              <w:rPr>
                <w:b/>
                <w:sz w:val="14"/>
              </w:rPr>
              <w:t>Type</w:t>
            </w:r>
          </w:p>
        </w:tc>
        <w:tc>
          <w:tcPr>
            <w:tcW w:w="957" w:type="dxa"/>
            <w:tcBorders>
              <w:top w:val="single" w:sz="6" w:space="0" w:color="000000"/>
            </w:tcBorders>
          </w:tcPr>
          <w:p>
            <w:pPr>
              <w:pStyle w:val="TableParagraph"/>
              <w:spacing w:line="152" w:lineRule="exact" w:before="60"/>
              <w:ind w:left="109"/>
              <w:rPr>
                <w:b/>
                <w:sz w:val="14"/>
              </w:rPr>
            </w:pPr>
            <w:r>
              <w:rPr>
                <w:b/>
                <w:sz w:val="14"/>
              </w:rPr>
              <w:t>FY2019</w:t>
            </w:r>
          </w:p>
        </w:tc>
        <w:tc>
          <w:tcPr>
            <w:tcW w:w="1789" w:type="dxa"/>
            <w:tcBorders>
              <w:top w:val="single" w:sz="6" w:space="0" w:color="000000"/>
            </w:tcBorders>
          </w:tcPr>
          <w:p>
            <w:pPr>
              <w:pStyle w:val="TableParagraph"/>
              <w:spacing w:line="152" w:lineRule="exact" w:before="60"/>
              <w:ind w:left="241"/>
              <w:rPr>
                <w:b/>
                <w:sz w:val="14"/>
              </w:rPr>
            </w:pPr>
            <w:r>
              <w:rPr>
                <w:b/>
                <w:sz w:val="14"/>
              </w:rPr>
              <w:t>Local</w:t>
            </w:r>
          </w:p>
        </w:tc>
        <w:tc>
          <w:tcPr>
            <w:tcW w:w="616" w:type="dxa"/>
            <w:tcBorders>
              <w:top w:val="single" w:sz="6" w:space="0" w:color="000000"/>
            </w:tcBorders>
          </w:tcPr>
          <w:p>
            <w:pPr>
              <w:pStyle w:val="TableParagraph"/>
              <w:spacing w:line="152" w:lineRule="exact" w:before="60"/>
              <w:ind w:left="-11" w:right="122"/>
              <w:jc w:val="right"/>
              <w:rPr>
                <w:b/>
                <w:sz w:val="14"/>
              </w:rPr>
            </w:pPr>
            <w:r>
              <w:rPr>
                <w:b/>
                <w:w w:val="95"/>
                <w:sz w:val="14"/>
              </w:rPr>
              <w:t>Educa</w:t>
            </w:r>
          </w:p>
        </w:tc>
        <w:tc>
          <w:tcPr>
            <w:tcW w:w="758" w:type="dxa"/>
            <w:tcBorders>
              <w:top w:val="single" w:sz="6" w:space="0" w:color="000000"/>
            </w:tcBorders>
          </w:tcPr>
          <w:p>
            <w:pPr>
              <w:pStyle w:val="TableParagraph"/>
              <w:spacing w:line="152" w:lineRule="exact" w:before="60"/>
              <w:ind w:left="298"/>
              <w:rPr>
                <w:b/>
                <w:sz w:val="14"/>
              </w:rPr>
            </w:pPr>
            <w:r>
              <w:rPr>
                <w:b/>
                <w:sz w:val="14"/>
              </w:rPr>
              <w:t>Libr-</w:t>
            </w:r>
          </w:p>
        </w:tc>
        <w:tc>
          <w:tcPr>
            <w:tcW w:w="645" w:type="dxa"/>
            <w:tcBorders>
              <w:top w:val="single" w:sz="6" w:space="0" w:color="000000"/>
            </w:tcBorders>
          </w:tcPr>
          <w:p>
            <w:pPr>
              <w:pStyle w:val="TableParagraph"/>
              <w:spacing w:line="152" w:lineRule="exact" w:before="60"/>
              <w:ind w:right="103"/>
              <w:jc w:val="right"/>
              <w:rPr>
                <w:b/>
                <w:sz w:val="14"/>
              </w:rPr>
            </w:pPr>
            <w:r>
              <w:rPr>
                <w:b/>
                <w:w w:val="95"/>
                <w:sz w:val="14"/>
              </w:rPr>
              <w:t>Agric-</w:t>
            </w:r>
          </w:p>
        </w:tc>
        <w:tc>
          <w:tcPr>
            <w:tcW w:w="793" w:type="dxa"/>
            <w:tcBorders>
              <w:top w:val="single" w:sz="6" w:space="0" w:color="000000"/>
            </w:tcBorders>
          </w:tcPr>
          <w:p>
            <w:pPr>
              <w:pStyle w:val="TableParagraph"/>
              <w:spacing w:line="152" w:lineRule="exact" w:before="60"/>
              <w:ind w:right="60"/>
              <w:jc w:val="right"/>
              <w:rPr>
                <w:b/>
                <w:sz w:val="14"/>
              </w:rPr>
            </w:pPr>
            <w:r>
              <w:rPr>
                <w:b/>
                <w:sz w:val="14"/>
              </w:rPr>
              <w:t>Primary</w:t>
            </w:r>
          </w:p>
        </w:tc>
        <w:tc>
          <w:tcPr>
            <w:tcW w:w="859" w:type="dxa"/>
            <w:tcBorders>
              <w:top w:val="single" w:sz="6" w:space="0" w:color="000000"/>
            </w:tcBorders>
          </w:tcPr>
          <w:p>
            <w:pPr>
              <w:pStyle w:val="TableParagraph"/>
              <w:spacing w:line="152" w:lineRule="exact" w:before="60"/>
              <w:ind w:left="56"/>
              <w:rPr>
                <w:b/>
                <w:sz w:val="14"/>
              </w:rPr>
            </w:pPr>
            <w:r>
              <w:rPr>
                <w:b/>
                <w:sz w:val="14"/>
              </w:rPr>
              <w:t>Secondary</w:t>
            </w:r>
          </w:p>
        </w:tc>
        <w:tc>
          <w:tcPr>
            <w:tcW w:w="828" w:type="dxa"/>
            <w:tcBorders>
              <w:top w:val="single" w:sz="6" w:space="0" w:color="000000"/>
            </w:tcBorders>
          </w:tcPr>
          <w:p>
            <w:pPr>
              <w:pStyle w:val="TableParagraph"/>
              <w:spacing w:line="152" w:lineRule="exact" w:before="60"/>
              <w:ind w:right="257"/>
              <w:jc w:val="right"/>
              <w:rPr>
                <w:b/>
                <w:sz w:val="14"/>
              </w:rPr>
            </w:pPr>
            <w:r>
              <w:rPr>
                <w:b/>
                <w:w w:val="95"/>
                <w:sz w:val="14"/>
              </w:rPr>
              <w:t>Total</w:t>
            </w:r>
          </w:p>
        </w:tc>
        <w:tc>
          <w:tcPr>
            <w:tcW w:w="753" w:type="dxa"/>
            <w:tcBorders>
              <w:top w:val="single" w:sz="6" w:space="0" w:color="000000"/>
            </w:tcBorders>
          </w:tcPr>
          <w:p>
            <w:pPr>
              <w:pStyle w:val="TableParagraph"/>
              <w:spacing w:line="152" w:lineRule="exact" w:before="60"/>
              <w:ind w:left="183"/>
              <w:rPr>
                <w:b/>
                <w:sz w:val="14"/>
              </w:rPr>
            </w:pPr>
            <w:r>
              <w:rPr>
                <w:b/>
                <w:sz w:val="14"/>
              </w:rPr>
              <w:t>Rural</w:t>
            </w:r>
          </w:p>
        </w:tc>
        <w:tc>
          <w:tcPr>
            <w:tcW w:w="726" w:type="dxa"/>
            <w:tcBorders>
              <w:top w:val="single" w:sz="6" w:space="0" w:color="000000"/>
            </w:tcBorders>
          </w:tcPr>
          <w:p>
            <w:pPr>
              <w:pStyle w:val="TableParagraph"/>
              <w:spacing w:line="152" w:lineRule="exact" w:before="60"/>
              <w:ind w:left="135"/>
              <w:rPr>
                <w:b/>
                <w:sz w:val="14"/>
              </w:rPr>
            </w:pPr>
            <w:r>
              <w:rPr>
                <w:b/>
                <w:sz w:val="14"/>
              </w:rPr>
              <w:t>Social</w:t>
            </w:r>
          </w:p>
        </w:tc>
        <w:tc>
          <w:tcPr>
            <w:tcW w:w="732" w:type="dxa"/>
            <w:tcBorders>
              <w:top w:val="single" w:sz="6" w:space="0" w:color="000000"/>
            </w:tcBorders>
          </w:tcPr>
          <w:p>
            <w:pPr>
              <w:pStyle w:val="TableParagraph"/>
              <w:spacing w:line="152" w:lineRule="exact" w:before="60"/>
              <w:ind w:right="143"/>
              <w:jc w:val="right"/>
              <w:rPr>
                <w:b/>
                <w:sz w:val="14"/>
              </w:rPr>
            </w:pPr>
            <w:r>
              <w:rPr>
                <w:b/>
                <w:w w:val="95"/>
                <w:sz w:val="14"/>
              </w:rPr>
              <w:t>Marine</w:t>
            </w:r>
          </w:p>
        </w:tc>
        <w:tc>
          <w:tcPr>
            <w:tcW w:w="818" w:type="dxa"/>
            <w:tcBorders>
              <w:top w:val="single" w:sz="6" w:space="0" w:color="000000"/>
            </w:tcBorders>
          </w:tcPr>
          <w:p>
            <w:pPr>
              <w:pStyle w:val="TableParagraph"/>
              <w:spacing w:line="152" w:lineRule="exact" w:before="60"/>
              <w:ind w:left="199"/>
              <w:rPr>
                <w:b/>
                <w:sz w:val="14"/>
              </w:rPr>
            </w:pPr>
            <w:r>
              <w:rPr>
                <w:b/>
                <w:sz w:val="14"/>
              </w:rPr>
              <w:t>Uncond-</w:t>
            </w:r>
          </w:p>
        </w:tc>
        <w:tc>
          <w:tcPr>
            <w:tcW w:w="746" w:type="dxa"/>
            <w:tcBorders>
              <w:top w:val="single" w:sz="6" w:space="0" w:color="000000"/>
            </w:tcBorders>
          </w:tcPr>
          <w:p>
            <w:pPr>
              <w:pStyle w:val="TableParagraph"/>
              <w:spacing w:line="152" w:lineRule="exact" w:before="60"/>
              <w:ind w:left="87"/>
              <w:rPr>
                <w:b/>
                <w:sz w:val="14"/>
              </w:rPr>
            </w:pPr>
            <w:r>
              <w:rPr>
                <w:b/>
                <w:sz w:val="14"/>
              </w:rPr>
              <w:t>Support</w:t>
            </w:r>
          </w:p>
        </w:tc>
        <w:tc>
          <w:tcPr>
            <w:tcW w:w="1265" w:type="dxa"/>
            <w:tcBorders>
              <w:top w:val="single" w:sz="6" w:space="0" w:color="000000"/>
            </w:tcBorders>
          </w:tcPr>
          <w:p>
            <w:pPr>
              <w:pStyle w:val="TableParagraph"/>
              <w:spacing w:line="152" w:lineRule="exact" w:before="60"/>
              <w:ind w:left="330"/>
              <w:rPr>
                <w:b/>
                <w:sz w:val="14"/>
              </w:rPr>
            </w:pPr>
            <w:r>
              <w:rPr>
                <w:b/>
                <w:sz w:val="14"/>
              </w:rPr>
              <w:t>Local</w:t>
            </w:r>
          </w:p>
        </w:tc>
      </w:tr>
      <w:tr>
        <w:trPr>
          <w:trHeight w:val="180" w:hRule="atLeast"/>
        </w:trPr>
        <w:tc>
          <w:tcPr>
            <w:tcW w:w="2522" w:type="dxa"/>
            <w:gridSpan w:val="2"/>
          </w:tcPr>
          <w:p>
            <w:pPr>
              <w:pStyle w:val="TableParagraph"/>
              <w:rPr>
                <w:rFonts w:ascii="Times New Roman"/>
                <w:sz w:val="12"/>
              </w:rPr>
            </w:pPr>
          </w:p>
        </w:tc>
        <w:tc>
          <w:tcPr>
            <w:tcW w:w="957" w:type="dxa"/>
          </w:tcPr>
          <w:p>
            <w:pPr>
              <w:pStyle w:val="TableParagraph"/>
              <w:rPr>
                <w:rFonts w:ascii="Times New Roman"/>
                <w:sz w:val="12"/>
              </w:rPr>
            </w:pPr>
          </w:p>
        </w:tc>
        <w:tc>
          <w:tcPr>
            <w:tcW w:w="1789" w:type="dxa"/>
          </w:tcPr>
          <w:p>
            <w:pPr>
              <w:pStyle w:val="TableParagraph"/>
              <w:spacing w:line="154" w:lineRule="exact" w:before="5"/>
              <w:ind w:left="145"/>
              <w:rPr>
                <w:b/>
                <w:sz w:val="14"/>
              </w:rPr>
            </w:pPr>
            <w:r>
              <w:rPr>
                <w:b/>
                <w:sz w:val="14"/>
              </w:rPr>
              <w:t>Council</w:t>
            </w:r>
          </w:p>
        </w:tc>
        <w:tc>
          <w:tcPr>
            <w:tcW w:w="616" w:type="dxa"/>
          </w:tcPr>
          <w:p>
            <w:pPr>
              <w:pStyle w:val="TableParagraph"/>
              <w:spacing w:line="154" w:lineRule="exact" w:before="5"/>
              <w:ind w:left="-11" w:right="214"/>
              <w:jc w:val="right"/>
              <w:rPr>
                <w:b/>
                <w:sz w:val="14"/>
              </w:rPr>
            </w:pPr>
            <w:r>
              <w:rPr>
                <w:b/>
                <w:sz w:val="14"/>
              </w:rPr>
              <w:t>tion</w:t>
            </w:r>
          </w:p>
        </w:tc>
        <w:tc>
          <w:tcPr>
            <w:tcW w:w="758" w:type="dxa"/>
          </w:tcPr>
          <w:p>
            <w:pPr>
              <w:pStyle w:val="TableParagraph"/>
              <w:spacing w:line="154" w:lineRule="exact" w:before="5"/>
              <w:ind w:left="351"/>
              <w:rPr>
                <w:b/>
                <w:sz w:val="14"/>
              </w:rPr>
            </w:pPr>
            <w:r>
              <w:rPr>
                <w:b/>
                <w:sz w:val="14"/>
              </w:rPr>
              <w:t>ary</w:t>
            </w:r>
          </w:p>
        </w:tc>
        <w:tc>
          <w:tcPr>
            <w:tcW w:w="645" w:type="dxa"/>
          </w:tcPr>
          <w:p>
            <w:pPr>
              <w:pStyle w:val="TableParagraph"/>
              <w:spacing w:line="154" w:lineRule="exact" w:before="5"/>
              <w:ind w:right="118"/>
              <w:jc w:val="right"/>
              <w:rPr>
                <w:b/>
                <w:sz w:val="14"/>
              </w:rPr>
            </w:pPr>
            <w:r>
              <w:rPr>
                <w:b/>
                <w:sz w:val="14"/>
              </w:rPr>
              <w:t>ulture</w:t>
            </w:r>
          </w:p>
        </w:tc>
        <w:tc>
          <w:tcPr>
            <w:tcW w:w="793" w:type="dxa"/>
          </w:tcPr>
          <w:p>
            <w:pPr>
              <w:pStyle w:val="TableParagraph"/>
              <w:spacing w:line="154" w:lineRule="exact" w:before="5"/>
              <w:ind w:right="100"/>
              <w:jc w:val="right"/>
              <w:rPr>
                <w:b/>
                <w:sz w:val="14"/>
              </w:rPr>
            </w:pPr>
            <w:r>
              <w:rPr>
                <w:b/>
                <w:w w:val="95"/>
                <w:sz w:val="14"/>
              </w:rPr>
              <w:t>Health</w:t>
            </w:r>
          </w:p>
        </w:tc>
        <w:tc>
          <w:tcPr>
            <w:tcW w:w="859" w:type="dxa"/>
          </w:tcPr>
          <w:p>
            <w:pPr>
              <w:pStyle w:val="TableParagraph"/>
              <w:spacing w:line="154" w:lineRule="exact" w:before="5"/>
              <w:ind w:left="176"/>
              <w:rPr>
                <w:b/>
                <w:sz w:val="14"/>
              </w:rPr>
            </w:pPr>
            <w:r>
              <w:rPr>
                <w:b/>
                <w:sz w:val="14"/>
              </w:rPr>
              <w:t>Health</w:t>
            </w:r>
          </w:p>
        </w:tc>
        <w:tc>
          <w:tcPr>
            <w:tcW w:w="828" w:type="dxa"/>
          </w:tcPr>
          <w:p>
            <w:pPr>
              <w:pStyle w:val="TableParagraph"/>
              <w:spacing w:line="154" w:lineRule="exact" w:before="5"/>
              <w:ind w:right="198"/>
              <w:jc w:val="right"/>
              <w:rPr>
                <w:b/>
                <w:sz w:val="14"/>
              </w:rPr>
            </w:pPr>
            <w:r>
              <w:rPr>
                <w:b/>
                <w:w w:val="95"/>
                <w:sz w:val="14"/>
              </w:rPr>
              <w:t>Health</w:t>
            </w:r>
          </w:p>
        </w:tc>
        <w:tc>
          <w:tcPr>
            <w:tcW w:w="753" w:type="dxa"/>
          </w:tcPr>
          <w:p>
            <w:pPr>
              <w:pStyle w:val="TableParagraph"/>
              <w:spacing w:line="154" w:lineRule="exact" w:before="5"/>
              <w:ind w:left="173"/>
              <w:rPr>
                <w:b/>
                <w:sz w:val="14"/>
              </w:rPr>
            </w:pPr>
            <w:r>
              <w:rPr>
                <w:b/>
                <w:sz w:val="14"/>
              </w:rPr>
              <w:t>Water</w:t>
            </w:r>
          </w:p>
        </w:tc>
        <w:tc>
          <w:tcPr>
            <w:tcW w:w="726" w:type="dxa"/>
          </w:tcPr>
          <w:p>
            <w:pPr>
              <w:pStyle w:val="TableParagraph"/>
              <w:spacing w:line="154" w:lineRule="exact" w:before="5"/>
              <w:ind w:left="83"/>
              <w:rPr>
                <w:b/>
                <w:sz w:val="14"/>
              </w:rPr>
            </w:pPr>
            <w:r>
              <w:rPr>
                <w:b/>
                <w:sz w:val="14"/>
              </w:rPr>
              <w:t>Welfear</w:t>
            </w:r>
          </w:p>
        </w:tc>
        <w:tc>
          <w:tcPr>
            <w:tcW w:w="732" w:type="dxa"/>
          </w:tcPr>
          <w:p>
            <w:pPr>
              <w:pStyle w:val="TableParagraph"/>
              <w:spacing w:line="154" w:lineRule="exact" w:before="5"/>
              <w:ind w:right="66"/>
              <w:jc w:val="right"/>
              <w:rPr>
                <w:b/>
                <w:sz w:val="14"/>
              </w:rPr>
            </w:pPr>
            <w:r>
              <w:rPr>
                <w:b/>
                <w:w w:val="95"/>
                <w:sz w:val="14"/>
              </w:rPr>
              <w:t>Services</w:t>
            </w:r>
          </w:p>
        </w:tc>
        <w:tc>
          <w:tcPr>
            <w:tcW w:w="818" w:type="dxa"/>
          </w:tcPr>
          <w:p>
            <w:pPr>
              <w:pStyle w:val="TableParagraph"/>
              <w:spacing w:line="154" w:lineRule="exact" w:before="5"/>
              <w:ind w:left="243"/>
              <w:rPr>
                <w:b/>
                <w:sz w:val="14"/>
              </w:rPr>
            </w:pPr>
            <w:r>
              <w:rPr>
                <w:b/>
                <w:sz w:val="14"/>
              </w:rPr>
              <w:t>itional</w:t>
            </w:r>
          </w:p>
        </w:tc>
        <w:tc>
          <w:tcPr>
            <w:tcW w:w="746" w:type="dxa"/>
          </w:tcPr>
          <w:p>
            <w:pPr>
              <w:pStyle w:val="TableParagraph"/>
              <w:spacing w:line="154" w:lineRule="exact" w:before="5"/>
              <w:ind w:left="266" w:right="306"/>
              <w:jc w:val="center"/>
              <w:rPr>
                <w:b/>
                <w:sz w:val="14"/>
              </w:rPr>
            </w:pPr>
            <w:r>
              <w:rPr>
                <w:b/>
                <w:sz w:val="14"/>
              </w:rPr>
              <w:t>to</w:t>
            </w:r>
          </w:p>
        </w:tc>
        <w:tc>
          <w:tcPr>
            <w:tcW w:w="1265" w:type="dxa"/>
          </w:tcPr>
          <w:p>
            <w:pPr>
              <w:pStyle w:val="TableParagraph"/>
              <w:spacing w:line="154" w:lineRule="exact" w:before="5"/>
              <w:ind w:left="229"/>
              <w:rPr>
                <w:b/>
                <w:sz w:val="14"/>
              </w:rPr>
            </w:pPr>
            <w:r>
              <w:rPr>
                <w:b/>
                <w:sz w:val="14"/>
              </w:rPr>
              <w:t>Council</w:t>
            </w:r>
          </w:p>
        </w:tc>
      </w:tr>
      <w:tr>
        <w:trPr>
          <w:trHeight w:val="360" w:hRule="atLeast"/>
        </w:trPr>
        <w:tc>
          <w:tcPr>
            <w:tcW w:w="2522" w:type="dxa"/>
            <w:gridSpan w:val="2"/>
          </w:tcPr>
          <w:p>
            <w:pPr>
              <w:pStyle w:val="TableParagraph"/>
              <w:rPr>
                <w:rFonts w:ascii="Times New Roman"/>
                <w:sz w:val="14"/>
              </w:rPr>
            </w:pPr>
          </w:p>
        </w:tc>
        <w:tc>
          <w:tcPr>
            <w:tcW w:w="957" w:type="dxa"/>
          </w:tcPr>
          <w:p>
            <w:pPr>
              <w:pStyle w:val="TableParagraph"/>
              <w:rPr>
                <w:rFonts w:ascii="Times New Roman"/>
                <w:sz w:val="14"/>
              </w:rPr>
            </w:pPr>
          </w:p>
        </w:tc>
        <w:tc>
          <w:tcPr>
            <w:tcW w:w="1789" w:type="dxa"/>
          </w:tcPr>
          <w:p>
            <w:pPr>
              <w:pStyle w:val="TableParagraph"/>
              <w:rPr>
                <w:rFonts w:ascii="Times New Roman"/>
                <w:sz w:val="14"/>
              </w:rPr>
            </w:pPr>
          </w:p>
        </w:tc>
        <w:tc>
          <w:tcPr>
            <w:tcW w:w="616" w:type="dxa"/>
          </w:tcPr>
          <w:p>
            <w:pPr>
              <w:pStyle w:val="TableParagraph"/>
              <w:rPr>
                <w:rFonts w:ascii="Times New Roman"/>
                <w:sz w:val="14"/>
              </w:rPr>
            </w:pPr>
          </w:p>
        </w:tc>
        <w:tc>
          <w:tcPr>
            <w:tcW w:w="758" w:type="dxa"/>
          </w:tcPr>
          <w:p>
            <w:pPr>
              <w:pStyle w:val="TableParagraph"/>
              <w:rPr>
                <w:rFonts w:ascii="Times New Roman"/>
                <w:sz w:val="14"/>
              </w:rPr>
            </w:pPr>
          </w:p>
        </w:tc>
        <w:tc>
          <w:tcPr>
            <w:tcW w:w="645" w:type="dxa"/>
          </w:tcPr>
          <w:p>
            <w:pPr>
              <w:pStyle w:val="TableParagraph"/>
              <w:rPr>
                <w:rFonts w:ascii="Times New Roman"/>
                <w:sz w:val="14"/>
              </w:rPr>
            </w:pPr>
          </w:p>
        </w:tc>
        <w:tc>
          <w:tcPr>
            <w:tcW w:w="793" w:type="dxa"/>
          </w:tcPr>
          <w:p>
            <w:pPr>
              <w:pStyle w:val="TableParagraph"/>
              <w:rPr>
                <w:rFonts w:ascii="Times New Roman"/>
                <w:sz w:val="14"/>
              </w:rPr>
            </w:pPr>
          </w:p>
        </w:tc>
        <w:tc>
          <w:tcPr>
            <w:tcW w:w="859" w:type="dxa"/>
          </w:tcPr>
          <w:p>
            <w:pPr>
              <w:pStyle w:val="TableParagraph"/>
              <w:rPr>
                <w:rFonts w:ascii="Times New Roman"/>
                <w:sz w:val="14"/>
              </w:rPr>
            </w:pPr>
          </w:p>
        </w:tc>
        <w:tc>
          <w:tcPr>
            <w:tcW w:w="828" w:type="dxa"/>
          </w:tcPr>
          <w:p>
            <w:pPr>
              <w:pStyle w:val="TableParagraph"/>
              <w:rPr>
                <w:rFonts w:ascii="Times New Roman"/>
                <w:sz w:val="14"/>
              </w:rPr>
            </w:pPr>
          </w:p>
        </w:tc>
        <w:tc>
          <w:tcPr>
            <w:tcW w:w="753" w:type="dxa"/>
          </w:tcPr>
          <w:p>
            <w:pPr>
              <w:pStyle w:val="TableParagraph"/>
              <w:rPr>
                <w:rFonts w:ascii="Times New Roman"/>
                <w:sz w:val="14"/>
              </w:rPr>
            </w:pPr>
          </w:p>
        </w:tc>
        <w:tc>
          <w:tcPr>
            <w:tcW w:w="726" w:type="dxa"/>
          </w:tcPr>
          <w:p>
            <w:pPr>
              <w:pStyle w:val="TableParagraph"/>
              <w:rPr>
                <w:rFonts w:ascii="Times New Roman"/>
                <w:sz w:val="14"/>
              </w:rPr>
            </w:pPr>
          </w:p>
        </w:tc>
        <w:tc>
          <w:tcPr>
            <w:tcW w:w="732" w:type="dxa"/>
          </w:tcPr>
          <w:p>
            <w:pPr>
              <w:pStyle w:val="TableParagraph"/>
              <w:rPr>
                <w:rFonts w:ascii="Times New Roman"/>
                <w:sz w:val="14"/>
              </w:rPr>
            </w:pPr>
          </w:p>
        </w:tc>
        <w:tc>
          <w:tcPr>
            <w:tcW w:w="818" w:type="dxa"/>
          </w:tcPr>
          <w:p>
            <w:pPr>
              <w:pStyle w:val="TableParagraph"/>
              <w:spacing w:before="8"/>
              <w:ind w:left="295"/>
              <w:rPr>
                <w:b/>
                <w:sz w:val="14"/>
              </w:rPr>
            </w:pPr>
            <w:r>
              <w:rPr>
                <w:b/>
                <w:spacing w:val="-3"/>
                <w:sz w:val="14"/>
              </w:rPr>
              <w:t>Block</w:t>
            </w:r>
          </w:p>
          <w:p>
            <w:pPr>
              <w:pStyle w:val="TableParagraph"/>
              <w:spacing w:line="154" w:lineRule="exact" w:before="16"/>
              <w:ind w:left="295"/>
              <w:rPr>
                <w:b/>
                <w:sz w:val="14"/>
              </w:rPr>
            </w:pPr>
            <w:r>
              <w:rPr>
                <w:b/>
                <w:sz w:val="14"/>
              </w:rPr>
              <w:t>Grant</w:t>
            </w:r>
          </w:p>
        </w:tc>
        <w:tc>
          <w:tcPr>
            <w:tcW w:w="746" w:type="dxa"/>
          </w:tcPr>
          <w:p>
            <w:pPr>
              <w:pStyle w:val="TableParagraph"/>
              <w:spacing w:before="8"/>
              <w:ind w:left="173"/>
              <w:rPr>
                <w:b/>
                <w:sz w:val="14"/>
              </w:rPr>
            </w:pPr>
            <w:r>
              <w:rPr>
                <w:b/>
                <w:sz w:val="14"/>
              </w:rPr>
              <w:t>Ward</w:t>
            </w:r>
          </w:p>
          <w:p>
            <w:pPr>
              <w:pStyle w:val="TableParagraph"/>
              <w:spacing w:line="154" w:lineRule="exact" w:before="16"/>
              <w:ind w:left="87"/>
              <w:rPr>
                <w:b/>
                <w:sz w:val="14"/>
              </w:rPr>
            </w:pPr>
            <w:r>
              <w:rPr>
                <w:b/>
                <w:sz w:val="14"/>
              </w:rPr>
              <w:t>Commi-</w:t>
            </w:r>
          </w:p>
        </w:tc>
        <w:tc>
          <w:tcPr>
            <w:tcW w:w="1265" w:type="dxa"/>
          </w:tcPr>
          <w:p>
            <w:pPr>
              <w:pStyle w:val="TableParagraph"/>
              <w:spacing w:before="8"/>
              <w:ind w:left="121" w:right="369"/>
              <w:jc w:val="center"/>
              <w:rPr>
                <w:b/>
                <w:sz w:val="14"/>
              </w:rPr>
            </w:pPr>
            <w:r>
              <w:rPr>
                <w:b/>
                <w:sz w:val="14"/>
              </w:rPr>
              <w:t>Total</w:t>
            </w:r>
          </w:p>
          <w:p>
            <w:pPr>
              <w:pStyle w:val="TableParagraph"/>
              <w:spacing w:line="154" w:lineRule="exact" w:before="16"/>
              <w:ind w:left="216" w:right="369"/>
              <w:jc w:val="center"/>
              <w:rPr>
                <w:b/>
                <w:sz w:val="14"/>
              </w:rPr>
            </w:pPr>
            <w:r>
              <w:rPr>
                <w:b/>
                <w:sz w:val="14"/>
              </w:rPr>
              <w:t>Transfers</w:t>
            </w:r>
          </w:p>
        </w:tc>
      </w:tr>
      <w:tr>
        <w:trPr>
          <w:trHeight w:val="177" w:hRule="atLeast"/>
        </w:trPr>
        <w:tc>
          <w:tcPr>
            <w:tcW w:w="2522" w:type="dxa"/>
            <w:gridSpan w:val="2"/>
            <w:tcBorders>
              <w:bottom w:val="single" w:sz="4" w:space="0" w:color="000000"/>
            </w:tcBorders>
          </w:tcPr>
          <w:p>
            <w:pPr>
              <w:pStyle w:val="TableParagraph"/>
              <w:rPr>
                <w:rFonts w:ascii="Times New Roman"/>
                <w:sz w:val="10"/>
              </w:rPr>
            </w:pPr>
          </w:p>
        </w:tc>
        <w:tc>
          <w:tcPr>
            <w:tcW w:w="957" w:type="dxa"/>
            <w:tcBorders>
              <w:bottom w:val="single" w:sz="4" w:space="0" w:color="000000"/>
            </w:tcBorders>
          </w:tcPr>
          <w:p>
            <w:pPr>
              <w:pStyle w:val="TableParagraph"/>
              <w:rPr>
                <w:rFonts w:ascii="Times New Roman"/>
                <w:sz w:val="10"/>
              </w:rPr>
            </w:pPr>
          </w:p>
        </w:tc>
        <w:tc>
          <w:tcPr>
            <w:tcW w:w="1789" w:type="dxa"/>
            <w:tcBorders>
              <w:bottom w:val="single" w:sz="4" w:space="0" w:color="000000"/>
            </w:tcBorders>
          </w:tcPr>
          <w:p>
            <w:pPr>
              <w:pStyle w:val="TableParagraph"/>
              <w:rPr>
                <w:rFonts w:ascii="Times New Roman"/>
                <w:sz w:val="10"/>
              </w:rPr>
            </w:pPr>
          </w:p>
        </w:tc>
        <w:tc>
          <w:tcPr>
            <w:tcW w:w="616" w:type="dxa"/>
            <w:tcBorders>
              <w:bottom w:val="single" w:sz="4" w:space="0" w:color="000000"/>
            </w:tcBorders>
          </w:tcPr>
          <w:p>
            <w:pPr>
              <w:pStyle w:val="TableParagraph"/>
              <w:rPr>
                <w:rFonts w:ascii="Times New Roman"/>
                <w:sz w:val="10"/>
              </w:rPr>
            </w:pPr>
          </w:p>
        </w:tc>
        <w:tc>
          <w:tcPr>
            <w:tcW w:w="758" w:type="dxa"/>
            <w:tcBorders>
              <w:bottom w:val="single" w:sz="4" w:space="0" w:color="000000"/>
            </w:tcBorders>
          </w:tcPr>
          <w:p>
            <w:pPr>
              <w:pStyle w:val="TableParagraph"/>
              <w:rPr>
                <w:rFonts w:ascii="Times New Roman"/>
                <w:sz w:val="10"/>
              </w:rPr>
            </w:pPr>
          </w:p>
        </w:tc>
        <w:tc>
          <w:tcPr>
            <w:tcW w:w="645" w:type="dxa"/>
            <w:tcBorders>
              <w:bottom w:val="single" w:sz="4" w:space="0" w:color="000000"/>
            </w:tcBorders>
          </w:tcPr>
          <w:p>
            <w:pPr>
              <w:pStyle w:val="TableParagraph"/>
              <w:rPr>
                <w:rFonts w:ascii="Times New Roman"/>
                <w:sz w:val="10"/>
              </w:rPr>
            </w:pPr>
          </w:p>
        </w:tc>
        <w:tc>
          <w:tcPr>
            <w:tcW w:w="793" w:type="dxa"/>
            <w:tcBorders>
              <w:bottom w:val="single" w:sz="4" w:space="0" w:color="000000"/>
            </w:tcBorders>
          </w:tcPr>
          <w:p>
            <w:pPr>
              <w:pStyle w:val="TableParagraph"/>
              <w:rPr>
                <w:rFonts w:ascii="Times New Roman"/>
                <w:sz w:val="10"/>
              </w:rPr>
            </w:pPr>
          </w:p>
        </w:tc>
        <w:tc>
          <w:tcPr>
            <w:tcW w:w="859" w:type="dxa"/>
            <w:tcBorders>
              <w:bottom w:val="single" w:sz="4" w:space="0" w:color="000000"/>
            </w:tcBorders>
          </w:tcPr>
          <w:p>
            <w:pPr>
              <w:pStyle w:val="TableParagraph"/>
              <w:rPr>
                <w:rFonts w:ascii="Times New Roman"/>
                <w:sz w:val="10"/>
              </w:rPr>
            </w:pPr>
          </w:p>
        </w:tc>
        <w:tc>
          <w:tcPr>
            <w:tcW w:w="828" w:type="dxa"/>
            <w:tcBorders>
              <w:bottom w:val="single" w:sz="4" w:space="0" w:color="000000"/>
            </w:tcBorders>
          </w:tcPr>
          <w:p>
            <w:pPr>
              <w:pStyle w:val="TableParagraph"/>
              <w:rPr>
                <w:rFonts w:ascii="Times New Roman"/>
                <w:sz w:val="10"/>
              </w:rPr>
            </w:pPr>
          </w:p>
        </w:tc>
        <w:tc>
          <w:tcPr>
            <w:tcW w:w="753" w:type="dxa"/>
            <w:tcBorders>
              <w:bottom w:val="single" w:sz="4" w:space="0" w:color="000000"/>
            </w:tcBorders>
          </w:tcPr>
          <w:p>
            <w:pPr>
              <w:pStyle w:val="TableParagraph"/>
              <w:rPr>
                <w:rFonts w:ascii="Times New Roman"/>
                <w:sz w:val="10"/>
              </w:rPr>
            </w:pPr>
          </w:p>
        </w:tc>
        <w:tc>
          <w:tcPr>
            <w:tcW w:w="726" w:type="dxa"/>
            <w:tcBorders>
              <w:bottom w:val="single" w:sz="4" w:space="0" w:color="000000"/>
            </w:tcBorders>
          </w:tcPr>
          <w:p>
            <w:pPr>
              <w:pStyle w:val="TableParagraph"/>
              <w:rPr>
                <w:rFonts w:ascii="Times New Roman"/>
                <w:sz w:val="10"/>
              </w:rPr>
            </w:pPr>
          </w:p>
        </w:tc>
        <w:tc>
          <w:tcPr>
            <w:tcW w:w="732" w:type="dxa"/>
            <w:tcBorders>
              <w:bottom w:val="single" w:sz="4" w:space="0" w:color="000000"/>
            </w:tcBorders>
          </w:tcPr>
          <w:p>
            <w:pPr>
              <w:pStyle w:val="TableParagraph"/>
              <w:rPr>
                <w:rFonts w:ascii="Times New Roman"/>
                <w:sz w:val="10"/>
              </w:rPr>
            </w:pPr>
          </w:p>
        </w:tc>
        <w:tc>
          <w:tcPr>
            <w:tcW w:w="818" w:type="dxa"/>
            <w:tcBorders>
              <w:bottom w:val="single" w:sz="4" w:space="0" w:color="000000"/>
            </w:tcBorders>
          </w:tcPr>
          <w:p>
            <w:pPr>
              <w:pStyle w:val="TableParagraph"/>
              <w:rPr>
                <w:rFonts w:ascii="Times New Roman"/>
                <w:sz w:val="10"/>
              </w:rPr>
            </w:pPr>
          </w:p>
        </w:tc>
        <w:tc>
          <w:tcPr>
            <w:tcW w:w="746" w:type="dxa"/>
            <w:tcBorders>
              <w:bottom w:val="single" w:sz="4" w:space="0" w:color="000000"/>
            </w:tcBorders>
          </w:tcPr>
          <w:p>
            <w:pPr>
              <w:pStyle w:val="TableParagraph"/>
              <w:spacing w:line="150" w:lineRule="exact" w:before="8"/>
              <w:ind w:left="213"/>
              <w:rPr>
                <w:b/>
                <w:sz w:val="14"/>
              </w:rPr>
            </w:pPr>
            <w:r>
              <w:rPr>
                <w:b/>
                <w:sz w:val="14"/>
              </w:rPr>
              <w:t>tees</w:t>
            </w:r>
          </w:p>
        </w:tc>
        <w:tc>
          <w:tcPr>
            <w:tcW w:w="1265" w:type="dxa"/>
            <w:tcBorders>
              <w:bottom w:val="single" w:sz="4" w:space="0" w:color="000000"/>
            </w:tcBorders>
          </w:tcPr>
          <w:p>
            <w:pPr>
              <w:pStyle w:val="TableParagraph"/>
              <w:rPr>
                <w:rFonts w:ascii="Times New Roman"/>
                <w:sz w:val="10"/>
              </w:rPr>
            </w:pPr>
          </w:p>
        </w:tc>
      </w:tr>
      <w:tr>
        <w:trPr>
          <w:trHeight w:val="445" w:hRule="atLeast"/>
        </w:trPr>
        <w:tc>
          <w:tcPr>
            <w:tcW w:w="2522" w:type="dxa"/>
            <w:gridSpan w:val="2"/>
            <w:tcBorders>
              <w:top w:val="single" w:sz="4" w:space="0" w:color="000000"/>
            </w:tcBorders>
          </w:tcPr>
          <w:p>
            <w:pPr>
              <w:pStyle w:val="TableParagraph"/>
              <w:spacing w:before="94"/>
              <w:ind w:left="226"/>
              <w:rPr>
                <w:b/>
                <w:sz w:val="14"/>
              </w:rPr>
            </w:pPr>
            <w:r>
              <w:rPr>
                <w:b/>
                <w:sz w:val="14"/>
              </w:rPr>
              <w:t>Transfers to Local Councils</w:t>
            </w:r>
          </w:p>
        </w:tc>
        <w:tc>
          <w:tcPr>
            <w:tcW w:w="957" w:type="dxa"/>
            <w:tcBorders>
              <w:top w:val="single" w:sz="4" w:space="0" w:color="000000"/>
            </w:tcBorders>
          </w:tcPr>
          <w:p>
            <w:pPr>
              <w:pStyle w:val="TableParagraph"/>
              <w:spacing w:before="94"/>
              <w:ind w:left="119"/>
              <w:rPr>
                <w:b/>
                <w:sz w:val="14"/>
              </w:rPr>
            </w:pPr>
            <w:r>
              <w:rPr>
                <w:b/>
                <w:sz w:val="14"/>
              </w:rPr>
              <w:t>113,183.3</w:t>
            </w:r>
          </w:p>
        </w:tc>
        <w:tc>
          <w:tcPr>
            <w:tcW w:w="1789" w:type="dxa"/>
            <w:tcBorders>
              <w:top w:val="single" w:sz="4" w:space="0" w:color="000000"/>
            </w:tcBorders>
          </w:tcPr>
          <w:p>
            <w:pPr>
              <w:pStyle w:val="TableParagraph"/>
              <w:spacing w:line="170" w:lineRule="atLeast" w:before="85"/>
              <w:ind w:left="34" w:right="600"/>
              <w:rPr>
                <w:b/>
                <w:sz w:val="14"/>
              </w:rPr>
            </w:pPr>
            <w:r>
              <w:rPr>
                <w:b/>
                <w:sz w:val="14"/>
              </w:rPr>
              <w:t>Transfers to Local Councils</w:t>
            </w:r>
          </w:p>
        </w:tc>
        <w:tc>
          <w:tcPr>
            <w:tcW w:w="616" w:type="dxa"/>
            <w:tcBorders>
              <w:top w:val="single" w:sz="4" w:space="0" w:color="000000"/>
            </w:tcBorders>
          </w:tcPr>
          <w:p>
            <w:pPr>
              <w:pStyle w:val="TableParagraph"/>
              <w:rPr>
                <w:rFonts w:ascii="Times New Roman"/>
                <w:sz w:val="14"/>
              </w:rPr>
            </w:pPr>
          </w:p>
        </w:tc>
        <w:tc>
          <w:tcPr>
            <w:tcW w:w="758" w:type="dxa"/>
            <w:tcBorders>
              <w:top w:val="single" w:sz="4" w:space="0" w:color="000000"/>
            </w:tcBorders>
          </w:tcPr>
          <w:p>
            <w:pPr>
              <w:pStyle w:val="TableParagraph"/>
              <w:rPr>
                <w:rFonts w:ascii="Times New Roman"/>
                <w:sz w:val="14"/>
              </w:rPr>
            </w:pPr>
          </w:p>
        </w:tc>
        <w:tc>
          <w:tcPr>
            <w:tcW w:w="645" w:type="dxa"/>
            <w:tcBorders>
              <w:top w:val="single" w:sz="4" w:space="0" w:color="000000"/>
            </w:tcBorders>
          </w:tcPr>
          <w:p>
            <w:pPr>
              <w:pStyle w:val="TableParagraph"/>
              <w:rPr>
                <w:rFonts w:ascii="Times New Roman"/>
                <w:sz w:val="14"/>
              </w:rPr>
            </w:pPr>
          </w:p>
        </w:tc>
        <w:tc>
          <w:tcPr>
            <w:tcW w:w="793" w:type="dxa"/>
            <w:tcBorders>
              <w:top w:val="single" w:sz="4" w:space="0" w:color="000000"/>
            </w:tcBorders>
          </w:tcPr>
          <w:p>
            <w:pPr>
              <w:pStyle w:val="TableParagraph"/>
              <w:rPr>
                <w:rFonts w:ascii="Times New Roman"/>
                <w:sz w:val="14"/>
              </w:rPr>
            </w:pPr>
          </w:p>
        </w:tc>
        <w:tc>
          <w:tcPr>
            <w:tcW w:w="859" w:type="dxa"/>
            <w:tcBorders>
              <w:top w:val="single" w:sz="4" w:space="0" w:color="000000"/>
            </w:tcBorders>
          </w:tcPr>
          <w:p>
            <w:pPr>
              <w:pStyle w:val="TableParagraph"/>
              <w:rPr>
                <w:rFonts w:ascii="Times New Roman"/>
                <w:sz w:val="14"/>
              </w:rPr>
            </w:pPr>
          </w:p>
        </w:tc>
        <w:tc>
          <w:tcPr>
            <w:tcW w:w="828" w:type="dxa"/>
            <w:tcBorders>
              <w:top w:val="single" w:sz="4" w:space="0" w:color="000000"/>
            </w:tcBorders>
          </w:tcPr>
          <w:p>
            <w:pPr>
              <w:pStyle w:val="TableParagraph"/>
              <w:rPr>
                <w:rFonts w:ascii="Times New Roman"/>
                <w:sz w:val="14"/>
              </w:rPr>
            </w:pPr>
          </w:p>
        </w:tc>
        <w:tc>
          <w:tcPr>
            <w:tcW w:w="753" w:type="dxa"/>
            <w:tcBorders>
              <w:top w:val="single" w:sz="4" w:space="0" w:color="000000"/>
            </w:tcBorders>
          </w:tcPr>
          <w:p>
            <w:pPr>
              <w:pStyle w:val="TableParagraph"/>
              <w:rPr>
                <w:rFonts w:ascii="Times New Roman"/>
                <w:sz w:val="14"/>
              </w:rPr>
            </w:pPr>
          </w:p>
        </w:tc>
        <w:tc>
          <w:tcPr>
            <w:tcW w:w="726" w:type="dxa"/>
            <w:tcBorders>
              <w:top w:val="single" w:sz="4" w:space="0" w:color="000000"/>
            </w:tcBorders>
          </w:tcPr>
          <w:p>
            <w:pPr>
              <w:pStyle w:val="TableParagraph"/>
              <w:rPr>
                <w:rFonts w:ascii="Times New Roman"/>
                <w:sz w:val="14"/>
              </w:rPr>
            </w:pPr>
          </w:p>
        </w:tc>
        <w:tc>
          <w:tcPr>
            <w:tcW w:w="732" w:type="dxa"/>
            <w:tcBorders>
              <w:top w:val="single" w:sz="4" w:space="0" w:color="000000"/>
            </w:tcBorders>
          </w:tcPr>
          <w:p>
            <w:pPr>
              <w:pStyle w:val="TableParagraph"/>
              <w:rPr>
                <w:rFonts w:ascii="Times New Roman"/>
                <w:sz w:val="14"/>
              </w:rPr>
            </w:pPr>
          </w:p>
        </w:tc>
        <w:tc>
          <w:tcPr>
            <w:tcW w:w="818" w:type="dxa"/>
            <w:tcBorders>
              <w:top w:val="single" w:sz="4" w:space="0" w:color="000000"/>
            </w:tcBorders>
          </w:tcPr>
          <w:p>
            <w:pPr>
              <w:pStyle w:val="TableParagraph"/>
              <w:rPr>
                <w:rFonts w:ascii="Times New Roman"/>
                <w:sz w:val="14"/>
              </w:rPr>
            </w:pPr>
          </w:p>
        </w:tc>
        <w:tc>
          <w:tcPr>
            <w:tcW w:w="746" w:type="dxa"/>
            <w:tcBorders>
              <w:top w:val="single" w:sz="4" w:space="0" w:color="000000"/>
            </w:tcBorders>
          </w:tcPr>
          <w:p>
            <w:pPr>
              <w:pStyle w:val="TableParagraph"/>
              <w:rPr>
                <w:rFonts w:ascii="Times New Roman"/>
                <w:sz w:val="14"/>
              </w:rPr>
            </w:pPr>
          </w:p>
        </w:tc>
        <w:tc>
          <w:tcPr>
            <w:tcW w:w="1265" w:type="dxa"/>
            <w:tcBorders>
              <w:top w:val="single" w:sz="4" w:space="0" w:color="000000"/>
            </w:tcBorders>
          </w:tcPr>
          <w:p>
            <w:pPr>
              <w:pStyle w:val="TableParagraph"/>
              <w:spacing w:before="94"/>
              <w:ind w:left="95"/>
              <w:rPr>
                <w:b/>
                <w:sz w:val="14"/>
              </w:rPr>
            </w:pPr>
            <w:r>
              <w:rPr>
                <w:b/>
                <w:sz w:val="14"/>
              </w:rPr>
              <w:t>113,183.3</w:t>
            </w:r>
          </w:p>
        </w:tc>
      </w:tr>
      <w:tr>
        <w:trPr>
          <w:trHeight w:val="360" w:hRule="atLeast"/>
        </w:trPr>
        <w:tc>
          <w:tcPr>
            <w:tcW w:w="2522" w:type="dxa"/>
            <w:gridSpan w:val="2"/>
          </w:tcPr>
          <w:p>
            <w:pPr>
              <w:pStyle w:val="TableParagraph"/>
              <w:spacing w:before="8"/>
              <w:ind w:left="226"/>
              <w:rPr>
                <w:b/>
                <w:sz w:val="14"/>
              </w:rPr>
            </w:pPr>
            <w:r>
              <w:rPr>
                <w:b/>
                <w:sz w:val="14"/>
              </w:rPr>
              <w:t>Direct Transfers to</w:t>
            </w:r>
          </w:p>
          <w:p>
            <w:pPr>
              <w:pStyle w:val="TableParagraph"/>
              <w:spacing w:line="154" w:lineRule="exact" w:before="16"/>
              <w:ind w:left="225"/>
              <w:rPr>
                <w:b/>
                <w:sz w:val="14"/>
              </w:rPr>
            </w:pPr>
            <w:r>
              <w:rPr>
                <w:b/>
                <w:sz w:val="14"/>
              </w:rPr>
              <w:t>Local Councils</w:t>
            </w:r>
          </w:p>
        </w:tc>
        <w:tc>
          <w:tcPr>
            <w:tcW w:w="957" w:type="dxa"/>
          </w:tcPr>
          <w:p>
            <w:pPr>
              <w:pStyle w:val="TableParagraph"/>
              <w:spacing w:before="8"/>
              <w:ind w:left="119"/>
              <w:rPr>
                <w:b/>
                <w:sz w:val="14"/>
              </w:rPr>
            </w:pPr>
            <w:r>
              <w:rPr>
                <w:b/>
                <w:sz w:val="14"/>
              </w:rPr>
              <w:t>113,183.3</w:t>
            </w:r>
          </w:p>
        </w:tc>
        <w:tc>
          <w:tcPr>
            <w:tcW w:w="1789" w:type="dxa"/>
          </w:tcPr>
          <w:p>
            <w:pPr>
              <w:pStyle w:val="TableParagraph"/>
              <w:spacing w:before="8"/>
              <w:ind w:left="150"/>
              <w:rPr>
                <w:b/>
                <w:sz w:val="14"/>
              </w:rPr>
            </w:pPr>
            <w:r>
              <w:rPr>
                <w:b/>
                <w:sz w:val="14"/>
              </w:rPr>
              <w:t>Direct Transfers</w:t>
            </w:r>
          </w:p>
          <w:p>
            <w:pPr>
              <w:pStyle w:val="TableParagraph"/>
              <w:spacing w:line="154" w:lineRule="exact" w:before="16"/>
              <w:ind w:left="151"/>
              <w:rPr>
                <w:b/>
                <w:sz w:val="14"/>
              </w:rPr>
            </w:pPr>
            <w:r>
              <w:rPr>
                <w:b/>
                <w:sz w:val="14"/>
              </w:rPr>
              <w:t>to Local Councils</w:t>
            </w:r>
          </w:p>
        </w:tc>
        <w:tc>
          <w:tcPr>
            <w:tcW w:w="616" w:type="dxa"/>
          </w:tcPr>
          <w:p>
            <w:pPr>
              <w:pStyle w:val="TableParagraph"/>
              <w:spacing w:before="8"/>
              <w:ind w:left="-11" w:right="152"/>
              <w:jc w:val="right"/>
              <w:rPr>
                <w:b/>
                <w:sz w:val="14"/>
              </w:rPr>
            </w:pPr>
            <w:r>
              <w:rPr>
                <w:b/>
                <w:sz w:val="14"/>
              </w:rPr>
              <w:t>7,673.2</w:t>
            </w:r>
          </w:p>
        </w:tc>
        <w:tc>
          <w:tcPr>
            <w:tcW w:w="758" w:type="dxa"/>
          </w:tcPr>
          <w:p>
            <w:pPr>
              <w:pStyle w:val="TableParagraph"/>
              <w:spacing w:before="8"/>
              <w:ind w:left="112"/>
              <w:rPr>
                <w:b/>
                <w:sz w:val="14"/>
              </w:rPr>
            </w:pPr>
            <w:r>
              <w:rPr>
                <w:b/>
                <w:sz w:val="14"/>
              </w:rPr>
              <w:t>1,733.6</w:t>
            </w:r>
          </w:p>
        </w:tc>
        <w:tc>
          <w:tcPr>
            <w:tcW w:w="645" w:type="dxa"/>
          </w:tcPr>
          <w:p>
            <w:pPr>
              <w:pStyle w:val="TableParagraph"/>
              <w:spacing w:before="8"/>
              <w:ind w:right="139"/>
              <w:jc w:val="right"/>
              <w:rPr>
                <w:b/>
                <w:sz w:val="14"/>
              </w:rPr>
            </w:pPr>
            <w:r>
              <w:rPr>
                <w:b/>
                <w:sz w:val="14"/>
              </w:rPr>
              <w:t>8,271.3</w:t>
            </w:r>
          </w:p>
        </w:tc>
        <w:tc>
          <w:tcPr>
            <w:tcW w:w="793" w:type="dxa"/>
          </w:tcPr>
          <w:p>
            <w:pPr>
              <w:pStyle w:val="TableParagraph"/>
              <w:spacing w:before="8"/>
              <w:ind w:right="142"/>
              <w:jc w:val="right"/>
              <w:rPr>
                <w:b/>
                <w:sz w:val="14"/>
              </w:rPr>
            </w:pPr>
            <w:r>
              <w:rPr>
                <w:b/>
                <w:sz w:val="14"/>
              </w:rPr>
              <w:t>15,918.8</w:t>
            </w:r>
          </w:p>
        </w:tc>
        <w:tc>
          <w:tcPr>
            <w:tcW w:w="859" w:type="dxa"/>
          </w:tcPr>
          <w:p>
            <w:pPr>
              <w:pStyle w:val="TableParagraph"/>
              <w:spacing w:before="8"/>
              <w:ind w:left="90"/>
              <w:rPr>
                <w:b/>
                <w:sz w:val="14"/>
              </w:rPr>
            </w:pPr>
            <w:r>
              <w:rPr>
                <w:b/>
                <w:sz w:val="14"/>
              </w:rPr>
              <w:t>19,310.4</w:t>
            </w:r>
          </w:p>
        </w:tc>
        <w:tc>
          <w:tcPr>
            <w:tcW w:w="828" w:type="dxa"/>
          </w:tcPr>
          <w:p>
            <w:pPr>
              <w:pStyle w:val="TableParagraph"/>
              <w:spacing w:before="8"/>
              <w:ind w:right="183"/>
              <w:jc w:val="right"/>
              <w:rPr>
                <w:b/>
                <w:sz w:val="14"/>
              </w:rPr>
            </w:pPr>
            <w:r>
              <w:rPr>
                <w:b/>
                <w:sz w:val="14"/>
              </w:rPr>
              <w:t>35,229.2</w:t>
            </w:r>
          </w:p>
        </w:tc>
        <w:tc>
          <w:tcPr>
            <w:tcW w:w="753" w:type="dxa"/>
          </w:tcPr>
          <w:p>
            <w:pPr>
              <w:pStyle w:val="TableParagraph"/>
              <w:spacing w:before="8"/>
              <w:ind w:left="141"/>
              <w:rPr>
                <w:b/>
                <w:sz w:val="14"/>
              </w:rPr>
            </w:pPr>
            <w:r>
              <w:rPr>
                <w:b/>
                <w:sz w:val="14"/>
              </w:rPr>
              <w:t>2,316.8</w:t>
            </w:r>
          </w:p>
        </w:tc>
        <w:tc>
          <w:tcPr>
            <w:tcW w:w="726" w:type="dxa"/>
          </w:tcPr>
          <w:p>
            <w:pPr>
              <w:pStyle w:val="TableParagraph"/>
              <w:spacing w:before="8"/>
              <w:ind w:left="122"/>
              <w:rPr>
                <w:b/>
                <w:sz w:val="14"/>
              </w:rPr>
            </w:pPr>
            <w:r>
              <w:rPr>
                <w:b/>
                <w:sz w:val="14"/>
              </w:rPr>
              <w:t>3,266.4</w:t>
            </w:r>
          </w:p>
        </w:tc>
        <w:tc>
          <w:tcPr>
            <w:tcW w:w="732" w:type="dxa"/>
          </w:tcPr>
          <w:p>
            <w:pPr>
              <w:pStyle w:val="TableParagraph"/>
              <w:spacing w:before="8"/>
              <w:ind w:right="110"/>
              <w:jc w:val="right"/>
              <w:rPr>
                <w:b/>
                <w:sz w:val="14"/>
              </w:rPr>
            </w:pPr>
            <w:r>
              <w:rPr>
                <w:b/>
                <w:sz w:val="14"/>
              </w:rPr>
              <w:t>613.1</w:t>
            </w:r>
          </w:p>
        </w:tc>
        <w:tc>
          <w:tcPr>
            <w:tcW w:w="818" w:type="dxa"/>
          </w:tcPr>
          <w:p>
            <w:pPr>
              <w:pStyle w:val="TableParagraph"/>
              <w:spacing w:before="8"/>
              <w:ind w:left="51"/>
              <w:rPr>
                <w:b/>
                <w:sz w:val="14"/>
              </w:rPr>
            </w:pPr>
            <w:r>
              <w:rPr>
                <w:b/>
                <w:sz w:val="14"/>
              </w:rPr>
              <w:t>12,879.7</w:t>
            </w:r>
          </w:p>
        </w:tc>
        <w:tc>
          <w:tcPr>
            <w:tcW w:w="746" w:type="dxa"/>
          </w:tcPr>
          <w:p>
            <w:pPr>
              <w:pStyle w:val="TableParagraph"/>
              <w:spacing w:before="8"/>
              <w:ind w:left="59"/>
              <w:rPr>
                <w:b/>
                <w:sz w:val="14"/>
              </w:rPr>
            </w:pPr>
            <w:r>
              <w:rPr>
                <w:b/>
                <w:sz w:val="14"/>
              </w:rPr>
              <w:t>2,400.0</w:t>
            </w:r>
          </w:p>
        </w:tc>
        <w:tc>
          <w:tcPr>
            <w:tcW w:w="1265" w:type="dxa"/>
          </w:tcPr>
          <w:p>
            <w:pPr>
              <w:pStyle w:val="TableParagraph"/>
              <w:spacing w:before="8"/>
              <w:ind w:left="187"/>
              <w:rPr>
                <w:b/>
                <w:sz w:val="14"/>
              </w:rPr>
            </w:pPr>
            <w:r>
              <w:rPr>
                <w:b/>
                <w:sz w:val="14"/>
              </w:rPr>
              <w:t>74,383.3</w:t>
            </w:r>
          </w:p>
        </w:tc>
      </w:tr>
      <w:tr>
        <w:trPr>
          <w:trHeight w:val="180" w:hRule="atLeast"/>
        </w:trPr>
        <w:tc>
          <w:tcPr>
            <w:tcW w:w="194" w:type="dxa"/>
          </w:tcPr>
          <w:p>
            <w:pPr>
              <w:pStyle w:val="TableParagraph"/>
              <w:spacing w:line="152" w:lineRule="exact" w:before="8"/>
              <w:ind w:left="25"/>
              <w:rPr>
                <w:b/>
                <w:sz w:val="14"/>
              </w:rPr>
            </w:pPr>
            <w:r>
              <w:rPr>
                <w:b/>
                <w:w w:val="99"/>
                <w:sz w:val="14"/>
              </w:rPr>
              <w:t>1</w:t>
            </w:r>
          </w:p>
        </w:tc>
        <w:tc>
          <w:tcPr>
            <w:tcW w:w="2328" w:type="dxa"/>
          </w:tcPr>
          <w:p>
            <w:pPr>
              <w:pStyle w:val="TableParagraph"/>
              <w:spacing w:line="152" w:lineRule="exact" w:before="8"/>
              <w:ind w:left="31"/>
              <w:rPr>
                <w:b/>
                <w:sz w:val="14"/>
              </w:rPr>
            </w:pPr>
            <w:r>
              <w:rPr>
                <w:b/>
                <w:sz w:val="14"/>
              </w:rPr>
              <w:t>Administrative Grant</w:t>
            </w:r>
          </w:p>
        </w:tc>
        <w:tc>
          <w:tcPr>
            <w:tcW w:w="957" w:type="dxa"/>
          </w:tcPr>
          <w:p>
            <w:pPr>
              <w:pStyle w:val="TableParagraph"/>
              <w:spacing w:line="152" w:lineRule="exact" w:before="8"/>
              <w:ind w:right="180"/>
              <w:jc w:val="right"/>
              <w:rPr>
                <w:b/>
                <w:sz w:val="14"/>
              </w:rPr>
            </w:pPr>
            <w:r>
              <w:rPr>
                <w:b/>
                <w:sz w:val="14"/>
              </w:rPr>
              <w:t>2,400.0</w:t>
            </w:r>
          </w:p>
        </w:tc>
        <w:tc>
          <w:tcPr>
            <w:tcW w:w="1789" w:type="dxa"/>
          </w:tcPr>
          <w:p>
            <w:pPr>
              <w:pStyle w:val="TableParagraph"/>
              <w:spacing w:line="152" w:lineRule="exact" w:before="8"/>
              <w:ind w:left="318"/>
              <w:rPr>
                <w:sz w:val="14"/>
              </w:rPr>
            </w:pPr>
            <w:r>
              <w:rPr>
                <w:sz w:val="14"/>
              </w:rPr>
              <w:t>Bo District</w:t>
            </w:r>
          </w:p>
        </w:tc>
        <w:tc>
          <w:tcPr>
            <w:tcW w:w="616" w:type="dxa"/>
          </w:tcPr>
          <w:p>
            <w:pPr>
              <w:pStyle w:val="TableParagraph"/>
              <w:spacing w:line="152" w:lineRule="exact" w:before="8"/>
              <w:ind w:left="-11" w:right="127"/>
              <w:jc w:val="right"/>
              <w:rPr>
                <w:sz w:val="14"/>
              </w:rPr>
            </w:pPr>
            <w:r>
              <w:rPr>
                <w:sz w:val="14"/>
              </w:rPr>
              <w:t>399.8</w:t>
            </w:r>
          </w:p>
        </w:tc>
        <w:tc>
          <w:tcPr>
            <w:tcW w:w="1403" w:type="dxa"/>
            <w:gridSpan w:val="2"/>
          </w:tcPr>
          <w:p>
            <w:pPr>
              <w:pStyle w:val="TableParagraph"/>
              <w:tabs>
                <w:tab w:pos="918" w:val="left" w:leader="none"/>
              </w:tabs>
              <w:spacing w:line="152" w:lineRule="exact" w:before="8"/>
              <w:ind w:left="578"/>
              <w:rPr>
                <w:sz w:val="14"/>
              </w:rPr>
            </w:pPr>
            <w:r>
              <w:rPr>
                <w:sz w:val="14"/>
              </w:rPr>
              <w:t>-</w:t>
              <w:tab/>
            </w:r>
            <w:r>
              <w:rPr>
                <w:spacing w:val="3"/>
                <w:sz w:val="14"/>
              </w:rPr>
              <w:t>717.8</w:t>
            </w:r>
          </w:p>
        </w:tc>
        <w:tc>
          <w:tcPr>
            <w:tcW w:w="793" w:type="dxa"/>
          </w:tcPr>
          <w:p>
            <w:pPr>
              <w:pStyle w:val="TableParagraph"/>
              <w:spacing w:line="152" w:lineRule="exact" w:before="8"/>
              <w:ind w:right="110"/>
              <w:jc w:val="right"/>
              <w:rPr>
                <w:sz w:val="14"/>
              </w:rPr>
            </w:pPr>
            <w:r>
              <w:rPr>
                <w:sz w:val="14"/>
              </w:rPr>
              <w:t>769.2</w:t>
            </w:r>
          </w:p>
        </w:tc>
        <w:tc>
          <w:tcPr>
            <w:tcW w:w="1687" w:type="dxa"/>
            <w:gridSpan w:val="2"/>
          </w:tcPr>
          <w:p>
            <w:pPr>
              <w:pStyle w:val="TableParagraph"/>
              <w:tabs>
                <w:tab w:pos="1167" w:val="left" w:leader="none"/>
              </w:tabs>
              <w:spacing w:line="152" w:lineRule="exact" w:before="8"/>
              <w:ind w:left="652"/>
              <w:rPr>
                <w:sz w:val="14"/>
              </w:rPr>
            </w:pPr>
            <w:r>
              <w:rPr>
                <w:sz w:val="14"/>
              </w:rPr>
              <w:t>-</w:t>
              <w:tab/>
            </w:r>
            <w:r>
              <w:rPr>
                <w:spacing w:val="3"/>
                <w:sz w:val="14"/>
              </w:rPr>
              <w:t>769.2</w:t>
            </w:r>
          </w:p>
        </w:tc>
        <w:tc>
          <w:tcPr>
            <w:tcW w:w="1479" w:type="dxa"/>
            <w:gridSpan w:val="2"/>
          </w:tcPr>
          <w:p>
            <w:pPr>
              <w:pStyle w:val="TableParagraph"/>
              <w:tabs>
                <w:tab w:pos="1006" w:val="left" w:leader="none"/>
              </w:tabs>
              <w:spacing w:line="152" w:lineRule="exact" w:before="8"/>
              <w:ind w:left="267"/>
              <w:rPr>
                <w:sz w:val="14"/>
              </w:rPr>
            </w:pPr>
            <w:r>
              <w:rPr>
                <w:spacing w:val="4"/>
                <w:sz w:val="14"/>
              </w:rPr>
              <w:t>139.3</w:t>
              <w:tab/>
              <w:t>191.5</w:t>
            </w:r>
          </w:p>
        </w:tc>
        <w:tc>
          <w:tcPr>
            <w:tcW w:w="1550" w:type="dxa"/>
            <w:gridSpan w:val="2"/>
          </w:tcPr>
          <w:p>
            <w:pPr>
              <w:pStyle w:val="TableParagraph"/>
              <w:tabs>
                <w:tab w:pos="1001" w:val="left" w:leader="none"/>
              </w:tabs>
              <w:spacing w:line="152" w:lineRule="exact" w:before="8"/>
              <w:ind w:left="601"/>
              <w:rPr>
                <w:sz w:val="14"/>
              </w:rPr>
            </w:pPr>
            <w:r>
              <w:rPr>
                <w:sz w:val="14"/>
              </w:rPr>
              <w:t>-</w:t>
              <w:tab/>
            </w:r>
            <w:r>
              <w:rPr>
                <w:spacing w:val="4"/>
                <w:sz w:val="14"/>
              </w:rPr>
              <w:t>668.2</w:t>
            </w:r>
          </w:p>
        </w:tc>
        <w:tc>
          <w:tcPr>
            <w:tcW w:w="746" w:type="dxa"/>
          </w:tcPr>
          <w:p>
            <w:pPr>
              <w:pStyle w:val="TableParagraph"/>
              <w:spacing w:line="152" w:lineRule="exact" w:before="8"/>
              <w:ind w:right="187"/>
              <w:jc w:val="right"/>
              <w:rPr>
                <w:sz w:val="14"/>
              </w:rPr>
            </w:pPr>
            <w:r>
              <w:rPr>
                <w:sz w:val="14"/>
              </w:rPr>
              <w:t>134.5</w:t>
            </w:r>
          </w:p>
        </w:tc>
        <w:tc>
          <w:tcPr>
            <w:tcW w:w="1265" w:type="dxa"/>
          </w:tcPr>
          <w:p>
            <w:pPr>
              <w:pStyle w:val="TableParagraph"/>
              <w:spacing w:line="152" w:lineRule="exact" w:before="8"/>
              <w:ind w:left="244"/>
              <w:rPr>
                <w:sz w:val="14"/>
              </w:rPr>
            </w:pPr>
            <w:r>
              <w:rPr>
                <w:sz w:val="14"/>
              </w:rPr>
              <w:t>3,020 .2</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4" w:lineRule="exact" w:before="5"/>
              <w:ind w:left="199"/>
              <w:rPr>
                <w:sz w:val="14"/>
              </w:rPr>
            </w:pPr>
            <w:r>
              <w:rPr>
                <w:sz w:val="14"/>
              </w:rPr>
              <w:t>Support to Ward Committees</w:t>
            </w:r>
          </w:p>
        </w:tc>
        <w:tc>
          <w:tcPr>
            <w:tcW w:w="957" w:type="dxa"/>
          </w:tcPr>
          <w:p>
            <w:pPr>
              <w:pStyle w:val="TableParagraph"/>
              <w:spacing w:line="154" w:lineRule="exact" w:before="5"/>
              <w:ind w:right="163"/>
              <w:jc w:val="right"/>
              <w:rPr>
                <w:sz w:val="14"/>
              </w:rPr>
            </w:pPr>
            <w:r>
              <w:rPr>
                <w:sz w:val="14"/>
              </w:rPr>
              <w:t>2,400 .0</w:t>
            </w:r>
          </w:p>
        </w:tc>
        <w:tc>
          <w:tcPr>
            <w:tcW w:w="1789" w:type="dxa"/>
          </w:tcPr>
          <w:p>
            <w:pPr>
              <w:pStyle w:val="TableParagraph"/>
              <w:spacing w:line="154" w:lineRule="exact" w:before="5"/>
              <w:ind w:left="318"/>
              <w:rPr>
                <w:sz w:val="14"/>
              </w:rPr>
            </w:pPr>
            <w:r>
              <w:rPr>
                <w:sz w:val="14"/>
              </w:rPr>
              <w:t>Bo City</w:t>
            </w:r>
          </w:p>
        </w:tc>
        <w:tc>
          <w:tcPr>
            <w:tcW w:w="616" w:type="dxa"/>
          </w:tcPr>
          <w:p>
            <w:pPr>
              <w:pStyle w:val="TableParagraph"/>
              <w:spacing w:line="154" w:lineRule="exact" w:before="5"/>
              <w:ind w:left="-11" w:right="118"/>
              <w:jc w:val="right"/>
              <w:rPr>
                <w:sz w:val="14"/>
              </w:rPr>
            </w:pPr>
            <w:r>
              <w:rPr>
                <w:sz w:val="14"/>
              </w:rPr>
              <w:t>304.1</w:t>
            </w:r>
          </w:p>
        </w:tc>
        <w:tc>
          <w:tcPr>
            <w:tcW w:w="1403" w:type="dxa"/>
            <w:gridSpan w:val="2"/>
          </w:tcPr>
          <w:p>
            <w:pPr>
              <w:pStyle w:val="TableParagraph"/>
              <w:spacing w:line="154" w:lineRule="exact" w:before="5"/>
              <w:ind w:left="345"/>
              <w:rPr>
                <w:sz w:val="14"/>
              </w:rPr>
            </w:pPr>
            <w:r>
              <w:rPr>
                <w:sz w:val="14"/>
              </w:rPr>
              <w:t>113.8 197.1</w:t>
            </w:r>
          </w:p>
        </w:tc>
        <w:tc>
          <w:tcPr>
            <w:tcW w:w="793" w:type="dxa"/>
          </w:tcPr>
          <w:p>
            <w:pPr>
              <w:pStyle w:val="TableParagraph"/>
              <w:spacing w:line="154" w:lineRule="exact" w:before="5"/>
              <w:ind w:right="110"/>
              <w:jc w:val="right"/>
              <w:rPr>
                <w:sz w:val="14"/>
              </w:rPr>
            </w:pPr>
            <w:r>
              <w:rPr>
                <w:sz w:val="14"/>
              </w:rPr>
              <w:t>470.2</w:t>
            </w:r>
          </w:p>
        </w:tc>
        <w:tc>
          <w:tcPr>
            <w:tcW w:w="1687" w:type="dxa"/>
            <w:gridSpan w:val="2"/>
          </w:tcPr>
          <w:p>
            <w:pPr>
              <w:pStyle w:val="TableParagraph"/>
              <w:tabs>
                <w:tab w:pos="1167" w:val="left" w:leader="none"/>
              </w:tabs>
              <w:spacing w:line="154" w:lineRule="exact" w:before="5"/>
              <w:ind w:left="653"/>
              <w:rPr>
                <w:sz w:val="14"/>
              </w:rPr>
            </w:pPr>
            <w:r>
              <w:rPr>
                <w:sz w:val="14"/>
              </w:rPr>
              <w:t>-</w:t>
              <w:tab/>
            </w:r>
            <w:r>
              <w:rPr>
                <w:spacing w:val="3"/>
                <w:sz w:val="14"/>
              </w:rPr>
              <w:t>470.2</w:t>
            </w:r>
          </w:p>
        </w:tc>
        <w:tc>
          <w:tcPr>
            <w:tcW w:w="1479" w:type="dxa"/>
            <w:gridSpan w:val="2"/>
          </w:tcPr>
          <w:p>
            <w:pPr>
              <w:pStyle w:val="TableParagraph"/>
              <w:tabs>
                <w:tab w:pos="1098" w:val="left" w:leader="none"/>
              </w:tabs>
              <w:spacing w:line="154" w:lineRule="exact" w:before="5"/>
              <w:ind w:left="611"/>
              <w:rPr>
                <w:sz w:val="14"/>
              </w:rPr>
            </w:pPr>
            <w:r>
              <w:rPr>
                <w:sz w:val="14"/>
              </w:rPr>
              <w:t>-</w:t>
              <w:tab/>
            </w:r>
            <w:r>
              <w:rPr>
                <w:spacing w:val="3"/>
                <w:sz w:val="14"/>
              </w:rPr>
              <w:t>95.8</w:t>
            </w:r>
          </w:p>
        </w:tc>
        <w:tc>
          <w:tcPr>
            <w:tcW w:w="1550" w:type="dxa"/>
            <w:gridSpan w:val="2"/>
          </w:tcPr>
          <w:p>
            <w:pPr>
              <w:pStyle w:val="TableParagraph"/>
              <w:tabs>
                <w:tab w:pos="999" w:val="left" w:leader="none"/>
              </w:tabs>
              <w:spacing w:line="154" w:lineRule="exact" w:before="5"/>
              <w:ind w:left="601"/>
              <w:rPr>
                <w:sz w:val="14"/>
              </w:rPr>
            </w:pPr>
            <w:r>
              <w:rPr>
                <w:sz w:val="14"/>
              </w:rPr>
              <w:t>-</w:t>
              <w:tab/>
            </w:r>
            <w:r>
              <w:rPr>
                <w:spacing w:val="4"/>
                <w:sz w:val="14"/>
              </w:rPr>
              <w:t>417.5</w:t>
            </w:r>
          </w:p>
        </w:tc>
        <w:tc>
          <w:tcPr>
            <w:tcW w:w="746" w:type="dxa"/>
          </w:tcPr>
          <w:p>
            <w:pPr>
              <w:pStyle w:val="TableParagraph"/>
              <w:spacing w:line="154" w:lineRule="exact" w:before="5"/>
              <w:ind w:right="177"/>
              <w:jc w:val="right"/>
              <w:rPr>
                <w:sz w:val="14"/>
              </w:rPr>
            </w:pPr>
            <w:r>
              <w:rPr>
                <w:w w:val="95"/>
                <w:sz w:val="14"/>
              </w:rPr>
              <w:t>86.1</w:t>
            </w:r>
          </w:p>
        </w:tc>
        <w:tc>
          <w:tcPr>
            <w:tcW w:w="1265" w:type="dxa"/>
          </w:tcPr>
          <w:p>
            <w:pPr>
              <w:pStyle w:val="TableParagraph"/>
              <w:spacing w:line="154" w:lineRule="exact" w:before="5"/>
              <w:ind w:left="244"/>
              <w:rPr>
                <w:sz w:val="14"/>
              </w:rPr>
            </w:pPr>
            <w:r>
              <w:rPr>
                <w:sz w:val="14"/>
              </w:rPr>
              <w:t>1,684 .6</w:t>
            </w:r>
          </w:p>
        </w:tc>
      </w:tr>
      <w:tr>
        <w:trPr>
          <w:trHeight w:val="180" w:hRule="atLeast"/>
        </w:trPr>
        <w:tc>
          <w:tcPr>
            <w:tcW w:w="194" w:type="dxa"/>
          </w:tcPr>
          <w:p>
            <w:pPr>
              <w:pStyle w:val="TableParagraph"/>
              <w:spacing w:line="152" w:lineRule="exact" w:before="8"/>
              <w:ind w:left="25"/>
              <w:rPr>
                <w:b/>
                <w:sz w:val="14"/>
              </w:rPr>
            </w:pPr>
            <w:r>
              <w:rPr>
                <w:b/>
                <w:w w:val="99"/>
                <w:sz w:val="14"/>
              </w:rPr>
              <w:t>2</w:t>
            </w:r>
          </w:p>
        </w:tc>
        <w:tc>
          <w:tcPr>
            <w:tcW w:w="2328" w:type="dxa"/>
          </w:tcPr>
          <w:p>
            <w:pPr>
              <w:pStyle w:val="TableParagraph"/>
              <w:spacing w:line="152" w:lineRule="exact" w:before="8"/>
              <w:ind w:left="31"/>
              <w:rPr>
                <w:b/>
                <w:sz w:val="14"/>
              </w:rPr>
            </w:pPr>
            <w:r>
              <w:rPr>
                <w:b/>
                <w:sz w:val="14"/>
              </w:rPr>
              <w:t>Block Education Grant</w:t>
            </w:r>
          </w:p>
        </w:tc>
        <w:tc>
          <w:tcPr>
            <w:tcW w:w="957" w:type="dxa"/>
          </w:tcPr>
          <w:p>
            <w:pPr>
              <w:pStyle w:val="TableParagraph"/>
              <w:spacing w:line="152" w:lineRule="exact" w:before="8"/>
              <w:ind w:right="186"/>
              <w:jc w:val="right"/>
              <w:rPr>
                <w:b/>
                <w:sz w:val="14"/>
              </w:rPr>
            </w:pPr>
            <w:r>
              <w:rPr>
                <w:b/>
                <w:sz w:val="14"/>
              </w:rPr>
              <w:t>7,673.2</w:t>
            </w:r>
          </w:p>
        </w:tc>
        <w:tc>
          <w:tcPr>
            <w:tcW w:w="1789" w:type="dxa"/>
          </w:tcPr>
          <w:p>
            <w:pPr>
              <w:pStyle w:val="TableParagraph"/>
              <w:spacing w:line="152" w:lineRule="exact" w:before="8"/>
              <w:ind w:left="318"/>
              <w:rPr>
                <w:sz w:val="14"/>
              </w:rPr>
            </w:pPr>
            <w:r>
              <w:rPr>
                <w:sz w:val="14"/>
              </w:rPr>
              <w:t>Bombali District</w:t>
            </w:r>
          </w:p>
        </w:tc>
        <w:tc>
          <w:tcPr>
            <w:tcW w:w="616" w:type="dxa"/>
          </w:tcPr>
          <w:p>
            <w:pPr>
              <w:pStyle w:val="TableParagraph"/>
              <w:spacing w:line="152" w:lineRule="exact" w:before="8"/>
              <w:ind w:left="-11" w:right="127"/>
              <w:jc w:val="right"/>
              <w:rPr>
                <w:sz w:val="14"/>
              </w:rPr>
            </w:pPr>
            <w:r>
              <w:rPr>
                <w:sz w:val="14"/>
              </w:rPr>
              <w:t>316.5</w:t>
            </w:r>
          </w:p>
        </w:tc>
        <w:tc>
          <w:tcPr>
            <w:tcW w:w="1403" w:type="dxa"/>
            <w:gridSpan w:val="2"/>
          </w:tcPr>
          <w:p>
            <w:pPr>
              <w:pStyle w:val="TableParagraph"/>
              <w:tabs>
                <w:tab w:pos="918" w:val="left" w:leader="none"/>
              </w:tabs>
              <w:spacing w:line="152" w:lineRule="exact" w:before="8"/>
              <w:ind w:left="583"/>
              <w:rPr>
                <w:sz w:val="14"/>
              </w:rPr>
            </w:pPr>
            <w:r>
              <w:rPr>
                <w:sz w:val="14"/>
              </w:rPr>
              <w:t>-</w:t>
              <w:tab/>
            </w:r>
            <w:r>
              <w:rPr>
                <w:spacing w:val="4"/>
                <w:sz w:val="14"/>
              </w:rPr>
              <w:t>436.5</w:t>
            </w:r>
          </w:p>
        </w:tc>
        <w:tc>
          <w:tcPr>
            <w:tcW w:w="793" w:type="dxa"/>
          </w:tcPr>
          <w:p>
            <w:pPr>
              <w:pStyle w:val="TableParagraph"/>
              <w:spacing w:line="152" w:lineRule="exact" w:before="8"/>
              <w:ind w:right="110"/>
              <w:jc w:val="right"/>
              <w:rPr>
                <w:sz w:val="14"/>
              </w:rPr>
            </w:pPr>
            <w:r>
              <w:rPr>
                <w:sz w:val="14"/>
              </w:rPr>
              <w:t>654.1</w:t>
            </w:r>
          </w:p>
        </w:tc>
        <w:tc>
          <w:tcPr>
            <w:tcW w:w="1687" w:type="dxa"/>
            <w:gridSpan w:val="2"/>
          </w:tcPr>
          <w:p>
            <w:pPr>
              <w:pStyle w:val="TableParagraph"/>
              <w:tabs>
                <w:tab w:pos="1167" w:val="left" w:leader="none"/>
              </w:tabs>
              <w:spacing w:line="152" w:lineRule="exact" w:before="8"/>
              <w:ind w:left="647"/>
              <w:rPr>
                <w:sz w:val="14"/>
              </w:rPr>
            </w:pPr>
            <w:r>
              <w:rPr>
                <w:sz w:val="14"/>
              </w:rPr>
              <w:t>-</w:t>
              <w:tab/>
            </w:r>
            <w:r>
              <w:rPr>
                <w:spacing w:val="3"/>
                <w:sz w:val="14"/>
              </w:rPr>
              <w:t>654.1</w:t>
            </w:r>
          </w:p>
        </w:tc>
        <w:tc>
          <w:tcPr>
            <w:tcW w:w="1479" w:type="dxa"/>
            <w:gridSpan w:val="2"/>
          </w:tcPr>
          <w:p>
            <w:pPr>
              <w:pStyle w:val="TableParagraph"/>
              <w:tabs>
                <w:tab w:pos="1006" w:val="left" w:leader="none"/>
              </w:tabs>
              <w:spacing w:line="152" w:lineRule="exact" w:before="8"/>
              <w:ind w:left="267"/>
              <w:rPr>
                <w:sz w:val="14"/>
              </w:rPr>
            </w:pPr>
            <w:r>
              <w:rPr>
                <w:spacing w:val="4"/>
                <w:sz w:val="14"/>
              </w:rPr>
              <w:t>148.9</w:t>
              <w:tab/>
              <w:t>149.8</w:t>
            </w:r>
          </w:p>
        </w:tc>
        <w:tc>
          <w:tcPr>
            <w:tcW w:w="1550" w:type="dxa"/>
            <w:gridSpan w:val="2"/>
          </w:tcPr>
          <w:p>
            <w:pPr>
              <w:pStyle w:val="TableParagraph"/>
              <w:tabs>
                <w:tab w:pos="1000" w:val="left" w:leader="none"/>
              </w:tabs>
              <w:spacing w:line="152" w:lineRule="exact" w:before="8"/>
              <w:ind w:left="601"/>
              <w:rPr>
                <w:sz w:val="14"/>
              </w:rPr>
            </w:pPr>
            <w:r>
              <w:rPr>
                <w:sz w:val="14"/>
              </w:rPr>
              <w:t>-</w:t>
              <w:tab/>
            </w:r>
            <w:r>
              <w:rPr>
                <w:spacing w:val="3"/>
                <w:sz w:val="14"/>
              </w:rPr>
              <w:t>524.6</w:t>
            </w:r>
          </w:p>
        </w:tc>
        <w:tc>
          <w:tcPr>
            <w:tcW w:w="746" w:type="dxa"/>
          </w:tcPr>
          <w:p>
            <w:pPr>
              <w:pStyle w:val="TableParagraph"/>
              <w:spacing w:line="152" w:lineRule="exact" w:before="8"/>
              <w:ind w:right="186"/>
              <w:jc w:val="right"/>
              <w:rPr>
                <w:sz w:val="14"/>
              </w:rPr>
            </w:pPr>
            <w:r>
              <w:rPr>
                <w:sz w:val="14"/>
              </w:rPr>
              <w:t>113.0</w:t>
            </w:r>
          </w:p>
        </w:tc>
        <w:tc>
          <w:tcPr>
            <w:tcW w:w="1265" w:type="dxa"/>
          </w:tcPr>
          <w:p>
            <w:pPr>
              <w:pStyle w:val="TableParagraph"/>
              <w:spacing w:line="152" w:lineRule="exact" w:before="8"/>
              <w:ind w:left="244"/>
              <w:rPr>
                <w:sz w:val="14"/>
              </w:rPr>
            </w:pPr>
            <w:r>
              <w:rPr>
                <w:sz w:val="14"/>
              </w:rPr>
              <w:t>2,343 .5</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4" w:lineRule="exact" w:before="5"/>
              <w:ind w:left="199"/>
              <w:rPr>
                <w:sz w:val="14"/>
              </w:rPr>
            </w:pPr>
            <w:r>
              <w:rPr>
                <w:sz w:val="14"/>
              </w:rPr>
              <w:t>Administration</w:t>
            </w:r>
          </w:p>
        </w:tc>
        <w:tc>
          <w:tcPr>
            <w:tcW w:w="957" w:type="dxa"/>
          </w:tcPr>
          <w:p>
            <w:pPr>
              <w:pStyle w:val="TableParagraph"/>
              <w:spacing w:line="154" w:lineRule="exact" w:before="5"/>
              <w:ind w:right="163"/>
              <w:jc w:val="right"/>
              <w:rPr>
                <w:sz w:val="14"/>
              </w:rPr>
            </w:pPr>
            <w:r>
              <w:rPr>
                <w:sz w:val="14"/>
              </w:rPr>
              <w:t>2,199 .5</w:t>
            </w:r>
          </w:p>
        </w:tc>
        <w:tc>
          <w:tcPr>
            <w:tcW w:w="1789" w:type="dxa"/>
          </w:tcPr>
          <w:p>
            <w:pPr>
              <w:pStyle w:val="TableParagraph"/>
              <w:spacing w:line="154" w:lineRule="exact" w:before="5"/>
              <w:ind w:left="318"/>
              <w:rPr>
                <w:sz w:val="14"/>
              </w:rPr>
            </w:pPr>
            <w:r>
              <w:rPr>
                <w:sz w:val="14"/>
              </w:rPr>
              <w:t>Makeni City</w:t>
            </w:r>
          </w:p>
        </w:tc>
        <w:tc>
          <w:tcPr>
            <w:tcW w:w="616" w:type="dxa"/>
          </w:tcPr>
          <w:p>
            <w:pPr>
              <w:pStyle w:val="TableParagraph"/>
              <w:spacing w:line="154" w:lineRule="exact" w:before="5"/>
              <w:ind w:left="-11" w:right="118"/>
              <w:jc w:val="right"/>
              <w:rPr>
                <w:sz w:val="14"/>
              </w:rPr>
            </w:pPr>
            <w:r>
              <w:rPr>
                <w:sz w:val="14"/>
              </w:rPr>
              <w:t>237.7</w:t>
            </w:r>
          </w:p>
        </w:tc>
        <w:tc>
          <w:tcPr>
            <w:tcW w:w="1403" w:type="dxa"/>
            <w:gridSpan w:val="2"/>
          </w:tcPr>
          <w:p>
            <w:pPr>
              <w:pStyle w:val="TableParagraph"/>
              <w:spacing w:line="154" w:lineRule="exact" w:before="5"/>
              <w:ind w:left="345"/>
              <w:rPr>
                <w:sz w:val="14"/>
              </w:rPr>
            </w:pPr>
            <w:r>
              <w:rPr>
                <w:sz w:val="14"/>
              </w:rPr>
              <w:t>131.6 151.7</w:t>
            </w:r>
          </w:p>
        </w:tc>
        <w:tc>
          <w:tcPr>
            <w:tcW w:w="793" w:type="dxa"/>
          </w:tcPr>
          <w:p>
            <w:pPr>
              <w:pStyle w:val="TableParagraph"/>
              <w:spacing w:line="154" w:lineRule="exact" w:before="5"/>
              <w:ind w:right="110"/>
              <w:jc w:val="right"/>
              <w:rPr>
                <w:sz w:val="14"/>
              </w:rPr>
            </w:pPr>
            <w:r>
              <w:rPr>
                <w:sz w:val="14"/>
              </w:rPr>
              <w:t>430.1</w:t>
            </w:r>
          </w:p>
        </w:tc>
        <w:tc>
          <w:tcPr>
            <w:tcW w:w="1687" w:type="dxa"/>
            <w:gridSpan w:val="2"/>
          </w:tcPr>
          <w:p>
            <w:pPr>
              <w:pStyle w:val="TableParagraph"/>
              <w:tabs>
                <w:tab w:pos="1167" w:val="left" w:leader="none"/>
              </w:tabs>
              <w:spacing w:line="154" w:lineRule="exact" w:before="5"/>
              <w:ind w:left="647"/>
              <w:rPr>
                <w:sz w:val="14"/>
              </w:rPr>
            </w:pPr>
            <w:r>
              <w:rPr>
                <w:sz w:val="14"/>
              </w:rPr>
              <w:t>-</w:t>
              <w:tab/>
            </w:r>
            <w:r>
              <w:rPr>
                <w:spacing w:val="3"/>
                <w:sz w:val="14"/>
              </w:rPr>
              <w:t>430.1</w:t>
            </w:r>
          </w:p>
        </w:tc>
        <w:tc>
          <w:tcPr>
            <w:tcW w:w="1479" w:type="dxa"/>
            <w:gridSpan w:val="2"/>
          </w:tcPr>
          <w:p>
            <w:pPr>
              <w:pStyle w:val="TableParagraph"/>
              <w:tabs>
                <w:tab w:pos="1098" w:val="left" w:leader="none"/>
              </w:tabs>
              <w:spacing w:line="154" w:lineRule="exact" w:before="5"/>
              <w:ind w:left="611"/>
              <w:rPr>
                <w:sz w:val="14"/>
              </w:rPr>
            </w:pPr>
            <w:r>
              <w:rPr>
                <w:sz w:val="14"/>
              </w:rPr>
              <w:t>-</w:t>
              <w:tab/>
            </w:r>
            <w:r>
              <w:rPr>
                <w:spacing w:val="3"/>
                <w:sz w:val="14"/>
              </w:rPr>
              <w:t>81.2</w:t>
            </w:r>
          </w:p>
        </w:tc>
        <w:tc>
          <w:tcPr>
            <w:tcW w:w="1550" w:type="dxa"/>
            <w:gridSpan w:val="2"/>
          </w:tcPr>
          <w:p>
            <w:pPr>
              <w:pStyle w:val="TableParagraph"/>
              <w:tabs>
                <w:tab w:pos="989" w:val="left" w:leader="none"/>
              </w:tabs>
              <w:spacing w:line="154" w:lineRule="exact" w:before="5"/>
              <w:ind w:left="601"/>
              <w:rPr>
                <w:sz w:val="14"/>
              </w:rPr>
            </w:pPr>
            <w:r>
              <w:rPr>
                <w:sz w:val="14"/>
              </w:rPr>
              <w:t>-</w:t>
              <w:tab/>
            </w:r>
            <w:r>
              <w:rPr>
                <w:spacing w:val="5"/>
                <w:sz w:val="14"/>
              </w:rPr>
              <w:t>341.4</w:t>
            </w:r>
          </w:p>
        </w:tc>
        <w:tc>
          <w:tcPr>
            <w:tcW w:w="746" w:type="dxa"/>
          </w:tcPr>
          <w:p>
            <w:pPr>
              <w:pStyle w:val="TableParagraph"/>
              <w:spacing w:line="154" w:lineRule="exact" w:before="5"/>
              <w:ind w:right="177"/>
              <w:jc w:val="right"/>
              <w:rPr>
                <w:sz w:val="14"/>
              </w:rPr>
            </w:pPr>
            <w:r>
              <w:rPr>
                <w:w w:val="95"/>
                <w:sz w:val="14"/>
              </w:rPr>
              <w:t>16.1</w:t>
            </w:r>
          </w:p>
        </w:tc>
        <w:tc>
          <w:tcPr>
            <w:tcW w:w="1265" w:type="dxa"/>
          </w:tcPr>
          <w:p>
            <w:pPr>
              <w:pStyle w:val="TableParagraph"/>
              <w:spacing w:line="154" w:lineRule="exact" w:before="5"/>
              <w:ind w:left="244"/>
              <w:rPr>
                <w:sz w:val="14"/>
              </w:rPr>
            </w:pPr>
            <w:r>
              <w:rPr>
                <w:sz w:val="14"/>
              </w:rPr>
              <w:t>1,389 .8</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2" w:lineRule="exact" w:before="8"/>
              <w:ind w:left="200"/>
              <w:rPr>
                <w:sz w:val="14"/>
              </w:rPr>
            </w:pPr>
            <w:r>
              <w:rPr>
                <w:sz w:val="14"/>
              </w:rPr>
              <w:t>Education Dev Grant</w:t>
            </w:r>
          </w:p>
        </w:tc>
        <w:tc>
          <w:tcPr>
            <w:tcW w:w="957" w:type="dxa"/>
          </w:tcPr>
          <w:p>
            <w:pPr>
              <w:pStyle w:val="TableParagraph"/>
              <w:spacing w:line="152" w:lineRule="exact" w:before="8"/>
              <w:ind w:right="163"/>
              <w:jc w:val="right"/>
              <w:rPr>
                <w:sz w:val="14"/>
              </w:rPr>
            </w:pPr>
            <w:r>
              <w:rPr>
                <w:sz w:val="14"/>
              </w:rPr>
              <w:t>3,913 .6</w:t>
            </w:r>
          </w:p>
        </w:tc>
        <w:tc>
          <w:tcPr>
            <w:tcW w:w="1789" w:type="dxa"/>
          </w:tcPr>
          <w:p>
            <w:pPr>
              <w:pStyle w:val="TableParagraph"/>
              <w:spacing w:line="152" w:lineRule="exact" w:before="8"/>
              <w:ind w:left="318"/>
              <w:rPr>
                <w:sz w:val="14"/>
              </w:rPr>
            </w:pPr>
            <w:r>
              <w:rPr>
                <w:sz w:val="14"/>
              </w:rPr>
              <w:t>Bonthe District</w:t>
            </w:r>
          </w:p>
        </w:tc>
        <w:tc>
          <w:tcPr>
            <w:tcW w:w="616" w:type="dxa"/>
          </w:tcPr>
          <w:p>
            <w:pPr>
              <w:pStyle w:val="TableParagraph"/>
              <w:spacing w:line="152" w:lineRule="exact" w:before="8"/>
              <w:ind w:left="-11" w:right="127"/>
              <w:jc w:val="right"/>
              <w:rPr>
                <w:sz w:val="14"/>
              </w:rPr>
            </w:pPr>
            <w:r>
              <w:rPr>
                <w:sz w:val="14"/>
              </w:rPr>
              <w:t>265.6</w:t>
            </w:r>
          </w:p>
        </w:tc>
        <w:tc>
          <w:tcPr>
            <w:tcW w:w="1403" w:type="dxa"/>
            <w:gridSpan w:val="2"/>
          </w:tcPr>
          <w:p>
            <w:pPr>
              <w:pStyle w:val="TableParagraph"/>
              <w:spacing w:line="152" w:lineRule="exact" w:before="8"/>
              <w:ind w:left="437"/>
              <w:rPr>
                <w:sz w:val="14"/>
              </w:rPr>
            </w:pPr>
            <w:r>
              <w:rPr>
                <w:sz w:val="14"/>
              </w:rPr>
              <w:t>66.5 255.4</w:t>
            </w:r>
          </w:p>
        </w:tc>
        <w:tc>
          <w:tcPr>
            <w:tcW w:w="793" w:type="dxa"/>
          </w:tcPr>
          <w:p>
            <w:pPr>
              <w:pStyle w:val="TableParagraph"/>
              <w:spacing w:line="152" w:lineRule="exact" w:before="8"/>
              <w:ind w:right="110"/>
              <w:jc w:val="right"/>
              <w:rPr>
                <w:sz w:val="14"/>
              </w:rPr>
            </w:pPr>
            <w:r>
              <w:rPr>
                <w:sz w:val="14"/>
              </w:rPr>
              <w:t>642.0</w:t>
            </w:r>
          </w:p>
        </w:tc>
        <w:tc>
          <w:tcPr>
            <w:tcW w:w="1687" w:type="dxa"/>
            <w:gridSpan w:val="2"/>
          </w:tcPr>
          <w:p>
            <w:pPr>
              <w:pStyle w:val="TableParagraph"/>
              <w:tabs>
                <w:tab w:pos="1167" w:val="left" w:leader="none"/>
              </w:tabs>
              <w:spacing w:line="152" w:lineRule="exact" w:before="8"/>
              <w:ind w:left="653"/>
              <w:rPr>
                <w:sz w:val="14"/>
              </w:rPr>
            </w:pPr>
            <w:r>
              <w:rPr>
                <w:sz w:val="14"/>
              </w:rPr>
              <w:t>-</w:t>
              <w:tab/>
            </w:r>
            <w:r>
              <w:rPr>
                <w:spacing w:val="3"/>
                <w:sz w:val="14"/>
              </w:rPr>
              <w:t>642.0</w:t>
            </w:r>
          </w:p>
        </w:tc>
        <w:tc>
          <w:tcPr>
            <w:tcW w:w="1479" w:type="dxa"/>
            <w:gridSpan w:val="2"/>
          </w:tcPr>
          <w:p>
            <w:pPr>
              <w:pStyle w:val="TableParagraph"/>
              <w:tabs>
                <w:tab w:pos="1006" w:val="left" w:leader="none"/>
              </w:tabs>
              <w:spacing w:line="152" w:lineRule="exact" w:before="8"/>
              <w:ind w:left="267"/>
              <w:rPr>
                <w:sz w:val="14"/>
              </w:rPr>
            </w:pPr>
            <w:r>
              <w:rPr>
                <w:spacing w:val="4"/>
                <w:sz w:val="14"/>
              </w:rPr>
              <w:t>100.9</w:t>
              <w:tab/>
              <w:t>105.2</w:t>
            </w:r>
          </w:p>
        </w:tc>
        <w:tc>
          <w:tcPr>
            <w:tcW w:w="1550" w:type="dxa"/>
            <w:gridSpan w:val="2"/>
          </w:tcPr>
          <w:p>
            <w:pPr>
              <w:pStyle w:val="TableParagraph"/>
              <w:tabs>
                <w:tab w:pos="1000" w:val="left" w:leader="none"/>
              </w:tabs>
              <w:spacing w:line="152" w:lineRule="exact" w:before="8"/>
              <w:ind w:left="255"/>
              <w:rPr>
                <w:sz w:val="14"/>
              </w:rPr>
            </w:pPr>
            <w:r>
              <w:rPr>
                <w:spacing w:val="5"/>
                <w:sz w:val="14"/>
              </w:rPr>
              <w:t>128.9</w:t>
              <w:tab/>
            </w:r>
            <w:r>
              <w:rPr>
                <w:spacing w:val="4"/>
                <w:sz w:val="14"/>
              </w:rPr>
              <w:t>380.6</w:t>
            </w:r>
          </w:p>
        </w:tc>
        <w:tc>
          <w:tcPr>
            <w:tcW w:w="746" w:type="dxa"/>
          </w:tcPr>
          <w:p>
            <w:pPr>
              <w:pStyle w:val="TableParagraph"/>
              <w:spacing w:line="152" w:lineRule="exact" w:before="8"/>
              <w:ind w:right="176"/>
              <w:jc w:val="right"/>
              <w:rPr>
                <w:sz w:val="14"/>
              </w:rPr>
            </w:pPr>
            <w:r>
              <w:rPr>
                <w:sz w:val="14"/>
              </w:rPr>
              <w:t>96.9</w:t>
            </w:r>
          </w:p>
        </w:tc>
        <w:tc>
          <w:tcPr>
            <w:tcW w:w="1265" w:type="dxa"/>
          </w:tcPr>
          <w:p>
            <w:pPr>
              <w:pStyle w:val="TableParagraph"/>
              <w:spacing w:line="152" w:lineRule="exact" w:before="8"/>
              <w:ind w:left="244"/>
              <w:rPr>
                <w:sz w:val="14"/>
              </w:rPr>
            </w:pPr>
            <w:r>
              <w:rPr>
                <w:sz w:val="14"/>
              </w:rPr>
              <w:t>2,042 .1</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4" w:lineRule="exact" w:before="5"/>
              <w:ind w:left="199"/>
              <w:rPr>
                <w:sz w:val="14"/>
              </w:rPr>
            </w:pPr>
            <w:r>
              <w:rPr>
                <w:sz w:val="14"/>
              </w:rPr>
              <w:t>Science Equipments</w:t>
            </w:r>
          </w:p>
        </w:tc>
        <w:tc>
          <w:tcPr>
            <w:tcW w:w="957" w:type="dxa"/>
          </w:tcPr>
          <w:p>
            <w:pPr>
              <w:pStyle w:val="TableParagraph"/>
              <w:spacing w:line="154" w:lineRule="exact" w:before="5"/>
              <w:ind w:right="163"/>
              <w:jc w:val="right"/>
              <w:rPr>
                <w:sz w:val="14"/>
              </w:rPr>
            </w:pPr>
            <w:r>
              <w:rPr>
                <w:sz w:val="14"/>
              </w:rPr>
              <w:t>1,560 .1</w:t>
            </w:r>
          </w:p>
        </w:tc>
        <w:tc>
          <w:tcPr>
            <w:tcW w:w="1789" w:type="dxa"/>
          </w:tcPr>
          <w:p>
            <w:pPr>
              <w:pStyle w:val="TableParagraph"/>
              <w:spacing w:line="154" w:lineRule="exact" w:before="5"/>
              <w:ind w:right="318"/>
              <w:jc w:val="right"/>
              <w:rPr>
                <w:sz w:val="14"/>
              </w:rPr>
            </w:pPr>
            <w:r>
              <w:rPr>
                <w:sz w:val="14"/>
              </w:rPr>
              <w:t>Bonthe Municipal</w:t>
            </w:r>
          </w:p>
        </w:tc>
        <w:tc>
          <w:tcPr>
            <w:tcW w:w="616" w:type="dxa"/>
          </w:tcPr>
          <w:p>
            <w:pPr>
              <w:pStyle w:val="TableParagraph"/>
              <w:spacing w:line="154" w:lineRule="exact" w:before="5"/>
              <w:ind w:left="-11" w:right="127"/>
              <w:jc w:val="right"/>
              <w:rPr>
                <w:sz w:val="14"/>
              </w:rPr>
            </w:pPr>
            <w:r>
              <w:rPr>
                <w:sz w:val="14"/>
              </w:rPr>
              <w:t>146.1</w:t>
            </w:r>
          </w:p>
        </w:tc>
        <w:tc>
          <w:tcPr>
            <w:tcW w:w="1403" w:type="dxa"/>
            <w:gridSpan w:val="2"/>
          </w:tcPr>
          <w:p>
            <w:pPr>
              <w:pStyle w:val="TableParagraph"/>
              <w:spacing w:line="154" w:lineRule="exact" w:before="5"/>
              <w:ind w:left="437"/>
              <w:rPr>
                <w:sz w:val="14"/>
              </w:rPr>
            </w:pPr>
            <w:r>
              <w:rPr>
                <w:sz w:val="14"/>
              </w:rPr>
              <w:t>52.1 189.4</w:t>
            </w:r>
          </w:p>
        </w:tc>
        <w:tc>
          <w:tcPr>
            <w:tcW w:w="793" w:type="dxa"/>
          </w:tcPr>
          <w:p>
            <w:pPr>
              <w:pStyle w:val="TableParagraph"/>
              <w:spacing w:line="154" w:lineRule="exact" w:before="5"/>
              <w:ind w:right="110"/>
              <w:jc w:val="right"/>
              <w:rPr>
                <w:sz w:val="14"/>
              </w:rPr>
            </w:pPr>
            <w:r>
              <w:rPr>
                <w:sz w:val="14"/>
              </w:rPr>
              <w:t>342.3</w:t>
            </w:r>
          </w:p>
        </w:tc>
        <w:tc>
          <w:tcPr>
            <w:tcW w:w="1687" w:type="dxa"/>
            <w:gridSpan w:val="2"/>
          </w:tcPr>
          <w:p>
            <w:pPr>
              <w:pStyle w:val="TableParagraph"/>
              <w:tabs>
                <w:tab w:pos="1032" w:val="left" w:leader="none"/>
              </w:tabs>
              <w:spacing w:line="154" w:lineRule="exact" w:before="5"/>
              <w:ind w:left="311"/>
              <w:rPr>
                <w:sz w:val="14"/>
              </w:rPr>
            </w:pPr>
            <w:r>
              <w:rPr>
                <w:spacing w:val="3"/>
                <w:sz w:val="14"/>
              </w:rPr>
              <w:t>963.2</w:t>
              <w:tab/>
            </w:r>
            <w:r>
              <w:rPr>
                <w:spacing w:val="4"/>
                <w:sz w:val="14"/>
              </w:rPr>
              <w:t>1,305.6</w:t>
            </w:r>
          </w:p>
        </w:tc>
        <w:tc>
          <w:tcPr>
            <w:tcW w:w="1479" w:type="dxa"/>
            <w:gridSpan w:val="2"/>
          </w:tcPr>
          <w:p>
            <w:pPr>
              <w:pStyle w:val="TableParagraph"/>
              <w:tabs>
                <w:tab w:pos="1098" w:val="left" w:leader="none"/>
              </w:tabs>
              <w:spacing w:line="154" w:lineRule="exact" w:before="5"/>
              <w:ind w:left="611"/>
              <w:rPr>
                <w:sz w:val="14"/>
              </w:rPr>
            </w:pPr>
            <w:r>
              <w:rPr>
                <w:sz w:val="14"/>
              </w:rPr>
              <w:t>-</w:t>
              <w:tab/>
            </w:r>
            <w:r>
              <w:rPr>
                <w:spacing w:val="3"/>
                <w:sz w:val="14"/>
              </w:rPr>
              <w:t>40.3</w:t>
            </w:r>
          </w:p>
        </w:tc>
        <w:tc>
          <w:tcPr>
            <w:tcW w:w="1550" w:type="dxa"/>
            <w:gridSpan w:val="2"/>
          </w:tcPr>
          <w:p>
            <w:pPr>
              <w:pStyle w:val="TableParagraph"/>
              <w:tabs>
                <w:tab w:pos="1000" w:val="left" w:leader="none"/>
              </w:tabs>
              <w:spacing w:line="154" w:lineRule="exact" w:before="5"/>
              <w:ind w:left="355"/>
              <w:rPr>
                <w:sz w:val="14"/>
              </w:rPr>
            </w:pPr>
            <w:r>
              <w:rPr>
                <w:spacing w:val="3"/>
                <w:sz w:val="14"/>
              </w:rPr>
              <w:t>53.3</w:t>
              <w:tab/>
              <w:t>161.9</w:t>
            </w:r>
          </w:p>
        </w:tc>
        <w:tc>
          <w:tcPr>
            <w:tcW w:w="746" w:type="dxa"/>
          </w:tcPr>
          <w:p>
            <w:pPr>
              <w:pStyle w:val="TableParagraph"/>
              <w:spacing w:line="154" w:lineRule="exact" w:before="5"/>
              <w:ind w:right="181"/>
              <w:jc w:val="right"/>
              <w:rPr>
                <w:sz w:val="14"/>
              </w:rPr>
            </w:pPr>
            <w:r>
              <w:rPr>
                <w:sz w:val="14"/>
              </w:rPr>
              <w:t>16.1</w:t>
            </w:r>
          </w:p>
        </w:tc>
        <w:tc>
          <w:tcPr>
            <w:tcW w:w="1265" w:type="dxa"/>
          </w:tcPr>
          <w:p>
            <w:pPr>
              <w:pStyle w:val="TableParagraph"/>
              <w:spacing w:line="154" w:lineRule="exact" w:before="5"/>
              <w:ind w:left="244"/>
              <w:rPr>
                <w:sz w:val="14"/>
              </w:rPr>
            </w:pPr>
            <w:r>
              <w:rPr>
                <w:sz w:val="14"/>
              </w:rPr>
              <w:t>1,964 .9</w:t>
            </w:r>
          </w:p>
        </w:tc>
      </w:tr>
      <w:tr>
        <w:trPr>
          <w:trHeight w:val="180" w:hRule="atLeast"/>
        </w:trPr>
        <w:tc>
          <w:tcPr>
            <w:tcW w:w="194" w:type="dxa"/>
          </w:tcPr>
          <w:p>
            <w:pPr>
              <w:pStyle w:val="TableParagraph"/>
              <w:spacing w:line="152" w:lineRule="exact" w:before="8"/>
              <w:ind w:left="25"/>
              <w:rPr>
                <w:b/>
                <w:sz w:val="14"/>
              </w:rPr>
            </w:pPr>
            <w:r>
              <w:rPr>
                <w:b/>
                <w:w w:val="99"/>
                <w:sz w:val="14"/>
              </w:rPr>
              <w:t>3</w:t>
            </w:r>
          </w:p>
        </w:tc>
        <w:tc>
          <w:tcPr>
            <w:tcW w:w="2328" w:type="dxa"/>
          </w:tcPr>
          <w:p>
            <w:pPr>
              <w:pStyle w:val="TableParagraph"/>
              <w:spacing w:line="152" w:lineRule="exact" w:before="8"/>
              <w:ind w:left="75"/>
              <w:rPr>
                <w:b/>
                <w:sz w:val="14"/>
              </w:rPr>
            </w:pPr>
            <w:r>
              <w:rPr>
                <w:b/>
                <w:sz w:val="14"/>
              </w:rPr>
              <w:t>Library Services</w:t>
            </w:r>
          </w:p>
        </w:tc>
        <w:tc>
          <w:tcPr>
            <w:tcW w:w="957" w:type="dxa"/>
          </w:tcPr>
          <w:p>
            <w:pPr>
              <w:pStyle w:val="TableParagraph"/>
              <w:spacing w:line="152" w:lineRule="exact" w:before="8"/>
              <w:ind w:right="168"/>
              <w:jc w:val="right"/>
              <w:rPr>
                <w:b/>
                <w:sz w:val="14"/>
              </w:rPr>
            </w:pPr>
            <w:r>
              <w:rPr>
                <w:b/>
                <w:w w:val="95"/>
                <w:sz w:val="14"/>
              </w:rPr>
              <w:t>1,733.6</w:t>
            </w:r>
          </w:p>
        </w:tc>
        <w:tc>
          <w:tcPr>
            <w:tcW w:w="1789" w:type="dxa"/>
          </w:tcPr>
          <w:p>
            <w:pPr>
              <w:pStyle w:val="TableParagraph"/>
              <w:spacing w:line="152" w:lineRule="exact" w:before="8"/>
              <w:ind w:left="318"/>
              <w:rPr>
                <w:sz w:val="14"/>
              </w:rPr>
            </w:pPr>
            <w:r>
              <w:rPr>
                <w:sz w:val="14"/>
              </w:rPr>
              <w:t>Freetown</w:t>
            </w:r>
          </w:p>
        </w:tc>
        <w:tc>
          <w:tcPr>
            <w:tcW w:w="616" w:type="dxa"/>
          </w:tcPr>
          <w:p>
            <w:pPr>
              <w:pStyle w:val="TableParagraph"/>
              <w:spacing w:line="152" w:lineRule="exact" w:before="8"/>
              <w:ind w:left="-11" w:right="118"/>
              <w:jc w:val="right"/>
              <w:rPr>
                <w:sz w:val="14"/>
              </w:rPr>
            </w:pPr>
            <w:r>
              <w:rPr>
                <w:sz w:val="14"/>
              </w:rPr>
              <w:t>694.8</w:t>
            </w:r>
          </w:p>
        </w:tc>
        <w:tc>
          <w:tcPr>
            <w:tcW w:w="1403" w:type="dxa"/>
            <w:gridSpan w:val="2"/>
          </w:tcPr>
          <w:p>
            <w:pPr>
              <w:pStyle w:val="TableParagraph"/>
              <w:spacing w:line="152" w:lineRule="exact" w:before="8"/>
              <w:ind w:left="345"/>
              <w:rPr>
                <w:sz w:val="14"/>
              </w:rPr>
            </w:pPr>
            <w:r>
              <w:rPr>
                <w:sz w:val="14"/>
              </w:rPr>
              <w:t>299.9 153.3</w:t>
            </w:r>
          </w:p>
        </w:tc>
        <w:tc>
          <w:tcPr>
            <w:tcW w:w="793" w:type="dxa"/>
          </w:tcPr>
          <w:p>
            <w:pPr>
              <w:pStyle w:val="TableParagraph"/>
              <w:spacing w:line="152" w:lineRule="exact" w:before="8"/>
              <w:ind w:right="117"/>
              <w:jc w:val="right"/>
              <w:rPr>
                <w:sz w:val="14"/>
              </w:rPr>
            </w:pPr>
            <w:r>
              <w:rPr>
                <w:sz w:val="14"/>
              </w:rPr>
              <w:t>1,201.5</w:t>
            </w:r>
          </w:p>
        </w:tc>
        <w:tc>
          <w:tcPr>
            <w:tcW w:w="1687" w:type="dxa"/>
            <w:gridSpan w:val="2"/>
          </w:tcPr>
          <w:p>
            <w:pPr>
              <w:pStyle w:val="TableParagraph"/>
              <w:tabs>
                <w:tab w:pos="1032" w:val="left" w:leader="none"/>
              </w:tabs>
              <w:spacing w:line="152" w:lineRule="exact" w:before="8"/>
              <w:ind w:left="152"/>
              <w:rPr>
                <w:sz w:val="14"/>
              </w:rPr>
            </w:pPr>
            <w:r>
              <w:rPr>
                <w:spacing w:val="7"/>
                <w:sz w:val="14"/>
              </w:rPr>
              <w:t>5,563</w:t>
            </w:r>
            <w:r>
              <w:rPr>
                <w:spacing w:val="-26"/>
                <w:sz w:val="14"/>
              </w:rPr>
              <w:t> </w:t>
            </w:r>
            <w:r>
              <w:rPr>
                <w:spacing w:val="3"/>
                <w:sz w:val="14"/>
              </w:rPr>
              <w:t>.2</w:t>
              <w:tab/>
            </w:r>
            <w:r>
              <w:rPr>
                <w:spacing w:val="4"/>
                <w:sz w:val="14"/>
              </w:rPr>
              <w:t>6,764.7</w:t>
            </w:r>
          </w:p>
        </w:tc>
        <w:tc>
          <w:tcPr>
            <w:tcW w:w="1479" w:type="dxa"/>
            <w:gridSpan w:val="2"/>
          </w:tcPr>
          <w:p>
            <w:pPr>
              <w:pStyle w:val="TableParagraph"/>
              <w:tabs>
                <w:tab w:pos="1006" w:val="left" w:leader="none"/>
              </w:tabs>
              <w:spacing w:line="152" w:lineRule="exact" w:before="8"/>
              <w:ind w:left="611"/>
              <w:rPr>
                <w:sz w:val="14"/>
              </w:rPr>
            </w:pPr>
            <w:r>
              <w:rPr>
                <w:sz w:val="14"/>
              </w:rPr>
              <w:t>-</w:t>
              <w:tab/>
            </w:r>
            <w:r>
              <w:rPr>
                <w:spacing w:val="4"/>
                <w:sz w:val="14"/>
              </w:rPr>
              <w:t>331.8</w:t>
            </w:r>
          </w:p>
        </w:tc>
        <w:tc>
          <w:tcPr>
            <w:tcW w:w="1550" w:type="dxa"/>
            <w:gridSpan w:val="2"/>
          </w:tcPr>
          <w:p>
            <w:pPr>
              <w:pStyle w:val="TableParagraph"/>
              <w:tabs>
                <w:tab w:pos="865" w:val="left" w:leader="none"/>
              </w:tabs>
              <w:spacing w:line="152" w:lineRule="exact" w:before="8"/>
              <w:ind w:left="355"/>
              <w:rPr>
                <w:sz w:val="14"/>
              </w:rPr>
            </w:pPr>
            <w:r>
              <w:rPr>
                <w:spacing w:val="3"/>
                <w:sz w:val="14"/>
              </w:rPr>
              <w:t>50.8</w:t>
              <w:tab/>
            </w:r>
            <w:r>
              <w:rPr>
                <w:spacing w:val="4"/>
                <w:sz w:val="14"/>
              </w:rPr>
              <w:t>1,882.1</w:t>
            </w:r>
          </w:p>
        </w:tc>
        <w:tc>
          <w:tcPr>
            <w:tcW w:w="746" w:type="dxa"/>
          </w:tcPr>
          <w:p>
            <w:pPr>
              <w:pStyle w:val="TableParagraph"/>
              <w:spacing w:line="152" w:lineRule="exact" w:before="8"/>
              <w:ind w:right="186"/>
              <w:jc w:val="right"/>
              <w:rPr>
                <w:sz w:val="14"/>
              </w:rPr>
            </w:pPr>
            <w:r>
              <w:rPr>
                <w:sz w:val="14"/>
              </w:rPr>
              <w:t>258.3</w:t>
            </w:r>
          </w:p>
        </w:tc>
        <w:tc>
          <w:tcPr>
            <w:tcW w:w="1265" w:type="dxa"/>
          </w:tcPr>
          <w:p>
            <w:pPr>
              <w:pStyle w:val="TableParagraph"/>
              <w:spacing w:line="152" w:lineRule="exact" w:before="8"/>
              <w:ind w:left="157"/>
              <w:rPr>
                <w:sz w:val="14"/>
              </w:rPr>
            </w:pPr>
            <w:r>
              <w:rPr>
                <w:sz w:val="14"/>
              </w:rPr>
              <w:t>10,435.7</w:t>
            </w:r>
          </w:p>
        </w:tc>
      </w:tr>
      <w:tr>
        <w:trPr>
          <w:trHeight w:val="360" w:hRule="atLeast"/>
        </w:trPr>
        <w:tc>
          <w:tcPr>
            <w:tcW w:w="194" w:type="dxa"/>
          </w:tcPr>
          <w:p>
            <w:pPr>
              <w:pStyle w:val="TableParagraph"/>
              <w:spacing w:before="5"/>
              <w:ind w:left="25"/>
              <w:rPr>
                <w:b/>
                <w:sz w:val="14"/>
              </w:rPr>
            </w:pPr>
            <w:r>
              <w:rPr>
                <w:b/>
                <w:w w:val="99"/>
                <w:sz w:val="14"/>
              </w:rPr>
              <w:t>4</w:t>
            </w:r>
          </w:p>
        </w:tc>
        <w:tc>
          <w:tcPr>
            <w:tcW w:w="2328" w:type="dxa"/>
          </w:tcPr>
          <w:p>
            <w:pPr>
              <w:pStyle w:val="TableParagraph"/>
              <w:spacing w:before="5"/>
              <w:ind w:left="31"/>
              <w:rPr>
                <w:b/>
                <w:sz w:val="14"/>
              </w:rPr>
            </w:pPr>
            <w:r>
              <w:rPr>
                <w:b/>
                <w:sz w:val="14"/>
              </w:rPr>
              <w:t>Unconditional Block Grant</w:t>
            </w:r>
          </w:p>
        </w:tc>
        <w:tc>
          <w:tcPr>
            <w:tcW w:w="957" w:type="dxa"/>
          </w:tcPr>
          <w:p>
            <w:pPr>
              <w:pStyle w:val="TableParagraph"/>
              <w:spacing w:before="5"/>
              <w:ind w:left="196"/>
              <w:rPr>
                <w:b/>
                <w:sz w:val="14"/>
              </w:rPr>
            </w:pPr>
            <w:r>
              <w:rPr>
                <w:b/>
                <w:sz w:val="14"/>
              </w:rPr>
              <w:t>12,879.7</w:t>
            </w:r>
          </w:p>
        </w:tc>
        <w:tc>
          <w:tcPr>
            <w:tcW w:w="1789" w:type="dxa"/>
          </w:tcPr>
          <w:p>
            <w:pPr>
              <w:pStyle w:val="TableParagraph"/>
              <w:spacing w:before="5"/>
              <w:ind w:left="490"/>
              <w:rPr>
                <w:sz w:val="14"/>
              </w:rPr>
            </w:pPr>
            <w:r>
              <w:rPr>
                <w:sz w:val="14"/>
              </w:rPr>
              <w:t>o/ w Lumley</w:t>
            </w:r>
          </w:p>
          <w:p>
            <w:pPr>
              <w:pStyle w:val="TableParagraph"/>
              <w:spacing w:line="152" w:lineRule="exact" w:before="22"/>
              <w:ind w:left="491"/>
              <w:rPr>
                <w:sz w:val="14"/>
              </w:rPr>
            </w:pPr>
            <w:r>
              <w:rPr>
                <w:sz w:val="14"/>
              </w:rPr>
              <w:t>Hospital</w:t>
            </w:r>
          </w:p>
        </w:tc>
        <w:tc>
          <w:tcPr>
            <w:tcW w:w="616" w:type="dxa"/>
          </w:tcPr>
          <w:p>
            <w:pPr>
              <w:pStyle w:val="TableParagraph"/>
              <w:spacing w:before="5"/>
              <w:ind w:right="112"/>
              <w:jc w:val="right"/>
              <w:rPr>
                <w:sz w:val="14"/>
              </w:rPr>
            </w:pPr>
            <w:r>
              <w:rPr>
                <w:w w:val="99"/>
                <w:sz w:val="14"/>
              </w:rPr>
              <w:t>-</w:t>
            </w:r>
          </w:p>
        </w:tc>
        <w:tc>
          <w:tcPr>
            <w:tcW w:w="758" w:type="dxa"/>
          </w:tcPr>
          <w:p>
            <w:pPr>
              <w:pStyle w:val="TableParagraph"/>
              <w:spacing w:before="5"/>
              <w:ind w:right="126"/>
              <w:jc w:val="right"/>
              <w:rPr>
                <w:sz w:val="14"/>
              </w:rPr>
            </w:pPr>
            <w:r>
              <w:rPr>
                <w:w w:val="99"/>
                <w:sz w:val="14"/>
              </w:rPr>
              <w:t>-</w:t>
            </w:r>
          </w:p>
        </w:tc>
        <w:tc>
          <w:tcPr>
            <w:tcW w:w="645" w:type="dxa"/>
          </w:tcPr>
          <w:p>
            <w:pPr>
              <w:pStyle w:val="TableParagraph"/>
              <w:spacing w:before="5"/>
              <w:ind w:right="94"/>
              <w:jc w:val="right"/>
              <w:rPr>
                <w:sz w:val="14"/>
              </w:rPr>
            </w:pPr>
            <w:r>
              <w:rPr>
                <w:w w:val="99"/>
                <w:sz w:val="14"/>
              </w:rPr>
              <w:t>-</w:t>
            </w:r>
          </w:p>
        </w:tc>
        <w:tc>
          <w:tcPr>
            <w:tcW w:w="793" w:type="dxa"/>
          </w:tcPr>
          <w:p>
            <w:pPr>
              <w:pStyle w:val="TableParagraph"/>
              <w:spacing w:before="5"/>
              <w:ind w:right="95"/>
              <w:jc w:val="right"/>
              <w:rPr>
                <w:sz w:val="14"/>
              </w:rPr>
            </w:pPr>
            <w:r>
              <w:rPr>
                <w:w w:val="99"/>
                <w:sz w:val="14"/>
              </w:rPr>
              <w:t>-</w:t>
            </w:r>
          </w:p>
        </w:tc>
        <w:tc>
          <w:tcPr>
            <w:tcW w:w="859" w:type="dxa"/>
          </w:tcPr>
          <w:p>
            <w:pPr>
              <w:pStyle w:val="TableParagraph"/>
              <w:spacing w:before="5"/>
              <w:ind w:left="177"/>
              <w:rPr>
                <w:sz w:val="14"/>
              </w:rPr>
            </w:pPr>
            <w:r>
              <w:rPr>
                <w:sz w:val="14"/>
              </w:rPr>
              <w:t>3,497.4</w:t>
            </w:r>
          </w:p>
        </w:tc>
        <w:tc>
          <w:tcPr>
            <w:tcW w:w="828" w:type="dxa"/>
          </w:tcPr>
          <w:p>
            <w:pPr>
              <w:pStyle w:val="TableParagraph"/>
              <w:rPr>
                <w:rFonts w:ascii="Times New Roman"/>
                <w:sz w:val="14"/>
              </w:rPr>
            </w:pPr>
          </w:p>
        </w:tc>
        <w:tc>
          <w:tcPr>
            <w:tcW w:w="753" w:type="dxa"/>
          </w:tcPr>
          <w:p>
            <w:pPr>
              <w:pStyle w:val="TableParagraph"/>
              <w:spacing w:before="5"/>
              <w:ind w:right="93"/>
              <w:jc w:val="right"/>
              <w:rPr>
                <w:sz w:val="14"/>
              </w:rPr>
            </w:pPr>
            <w:r>
              <w:rPr>
                <w:w w:val="99"/>
                <w:sz w:val="14"/>
              </w:rPr>
              <w:t>-</w:t>
            </w:r>
          </w:p>
        </w:tc>
        <w:tc>
          <w:tcPr>
            <w:tcW w:w="726" w:type="dxa"/>
          </w:tcPr>
          <w:p>
            <w:pPr>
              <w:pStyle w:val="TableParagraph"/>
              <w:spacing w:before="5"/>
              <w:ind w:right="79"/>
              <w:jc w:val="right"/>
              <w:rPr>
                <w:sz w:val="14"/>
              </w:rPr>
            </w:pPr>
            <w:r>
              <w:rPr>
                <w:w w:val="99"/>
                <w:sz w:val="14"/>
              </w:rPr>
              <w:t>-</w:t>
            </w:r>
          </w:p>
        </w:tc>
        <w:tc>
          <w:tcPr>
            <w:tcW w:w="732" w:type="dxa"/>
          </w:tcPr>
          <w:p>
            <w:pPr>
              <w:pStyle w:val="TableParagraph"/>
              <w:spacing w:before="5"/>
              <w:ind w:right="76"/>
              <w:jc w:val="right"/>
              <w:rPr>
                <w:sz w:val="14"/>
              </w:rPr>
            </w:pPr>
            <w:r>
              <w:rPr>
                <w:w w:val="99"/>
                <w:sz w:val="14"/>
              </w:rPr>
              <w:t>-</w:t>
            </w:r>
          </w:p>
        </w:tc>
        <w:tc>
          <w:tcPr>
            <w:tcW w:w="818" w:type="dxa"/>
          </w:tcPr>
          <w:p>
            <w:pPr>
              <w:pStyle w:val="TableParagraph"/>
              <w:spacing w:before="5"/>
              <w:ind w:right="159"/>
              <w:jc w:val="right"/>
              <w:rPr>
                <w:sz w:val="14"/>
              </w:rPr>
            </w:pPr>
            <w:r>
              <w:rPr>
                <w:w w:val="99"/>
                <w:sz w:val="14"/>
              </w:rPr>
              <w:t>-</w:t>
            </w:r>
          </w:p>
        </w:tc>
        <w:tc>
          <w:tcPr>
            <w:tcW w:w="746" w:type="dxa"/>
          </w:tcPr>
          <w:p>
            <w:pPr>
              <w:pStyle w:val="TableParagraph"/>
              <w:spacing w:before="5"/>
              <w:ind w:right="169"/>
              <w:jc w:val="right"/>
              <w:rPr>
                <w:sz w:val="14"/>
              </w:rPr>
            </w:pPr>
            <w:r>
              <w:rPr>
                <w:w w:val="99"/>
                <w:sz w:val="14"/>
              </w:rPr>
              <w:t>-</w:t>
            </w:r>
          </w:p>
        </w:tc>
        <w:tc>
          <w:tcPr>
            <w:tcW w:w="1265" w:type="dxa"/>
          </w:tcPr>
          <w:p>
            <w:pPr>
              <w:pStyle w:val="TableParagraph"/>
              <w:spacing w:before="5"/>
              <w:ind w:left="268"/>
              <w:jc w:val="center"/>
              <w:rPr>
                <w:sz w:val="14"/>
              </w:rPr>
            </w:pPr>
            <w:r>
              <w:rPr>
                <w:w w:val="99"/>
                <w:sz w:val="14"/>
              </w:rPr>
              <w:t>-</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4" w:lineRule="exact" w:before="5"/>
              <w:ind w:left="199"/>
              <w:rPr>
                <w:sz w:val="14"/>
              </w:rPr>
            </w:pPr>
            <w:r>
              <w:rPr>
                <w:sz w:val="14"/>
              </w:rPr>
              <w:t>Solid Waste Management</w:t>
            </w:r>
          </w:p>
        </w:tc>
        <w:tc>
          <w:tcPr>
            <w:tcW w:w="957" w:type="dxa"/>
          </w:tcPr>
          <w:p>
            <w:pPr>
              <w:pStyle w:val="TableParagraph"/>
              <w:spacing w:line="154" w:lineRule="exact" w:before="5"/>
              <w:ind w:right="162"/>
              <w:jc w:val="right"/>
              <w:rPr>
                <w:sz w:val="14"/>
              </w:rPr>
            </w:pPr>
            <w:r>
              <w:rPr>
                <w:sz w:val="14"/>
              </w:rPr>
              <w:t>8,271.3</w:t>
            </w:r>
          </w:p>
        </w:tc>
        <w:tc>
          <w:tcPr>
            <w:tcW w:w="1789" w:type="dxa"/>
          </w:tcPr>
          <w:p>
            <w:pPr>
              <w:pStyle w:val="TableParagraph"/>
              <w:spacing w:line="154" w:lineRule="exact" w:before="5"/>
              <w:ind w:left="318"/>
              <w:rPr>
                <w:sz w:val="14"/>
              </w:rPr>
            </w:pPr>
            <w:r>
              <w:rPr>
                <w:sz w:val="14"/>
              </w:rPr>
              <w:t>Macauley Street</w:t>
            </w:r>
          </w:p>
        </w:tc>
        <w:tc>
          <w:tcPr>
            <w:tcW w:w="616" w:type="dxa"/>
          </w:tcPr>
          <w:p>
            <w:pPr>
              <w:pStyle w:val="TableParagraph"/>
              <w:spacing w:line="154" w:lineRule="exact" w:before="5"/>
              <w:ind w:right="112"/>
              <w:jc w:val="right"/>
              <w:rPr>
                <w:sz w:val="14"/>
              </w:rPr>
            </w:pPr>
            <w:r>
              <w:rPr>
                <w:w w:val="99"/>
                <w:sz w:val="14"/>
              </w:rPr>
              <w:t>-</w:t>
            </w:r>
          </w:p>
        </w:tc>
        <w:tc>
          <w:tcPr>
            <w:tcW w:w="758" w:type="dxa"/>
          </w:tcPr>
          <w:p>
            <w:pPr>
              <w:pStyle w:val="TableParagraph"/>
              <w:spacing w:line="154" w:lineRule="exact" w:before="5"/>
              <w:ind w:right="126"/>
              <w:jc w:val="right"/>
              <w:rPr>
                <w:sz w:val="14"/>
              </w:rPr>
            </w:pPr>
            <w:r>
              <w:rPr>
                <w:w w:val="99"/>
                <w:sz w:val="14"/>
              </w:rPr>
              <w:t>-</w:t>
            </w:r>
          </w:p>
        </w:tc>
        <w:tc>
          <w:tcPr>
            <w:tcW w:w="645" w:type="dxa"/>
          </w:tcPr>
          <w:p>
            <w:pPr>
              <w:pStyle w:val="TableParagraph"/>
              <w:spacing w:line="154" w:lineRule="exact" w:before="5"/>
              <w:ind w:right="93"/>
              <w:jc w:val="right"/>
              <w:rPr>
                <w:sz w:val="14"/>
              </w:rPr>
            </w:pPr>
            <w:r>
              <w:rPr>
                <w:w w:val="99"/>
                <w:sz w:val="14"/>
              </w:rPr>
              <w:t>-</w:t>
            </w:r>
          </w:p>
        </w:tc>
        <w:tc>
          <w:tcPr>
            <w:tcW w:w="793" w:type="dxa"/>
          </w:tcPr>
          <w:p>
            <w:pPr>
              <w:pStyle w:val="TableParagraph"/>
              <w:spacing w:line="154" w:lineRule="exact" w:before="5"/>
              <w:ind w:right="94"/>
              <w:jc w:val="right"/>
              <w:rPr>
                <w:sz w:val="14"/>
              </w:rPr>
            </w:pPr>
            <w:r>
              <w:rPr>
                <w:w w:val="99"/>
                <w:sz w:val="14"/>
              </w:rPr>
              <w:t>-</w:t>
            </w:r>
          </w:p>
        </w:tc>
        <w:tc>
          <w:tcPr>
            <w:tcW w:w="859" w:type="dxa"/>
          </w:tcPr>
          <w:p>
            <w:pPr>
              <w:pStyle w:val="TableParagraph"/>
              <w:spacing w:line="154" w:lineRule="exact" w:before="5"/>
              <w:ind w:left="177"/>
              <w:rPr>
                <w:sz w:val="14"/>
              </w:rPr>
            </w:pPr>
            <w:r>
              <w:rPr>
                <w:sz w:val="14"/>
              </w:rPr>
              <w:t>2,065.8</w:t>
            </w:r>
          </w:p>
        </w:tc>
        <w:tc>
          <w:tcPr>
            <w:tcW w:w="828" w:type="dxa"/>
          </w:tcPr>
          <w:p>
            <w:pPr>
              <w:pStyle w:val="TableParagraph"/>
              <w:rPr>
                <w:rFonts w:ascii="Times New Roman"/>
                <w:sz w:val="12"/>
              </w:rPr>
            </w:pPr>
          </w:p>
        </w:tc>
        <w:tc>
          <w:tcPr>
            <w:tcW w:w="753" w:type="dxa"/>
          </w:tcPr>
          <w:p>
            <w:pPr>
              <w:pStyle w:val="TableParagraph"/>
              <w:spacing w:line="154" w:lineRule="exact" w:before="5"/>
              <w:ind w:right="93"/>
              <w:jc w:val="right"/>
              <w:rPr>
                <w:sz w:val="14"/>
              </w:rPr>
            </w:pPr>
            <w:r>
              <w:rPr>
                <w:w w:val="99"/>
                <w:sz w:val="14"/>
              </w:rPr>
              <w:t>-</w:t>
            </w:r>
          </w:p>
        </w:tc>
        <w:tc>
          <w:tcPr>
            <w:tcW w:w="726" w:type="dxa"/>
          </w:tcPr>
          <w:p>
            <w:pPr>
              <w:pStyle w:val="TableParagraph"/>
              <w:spacing w:line="154" w:lineRule="exact" w:before="5"/>
              <w:ind w:right="79"/>
              <w:jc w:val="right"/>
              <w:rPr>
                <w:sz w:val="14"/>
              </w:rPr>
            </w:pPr>
            <w:r>
              <w:rPr>
                <w:w w:val="99"/>
                <w:sz w:val="14"/>
              </w:rPr>
              <w:t>-</w:t>
            </w:r>
          </w:p>
        </w:tc>
        <w:tc>
          <w:tcPr>
            <w:tcW w:w="732" w:type="dxa"/>
          </w:tcPr>
          <w:p>
            <w:pPr>
              <w:pStyle w:val="TableParagraph"/>
              <w:spacing w:line="154" w:lineRule="exact" w:before="5"/>
              <w:ind w:right="76"/>
              <w:jc w:val="right"/>
              <w:rPr>
                <w:sz w:val="14"/>
              </w:rPr>
            </w:pPr>
            <w:r>
              <w:rPr>
                <w:w w:val="99"/>
                <w:sz w:val="14"/>
              </w:rPr>
              <w:t>-</w:t>
            </w:r>
          </w:p>
        </w:tc>
        <w:tc>
          <w:tcPr>
            <w:tcW w:w="818" w:type="dxa"/>
          </w:tcPr>
          <w:p>
            <w:pPr>
              <w:pStyle w:val="TableParagraph"/>
              <w:spacing w:line="154" w:lineRule="exact" w:before="5"/>
              <w:ind w:right="159"/>
              <w:jc w:val="right"/>
              <w:rPr>
                <w:sz w:val="14"/>
              </w:rPr>
            </w:pPr>
            <w:r>
              <w:rPr>
                <w:w w:val="99"/>
                <w:sz w:val="14"/>
              </w:rPr>
              <w:t>-</w:t>
            </w:r>
          </w:p>
        </w:tc>
        <w:tc>
          <w:tcPr>
            <w:tcW w:w="746" w:type="dxa"/>
          </w:tcPr>
          <w:p>
            <w:pPr>
              <w:pStyle w:val="TableParagraph"/>
              <w:spacing w:line="154" w:lineRule="exact" w:before="5"/>
              <w:ind w:right="172"/>
              <w:jc w:val="right"/>
              <w:rPr>
                <w:sz w:val="14"/>
              </w:rPr>
            </w:pPr>
            <w:r>
              <w:rPr>
                <w:w w:val="99"/>
                <w:sz w:val="14"/>
              </w:rPr>
              <w:t>-</w:t>
            </w:r>
          </w:p>
        </w:tc>
        <w:tc>
          <w:tcPr>
            <w:tcW w:w="1265" w:type="dxa"/>
          </w:tcPr>
          <w:p>
            <w:pPr>
              <w:pStyle w:val="TableParagraph"/>
              <w:spacing w:line="154" w:lineRule="exact" w:before="5"/>
              <w:ind w:left="258"/>
              <w:jc w:val="center"/>
              <w:rPr>
                <w:sz w:val="14"/>
              </w:rPr>
            </w:pPr>
            <w:r>
              <w:rPr>
                <w:w w:val="99"/>
                <w:sz w:val="14"/>
              </w:rPr>
              <w:t>-</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2" w:lineRule="exact" w:before="8"/>
              <w:ind w:left="199"/>
              <w:rPr>
                <w:sz w:val="14"/>
              </w:rPr>
            </w:pPr>
            <w:r>
              <w:rPr>
                <w:sz w:val="14"/>
              </w:rPr>
              <w:t>Fire Prevention</w:t>
            </w:r>
          </w:p>
        </w:tc>
        <w:tc>
          <w:tcPr>
            <w:tcW w:w="957" w:type="dxa"/>
          </w:tcPr>
          <w:p>
            <w:pPr>
              <w:pStyle w:val="TableParagraph"/>
              <w:spacing w:line="152" w:lineRule="exact" w:before="8"/>
              <w:ind w:right="161"/>
              <w:jc w:val="right"/>
              <w:rPr>
                <w:sz w:val="14"/>
              </w:rPr>
            </w:pPr>
            <w:r>
              <w:rPr>
                <w:sz w:val="14"/>
              </w:rPr>
              <w:t>742.1</w:t>
            </w:r>
          </w:p>
        </w:tc>
        <w:tc>
          <w:tcPr>
            <w:tcW w:w="1789" w:type="dxa"/>
          </w:tcPr>
          <w:p>
            <w:pPr>
              <w:pStyle w:val="TableParagraph"/>
              <w:spacing w:line="152" w:lineRule="exact" w:before="8"/>
              <w:ind w:left="318"/>
              <w:rPr>
                <w:sz w:val="14"/>
              </w:rPr>
            </w:pPr>
            <w:r>
              <w:rPr>
                <w:sz w:val="14"/>
              </w:rPr>
              <w:t>Kailahun District</w:t>
            </w:r>
          </w:p>
        </w:tc>
        <w:tc>
          <w:tcPr>
            <w:tcW w:w="616" w:type="dxa"/>
          </w:tcPr>
          <w:p>
            <w:pPr>
              <w:pStyle w:val="TableParagraph"/>
              <w:spacing w:line="152" w:lineRule="exact" w:before="8"/>
              <w:ind w:left="-11" w:right="122"/>
              <w:jc w:val="right"/>
              <w:rPr>
                <w:sz w:val="14"/>
              </w:rPr>
            </w:pPr>
            <w:r>
              <w:rPr>
                <w:sz w:val="14"/>
              </w:rPr>
              <w:t>422.9</w:t>
            </w:r>
          </w:p>
        </w:tc>
        <w:tc>
          <w:tcPr>
            <w:tcW w:w="758" w:type="dxa"/>
          </w:tcPr>
          <w:p>
            <w:pPr>
              <w:pStyle w:val="TableParagraph"/>
              <w:spacing w:line="152" w:lineRule="exact" w:before="8"/>
              <w:ind w:right="37"/>
              <w:jc w:val="right"/>
              <w:rPr>
                <w:sz w:val="14"/>
              </w:rPr>
            </w:pPr>
            <w:r>
              <w:rPr>
                <w:sz w:val="14"/>
              </w:rPr>
              <w:t>134.6</w:t>
            </w:r>
          </w:p>
        </w:tc>
        <w:tc>
          <w:tcPr>
            <w:tcW w:w="645" w:type="dxa"/>
          </w:tcPr>
          <w:p>
            <w:pPr>
              <w:pStyle w:val="TableParagraph"/>
              <w:spacing w:line="152" w:lineRule="exact" w:before="8"/>
              <w:ind w:right="109"/>
              <w:jc w:val="right"/>
              <w:rPr>
                <w:sz w:val="14"/>
              </w:rPr>
            </w:pPr>
            <w:r>
              <w:rPr>
                <w:sz w:val="14"/>
              </w:rPr>
              <w:t>527.2</w:t>
            </w:r>
          </w:p>
        </w:tc>
        <w:tc>
          <w:tcPr>
            <w:tcW w:w="793" w:type="dxa"/>
          </w:tcPr>
          <w:p>
            <w:pPr>
              <w:pStyle w:val="TableParagraph"/>
              <w:spacing w:line="152" w:lineRule="exact" w:before="8"/>
              <w:ind w:right="117"/>
              <w:jc w:val="right"/>
              <w:rPr>
                <w:sz w:val="14"/>
              </w:rPr>
            </w:pPr>
            <w:r>
              <w:rPr>
                <w:sz w:val="14"/>
              </w:rPr>
              <w:t>1,198.8</w:t>
            </w:r>
          </w:p>
        </w:tc>
        <w:tc>
          <w:tcPr>
            <w:tcW w:w="859" w:type="dxa"/>
          </w:tcPr>
          <w:p>
            <w:pPr>
              <w:pStyle w:val="TableParagraph"/>
              <w:spacing w:line="152" w:lineRule="exact" w:before="8"/>
              <w:ind w:left="172"/>
              <w:rPr>
                <w:sz w:val="14"/>
              </w:rPr>
            </w:pPr>
            <w:r>
              <w:rPr>
                <w:sz w:val="14"/>
              </w:rPr>
              <w:t>1,651.7</w:t>
            </w:r>
          </w:p>
        </w:tc>
        <w:tc>
          <w:tcPr>
            <w:tcW w:w="828" w:type="dxa"/>
          </w:tcPr>
          <w:p>
            <w:pPr>
              <w:pStyle w:val="TableParagraph"/>
              <w:spacing w:line="152" w:lineRule="exact" w:before="8"/>
              <w:ind w:right="156"/>
              <w:jc w:val="right"/>
              <w:rPr>
                <w:sz w:val="14"/>
              </w:rPr>
            </w:pPr>
            <w:r>
              <w:rPr>
                <w:w w:val="95"/>
                <w:sz w:val="14"/>
              </w:rPr>
              <w:t>2,850.5</w:t>
            </w:r>
          </w:p>
        </w:tc>
        <w:tc>
          <w:tcPr>
            <w:tcW w:w="753" w:type="dxa"/>
          </w:tcPr>
          <w:p>
            <w:pPr>
              <w:pStyle w:val="TableParagraph"/>
              <w:spacing w:line="152" w:lineRule="exact" w:before="8"/>
              <w:ind w:right="109"/>
              <w:jc w:val="right"/>
              <w:rPr>
                <w:sz w:val="14"/>
              </w:rPr>
            </w:pPr>
            <w:r>
              <w:rPr>
                <w:sz w:val="14"/>
              </w:rPr>
              <w:t>171.4</w:t>
            </w:r>
          </w:p>
        </w:tc>
        <w:tc>
          <w:tcPr>
            <w:tcW w:w="726" w:type="dxa"/>
          </w:tcPr>
          <w:p>
            <w:pPr>
              <w:pStyle w:val="TableParagraph"/>
              <w:spacing w:line="152" w:lineRule="exact" w:before="8"/>
              <w:ind w:right="96"/>
              <w:jc w:val="right"/>
              <w:rPr>
                <w:sz w:val="14"/>
              </w:rPr>
            </w:pPr>
            <w:r>
              <w:rPr>
                <w:sz w:val="14"/>
              </w:rPr>
              <w:t>241.5</w:t>
            </w:r>
          </w:p>
        </w:tc>
        <w:tc>
          <w:tcPr>
            <w:tcW w:w="732" w:type="dxa"/>
          </w:tcPr>
          <w:p>
            <w:pPr>
              <w:pStyle w:val="TableParagraph"/>
              <w:spacing w:line="152" w:lineRule="exact" w:before="8"/>
              <w:ind w:right="76"/>
              <w:jc w:val="right"/>
              <w:rPr>
                <w:sz w:val="14"/>
              </w:rPr>
            </w:pPr>
            <w:r>
              <w:rPr>
                <w:w w:val="99"/>
                <w:sz w:val="14"/>
              </w:rPr>
              <w:t>-</w:t>
            </w:r>
          </w:p>
        </w:tc>
        <w:tc>
          <w:tcPr>
            <w:tcW w:w="818" w:type="dxa"/>
          </w:tcPr>
          <w:p>
            <w:pPr>
              <w:pStyle w:val="TableParagraph"/>
              <w:spacing w:line="152" w:lineRule="exact" w:before="8"/>
              <w:ind w:left="268"/>
              <w:rPr>
                <w:sz w:val="14"/>
              </w:rPr>
            </w:pPr>
            <w:r>
              <w:rPr>
                <w:sz w:val="14"/>
              </w:rPr>
              <w:t>822.0</w:t>
            </w:r>
          </w:p>
        </w:tc>
        <w:tc>
          <w:tcPr>
            <w:tcW w:w="746" w:type="dxa"/>
          </w:tcPr>
          <w:p>
            <w:pPr>
              <w:pStyle w:val="TableParagraph"/>
              <w:spacing w:line="152" w:lineRule="exact" w:before="8"/>
              <w:ind w:right="186"/>
              <w:jc w:val="right"/>
              <w:rPr>
                <w:sz w:val="14"/>
              </w:rPr>
            </w:pPr>
            <w:r>
              <w:rPr>
                <w:sz w:val="14"/>
              </w:rPr>
              <w:t>161.4</w:t>
            </w:r>
          </w:p>
        </w:tc>
        <w:tc>
          <w:tcPr>
            <w:tcW w:w="1265" w:type="dxa"/>
          </w:tcPr>
          <w:p>
            <w:pPr>
              <w:pStyle w:val="TableParagraph"/>
              <w:spacing w:line="152" w:lineRule="exact" w:before="8"/>
              <w:ind w:left="244"/>
              <w:rPr>
                <w:sz w:val="14"/>
              </w:rPr>
            </w:pPr>
            <w:r>
              <w:rPr>
                <w:sz w:val="14"/>
              </w:rPr>
              <w:t>5,331 .6</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4" w:lineRule="exact" w:before="5"/>
              <w:ind w:left="199"/>
              <w:rPr>
                <w:sz w:val="14"/>
              </w:rPr>
            </w:pPr>
            <w:r>
              <w:rPr>
                <w:sz w:val="14"/>
              </w:rPr>
              <w:t>Youths and Sports</w:t>
            </w:r>
          </w:p>
        </w:tc>
        <w:tc>
          <w:tcPr>
            <w:tcW w:w="957" w:type="dxa"/>
          </w:tcPr>
          <w:p>
            <w:pPr>
              <w:pStyle w:val="TableParagraph"/>
              <w:spacing w:line="154" w:lineRule="exact" w:before="5"/>
              <w:ind w:right="154"/>
              <w:jc w:val="right"/>
              <w:rPr>
                <w:sz w:val="14"/>
              </w:rPr>
            </w:pPr>
            <w:r>
              <w:rPr>
                <w:w w:val="95"/>
                <w:sz w:val="14"/>
              </w:rPr>
              <w:t>2,194.7</w:t>
            </w:r>
          </w:p>
        </w:tc>
        <w:tc>
          <w:tcPr>
            <w:tcW w:w="1789" w:type="dxa"/>
          </w:tcPr>
          <w:p>
            <w:pPr>
              <w:pStyle w:val="TableParagraph"/>
              <w:spacing w:line="154" w:lineRule="exact" w:before="5"/>
              <w:ind w:left="318"/>
              <w:rPr>
                <w:sz w:val="14"/>
              </w:rPr>
            </w:pPr>
            <w:r>
              <w:rPr>
                <w:sz w:val="14"/>
              </w:rPr>
              <w:t>Kambia District</w:t>
            </w:r>
          </w:p>
        </w:tc>
        <w:tc>
          <w:tcPr>
            <w:tcW w:w="616" w:type="dxa"/>
          </w:tcPr>
          <w:p>
            <w:pPr>
              <w:pStyle w:val="TableParagraph"/>
              <w:spacing w:line="154" w:lineRule="exact" w:before="5"/>
              <w:ind w:left="-11" w:right="122"/>
              <w:jc w:val="right"/>
              <w:rPr>
                <w:sz w:val="14"/>
              </w:rPr>
            </w:pPr>
            <w:r>
              <w:rPr>
                <w:sz w:val="14"/>
              </w:rPr>
              <w:t>387.3</w:t>
            </w:r>
          </w:p>
        </w:tc>
        <w:tc>
          <w:tcPr>
            <w:tcW w:w="758" w:type="dxa"/>
          </w:tcPr>
          <w:p>
            <w:pPr>
              <w:pStyle w:val="TableParagraph"/>
              <w:spacing w:line="154" w:lineRule="exact" w:before="5"/>
              <w:ind w:right="37"/>
              <w:jc w:val="right"/>
              <w:rPr>
                <w:sz w:val="14"/>
              </w:rPr>
            </w:pPr>
            <w:r>
              <w:rPr>
                <w:sz w:val="14"/>
              </w:rPr>
              <w:t>107.3</w:t>
            </w:r>
          </w:p>
        </w:tc>
        <w:tc>
          <w:tcPr>
            <w:tcW w:w="645" w:type="dxa"/>
          </w:tcPr>
          <w:p>
            <w:pPr>
              <w:pStyle w:val="TableParagraph"/>
              <w:spacing w:line="154" w:lineRule="exact" w:before="5"/>
              <w:ind w:right="109"/>
              <w:jc w:val="right"/>
              <w:rPr>
                <w:sz w:val="14"/>
              </w:rPr>
            </w:pPr>
            <w:r>
              <w:rPr>
                <w:sz w:val="14"/>
              </w:rPr>
              <w:t>472.6</w:t>
            </w:r>
          </w:p>
        </w:tc>
        <w:tc>
          <w:tcPr>
            <w:tcW w:w="793" w:type="dxa"/>
          </w:tcPr>
          <w:p>
            <w:pPr>
              <w:pStyle w:val="TableParagraph"/>
              <w:spacing w:line="154" w:lineRule="exact" w:before="5"/>
              <w:ind w:right="110"/>
              <w:jc w:val="right"/>
              <w:rPr>
                <w:sz w:val="14"/>
              </w:rPr>
            </w:pPr>
            <w:r>
              <w:rPr>
                <w:sz w:val="14"/>
              </w:rPr>
              <w:t>898.7</w:t>
            </w:r>
          </w:p>
        </w:tc>
        <w:tc>
          <w:tcPr>
            <w:tcW w:w="859" w:type="dxa"/>
          </w:tcPr>
          <w:p>
            <w:pPr>
              <w:pStyle w:val="TableParagraph"/>
              <w:spacing w:line="154" w:lineRule="exact" w:before="5"/>
              <w:ind w:left="172"/>
              <w:rPr>
                <w:sz w:val="14"/>
              </w:rPr>
            </w:pPr>
            <w:r>
              <w:rPr>
                <w:sz w:val="14"/>
              </w:rPr>
              <w:t>1,359.5</w:t>
            </w:r>
          </w:p>
        </w:tc>
        <w:tc>
          <w:tcPr>
            <w:tcW w:w="828" w:type="dxa"/>
          </w:tcPr>
          <w:p>
            <w:pPr>
              <w:pStyle w:val="TableParagraph"/>
              <w:spacing w:line="154" w:lineRule="exact" w:before="5"/>
              <w:ind w:right="156"/>
              <w:jc w:val="right"/>
              <w:rPr>
                <w:sz w:val="14"/>
              </w:rPr>
            </w:pPr>
            <w:r>
              <w:rPr>
                <w:w w:val="95"/>
                <w:sz w:val="14"/>
              </w:rPr>
              <w:t>2,258.2</w:t>
            </w:r>
          </w:p>
        </w:tc>
        <w:tc>
          <w:tcPr>
            <w:tcW w:w="753" w:type="dxa"/>
          </w:tcPr>
          <w:p>
            <w:pPr>
              <w:pStyle w:val="TableParagraph"/>
              <w:spacing w:line="154" w:lineRule="exact" w:before="5"/>
              <w:ind w:right="109"/>
              <w:jc w:val="right"/>
              <w:rPr>
                <w:sz w:val="14"/>
              </w:rPr>
            </w:pPr>
            <w:r>
              <w:rPr>
                <w:sz w:val="14"/>
              </w:rPr>
              <w:t>144.1</w:t>
            </w:r>
          </w:p>
        </w:tc>
        <w:tc>
          <w:tcPr>
            <w:tcW w:w="726" w:type="dxa"/>
          </w:tcPr>
          <w:p>
            <w:pPr>
              <w:pStyle w:val="TableParagraph"/>
              <w:spacing w:line="154" w:lineRule="exact" w:before="5"/>
              <w:ind w:right="96"/>
              <w:jc w:val="right"/>
              <w:rPr>
                <w:sz w:val="14"/>
              </w:rPr>
            </w:pPr>
            <w:r>
              <w:rPr>
                <w:sz w:val="14"/>
              </w:rPr>
              <w:t>160.7</w:t>
            </w:r>
          </w:p>
        </w:tc>
        <w:tc>
          <w:tcPr>
            <w:tcW w:w="732" w:type="dxa"/>
          </w:tcPr>
          <w:p>
            <w:pPr>
              <w:pStyle w:val="TableParagraph"/>
              <w:spacing w:line="154" w:lineRule="exact" w:before="5"/>
              <w:ind w:right="88"/>
              <w:jc w:val="right"/>
              <w:rPr>
                <w:sz w:val="14"/>
              </w:rPr>
            </w:pPr>
            <w:r>
              <w:rPr>
                <w:sz w:val="14"/>
              </w:rPr>
              <w:t>61.7</w:t>
            </w:r>
          </w:p>
        </w:tc>
        <w:tc>
          <w:tcPr>
            <w:tcW w:w="818" w:type="dxa"/>
          </w:tcPr>
          <w:p>
            <w:pPr>
              <w:pStyle w:val="TableParagraph"/>
              <w:spacing w:line="154" w:lineRule="exact" w:before="5"/>
              <w:ind w:left="268"/>
              <w:rPr>
                <w:sz w:val="14"/>
              </w:rPr>
            </w:pPr>
            <w:r>
              <w:rPr>
                <w:sz w:val="14"/>
              </w:rPr>
              <w:t>578.7</w:t>
            </w:r>
          </w:p>
        </w:tc>
        <w:tc>
          <w:tcPr>
            <w:tcW w:w="746" w:type="dxa"/>
          </w:tcPr>
          <w:p>
            <w:pPr>
              <w:pStyle w:val="TableParagraph"/>
              <w:spacing w:line="154" w:lineRule="exact" w:before="5"/>
              <w:ind w:right="186"/>
              <w:jc w:val="right"/>
              <w:rPr>
                <w:sz w:val="14"/>
              </w:rPr>
            </w:pPr>
            <w:r>
              <w:rPr>
                <w:sz w:val="14"/>
              </w:rPr>
              <w:t>123.8</w:t>
            </w:r>
          </w:p>
        </w:tc>
        <w:tc>
          <w:tcPr>
            <w:tcW w:w="1265" w:type="dxa"/>
          </w:tcPr>
          <w:p>
            <w:pPr>
              <w:pStyle w:val="TableParagraph"/>
              <w:spacing w:line="154" w:lineRule="exact" w:before="5"/>
              <w:ind w:left="244"/>
              <w:rPr>
                <w:sz w:val="14"/>
              </w:rPr>
            </w:pPr>
            <w:r>
              <w:rPr>
                <w:sz w:val="14"/>
              </w:rPr>
              <w:t>4,294 .3</w:t>
            </w:r>
          </w:p>
        </w:tc>
      </w:tr>
      <w:tr>
        <w:trPr>
          <w:trHeight w:val="360" w:hRule="atLeast"/>
        </w:trPr>
        <w:tc>
          <w:tcPr>
            <w:tcW w:w="194" w:type="dxa"/>
          </w:tcPr>
          <w:p>
            <w:pPr>
              <w:pStyle w:val="TableParagraph"/>
              <w:rPr>
                <w:rFonts w:ascii="Times New Roman"/>
                <w:sz w:val="14"/>
              </w:rPr>
            </w:pPr>
          </w:p>
        </w:tc>
        <w:tc>
          <w:tcPr>
            <w:tcW w:w="2328" w:type="dxa"/>
          </w:tcPr>
          <w:p>
            <w:pPr>
              <w:pStyle w:val="TableParagraph"/>
              <w:spacing w:before="8"/>
              <w:ind w:left="199"/>
              <w:rPr>
                <w:sz w:val="14"/>
              </w:rPr>
            </w:pPr>
            <w:r>
              <w:rPr>
                <w:sz w:val="14"/>
              </w:rPr>
              <w:t>Other Recurrent</w:t>
            </w:r>
          </w:p>
          <w:p>
            <w:pPr>
              <w:pStyle w:val="TableParagraph"/>
              <w:spacing w:line="154" w:lineRule="exact" w:before="16"/>
              <w:ind w:left="199"/>
              <w:rPr>
                <w:sz w:val="14"/>
              </w:rPr>
            </w:pPr>
            <w:r>
              <w:rPr>
                <w:sz w:val="14"/>
              </w:rPr>
              <w:t>Administrative Expenses</w:t>
            </w:r>
          </w:p>
        </w:tc>
        <w:tc>
          <w:tcPr>
            <w:tcW w:w="957" w:type="dxa"/>
          </w:tcPr>
          <w:p>
            <w:pPr>
              <w:pStyle w:val="TableParagraph"/>
              <w:spacing w:before="8"/>
              <w:ind w:right="163"/>
              <w:jc w:val="right"/>
              <w:rPr>
                <w:sz w:val="14"/>
              </w:rPr>
            </w:pPr>
            <w:r>
              <w:rPr>
                <w:sz w:val="14"/>
              </w:rPr>
              <w:t>1,671 .6</w:t>
            </w:r>
          </w:p>
        </w:tc>
        <w:tc>
          <w:tcPr>
            <w:tcW w:w="1789" w:type="dxa"/>
          </w:tcPr>
          <w:p>
            <w:pPr>
              <w:pStyle w:val="TableParagraph"/>
              <w:spacing w:before="8"/>
              <w:ind w:left="318"/>
              <w:rPr>
                <w:sz w:val="14"/>
              </w:rPr>
            </w:pPr>
            <w:r>
              <w:rPr>
                <w:sz w:val="14"/>
              </w:rPr>
              <w:t>Kenema District</w:t>
            </w:r>
          </w:p>
        </w:tc>
        <w:tc>
          <w:tcPr>
            <w:tcW w:w="616" w:type="dxa"/>
          </w:tcPr>
          <w:p>
            <w:pPr>
              <w:pStyle w:val="TableParagraph"/>
              <w:spacing w:before="8"/>
              <w:ind w:left="-11" w:right="122"/>
              <w:jc w:val="right"/>
              <w:rPr>
                <w:sz w:val="14"/>
              </w:rPr>
            </w:pPr>
            <w:r>
              <w:rPr>
                <w:sz w:val="14"/>
              </w:rPr>
              <w:t>388.1</w:t>
            </w:r>
          </w:p>
        </w:tc>
        <w:tc>
          <w:tcPr>
            <w:tcW w:w="758" w:type="dxa"/>
          </w:tcPr>
          <w:p>
            <w:pPr>
              <w:pStyle w:val="TableParagraph"/>
              <w:spacing w:before="8"/>
              <w:ind w:right="126"/>
              <w:jc w:val="right"/>
              <w:rPr>
                <w:sz w:val="14"/>
              </w:rPr>
            </w:pPr>
            <w:r>
              <w:rPr>
                <w:w w:val="99"/>
                <w:sz w:val="14"/>
              </w:rPr>
              <w:t>-</w:t>
            </w:r>
          </w:p>
        </w:tc>
        <w:tc>
          <w:tcPr>
            <w:tcW w:w="645" w:type="dxa"/>
          </w:tcPr>
          <w:p>
            <w:pPr>
              <w:pStyle w:val="TableParagraph"/>
              <w:spacing w:before="8"/>
              <w:ind w:right="108"/>
              <w:jc w:val="right"/>
              <w:rPr>
                <w:sz w:val="14"/>
              </w:rPr>
            </w:pPr>
            <w:r>
              <w:rPr>
                <w:sz w:val="14"/>
              </w:rPr>
              <w:t>557.7</w:t>
            </w:r>
          </w:p>
        </w:tc>
        <w:tc>
          <w:tcPr>
            <w:tcW w:w="793" w:type="dxa"/>
          </w:tcPr>
          <w:p>
            <w:pPr>
              <w:pStyle w:val="TableParagraph"/>
              <w:spacing w:before="8"/>
              <w:ind w:right="110"/>
              <w:jc w:val="right"/>
              <w:rPr>
                <w:sz w:val="14"/>
              </w:rPr>
            </w:pPr>
            <w:r>
              <w:rPr>
                <w:sz w:val="14"/>
              </w:rPr>
              <w:t>778.4</w:t>
            </w:r>
          </w:p>
        </w:tc>
        <w:tc>
          <w:tcPr>
            <w:tcW w:w="859" w:type="dxa"/>
          </w:tcPr>
          <w:p>
            <w:pPr>
              <w:pStyle w:val="TableParagraph"/>
              <w:spacing w:before="8"/>
              <w:ind w:right="162"/>
              <w:jc w:val="right"/>
              <w:rPr>
                <w:sz w:val="14"/>
              </w:rPr>
            </w:pPr>
            <w:r>
              <w:rPr>
                <w:w w:val="99"/>
                <w:sz w:val="14"/>
              </w:rPr>
              <w:t>-</w:t>
            </w:r>
          </w:p>
        </w:tc>
        <w:tc>
          <w:tcPr>
            <w:tcW w:w="828" w:type="dxa"/>
          </w:tcPr>
          <w:p>
            <w:pPr>
              <w:pStyle w:val="TableParagraph"/>
              <w:spacing w:before="8"/>
              <w:ind w:right="148"/>
              <w:jc w:val="right"/>
              <w:rPr>
                <w:sz w:val="14"/>
              </w:rPr>
            </w:pPr>
            <w:r>
              <w:rPr>
                <w:sz w:val="14"/>
              </w:rPr>
              <w:t>778.4</w:t>
            </w:r>
          </w:p>
        </w:tc>
        <w:tc>
          <w:tcPr>
            <w:tcW w:w="753" w:type="dxa"/>
          </w:tcPr>
          <w:p>
            <w:pPr>
              <w:pStyle w:val="TableParagraph"/>
              <w:spacing w:before="8"/>
              <w:ind w:right="109"/>
              <w:jc w:val="right"/>
              <w:rPr>
                <w:sz w:val="14"/>
              </w:rPr>
            </w:pPr>
            <w:r>
              <w:rPr>
                <w:sz w:val="14"/>
              </w:rPr>
              <w:t>137.6</w:t>
            </w:r>
          </w:p>
        </w:tc>
        <w:tc>
          <w:tcPr>
            <w:tcW w:w="726" w:type="dxa"/>
          </w:tcPr>
          <w:p>
            <w:pPr>
              <w:pStyle w:val="TableParagraph"/>
              <w:spacing w:before="8"/>
              <w:ind w:right="96"/>
              <w:jc w:val="right"/>
              <w:rPr>
                <w:sz w:val="14"/>
              </w:rPr>
            </w:pPr>
            <w:r>
              <w:rPr>
                <w:sz w:val="14"/>
              </w:rPr>
              <w:t>189.4</w:t>
            </w:r>
          </w:p>
        </w:tc>
        <w:tc>
          <w:tcPr>
            <w:tcW w:w="732" w:type="dxa"/>
          </w:tcPr>
          <w:p>
            <w:pPr>
              <w:pStyle w:val="TableParagraph"/>
              <w:spacing w:before="8"/>
              <w:ind w:right="76"/>
              <w:jc w:val="right"/>
              <w:rPr>
                <w:sz w:val="14"/>
              </w:rPr>
            </w:pPr>
            <w:r>
              <w:rPr>
                <w:w w:val="99"/>
                <w:sz w:val="14"/>
              </w:rPr>
              <w:t>-</w:t>
            </w:r>
          </w:p>
        </w:tc>
        <w:tc>
          <w:tcPr>
            <w:tcW w:w="818" w:type="dxa"/>
          </w:tcPr>
          <w:p>
            <w:pPr>
              <w:pStyle w:val="TableParagraph"/>
              <w:spacing w:before="8"/>
              <w:ind w:left="268"/>
              <w:rPr>
                <w:sz w:val="14"/>
              </w:rPr>
            </w:pPr>
            <w:r>
              <w:rPr>
                <w:sz w:val="14"/>
              </w:rPr>
              <w:t>698.1</w:t>
            </w:r>
          </w:p>
        </w:tc>
        <w:tc>
          <w:tcPr>
            <w:tcW w:w="746" w:type="dxa"/>
          </w:tcPr>
          <w:p>
            <w:pPr>
              <w:pStyle w:val="TableParagraph"/>
              <w:spacing w:before="8"/>
              <w:ind w:right="186"/>
              <w:jc w:val="right"/>
              <w:rPr>
                <w:sz w:val="14"/>
              </w:rPr>
            </w:pPr>
            <w:r>
              <w:rPr>
                <w:sz w:val="14"/>
              </w:rPr>
              <w:t>134.5</w:t>
            </w:r>
          </w:p>
        </w:tc>
        <w:tc>
          <w:tcPr>
            <w:tcW w:w="1265" w:type="dxa"/>
          </w:tcPr>
          <w:p>
            <w:pPr>
              <w:pStyle w:val="TableParagraph"/>
              <w:spacing w:before="8"/>
              <w:ind w:left="244"/>
              <w:rPr>
                <w:sz w:val="14"/>
              </w:rPr>
            </w:pPr>
            <w:r>
              <w:rPr>
                <w:sz w:val="14"/>
              </w:rPr>
              <w:t>2,883 .7</w:t>
            </w:r>
          </w:p>
        </w:tc>
      </w:tr>
      <w:tr>
        <w:trPr>
          <w:trHeight w:val="180" w:hRule="atLeast"/>
        </w:trPr>
        <w:tc>
          <w:tcPr>
            <w:tcW w:w="194" w:type="dxa"/>
          </w:tcPr>
          <w:p>
            <w:pPr>
              <w:pStyle w:val="TableParagraph"/>
              <w:spacing w:line="152" w:lineRule="exact" w:before="8"/>
              <w:ind w:left="25"/>
              <w:rPr>
                <w:b/>
                <w:sz w:val="14"/>
              </w:rPr>
            </w:pPr>
            <w:r>
              <w:rPr>
                <w:b/>
                <w:w w:val="99"/>
                <w:sz w:val="14"/>
              </w:rPr>
              <w:t>5</w:t>
            </w:r>
          </w:p>
        </w:tc>
        <w:tc>
          <w:tcPr>
            <w:tcW w:w="2328" w:type="dxa"/>
          </w:tcPr>
          <w:p>
            <w:pPr>
              <w:pStyle w:val="TableParagraph"/>
              <w:spacing w:line="152" w:lineRule="exact" w:before="8"/>
              <w:ind w:left="32"/>
              <w:rPr>
                <w:b/>
                <w:sz w:val="14"/>
              </w:rPr>
            </w:pPr>
            <w:r>
              <w:rPr>
                <w:b/>
                <w:sz w:val="14"/>
              </w:rPr>
              <w:t>Fisheries and Marine Resources</w:t>
            </w:r>
          </w:p>
        </w:tc>
        <w:tc>
          <w:tcPr>
            <w:tcW w:w="957" w:type="dxa"/>
          </w:tcPr>
          <w:p>
            <w:pPr>
              <w:pStyle w:val="TableParagraph"/>
              <w:spacing w:line="152" w:lineRule="exact" w:before="8"/>
              <w:ind w:right="169"/>
              <w:jc w:val="right"/>
              <w:rPr>
                <w:b/>
                <w:sz w:val="14"/>
              </w:rPr>
            </w:pPr>
            <w:r>
              <w:rPr>
                <w:b/>
                <w:sz w:val="14"/>
              </w:rPr>
              <w:t>613.1</w:t>
            </w:r>
          </w:p>
        </w:tc>
        <w:tc>
          <w:tcPr>
            <w:tcW w:w="1789" w:type="dxa"/>
          </w:tcPr>
          <w:p>
            <w:pPr>
              <w:pStyle w:val="TableParagraph"/>
              <w:spacing w:line="152" w:lineRule="exact" w:before="8"/>
              <w:ind w:left="318"/>
              <w:rPr>
                <w:sz w:val="14"/>
              </w:rPr>
            </w:pPr>
            <w:r>
              <w:rPr>
                <w:sz w:val="14"/>
              </w:rPr>
              <w:t>Kenema City</w:t>
            </w:r>
          </w:p>
        </w:tc>
        <w:tc>
          <w:tcPr>
            <w:tcW w:w="616" w:type="dxa"/>
          </w:tcPr>
          <w:p>
            <w:pPr>
              <w:pStyle w:val="TableParagraph"/>
              <w:spacing w:line="152" w:lineRule="exact" w:before="8"/>
              <w:ind w:left="-11" w:right="127"/>
              <w:jc w:val="right"/>
              <w:rPr>
                <w:sz w:val="14"/>
              </w:rPr>
            </w:pPr>
            <w:r>
              <w:rPr>
                <w:sz w:val="14"/>
              </w:rPr>
              <w:t>299.8</w:t>
            </w:r>
          </w:p>
        </w:tc>
        <w:tc>
          <w:tcPr>
            <w:tcW w:w="758" w:type="dxa"/>
          </w:tcPr>
          <w:p>
            <w:pPr>
              <w:pStyle w:val="TableParagraph"/>
              <w:spacing w:line="152" w:lineRule="exact" w:before="8"/>
              <w:ind w:right="37"/>
              <w:jc w:val="right"/>
              <w:rPr>
                <w:sz w:val="14"/>
              </w:rPr>
            </w:pPr>
            <w:r>
              <w:rPr>
                <w:sz w:val="14"/>
              </w:rPr>
              <w:t>115.0</w:t>
            </w:r>
          </w:p>
        </w:tc>
        <w:tc>
          <w:tcPr>
            <w:tcW w:w="645" w:type="dxa"/>
          </w:tcPr>
          <w:p>
            <w:pPr>
              <w:pStyle w:val="TableParagraph"/>
              <w:spacing w:line="152" w:lineRule="exact" w:before="8"/>
              <w:ind w:right="114"/>
              <w:jc w:val="right"/>
              <w:rPr>
                <w:sz w:val="14"/>
              </w:rPr>
            </w:pPr>
            <w:r>
              <w:rPr>
                <w:sz w:val="14"/>
              </w:rPr>
              <w:t>168.3</w:t>
            </w:r>
          </w:p>
        </w:tc>
        <w:tc>
          <w:tcPr>
            <w:tcW w:w="793" w:type="dxa"/>
          </w:tcPr>
          <w:p>
            <w:pPr>
              <w:pStyle w:val="TableParagraph"/>
              <w:spacing w:line="152" w:lineRule="exact" w:before="8"/>
              <w:ind w:right="110"/>
              <w:jc w:val="right"/>
              <w:rPr>
                <w:sz w:val="14"/>
              </w:rPr>
            </w:pPr>
            <w:r>
              <w:rPr>
                <w:sz w:val="14"/>
              </w:rPr>
              <w:t>491.9</w:t>
            </w:r>
          </w:p>
        </w:tc>
        <w:tc>
          <w:tcPr>
            <w:tcW w:w="859" w:type="dxa"/>
          </w:tcPr>
          <w:p>
            <w:pPr>
              <w:pStyle w:val="TableParagraph"/>
              <w:spacing w:line="152" w:lineRule="exact" w:before="8"/>
              <w:ind w:right="157"/>
              <w:jc w:val="right"/>
              <w:rPr>
                <w:sz w:val="14"/>
              </w:rPr>
            </w:pPr>
            <w:r>
              <w:rPr>
                <w:w w:val="99"/>
                <w:sz w:val="14"/>
              </w:rPr>
              <w:t>-</w:t>
            </w:r>
          </w:p>
        </w:tc>
        <w:tc>
          <w:tcPr>
            <w:tcW w:w="828" w:type="dxa"/>
          </w:tcPr>
          <w:p>
            <w:pPr>
              <w:pStyle w:val="TableParagraph"/>
              <w:spacing w:line="152" w:lineRule="exact" w:before="8"/>
              <w:ind w:right="148"/>
              <w:jc w:val="right"/>
              <w:rPr>
                <w:sz w:val="14"/>
              </w:rPr>
            </w:pPr>
            <w:r>
              <w:rPr>
                <w:sz w:val="14"/>
              </w:rPr>
              <w:t>491.9</w:t>
            </w:r>
          </w:p>
        </w:tc>
        <w:tc>
          <w:tcPr>
            <w:tcW w:w="753" w:type="dxa"/>
          </w:tcPr>
          <w:p>
            <w:pPr>
              <w:pStyle w:val="TableParagraph"/>
              <w:spacing w:line="152" w:lineRule="exact" w:before="8"/>
              <w:ind w:right="93"/>
              <w:jc w:val="right"/>
              <w:rPr>
                <w:sz w:val="14"/>
              </w:rPr>
            </w:pPr>
            <w:r>
              <w:rPr>
                <w:w w:val="99"/>
                <w:sz w:val="14"/>
              </w:rPr>
              <w:t>-</w:t>
            </w:r>
          </w:p>
        </w:tc>
        <w:tc>
          <w:tcPr>
            <w:tcW w:w="726" w:type="dxa"/>
          </w:tcPr>
          <w:p>
            <w:pPr>
              <w:pStyle w:val="TableParagraph"/>
              <w:spacing w:line="152" w:lineRule="exact" w:before="8"/>
              <w:ind w:right="96"/>
              <w:jc w:val="right"/>
              <w:rPr>
                <w:sz w:val="14"/>
              </w:rPr>
            </w:pPr>
            <w:r>
              <w:rPr>
                <w:sz w:val="14"/>
              </w:rPr>
              <w:t>104.1</w:t>
            </w:r>
          </w:p>
        </w:tc>
        <w:tc>
          <w:tcPr>
            <w:tcW w:w="732" w:type="dxa"/>
          </w:tcPr>
          <w:p>
            <w:pPr>
              <w:pStyle w:val="TableParagraph"/>
              <w:spacing w:line="152" w:lineRule="exact" w:before="8"/>
              <w:ind w:right="76"/>
              <w:jc w:val="right"/>
              <w:rPr>
                <w:sz w:val="14"/>
              </w:rPr>
            </w:pPr>
            <w:r>
              <w:rPr>
                <w:w w:val="99"/>
                <w:sz w:val="14"/>
              </w:rPr>
              <w:t>-</w:t>
            </w:r>
          </w:p>
        </w:tc>
        <w:tc>
          <w:tcPr>
            <w:tcW w:w="818" w:type="dxa"/>
          </w:tcPr>
          <w:p>
            <w:pPr>
              <w:pStyle w:val="TableParagraph"/>
              <w:spacing w:line="152" w:lineRule="exact" w:before="8"/>
              <w:ind w:left="268"/>
              <w:rPr>
                <w:sz w:val="14"/>
              </w:rPr>
            </w:pPr>
            <w:r>
              <w:rPr>
                <w:sz w:val="14"/>
              </w:rPr>
              <w:t>459.2</w:t>
            </w:r>
          </w:p>
        </w:tc>
        <w:tc>
          <w:tcPr>
            <w:tcW w:w="746" w:type="dxa"/>
          </w:tcPr>
          <w:p>
            <w:pPr>
              <w:pStyle w:val="TableParagraph"/>
              <w:spacing w:line="152" w:lineRule="exact" w:before="8"/>
              <w:ind w:right="176"/>
              <w:jc w:val="right"/>
              <w:rPr>
                <w:sz w:val="14"/>
              </w:rPr>
            </w:pPr>
            <w:r>
              <w:rPr>
                <w:sz w:val="14"/>
              </w:rPr>
              <w:t>96.9</w:t>
            </w:r>
          </w:p>
        </w:tc>
        <w:tc>
          <w:tcPr>
            <w:tcW w:w="1265" w:type="dxa"/>
          </w:tcPr>
          <w:p>
            <w:pPr>
              <w:pStyle w:val="TableParagraph"/>
              <w:spacing w:line="152" w:lineRule="exact" w:before="8"/>
              <w:ind w:left="244"/>
              <w:rPr>
                <w:sz w:val="14"/>
              </w:rPr>
            </w:pPr>
            <w:r>
              <w:rPr>
                <w:sz w:val="14"/>
              </w:rPr>
              <w:t>1,735 .1</w:t>
            </w:r>
          </w:p>
        </w:tc>
      </w:tr>
      <w:tr>
        <w:trPr>
          <w:trHeight w:val="180" w:hRule="atLeast"/>
        </w:trPr>
        <w:tc>
          <w:tcPr>
            <w:tcW w:w="194" w:type="dxa"/>
          </w:tcPr>
          <w:p>
            <w:pPr>
              <w:pStyle w:val="TableParagraph"/>
              <w:spacing w:line="154" w:lineRule="exact" w:before="5"/>
              <w:ind w:left="25"/>
              <w:rPr>
                <w:b/>
                <w:sz w:val="14"/>
              </w:rPr>
            </w:pPr>
            <w:r>
              <w:rPr>
                <w:b/>
                <w:w w:val="99"/>
                <w:sz w:val="14"/>
              </w:rPr>
              <w:t>6</w:t>
            </w:r>
          </w:p>
        </w:tc>
        <w:tc>
          <w:tcPr>
            <w:tcW w:w="2328" w:type="dxa"/>
          </w:tcPr>
          <w:p>
            <w:pPr>
              <w:pStyle w:val="TableParagraph"/>
              <w:spacing w:line="154" w:lineRule="exact" w:before="5"/>
              <w:ind w:left="31"/>
              <w:rPr>
                <w:b/>
                <w:sz w:val="14"/>
              </w:rPr>
            </w:pPr>
            <w:r>
              <w:rPr>
                <w:b/>
                <w:sz w:val="14"/>
              </w:rPr>
              <w:t>Social Welfare, Gender and</w:t>
            </w:r>
          </w:p>
        </w:tc>
        <w:tc>
          <w:tcPr>
            <w:tcW w:w="957" w:type="dxa"/>
          </w:tcPr>
          <w:p>
            <w:pPr>
              <w:pStyle w:val="TableParagraph"/>
              <w:spacing w:line="154" w:lineRule="exact" w:before="5"/>
              <w:ind w:right="186"/>
              <w:jc w:val="right"/>
              <w:rPr>
                <w:b/>
                <w:sz w:val="14"/>
              </w:rPr>
            </w:pPr>
            <w:r>
              <w:rPr>
                <w:b/>
                <w:sz w:val="14"/>
              </w:rPr>
              <w:t>3,266.4</w:t>
            </w:r>
          </w:p>
        </w:tc>
        <w:tc>
          <w:tcPr>
            <w:tcW w:w="1789" w:type="dxa"/>
          </w:tcPr>
          <w:p>
            <w:pPr>
              <w:pStyle w:val="TableParagraph"/>
              <w:spacing w:line="154" w:lineRule="exact" w:before="5"/>
              <w:ind w:left="318"/>
              <w:rPr>
                <w:sz w:val="14"/>
              </w:rPr>
            </w:pPr>
            <w:r>
              <w:rPr>
                <w:sz w:val="14"/>
              </w:rPr>
              <w:t>Koinadugu</w:t>
            </w:r>
          </w:p>
        </w:tc>
        <w:tc>
          <w:tcPr>
            <w:tcW w:w="616" w:type="dxa"/>
          </w:tcPr>
          <w:p>
            <w:pPr>
              <w:pStyle w:val="TableParagraph"/>
              <w:spacing w:line="154" w:lineRule="exact" w:before="5"/>
              <w:ind w:left="-11" w:right="127"/>
              <w:jc w:val="right"/>
              <w:rPr>
                <w:sz w:val="14"/>
              </w:rPr>
            </w:pPr>
            <w:r>
              <w:rPr>
                <w:sz w:val="14"/>
              </w:rPr>
              <w:t>278.5</w:t>
            </w:r>
          </w:p>
        </w:tc>
        <w:tc>
          <w:tcPr>
            <w:tcW w:w="758" w:type="dxa"/>
          </w:tcPr>
          <w:p>
            <w:pPr>
              <w:pStyle w:val="TableParagraph"/>
              <w:spacing w:line="154" w:lineRule="exact" w:before="5"/>
              <w:ind w:right="32"/>
              <w:jc w:val="right"/>
              <w:rPr>
                <w:sz w:val="14"/>
              </w:rPr>
            </w:pPr>
            <w:r>
              <w:rPr>
                <w:sz w:val="14"/>
              </w:rPr>
              <w:t>75.7</w:t>
            </w:r>
          </w:p>
        </w:tc>
        <w:tc>
          <w:tcPr>
            <w:tcW w:w="645" w:type="dxa"/>
          </w:tcPr>
          <w:p>
            <w:pPr>
              <w:pStyle w:val="TableParagraph"/>
              <w:spacing w:line="154" w:lineRule="exact" w:before="5"/>
              <w:ind w:right="113"/>
              <w:jc w:val="right"/>
              <w:rPr>
                <w:sz w:val="14"/>
              </w:rPr>
            </w:pPr>
            <w:r>
              <w:rPr>
                <w:sz w:val="14"/>
              </w:rPr>
              <w:t>411.6</w:t>
            </w:r>
          </w:p>
        </w:tc>
        <w:tc>
          <w:tcPr>
            <w:tcW w:w="793" w:type="dxa"/>
          </w:tcPr>
          <w:p>
            <w:pPr>
              <w:pStyle w:val="TableParagraph"/>
              <w:spacing w:line="154" w:lineRule="exact" w:before="5"/>
              <w:ind w:right="109"/>
              <w:jc w:val="right"/>
              <w:rPr>
                <w:sz w:val="14"/>
              </w:rPr>
            </w:pPr>
            <w:r>
              <w:rPr>
                <w:sz w:val="14"/>
              </w:rPr>
              <w:t>664.0</w:t>
            </w:r>
          </w:p>
        </w:tc>
        <w:tc>
          <w:tcPr>
            <w:tcW w:w="859" w:type="dxa"/>
          </w:tcPr>
          <w:p>
            <w:pPr>
              <w:pStyle w:val="TableParagraph"/>
              <w:spacing w:line="154" w:lineRule="exact" w:before="5"/>
              <w:ind w:left="177"/>
              <w:rPr>
                <w:sz w:val="14"/>
              </w:rPr>
            </w:pPr>
            <w:r>
              <w:rPr>
                <w:sz w:val="14"/>
              </w:rPr>
              <w:t>1,375.6</w:t>
            </w:r>
          </w:p>
        </w:tc>
        <w:tc>
          <w:tcPr>
            <w:tcW w:w="828" w:type="dxa"/>
          </w:tcPr>
          <w:p>
            <w:pPr>
              <w:pStyle w:val="TableParagraph"/>
              <w:spacing w:line="154" w:lineRule="exact" w:before="5"/>
              <w:ind w:right="156"/>
              <w:jc w:val="right"/>
              <w:rPr>
                <w:sz w:val="14"/>
              </w:rPr>
            </w:pPr>
            <w:r>
              <w:rPr>
                <w:w w:val="95"/>
                <w:sz w:val="14"/>
              </w:rPr>
              <w:t>2,039.7</w:t>
            </w:r>
          </w:p>
        </w:tc>
        <w:tc>
          <w:tcPr>
            <w:tcW w:w="753" w:type="dxa"/>
          </w:tcPr>
          <w:p>
            <w:pPr>
              <w:pStyle w:val="TableParagraph"/>
              <w:spacing w:line="154" w:lineRule="exact" w:before="5"/>
              <w:ind w:right="109"/>
              <w:jc w:val="right"/>
              <w:rPr>
                <w:sz w:val="14"/>
              </w:rPr>
            </w:pPr>
            <w:r>
              <w:rPr>
                <w:sz w:val="14"/>
              </w:rPr>
              <w:t>139.8</w:t>
            </w:r>
          </w:p>
        </w:tc>
        <w:tc>
          <w:tcPr>
            <w:tcW w:w="726" w:type="dxa"/>
          </w:tcPr>
          <w:p>
            <w:pPr>
              <w:pStyle w:val="TableParagraph"/>
              <w:spacing w:line="154" w:lineRule="exact" w:before="5"/>
              <w:ind w:right="96"/>
              <w:jc w:val="right"/>
              <w:rPr>
                <w:sz w:val="14"/>
              </w:rPr>
            </w:pPr>
            <w:r>
              <w:rPr>
                <w:sz w:val="14"/>
              </w:rPr>
              <w:t>110.8</w:t>
            </w:r>
          </w:p>
        </w:tc>
        <w:tc>
          <w:tcPr>
            <w:tcW w:w="732" w:type="dxa"/>
          </w:tcPr>
          <w:p>
            <w:pPr>
              <w:pStyle w:val="TableParagraph"/>
              <w:spacing w:line="154" w:lineRule="exact" w:before="5"/>
              <w:ind w:right="76"/>
              <w:jc w:val="right"/>
              <w:rPr>
                <w:sz w:val="14"/>
              </w:rPr>
            </w:pPr>
            <w:r>
              <w:rPr>
                <w:w w:val="99"/>
                <w:sz w:val="14"/>
              </w:rPr>
              <w:t>-</w:t>
            </w:r>
          </w:p>
        </w:tc>
        <w:tc>
          <w:tcPr>
            <w:tcW w:w="818" w:type="dxa"/>
          </w:tcPr>
          <w:p>
            <w:pPr>
              <w:pStyle w:val="TableParagraph"/>
              <w:spacing w:line="154" w:lineRule="exact" w:before="5"/>
              <w:ind w:left="268"/>
              <w:rPr>
                <w:sz w:val="14"/>
              </w:rPr>
            </w:pPr>
            <w:r>
              <w:rPr>
                <w:sz w:val="14"/>
              </w:rPr>
              <w:t>398.1</w:t>
            </w:r>
          </w:p>
        </w:tc>
        <w:tc>
          <w:tcPr>
            <w:tcW w:w="746" w:type="dxa"/>
          </w:tcPr>
          <w:p>
            <w:pPr>
              <w:pStyle w:val="TableParagraph"/>
              <w:spacing w:line="154" w:lineRule="exact" w:before="5"/>
              <w:ind w:left="30"/>
              <w:rPr>
                <w:sz w:val="14"/>
              </w:rPr>
            </w:pPr>
            <w:r>
              <w:rPr>
                <w:sz w:val="14"/>
              </w:rPr>
              <w:t>3,551 .1</w:t>
            </w:r>
          </w:p>
        </w:tc>
        <w:tc>
          <w:tcPr>
            <w:tcW w:w="1265" w:type="dxa"/>
          </w:tcPr>
          <w:p>
            <w:pPr>
              <w:pStyle w:val="TableParagraph"/>
              <w:spacing w:line="154" w:lineRule="exact" w:before="5"/>
              <w:ind w:left="244"/>
              <w:rPr>
                <w:sz w:val="14"/>
              </w:rPr>
            </w:pPr>
            <w:r>
              <w:rPr>
                <w:sz w:val="14"/>
              </w:rPr>
              <w:t>3,551 .1</w:t>
            </w:r>
          </w:p>
        </w:tc>
      </w:tr>
      <w:tr>
        <w:trPr>
          <w:trHeight w:val="360" w:hRule="atLeast"/>
        </w:trPr>
        <w:tc>
          <w:tcPr>
            <w:tcW w:w="194" w:type="dxa"/>
          </w:tcPr>
          <w:p>
            <w:pPr>
              <w:pStyle w:val="TableParagraph"/>
              <w:spacing w:before="1"/>
              <w:rPr>
                <w:b/>
                <w:sz w:val="16"/>
              </w:rPr>
            </w:pPr>
          </w:p>
          <w:p>
            <w:pPr>
              <w:pStyle w:val="TableParagraph"/>
              <w:spacing w:line="154" w:lineRule="exact"/>
              <w:ind w:left="25"/>
              <w:rPr>
                <w:b/>
                <w:sz w:val="14"/>
              </w:rPr>
            </w:pPr>
            <w:r>
              <w:rPr>
                <w:b/>
                <w:w w:val="99"/>
                <w:sz w:val="14"/>
              </w:rPr>
              <w:t>7</w:t>
            </w:r>
          </w:p>
        </w:tc>
        <w:tc>
          <w:tcPr>
            <w:tcW w:w="2328" w:type="dxa"/>
          </w:tcPr>
          <w:p>
            <w:pPr>
              <w:pStyle w:val="TableParagraph"/>
              <w:spacing w:before="8"/>
              <w:ind w:left="31"/>
              <w:rPr>
                <w:b/>
                <w:sz w:val="14"/>
              </w:rPr>
            </w:pPr>
            <w:r>
              <w:rPr>
                <w:b/>
                <w:sz w:val="14"/>
              </w:rPr>
              <w:t>Children’s Affairs</w:t>
            </w:r>
          </w:p>
          <w:p>
            <w:pPr>
              <w:pStyle w:val="TableParagraph"/>
              <w:spacing w:line="154" w:lineRule="exact" w:before="16"/>
              <w:ind w:left="32"/>
              <w:rPr>
                <w:b/>
                <w:sz w:val="14"/>
              </w:rPr>
            </w:pPr>
            <w:r>
              <w:rPr>
                <w:b/>
                <w:sz w:val="14"/>
              </w:rPr>
              <w:t>Health Care Services</w:t>
            </w:r>
          </w:p>
        </w:tc>
        <w:tc>
          <w:tcPr>
            <w:tcW w:w="957" w:type="dxa"/>
          </w:tcPr>
          <w:p>
            <w:pPr>
              <w:pStyle w:val="TableParagraph"/>
              <w:spacing w:before="1"/>
              <w:rPr>
                <w:b/>
                <w:sz w:val="16"/>
              </w:rPr>
            </w:pPr>
          </w:p>
          <w:p>
            <w:pPr>
              <w:pStyle w:val="TableParagraph"/>
              <w:spacing w:line="154" w:lineRule="exact"/>
              <w:ind w:left="174"/>
              <w:rPr>
                <w:b/>
                <w:sz w:val="14"/>
              </w:rPr>
            </w:pPr>
            <w:r>
              <w:rPr>
                <w:b/>
                <w:sz w:val="14"/>
              </w:rPr>
              <w:t>35,229.2</w:t>
            </w:r>
          </w:p>
        </w:tc>
        <w:tc>
          <w:tcPr>
            <w:tcW w:w="1789" w:type="dxa"/>
          </w:tcPr>
          <w:p>
            <w:pPr>
              <w:pStyle w:val="TableParagraph"/>
              <w:spacing w:before="8"/>
              <w:ind w:left="318"/>
              <w:rPr>
                <w:sz w:val="14"/>
              </w:rPr>
            </w:pPr>
            <w:r>
              <w:rPr>
                <w:sz w:val="14"/>
              </w:rPr>
              <w:t>District</w:t>
            </w:r>
          </w:p>
          <w:p>
            <w:pPr>
              <w:pStyle w:val="TableParagraph"/>
              <w:spacing w:line="154" w:lineRule="exact" w:before="16"/>
              <w:ind w:left="318"/>
              <w:rPr>
                <w:sz w:val="14"/>
              </w:rPr>
            </w:pPr>
            <w:r>
              <w:rPr>
                <w:sz w:val="14"/>
              </w:rPr>
              <w:t>Kono District</w:t>
            </w:r>
          </w:p>
        </w:tc>
        <w:tc>
          <w:tcPr>
            <w:tcW w:w="616" w:type="dxa"/>
          </w:tcPr>
          <w:p>
            <w:pPr>
              <w:pStyle w:val="TableParagraph"/>
              <w:spacing w:before="1"/>
              <w:rPr>
                <w:b/>
                <w:sz w:val="16"/>
              </w:rPr>
            </w:pPr>
          </w:p>
          <w:p>
            <w:pPr>
              <w:pStyle w:val="TableParagraph"/>
              <w:spacing w:line="154" w:lineRule="exact"/>
              <w:ind w:left="-11" w:right="122"/>
              <w:jc w:val="right"/>
              <w:rPr>
                <w:sz w:val="14"/>
              </w:rPr>
            </w:pPr>
            <w:r>
              <w:rPr>
                <w:sz w:val="14"/>
              </w:rPr>
              <w:t>375.1</w:t>
            </w:r>
          </w:p>
        </w:tc>
        <w:tc>
          <w:tcPr>
            <w:tcW w:w="758" w:type="dxa"/>
          </w:tcPr>
          <w:p>
            <w:pPr>
              <w:pStyle w:val="TableParagraph"/>
              <w:spacing w:before="1"/>
              <w:rPr>
                <w:b/>
                <w:sz w:val="16"/>
              </w:rPr>
            </w:pPr>
          </w:p>
          <w:p>
            <w:pPr>
              <w:pStyle w:val="TableParagraph"/>
              <w:spacing w:line="154" w:lineRule="exact"/>
              <w:ind w:right="126"/>
              <w:jc w:val="right"/>
              <w:rPr>
                <w:sz w:val="14"/>
              </w:rPr>
            </w:pPr>
            <w:r>
              <w:rPr>
                <w:w w:val="99"/>
                <w:sz w:val="14"/>
              </w:rPr>
              <w:t>-</w:t>
            </w:r>
          </w:p>
        </w:tc>
        <w:tc>
          <w:tcPr>
            <w:tcW w:w="645" w:type="dxa"/>
          </w:tcPr>
          <w:p>
            <w:pPr>
              <w:pStyle w:val="TableParagraph"/>
              <w:spacing w:before="1"/>
              <w:rPr>
                <w:b/>
                <w:sz w:val="16"/>
              </w:rPr>
            </w:pPr>
          </w:p>
          <w:p>
            <w:pPr>
              <w:pStyle w:val="TableParagraph"/>
              <w:spacing w:line="154" w:lineRule="exact"/>
              <w:ind w:right="113"/>
              <w:jc w:val="right"/>
              <w:rPr>
                <w:sz w:val="14"/>
              </w:rPr>
            </w:pPr>
            <w:r>
              <w:rPr>
                <w:sz w:val="14"/>
              </w:rPr>
              <w:t>409.9</w:t>
            </w:r>
          </w:p>
        </w:tc>
        <w:tc>
          <w:tcPr>
            <w:tcW w:w="793" w:type="dxa"/>
          </w:tcPr>
          <w:p>
            <w:pPr>
              <w:pStyle w:val="TableParagraph"/>
              <w:spacing w:before="1"/>
              <w:rPr>
                <w:b/>
                <w:sz w:val="16"/>
              </w:rPr>
            </w:pPr>
          </w:p>
          <w:p>
            <w:pPr>
              <w:pStyle w:val="TableParagraph"/>
              <w:spacing w:line="154" w:lineRule="exact"/>
              <w:ind w:right="109"/>
              <w:jc w:val="right"/>
              <w:rPr>
                <w:sz w:val="14"/>
              </w:rPr>
            </w:pPr>
            <w:r>
              <w:rPr>
                <w:sz w:val="14"/>
              </w:rPr>
              <w:t>952.8</w:t>
            </w:r>
          </w:p>
        </w:tc>
        <w:tc>
          <w:tcPr>
            <w:tcW w:w="859" w:type="dxa"/>
          </w:tcPr>
          <w:p>
            <w:pPr>
              <w:pStyle w:val="TableParagraph"/>
              <w:spacing w:before="1"/>
              <w:rPr>
                <w:b/>
                <w:sz w:val="16"/>
              </w:rPr>
            </w:pPr>
          </w:p>
          <w:p>
            <w:pPr>
              <w:pStyle w:val="TableParagraph"/>
              <w:spacing w:line="154" w:lineRule="exact"/>
              <w:ind w:right="161"/>
              <w:jc w:val="right"/>
              <w:rPr>
                <w:sz w:val="14"/>
              </w:rPr>
            </w:pPr>
            <w:r>
              <w:rPr>
                <w:w w:val="99"/>
                <w:sz w:val="14"/>
              </w:rPr>
              <w:t>-</w:t>
            </w:r>
          </w:p>
        </w:tc>
        <w:tc>
          <w:tcPr>
            <w:tcW w:w="828" w:type="dxa"/>
          </w:tcPr>
          <w:p>
            <w:pPr>
              <w:pStyle w:val="TableParagraph"/>
              <w:spacing w:before="1"/>
              <w:rPr>
                <w:b/>
                <w:sz w:val="16"/>
              </w:rPr>
            </w:pPr>
          </w:p>
          <w:p>
            <w:pPr>
              <w:pStyle w:val="TableParagraph"/>
              <w:spacing w:line="154" w:lineRule="exact"/>
              <w:ind w:right="148"/>
              <w:jc w:val="right"/>
              <w:rPr>
                <w:sz w:val="14"/>
              </w:rPr>
            </w:pPr>
            <w:r>
              <w:rPr>
                <w:sz w:val="14"/>
              </w:rPr>
              <w:t>952.8</w:t>
            </w:r>
          </w:p>
        </w:tc>
        <w:tc>
          <w:tcPr>
            <w:tcW w:w="753" w:type="dxa"/>
          </w:tcPr>
          <w:p>
            <w:pPr>
              <w:pStyle w:val="TableParagraph"/>
              <w:spacing w:before="1"/>
              <w:rPr>
                <w:b/>
                <w:sz w:val="16"/>
              </w:rPr>
            </w:pPr>
          </w:p>
          <w:p>
            <w:pPr>
              <w:pStyle w:val="TableParagraph"/>
              <w:spacing w:line="154" w:lineRule="exact"/>
              <w:ind w:right="109"/>
              <w:jc w:val="right"/>
              <w:rPr>
                <w:sz w:val="14"/>
              </w:rPr>
            </w:pPr>
            <w:r>
              <w:rPr>
                <w:sz w:val="14"/>
              </w:rPr>
              <w:t>156.7</w:t>
            </w:r>
          </w:p>
        </w:tc>
        <w:tc>
          <w:tcPr>
            <w:tcW w:w="726" w:type="dxa"/>
          </w:tcPr>
          <w:p>
            <w:pPr>
              <w:pStyle w:val="TableParagraph"/>
              <w:spacing w:before="1"/>
              <w:rPr>
                <w:b/>
                <w:sz w:val="16"/>
              </w:rPr>
            </w:pPr>
          </w:p>
          <w:p>
            <w:pPr>
              <w:pStyle w:val="TableParagraph"/>
              <w:spacing w:line="154" w:lineRule="exact"/>
              <w:ind w:right="96"/>
              <w:jc w:val="right"/>
              <w:rPr>
                <w:sz w:val="14"/>
              </w:rPr>
            </w:pPr>
            <w:r>
              <w:rPr>
                <w:sz w:val="14"/>
              </w:rPr>
              <w:t>169.8</w:t>
            </w:r>
          </w:p>
        </w:tc>
        <w:tc>
          <w:tcPr>
            <w:tcW w:w="732" w:type="dxa"/>
          </w:tcPr>
          <w:p>
            <w:pPr>
              <w:pStyle w:val="TableParagraph"/>
              <w:spacing w:before="1"/>
              <w:rPr>
                <w:b/>
                <w:sz w:val="16"/>
              </w:rPr>
            </w:pPr>
          </w:p>
          <w:p>
            <w:pPr>
              <w:pStyle w:val="TableParagraph"/>
              <w:spacing w:line="154" w:lineRule="exact"/>
              <w:ind w:right="76"/>
              <w:jc w:val="right"/>
              <w:rPr>
                <w:sz w:val="14"/>
              </w:rPr>
            </w:pPr>
            <w:r>
              <w:rPr>
                <w:w w:val="99"/>
                <w:sz w:val="14"/>
              </w:rPr>
              <w:t>-</w:t>
            </w:r>
          </w:p>
        </w:tc>
        <w:tc>
          <w:tcPr>
            <w:tcW w:w="818" w:type="dxa"/>
          </w:tcPr>
          <w:p>
            <w:pPr>
              <w:pStyle w:val="TableParagraph"/>
              <w:spacing w:before="1"/>
              <w:rPr>
                <w:b/>
                <w:sz w:val="16"/>
              </w:rPr>
            </w:pPr>
          </w:p>
          <w:p>
            <w:pPr>
              <w:pStyle w:val="TableParagraph"/>
              <w:spacing w:line="154" w:lineRule="exact"/>
              <w:ind w:left="268"/>
              <w:rPr>
                <w:sz w:val="14"/>
              </w:rPr>
            </w:pPr>
            <w:r>
              <w:rPr>
                <w:sz w:val="14"/>
              </w:rPr>
              <w:t>625.3</w:t>
            </w:r>
          </w:p>
        </w:tc>
        <w:tc>
          <w:tcPr>
            <w:tcW w:w="746" w:type="dxa"/>
          </w:tcPr>
          <w:p>
            <w:pPr>
              <w:pStyle w:val="TableParagraph"/>
              <w:spacing w:before="1"/>
              <w:rPr>
                <w:b/>
                <w:sz w:val="16"/>
              </w:rPr>
            </w:pPr>
          </w:p>
          <w:p>
            <w:pPr>
              <w:pStyle w:val="TableParagraph"/>
              <w:spacing w:line="154" w:lineRule="exact"/>
              <w:ind w:right="186"/>
              <w:jc w:val="right"/>
              <w:rPr>
                <w:sz w:val="14"/>
              </w:rPr>
            </w:pPr>
            <w:r>
              <w:rPr>
                <w:sz w:val="14"/>
              </w:rPr>
              <w:t>129.1</w:t>
            </w:r>
          </w:p>
        </w:tc>
        <w:tc>
          <w:tcPr>
            <w:tcW w:w="1265" w:type="dxa"/>
          </w:tcPr>
          <w:p>
            <w:pPr>
              <w:pStyle w:val="TableParagraph"/>
              <w:spacing w:before="1"/>
              <w:rPr>
                <w:b/>
                <w:sz w:val="16"/>
              </w:rPr>
            </w:pPr>
          </w:p>
          <w:p>
            <w:pPr>
              <w:pStyle w:val="TableParagraph"/>
              <w:spacing w:line="154" w:lineRule="exact"/>
              <w:ind w:left="244"/>
              <w:rPr>
                <w:sz w:val="14"/>
              </w:rPr>
            </w:pPr>
            <w:r>
              <w:rPr>
                <w:sz w:val="14"/>
              </w:rPr>
              <w:t>2,818 .8</w:t>
            </w:r>
          </w:p>
        </w:tc>
      </w:tr>
      <w:tr>
        <w:trPr>
          <w:trHeight w:val="360" w:hRule="atLeast"/>
        </w:trPr>
        <w:tc>
          <w:tcPr>
            <w:tcW w:w="194" w:type="dxa"/>
          </w:tcPr>
          <w:p>
            <w:pPr>
              <w:pStyle w:val="TableParagraph"/>
              <w:rPr>
                <w:rFonts w:ascii="Times New Roman"/>
                <w:sz w:val="14"/>
              </w:rPr>
            </w:pPr>
          </w:p>
        </w:tc>
        <w:tc>
          <w:tcPr>
            <w:tcW w:w="2328" w:type="dxa"/>
          </w:tcPr>
          <w:p>
            <w:pPr>
              <w:pStyle w:val="TableParagraph"/>
              <w:spacing w:before="8"/>
              <w:ind w:left="199"/>
              <w:rPr>
                <w:sz w:val="14"/>
              </w:rPr>
            </w:pPr>
            <w:r>
              <w:rPr>
                <w:sz w:val="14"/>
              </w:rPr>
              <w:t>Primary Health Care</w:t>
            </w:r>
          </w:p>
          <w:p>
            <w:pPr>
              <w:pStyle w:val="TableParagraph"/>
              <w:spacing w:line="154" w:lineRule="exact" w:before="16"/>
              <w:ind w:left="199"/>
              <w:rPr>
                <w:sz w:val="14"/>
              </w:rPr>
            </w:pPr>
            <w:r>
              <w:rPr>
                <w:sz w:val="14"/>
              </w:rPr>
              <w:t>services (PHC)</w:t>
            </w:r>
          </w:p>
        </w:tc>
        <w:tc>
          <w:tcPr>
            <w:tcW w:w="957" w:type="dxa"/>
          </w:tcPr>
          <w:p>
            <w:pPr>
              <w:pStyle w:val="TableParagraph"/>
              <w:spacing w:before="8"/>
              <w:ind w:left="176"/>
              <w:rPr>
                <w:sz w:val="14"/>
              </w:rPr>
            </w:pPr>
            <w:r>
              <w:rPr>
                <w:sz w:val="14"/>
              </w:rPr>
              <w:t>15,918.8</w:t>
            </w:r>
          </w:p>
        </w:tc>
        <w:tc>
          <w:tcPr>
            <w:tcW w:w="1789" w:type="dxa"/>
          </w:tcPr>
          <w:p>
            <w:pPr>
              <w:pStyle w:val="TableParagraph"/>
              <w:spacing w:before="8"/>
              <w:ind w:left="318"/>
              <w:rPr>
                <w:sz w:val="14"/>
              </w:rPr>
            </w:pPr>
            <w:r>
              <w:rPr>
                <w:sz w:val="14"/>
              </w:rPr>
              <w:t>Koidu New Sem</w:t>
            </w:r>
          </w:p>
          <w:p>
            <w:pPr>
              <w:pStyle w:val="TableParagraph"/>
              <w:spacing w:line="154" w:lineRule="exact" w:before="16"/>
              <w:ind w:left="318"/>
              <w:rPr>
                <w:sz w:val="14"/>
              </w:rPr>
            </w:pPr>
            <w:r>
              <w:rPr>
                <w:sz w:val="14"/>
              </w:rPr>
              <w:t>behun</w:t>
            </w:r>
          </w:p>
        </w:tc>
        <w:tc>
          <w:tcPr>
            <w:tcW w:w="616" w:type="dxa"/>
          </w:tcPr>
          <w:p>
            <w:pPr>
              <w:pStyle w:val="TableParagraph"/>
              <w:spacing w:before="8"/>
              <w:ind w:left="-11" w:right="127"/>
              <w:jc w:val="right"/>
              <w:rPr>
                <w:sz w:val="14"/>
              </w:rPr>
            </w:pPr>
            <w:r>
              <w:rPr>
                <w:sz w:val="14"/>
              </w:rPr>
              <w:t>240.4</w:t>
            </w:r>
          </w:p>
        </w:tc>
        <w:tc>
          <w:tcPr>
            <w:tcW w:w="758" w:type="dxa"/>
          </w:tcPr>
          <w:p>
            <w:pPr>
              <w:pStyle w:val="TableParagraph"/>
              <w:spacing w:before="8"/>
              <w:ind w:left="323"/>
              <w:rPr>
                <w:sz w:val="14"/>
              </w:rPr>
            </w:pPr>
            <w:r>
              <w:rPr>
                <w:sz w:val="14"/>
              </w:rPr>
              <w:t>64.5</w:t>
            </w:r>
          </w:p>
        </w:tc>
        <w:tc>
          <w:tcPr>
            <w:tcW w:w="645" w:type="dxa"/>
          </w:tcPr>
          <w:p>
            <w:pPr>
              <w:pStyle w:val="TableParagraph"/>
              <w:spacing w:before="8"/>
              <w:ind w:right="114"/>
              <w:jc w:val="right"/>
              <w:rPr>
                <w:sz w:val="14"/>
              </w:rPr>
            </w:pPr>
            <w:r>
              <w:rPr>
                <w:sz w:val="14"/>
              </w:rPr>
              <w:t>132.0</w:t>
            </w:r>
          </w:p>
        </w:tc>
        <w:tc>
          <w:tcPr>
            <w:tcW w:w="793" w:type="dxa"/>
          </w:tcPr>
          <w:p>
            <w:pPr>
              <w:pStyle w:val="TableParagraph"/>
              <w:spacing w:before="8"/>
              <w:ind w:right="110"/>
              <w:jc w:val="right"/>
              <w:rPr>
                <w:sz w:val="14"/>
              </w:rPr>
            </w:pPr>
            <w:r>
              <w:rPr>
                <w:sz w:val="14"/>
              </w:rPr>
              <w:t>431.8</w:t>
            </w:r>
          </w:p>
        </w:tc>
        <w:tc>
          <w:tcPr>
            <w:tcW w:w="859" w:type="dxa"/>
          </w:tcPr>
          <w:p>
            <w:pPr>
              <w:pStyle w:val="TableParagraph"/>
              <w:spacing w:before="8"/>
              <w:ind w:left="177"/>
              <w:rPr>
                <w:sz w:val="14"/>
              </w:rPr>
            </w:pPr>
            <w:r>
              <w:rPr>
                <w:sz w:val="14"/>
              </w:rPr>
              <w:t>2,083.9</w:t>
            </w:r>
          </w:p>
        </w:tc>
        <w:tc>
          <w:tcPr>
            <w:tcW w:w="828" w:type="dxa"/>
          </w:tcPr>
          <w:p>
            <w:pPr>
              <w:pStyle w:val="TableParagraph"/>
              <w:spacing w:before="8"/>
              <w:ind w:right="156"/>
              <w:jc w:val="right"/>
              <w:rPr>
                <w:sz w:val="14"/>
              </w:rPr>
            </w:pPr>
            <w:r>
              <w:rPr>
                <w:w w:val="95"/>
                <w:sz w:val="14"/>
              </w:rPr>
              <w:t>2,515.7</w:t>
            </w:r>
          </w:p>
        </w:tc>
        <w:tc>
          <w:tcPr>
            <w:tcW w:w="753" w:type="dxa"/>
          </w:tcPr>
          <w:p>
            <w:pPr>
              <w:pStyle w:val="TableParagraph"/>
              <w:spacing w:before="8"/>
              <w:ind w:right="93"/>
              <w:jc w:val="right"/>
              <w:rPr>
                <w:sz w:val="14"/>
              </w:rPr>
            </w:pPr>
            <w:r>
              <w:rPr>
                <w:w w:val="99"/>
                <w:sz w:val="14"/>
              </w:rPr>
              <w:t>-</w:t>
            </w:r>
          </w:p>
        </w:tc>
        <w:tc>
          <w:tcPr>
            <w:tcW w:w="726" w:type="dxa"/>
          </w:tcPr>
          <w:p>
            <w:pPr>
              <w:pStyle w:val="TableParagraph"/>
              <w:spacing w:before="8"/>
              <w:ind w:right="91"/>
              <w:jc w:val="right"/>
              <w:rPr>
                <w:sz w:val="14"/>
              </w:rPr>
            </w:pPr>
            <w:r>
              <w:rPr>
                <w:sz w:val="14"/>
              </w:rPr>
              <w:t>81.0</w:t>
            </w:r>
          </w:p>
        </w:tc>
        <w:tc>
          <w:tcPr>
            <w:tcW w:w="732" w:type="dxa"/>
          </w:tcPr>
          <w:p>
            <w:pPr>
              <w:pStyle w:val="TableParagraph"/>
              <w:spacing w:before="8"/>
              <w:ind w:right="76"/>
              <w:jc w:val="right"/>
              <w:rPr>
                <w:sz w:val="14"/>
              </w:rPr>
            </w:pPr>
            <w:r>
              <w:rPr>
                <w:w w:val="99"/>
                <w:sz w:val="14"/>
              </w:rPr>
              <w:t>-</w:t>
            </w:r>
          </w:p>
        </w:tc>
        <w:tc>
          <w:tcPr>
            <w:tcW w:w="818" w:type="dxa"/>
          </w:tcPr>
          <w:p>
            <w:pPr>
              <w:pStyle w:val="TableParagraph"/>
              <w:spacing w:before="8"/>
              <w:ind w:left="268"/>
              <w:rPr>
                <w:sz w:val="14"/>
              </w:rPr>
            </w:pPr>
            <w:r>
              <w:rPr>
                <w:sz w:val="14"/>
              </w:rPr>
              <w:t>345.6</w:t>
            </w:r>
          </w:p>
        </w:tc>
        <w:tc>
          <w:tcPr>
            <w:tcW w:w="746" w:type="dxa"/>
          </w:tcPr>
          <w:p>
            <w:pPr>
              <w:pStyle w:val="TableParagraph"/>
              <w:spacing w:before="8"/>
              <w:ind w:right="176"/>
              <w:jc w:val="right"/>
              <w:rPr>
                <w:sz w:val="14"/>
              </w:rPr>
            </w:pPr>
            <w:r>
              <w:rPr>
                <w:sz w:val="14"/>
              </w:rPr>
              <w:t>16.1</w:t>
            </w:r>
          </w:p>
        </w:tc>
        <w:tc>
          <w:tcPr>
            <w:tcW w:w="1265" w:type="dxa"/>
          </w:tcPr>
          <w:p>
            <w:pPr>
              <w:pStyle w:val="TableParagraph"/>
              <w:spacing w:before="8"/>
              <w:ind w:left="244"/>
              <w:rPr>
                <w:sz w:val="14"/>
              </w:rPr>
            </w:pPr>
            <w:r>
              <w:rPr>
                <w:sz w:val="14"/>
              </w:rPr>
              <w:t>3,395 .3</w:t>
            </w:r>
          </w:p>
        </w:tc>
      </w:tr>
      <w:tr>
        <w:trPr>
          <w:trHeight w:val="360" w:hRule="atLeast"/>
        </w:trPr>
        <w:tc>
          <w:tcPr>
            <w:tcW w:w="194" w:type="dxa"/>
          </w:tcPr>
          <w:p>
            <w:pPr>
              <w:pStyle w:val="TableParagraph"/>
              <w:rPr>
                <w:rFonts w:ascii="Times New Roman"/>
                <w:sz w:val="14"/>
              </w:rPr>
            </w:pPr>
          </w:p>
        </w:tc>
        <w:tc>
          <w:tcPr>
            <w:tcW w:w="2328" w:type="dxa"/>
          </w:tcPr>
          <w:p>
            <w:pPr>
              <w:pStyle w:val="TableParagraph"/>
              <w:spacing w:before="8"/>
              <w:ind w:left="199"/>
              <w:rPr>
                <w:sz w:val="14"/>
              </w:rPr>
            </w:pPr>
            <w:r>
              <w:rPr>
                <w:sz w:val="14"/>
              </w:rPr>
              <w:t>Secondary Health Services</w:t>
            </w:r>
          </w:p>
          <w:p>
            <w:pPr>
              <w:pStyle w:val="TableParagraph"/>
              <w:spacing w:line="154" w:lineRule="exact" w:before="16"/>
              <w:ind w:left="199"/>
              <w:rPr>
                <w:sz w:val="14"/>
              </w:rPr>
            </w:pPr>
            <w:r>
              <w:rPr>
                <w:sz w:val="14"/>
              </w:rPr>
              <w:t>(District Hospitals)</w:t>
            </w:r>
          </w:p>
        </w:tc>
        <w:tc>
          <w:tcPr>
            <w:tcW w:w="957" w:type="dxa"/>
          </w:tcPr>
          <w:p>
            <w:pPr>
              <w:pStyle w:val="TableParagraph"/>
              <w:spacing w:before="8"/>
              <w:ind w:left="176"/>
              <w:rPr>
                <w:sz w:val="14"/>
              </w:rPr>
            </w:pPr>
            <w:r>
              <w:rPr>
                <w:sz w:val="14"/>
              </w:rPr>
              <w:t>19,310.4</w:t>
            </w:r>
          </w:p>
        </w:tc>
        <w:tc>
          <w:tcPr>
            <w:tcW w:w="1789" w:type="dxa"/>
          </w:tcPr>
          <w:p>
            <w:pPr>
              <w:pStyle w:val="TableParagraph"/>
              <w:spacing w:before="8"/>
              <w:ind w:right="339"/>
              <w:jc w:val="right"/>
              <w:rPr>
                <w:sz w:val="14"/>
              </w:rPr>
            </w:pPr>
            <w:r>
              <w:rPr>
                <w:sz w:val="14"/>
              </w:rPr>
              <w:t>Moyamba District</w:t>
            </w:r>
          </w:p>
        </w:tc>
        <w:tc>
          <w:tcPr>
            <w:tcW w:w="616" w:type="dxa"/>
          </w:tcPr>
          <w:p>
            <w:pPr>
              <w:pStyle w:val="TableParagraph"/>
              <w:spacing w:before="8"/>
              <w:ind w:left="-11" w:right="126"/>
              <w:jc w:val="right"/>
              <w:rPr>
                <w:sz w:val="14"/>
              </w:rPr>
            </w:pPr>
            <w:r>
              <w:rPr>
                <w:sz w:val="14"/>
              </w:rPr>
              <w:t>367.9</w:t>
            </w:r>
          </w:p>
        </w:tc>
        <w:tc>
          <w:tcPr>
            <w:tcW w:w="758" w:type="dxa"/>
          </w:tcPr>
          <w:p>
            <w:pPr>
              <w:pStyle w:val="TableParagraph"/>
              <w:spacing w:before="8"/>
              <w:ind w:left="318"/>
              <w:rPr>
                <w:sz w:val="14"/>
              </w:rPr>
            </w:pPr>
            <w:r>
              <w:rPr>
                <w:sz w:val="14"/>
              </w:rPr>
              <w:t>75.6</w:t>
            </w:r>
          </w:p>
        </w:tc>
        <w:tc>
          <w:tcPr>
            <w:tcW w:w="645" w:type="dxa"/>
          </w:tcPr>
          <w:p>
            <w:pPr>
              <w:pStyle w:val="TableParagraph"/>
              <w:spacing w:before="8"/>
              <w:ind w:right="109"/>
              <w:jc w:val="right"/>
              <w:rPr>
                <w:sz w:val="14"/>
              </w:rPr>
            </w:pPr>
            <w:r>
              <w:rPr>
                <w:sz w:val="14"/>
              </w:rPr>
              <w:t>792.0</w:t>
            </w:r>
          </w:p>
        </w:tc>
        <w:tc>
          <w:tcPr>
            <w:tcW w:w="793" w:type="dxa"/>
          </w:tcPr>
          <w:p>
            <w:pPr>
              <w:pStyle w:val="TableParagraph"/>
              <w:spacing w:before="8"/>
              <w:ind w:right="110"/>
              <w:jc w:val="right"/>
              <w:rPr>
                <w:sz w:val="14"/>
              </w:rPr>
            </w:pPr>
            <w:r>
              <w:rPr>
                <w:sz w:val="14"/>
              </w:rPr>
              <w:t>677.9</w:t>
            </w:r>
          </w:p>
        </w:tc>
        <w:tc>
          <w:tcPr>
            <w:tcW w:w="859" w:type="dxa"/>
          </w:tcPr>
          <w:p>
            <w:pPr>
              <w:pStyle w:val="TableParagraph"/>
              <w:spacing w:before="8"/>
              <w:ind w:left="172"/>
              <w:rPr>
                <w:sz w:val="14"/>
              </w:rPr>
            </w:pPr>
            <w:r>
              <w:rPr>
                <w:sz w:val="14"/>
              </w:rPr>
              <w:t>1,355.9</w:t>
            </w:r>
          </w:p>
        </w:tc>
        <w:tc>
          <w:tcPr>
            <w:tcW w:w="828" w:type="dxa"/>
          </w:tcPr>
          <w:p>
            <w:pPr>
              <w:pStyle w:val="TableParagraph"/>
              <w:spacing w:before="8"/>
              <w:ind w:right="156"/>
              <w:jc w:val="right"/>
              <w:rPr>
                <w:sz w:val="14"/>
              </w:rPr>
            </w:pPr>
            <w:r>
              <w:rPr>
                <w:w w:val="95"/>
                <w:sz w:val="14"/>
              </w:rPr>
              <w:t>2,033.8</w:t>
            </w:r>
          </w:p>
        </w:tc>
        <w:tc>
          <w:tcPr>
            <w:tcW w:w="753" w:type="dxa"/>
          </w:tcPr>
          <w:p>
            <w:pPr>
              <w:pStyle w:val="TableParagraph"/>
              <w:spacing w:before="8"/>
              <w:ind w:right="109"/>
              <w:jc w:val="right"/>
              <w:rPr>
                <w:sz w:val="14"/>
              </w:rPr>
            </w:pPr>
            <w:r>
              <w:rPr>
                <w:sz w:val="14"/>
              </w:rPr>
              <w:t>161.7</w:t>
            </w:r>
          </w:p>
        </w:tc>
        <w:tc>
          <w:tcPr>
            <w:tcW w:w="726" w:type="dxa"/>
          </w:tcPr>
          <w:p>
            <w:pPr>
              <w:pStyle w:val="TableParagraph"/>
              <w:spacing w:before="8"/>
              <w:ind w:right="96"/>
              <w:jc w:val="right"/>
              <w:rPr>
                <w:sz w:val="14"/>
              </w:rPr>
            </w:pPr>
            <w:r>
              <w:rPr>
                <w:sz w:val="14"/>
              </w:rPr>
              <w:t>161.7</w:t>
            </w:r>
          </w:p>
        </w:tc>
        <w:tc>
          <w:tcPr>
            <w:tcW w:w="732" w:type="dxa"/>
          </w:tcPr>
          <w:p>
            <w:pPr>
              <w:pStyle w:val="TableParagraph"/>
              <w:spacing w:before="8"/>
              <w:ind w:right="88"/>
              <w:jc w:val="right"/>
              <w:rPr>
                <w:sz w:val="14"/>
              </w:rPr>
            </w:pPr>
            <w:r>
              <w:rPr>
                <w:sz w:val="14"/>
              </w:rPr>
              <w:t>71.5</w:t>
            </w:r>
          </w:p>
        </w:tc>
        <w:tc>
          <w:tcPr>
            <w:tcW w:w="818" w:type="dxa"/>
          </w:tcPr>
          <w:p>
            <w:pPr>
              <w:pStyle w:val="TableParagraph"/>
              <w:spacing w:before="8"/>
              <w:ind w:left="268"/>
              <w:rPr>
                <w:sz w:val="14"/>
              </w:rPr>
            </w:pPr>
            <w:r>
              <w:rPr>
                <w:sz w:val="14"/>
              </w:rPr>
              <w:t>514.4</w:t>
            </w:r>
          </w:p>
        </w:tc>
        <w:tc>
          <w:tcPr>
            <w:tcW w:w="746" w:type="dxa"/>
          </w:tcPr>
          <w:p>
            <w:pPr>
              <w:pStyle w:val="TableParagraph"/>
              <w:spacing w:before="8"/>
              <w:ind w:right="186"/>
              <w:jc w:val="right"/>
              <w:rPr>
                <w:sz w:val="14"/>
              </w:rPr>
            </w:pPr>
            <w:r>
              <w:rPr>
                <w:sz w:val="14"/>
              </w:rPr>
              <w:t>118.4</w:t>
            </w:r>
          </w:p>
        </w:tc>
        <w:tc>
          <w:tcPr>
            <w:tcW w:w="1265" w:type="dxa"/>
          </w:tcPr>
          <w:p>
            <w:pPr>
              <w:pStyle w:val="TableParagraph"/>
              <w:spacing w:before="8"/>
              <w:ind w:left="268"/>
              <w:rPr>
                <w:sz w:val="14"/>
              </w:rPr>
            </w:pPr>
            <w:r>
              <w:rPr>
                <w:sz w:val="14"/>
              </w:rPr>
              <w:t>4,297.1</w:t>
            </w:r>
          </w:p>
        </w:tc>
      </w:tr>
      <w:tr>
        <w:trPr>
          <w:trHeight w:val="180" w:hRule="atLeast"/>
        </w:trPr>
        <w:tc>
          <w:tcPr>
            <w:tcW w:w="194" w:type="dxa"/>
          </w:tcPr>
          <w:p>
            <w:pPr>
              <w:pStyle w:val="TableParagraph"/>
              <w:spacing w:line="152" w:lineRule="exact" w:before="8"/>
              <w:ind w:left="25"/>
              <w:rPr>
                <w:b/>
                <w:sz w:val="14"/>
              </w:rPr>
            </w:pPr>
            <w:r>
              <w:rPr>
                <w:b/>
                <w:w w:val="99"/>
                <w:sz w:val="14"/>
              </w:rPr>
              <w:t>8</w:t>
            </w:r>
          </w:p>
        </w:tc>
        <w:tc>
          <w:tcPr>
            <w:tcW w:w="2328" w:type="dxa"/>
          </w:tcPr>
          <w:p>
            <w:pPr>
              <w:pStyle w:val="TableParagraph"/>
              <w:spacing w:line="152" w:lineRule="exact" w:before="8"/>
              <w:ind w:left="31"/>
              <w:rPr>
                <w:b/>
                <w:sz w:val="14"/>
              </w:rPr>
            </w:pPr>
            <w:r>
              <w:rPr>
                <w:b/>
                <w:sz w:val="14"/>
              </w:rPr>
              <w:t>Agriculture and Food Security</w:t>
            </w:r>
          </w:p>
        </w:tc>
        <w:tc>
          <w:tcPr>
            <w:tcW w:w="957" w:type="dxa"/>
          </w:tcPr>
          <w:p>
            <w:pPr>
              <w:pStyle w:val="TableParagraph"/>
              <w:spacing w:line="152" w:lineRule="exact" w:before="8"/>
              <w:ind w:right="186"/>
              <w:jc w:val="right"/>
              <w:rPr>
                <w:b/>
                <w:sz w:val="14"/>
              </w:rPr>
            </w:pPr>
            <w:r>
              <w:rPr>
                <w:b/>
                <w:sz w:val="14"/>
              </w:rPr>
              <w:t>8,271.3</w:t>
            </w:r>
          </w:p>
        </w:tc>
        <w:tc>
          <w:tcPr>
            <w:tcW w:w="1789" w:type="dxa"/>
          </w:tcPr>
          <w:p>
            <w:pPr>
              <w:pStyle w:val="TableParagraph"/>
              <w:spacing w:line="152" w:lineRule="exact" w:before="8"/>
              <w:ind w:right="340"/>
              <w:jc w:val="right"/>
              <w:rPr>
                <w:sz w:val="14"/>
              </w:rPr>
            </w:pPr>
            <w:r>
              <w:rPr>
                <w:sz w:val="14"/>
              </w:rPr>
              <w:t>Port Loko District</w:t>
            </w:r>
          </w:p>
        </w:tc>
        <w:tc>
          <w:tcPr>
            <w:tcW w:w="616" w:type="dxa"/>
          </w:tcPr>
          <w:p>
            <w:pPr>
              <w:pStyle w:val="TableParagraph"/>
              <w:spacing w:line="152" w:lineRule="exact" w:before="8"/>
              <w:ind w:left="-11" w:right="126"/>
              <w:jc w:val="right"/>
              <w:rPr>
                <w:sz w:val="14"/>
              </w:rPr>
            </w:pPr>
            <w:r>
              <w:rPr>
                <w:sz w:val="14"/>
              </w:rPr>
              <w:t>494.2</w:t>
            </w:r>
          </w:p>
        </w:tc>
        <w:tc>
          <w:tcPr>
            <w:tcW w:w="758" w:type="dxa"/>
          </w:tcPr>
          <w:p>
            <w:pPr>
              <w:pStyle w:val="TableParagraph"/>
              <w:spacing w:line="152" w:lineRule="exact" w:before="8"/>
              <w:ind w:left="318"/>
              <w:rPr>
                <w:sz w:val="14"/>
              </w:rPr>
            </w:pPr>
            <w:r>
              <w:rPr>
                <w:sz w:val="14"/>
              </w:rPr>
              <w:t>91.9</w:t>
            </w:r>
          </w:p>
        </w:tc>
        <w:tc>
          <w:tcPr>
            <w:tcW w:w="645" w:type="dxa"/>
          </w:tcPr>
          <w:p>
            <w:pPr>
              <w:pStyle w:val="TableParagraph"/>
              <w:spacing w:line="152" w:lineRule="exact" w:before="8"/>
              <w:ind w:right="114"/>
              <w:jc w:val="right"/>
              <w:rPr>
                <w:sz w:val="14"/>
              </w:rPr>
            </w:pPr>
            <w:r>
              <w:rPr>
                <w:sz w:val="14"/>
              </w:rPr>
              <w:t>504.7</w:t>
            </w:r>
          </w:p>
        </w:tc>
        <w:tc>
          <w:tcPr>
            <w:tcW w:w="793" w:type="dxa"/>
          </w:tcPr>
          <w:p>
            <w:pPr>
              <w:pStyle w:val="TableParagraph"/>
              <w:spacing w:line="152" w:lineRule="exact" w:before="8"/>
              <w:ind w:right="109"/>
              <w:jc w:val="right"/>
              <w:rPr>
                <w:sz w:val="14"/>
              </w:rPr>
            </w:pPr>
            <w:r>
              <w:rPr>
                <w:sz w:val="14"/>
              </w:rPr>
              <w:t>865.1</w:t>
            </w:r>
          </w:p>
        </w:tc>
        <w:tc>
          <w:tcPr>
            <w:tcW w:w="859" w:type="dxa"/>
          </w:tcPr>
          <w:p>
            <w:pPr>
              <w:pStyle w:val="TableParagraph"/>
              <w:spacing w:line="152" w:lineRule="exact" w:before="8"/>
              <w:ind w:left="177"/>
              <w:rPr>
                <w:sz w:val="14"/>
              </w:rPr>
            </w:pPr>
            <w:r>
              <w:rPr>
                <w:sz w:val="14"/>
              </w:rPr>
              <w:t>1,670.8</w:t>
            </w:r>
          </w:p>
        </w:tc>
        <w:tc>
          <w:tcPr>
            <w:tcW w:w="828" w:type="dxa"/>
          </w:tcPr>
          <w:p>
            <w:pPr>
              <w:pStyle w:val="TableParagraph"/>
              <w:spacing w:line="152" w:lineRule="exact" w:before="8"/>
              <w:ind w:right="156"/>
              <w:jc w:val="right"/>
              <w:rPr>
                <w:sz w:val="14"/>
              </w:rPr>
            </w:pPr>
            <w:r>
              <w:rPr>
                <w:w w:val="95"/>
                <w:sz w:val="14"/>
              </w:rPr>
              <w:t>2,535.9</w:t>
            </w:r>
          </w:p>
        </w:tc>
        <w:tc>
          <w:tcPr>
            <w:tcW w:w="753" w:type="dxa"/>
          </w:tcPr>
          <w:p>
            <w:pPr>
              <w:pStyle w:val="TableParagraph"/>
              <w:spacing w:line="152" w:lineRule="exact" w:before="8"/>
              <w:ind w:right="109"/>
              <w:jc w:val="right"/>
              <w:rPr>
                <w:sz w:val="14"/>
              </w:rPr>
            </w:pPr>
            <w:r>
              <w:rPr>
                <w:sz w:val="14"/>
              </w:rPr>
              <w:t>307.6</w:t>
            </w:r>
          </w:p>
        </w:tc>
        <w:tc>
          <w:tcPr>
            <w:tcW w:w="726" w:type="dxa"/>
          </w:tcPr>
          <w:p>
            <w:pPr>
              <w:pStyle w:val="TableParagraph"/>
              <w:spacing w:line="152" w:lineRule="exact" w:before="8"/>
              <w:ind w:right="96"/>
              <w:jc w:val="right"/>
              <w:rPr>
                <w:sz w:val="14"/>
              </w:rPr>
            </w:pPr>
            <w:r>
              <w:rPr>
                <w:sz w:val="14"/>
              </w:rPr>
              <w:t>209.0</w:t>
            </w:r>
          </w:p>
        </w:tc>
        <w:tc>
          <w:tcPr>
            <w:tcW w:w="732" w:type="dxa"/>
          </w:tcPr>
          <w:p>
            <w:pPr>
              <w:pStyle w:val="TableParagraph"/>
              <w:spacing w:line="152" w:lineRule="exact" w:before="8"/>
              <w:ind w:right="88"/>
              <w:jc w:val="right"/>
              <w:rPr>
                <w:sz w:val="14"/>
              </w:rPr>
            </w:pPr>
            <w:r>
              <w:rPr>
                <w:sz w:val="14"/>
              </w:rPr>
              <w:t>73.3</w:t>
            </w:r>
          </w:p>
        </w:tc>
        <w:tc>
          <w:tcPr>
            <w:tcW w:w="818" w:type="dxa"/>
          </w:tcPr>
          <w:p>
            <w:pPr>
              <w:pStyle w:val="TableParagraph"/>
              <w:spacing w:line="152" w:lineRule="exact" w:before="8"/>
              <w:ind w:left="268"/>
              <w:rPr>
                <w:sz w:val="14"/>
              </w:rPr>
            </w:pPr>
            <w:r>
              <w:rPr>
                <w:sz w:val="14"/>
              </w:rPr>
              <w:t>756.5</w:t>
            </w:r>
          </w:p>
        </w:tc>
        <w:tc>
          <w:tcPr>
            <w:tcW w:w="746" w:type="dxa"/>
          </w:tcPr>
          <w:p>
            <w:pPr>
              <w:pStyle w:val="TableParagraph"/>
              <w:spacing w:line="152" w:lineRule="exact" w:before="8"/>
              <w:ind w:right="186"/>
              <w:jc w:val="right"/>
              <w:rPr>
                <w:sz w:val="14"/>
              </w:rPr>
            </w:pPr>
            <w:r>
              <w:rPr>
                <w:sz w:val="14"/>
              </w:rPr>
              <w:t>150.7</w:t>
            </w:r>
          </w:p>
        </w:tc>
        <w:tc>
          <w:tcPr>
            <w:tcW w:w="1265" w:type="dxa"/>
          </w:tcPr>
          <w:p>
            <w:pPr>
              <w:pStyle w:val="TableParagraph"/>
              <w:spacing w:line="152" w:lineRule="exact" w:before="8"/>
              <w:ind w:left="244"/>
              <w:rPr>
                <w:sz w:val="14"/>
              </w:rPr>
            </w:pPr>
            <w:r>
              <w:rPr>
                <w:sz w:val="14"/>
              </w:rPr>
              <w:t>5,123 .8</w:t>
            </w:r>
          </w:p>
        </w:tc>
      </w:tr>
      <w:tr>
        <w:trPr>
          <w:trHeight w:val="180" w:hRule="atLeast"/>
        </w:trPr>
        <w:tc>
          <w:tcPr>
            <w:tcW w:w="194" w:type="dxa"/>
          </w:tcPr>
          <w:p>
            <w:pPr>
              <w:pStyle w:val="TableParagraph"/>
              <w:spacing w:line="154" w:lineRule="exact" w:before="5"/>
              <w:ind w:left="25"/>
              <w:rPr>
                <w:b/>
                <w:sz w:val="14"/>
              </w:rPr>
            </w:pPr>
            <w:r>
              <w:rPr>
                <w:b/>
                <w:w w:val="99"/>
                <w:sz w:val="14"/>
              </w:rPr>
              <w:t>9</w:t>
            </w:r>
          </w:p>
        </w:tc>
        <w:tc>
          <w:tcPr>
            <w:tcW w:w="2328" w:type="dxa"/>
          </w:tcPr>
          <w:p>
            <w:pPr>
              <w:pStyle w:val="TableParagraph"/>
              <w:spacing w:line="154" w:lineRule="exact" w:before="5"/>
              <w:ind w:left="32"/>
              <w:rPr>
                <w:b/>
                <w:sz w:val="14"/>
              </w:rPr>
            </w:pPr>
            <w:r>
              <w:rPr>
                <w:b/>
                <w:sz w:val="14"/>
              </w:rPr>
              <w:t>Rural Water Services</w:t>
            </w:r>
          </w:p>
        </w:tc>
        <w:tc>
          <w:tcPr>
            <w:tcW w:w="957" w:type="dxa"/>
          </w:tcPr>
          <w:p>
            <w:pPr>
              <w:pStyle w:val="TableParagraph"/>
              <w:spacing w:line="154" w:lineRule="exact" w:before="5"/>
              <w:ind w:right="180"/>
              <w:jc w:val="right"/>
              <w:rPr>
                <w:b/>
                <w:sz w:val="14"/>
              </w:rPr>
            </w:pPr>
            <w:r>
              <w:rPr>
                <w:b/>
                <w:sz w:val="14"/>
              </w:rPr>
              <w:t>2,316.8</w:t>
            </w:r>
          </w:p>
        </w:tc>
        <w:tc>
          <w:tcPr>
            <w:tcW w:w="1789" w:type="dxa"/>
          </w:tcPr>
          <w:p>
            <w:pPr>
              <w:pStyle w:val="TableParagraph"/>
              <w:spacing w:line="154" w:lineRule="exact" w:before="5"/>
              <w:ind w:left="317"/>
              <w:rPr>
                <w:sz w:val="14"/>
              </w:rPr>
            </w:pPr>
            <w:r>
              <w:rPr>
                <w:sz w:val="14"/>
              </w:rPr>
              <w:t>Pujehun District</w:t>
            </w:r>
          </w:p>
        </w:tc>
        <w:tc>
          <w:tcPr>
            <w:tcW w:w="616" w:type="dxa"/>
          </w:tcPr>
          <w:p>
            <w:pPr>
              <w:pStyle w:val="TableParagraph"/>
              <w:spacing w:line="154" w:lineRule="exact" w:before="5"/>
              <w:ind w:left="-11" w:right="127"/>
              <w:jc w:val="right"/>
              <w:rPr>
                <w:sz w:val="14"/>
              </w:rPr>
            </w:pPr>
            <w:r>
              <w:rPr>
                <w:sz w:val="14"/>
              </w:rPr>
              <w:t>329.2</w:t>
            </w:r>
          </w:p>
        </w:tc>
        <w:tc>
          <w:tcPr>
            <w:tcW w:w="758" w:type="dxa"/>
          </w:tcPr>
          <w:p>
            <w:pPr>
              <w:pStyle w:val="TableParagraph"/>
              <w:spacing w:line="154" w:lineRule="exact" w:before="5"/>
              <w:ind w:left="318"/>
              <w:rPr>
                <w:sz w:val="14"/>
              </w:rPr>
            </w:pPr>
            <w:r>
              <w:rPr>
                <w:sz w:val="14"/>
              </w:rPr>
              <w:t>82.1</w:t>
            </w:r>
          </w:p>
        </w:tc>
        <w:tc>
          <w:tcPr>
            <w:tcW w:w="645" w:type="dxa"/>
          </w:tcPr>
          <w:p>
            <w:pPr>
              <w:pStyle w:val="TableParagraph"/>
              <w:spacing w:line="154" w:lineRule="exact" w:before="5"/>
              <w:ind w:right="109"/>
              <w:jc w:val="right"/>
              <w:rPr>
                <w:sz w:val="14"/>
              </w:rPr>
            </w:pPr>
            <w:r>
              <w:rPr>
                <w:sz w:val="14"/>
              </w:rPr>
              <w:t>431.9</w:t>
            </w:r>
          </w:p>
        </w:tc>
        <w:tc>
          <w:tcPr>
            <w:tcW w:w="793" w:type="dxa"/>
          </w:tcPr>
          <w:p>
            <w:pPr>
              <w:pStyle w:val="TableParagraph"/>
              <w:spacing w:line="154" w:lineRule="exact" w:before="5"/>
              <w:ind w:right="110"/>
              <w:jc w:val="right"/>
              <w:rPr>
                <w:sz w:val="14"/>
              </w:rPr>
            </w:pPr>
            <w:r>
              <w:rPr>
                <w:sz w:val="14"/>
              </w:rPr>
              <w:t>900.3</w:t>
            </w:r>
          </w:p>
        </w:tc>
        <w:tc>
          <w:tcPr>
            <w:tcW w:w="859" w:type="dxa"/>
          </w:tcPr>
          <w:p>
            <w:pPr>
              <w:pStyle w:val="TableParagraph"/>
              <w:spacing w:line="154" w:lineRule="exact" w:before="5"/>
              <w:ind w:left="172"/>
              <w:rPr>
                <w:sz w:val="14"/>
              </w:rPr>
            </w:pPr>
            <w:r>
              <w:rPr>
                <w:sz w:val="14"/>
              </w:rPr>
              <w:t>1,500.7</w:t>
            </w:r>
          </w:p>
        </w:tc>
        <w:tc>
          <w:tcPr>
            <w:tcW w:w="828" w:type="dxa"/>
          </w:tcPr>
          <w:p>
            <w:pPr>
              <w:pStyle w:val="TableParagraph"/>
              <w:spacing w:line="154" w:lineRule="exact" w:before="5"/>
              <w:ind w:right="156"/>
              <w:jc w:val="right"/>
              <w:rPr>
                <w:sz w:val="14"/>
              </w:rPr>
            </w:pPr>
            <w:r>
              <w:rPr>
                <w:w w:val="95"/>
                <w:sz w:val="14"/>
              </w:rPr>
              <w:t>2,401.1</w:t>
            </w:r>
          </w:p>
        </w:tc>
        <w:tc>
          <w:tcPr>
            <w:tcW w:w="753" w:type="dxa"/>
          </w:tcPr>
          <w:p>
            <w:pPr>
              <w:pStyle w:val="TableParagraph"/>
              <w:spacing w:line="154" w:lineRule="exact" w:before="5"/>
              <w:ind w:right="109"/>
              <w:jc w:val="right"/>
              <w:rPr>
                <w:sz w:val="14"/>
              </w:rPr>
            </w:pPr>
            <w:r>
              <w:rPr>
                <w:sz w:val="14"/>
              </w:rPr>
              <w:t>157.2</w:t>
            </w:r>
          </w:p>
        </w:tc>
        <w:tc>
          <w:tcPr>
            <w:tcW w:w="726" w:type="dxa"/>
          </w:tcPr>
          <w:p>
            <w:pPr>
              <w:pStyle w:val="TableParagraph"/>
              <w:spacing w:line="154" w:lineRule="exact" w:before="5"/>
              <w:ind w:right="96"/>
              <w:jc w:val="right"/>
              <w:rPr>
                <w:sz w:val="14"/>
              </w:rPr>
            </w:pPr>
            <w:r>
              <w:rPr>
                <w:sz w:val="14"/>
              </w:rPr>
              <w:t>162.2</w:t>
            </w:r>
          </w:p>
        </w:tc>
        <w:tc>
          <w:tcPr>
            <w:tcW w:w="732" w:type="dxa"/>
          </w:tcPr>
          <w:p>
            <w:pPr>
              <w:pStyle w:val="TableParagraph"/>
              <w:spacing w:line="154" w:lineRule="exact" w:before="5"/>
              <w:ind w:right="94"/>
              <w:jc w:val="right"/>
              <w:rPr>
                <w:sz w:val="14"/>
              </w:rPr>
            </w:pPr>
            <w:r>
              <w:rPr>
                <w:sz w:val="14"/>
              </w:rPr>
              <w:t>119.7</w:t>
            </w:r>
          </w:p>
        </w:tc>
        <w:tc>
          <w:tcPr>
            <w:tcW w:w="818" w:type="dxa"/>
          </w:tcPr>
          <w:p>
            <w:pPr>
              <w:pStyle w:val="TableParagraph"/>
              <w:spacing w:line="154" w:lineRule="exact" w:before="5"/>
              <w:ind w:left="268"/>
              <w:rPr>
                <w:sz w:val="14"/>
              </w:rPr>
            </w:pPr>
            <w:r>
              <w:rPr>
                <w:sz w:val="14"/>
              </w:rPr>
              <w:t>561.8</w:t>
            </w:r>
          </w:p>
        </w:tc>
        <w:tc>
          <w:tcPr>
            <w:tcW w:w="746" w:type="dxa"/>
          </w:tcPr>
          <w:p>
            <w:pPr>
              <w:pStyle w:val="TableParagraph"/>
              <w:spacing w:line="154" w:lineRule="exact" w:before="5"/>
              <w:ind w:right="181"/>
              <w:jc w:val="right"/>
              <w:rPr>
                <w:sz w:val="14"/>
              </w:rPr>
            </w:pPr>
            <w:r>
              <w:rPr>
                <w:sz w:val="14"/>
              </w:rPr>
              <w:t>123.8</w:t>
            </w:r>
          </w:p>
        </w:tc>
        <w:tc>
          <w:tcPr>
            <w:tcW w:w="1265" w:type="dxa"/>
          </w:tcPr>
          <w:p>
            <w:pPr>
              <w:pStyle w:val="TableParagraph"/>
              <w:spacing w:line="154" w:lineRule="exact" w:before="5"/>
              <w:ind w:left="268"/>
              <w:rPr>
                <w:sz w:val="14"/>
              </w:rPr>
            </w:pPr>
            <w:r>
              <w:rPr>
                <w:sz w:val="14"/>
              </w:rPr>
              <w:t>4,368.9</w:t>
            </w:r>
          </w:p>
        </w:tc>
      </w:tr>
      <w:tr>
        <w:trPr>
          <w:trHeight w:val="180" w:hRule="atLeast"/>
        </w:trPr>
        <w:tc>
          <w:tcPr>
            <w:tcW w:w="194" w:type="dxa"/>
          </w:tcPr>
          <w:p>
            <w:pPr>
              <w:pStyle w:val="TableParagraph"/>
              <w:spacing w:line="152" w:lineRule="exact" w:before="8"/>
              <w:ind w:left="1"/>
              <w:rPr>
                <w:b/>
                <w:sz w:val="14"/>
              </w:rPr>
            </w:pPr>
            <w:r>
              <w:rPr>
                <w:b/>
                <w:sz w:val="14"/>
              </w:rPr>
              <w:t>10</w:t>
            </w:r>
          </w:p>
        </w:tc>
        <w:tc>
          <w:tcPr>
            <w:tcW w:w="2328" w:type="dxa"/>
          </w:tcPr>
          <w:p>
            <w:pPr>
              <w:pStyle w:val="TableParagraph"/>
              <w:spacing w:line="152" w:lineRule="exact" w:before="8"/>
              <w:ind w:left="32"/>
              <w:rPr>
                <w:b/>
                <w:sz w:val="14"/>
              </w:rPr>
            </w:pPr>
            <w:r>
              <w:rPr>
                <w:b/>
                <w:sz w:val="14"/>
              </w:rPr>
              <w:t>Monthly National Cleaning</w:t>
            </w:r>
          </w:p>
        </w:tc>
        <w:tc>
          <w:tcPr>
            <w:tcW w:w="957" w:type="dxa"/>
          </w:tcPr>
          <w:p>
            <w:pPr>
              <w:pStyle w:val="TableParagraph"/>
              <w:spacing w:line="152" w:lineRule="exact" w:before="8"/>
              <w:ind w:left="205"/>
              <w:rPr>
                <w:b/>
                <w:sz w:val="14"/>
              </w:rPr>
            </w:pPr>
            <w:r>
              <w:rPr>
                <w:b/>
                <w:sz w:val="14"/>
              </w:rPr>
              <w:t>38,800.0</w:t>
            </w:r>
          </w:p>
        </w:tc>
        <w:tc>
          <w:tcPr>
            <w:tcW w:w="1789" w:type="dxa"/>
          </w:tcPr>
          <w:p>
            <w:pPr>
              <w:pStyle w:val="TableParagraph"/>
              <w:spacing w:line="152" w:lineRule="exact" w:before="8"/>
              <w:ind w:left="317"/>
              <w:rPr>
                <w:sz w:val="14"/>
              </w:rPr>
            </w:pPr>
            <w:r>
              <w:rPr>
                <w:sz w:val="14"/>
              </w:rPr>
              <w:t>Tonkolili District</w:t>
            </w:r>
          </w:p>
        </w:tc>
        <w:tc>
          <w:tcPr>
            <w:tcW w:w="616" w:type="dxa"/>
          </w:tcPr>
          <w:p>
            <w:pPr>
              <w:pStyle w:val="TableParagraph"/>
              <w:spacing w:line="152" w:lineRule="exact" w:before="8"/>
              <w:ind w:left="-11" w:right="122"/>
              <w:jc w:val="right"/>
              <w:rPr>
                <w:sz w:val="14"/>
              </w:rPr>
            </w:pPr>
            <w:r>
              <w:rPr>
                <w:sz w:val="14"/>
              </w:rPr>
              <w:t>488.3</w:t>
            </w:r>
          </w:p>
        </w:tc>
        <w:tc>
          <w:tcPr>
            <w:tcW w:w="758" w:type="dxa"/>
          </w:tcPr>
          <w:p>
            <w:pPr>
              <w:pStyle w:val="TableParagraph"/>
              <w:spacing w:line="152" w:lineRule="exact" w:before="8"/>
              <w:ind w:left="231"/>
              <w:rPr>
                <w:sz w:val="14"/>
              </w:rPr>
            </w:pPr>
            <w:r>
              <w:rPr>
                <w:sz w:val="14"/>
              </w:rPr>
              <w:t>129.7</w:t>
            </w:r>
          </w:p>
        </w:tc>
        <w:tc>
          <w:tcPr>
            <w:tcW w:w="645" w:type="dxa"/>
          </w:tcPr>
          <w:p>
            <w:pPr>
              <w:pStyle w:val="TableParagraph"/>
              <w:spacing w:line="152" w:lineRule="exact" w:before="8"/>
              <w:ind w:right="113"/>
              <w:jc w:val="right"/>
              <w:rPr>
                <w:sz w:val="14"/>
              </w:rPr>
            </w:pPr>
            <w:r>
              <w:rPr>
                <w:sz w:val="14"/>
              </w:rPr>
              <w:t>529.6</w:t>
            </w:r>
          </w:p>
        </w:tc>
        <w:tc>
          <w:tcPr>
            <w:tcW w:w="793" w:type="dxa"/>
          </w:tcPr>
          <w:p>
            <w:pPr>
              <w:pStyle w:val="TableParagraph"/>
              <w:spacing w:line="152" w:lineRule="exact" w:before="8"/>
              <w:ind w:right="110"/>
              <w:jc w:val="right"/>
              <w:rPr>
                <w:sz w:val="14"/>
              </w:rPr>
            </w:pPr>
            <w:r>
              <w:rPr>
                <w:sz w:val="14"/>
              </w:rPr>
              <w:t>894.0</w:t>
            </w:r>
          </w:p>
        </w:tc>
        <w:tc>
          <w:tcPr>
            <w:tcW w:w="859" w:type="dxa"/>
          </w:tcPr>
          <w:p>
            <w:pPr>
              <w:pStyle w:val="TableParagraph"/>
              <w:spacing w:line="152" w:lineRule="exact" w:before="8"/>
              <w:ind w:left="152"/>
              <w:rPr>
                <w:sz w:val="14"/>
              </w:rPr>
            </w:pPr>
            <w:r>
              <w:rPr>
                <w:sz w:val="14"/>
              </w:rPr>
              <w:t>1,785 .8</w:t>
            </w:r>
          </w:p>
        </w:tc>
        <w:tc>
          <w:tcPr>
            <w:tcW w:w="828" w:type="dxa"/>
          </w:tcPr>
          <w:p>
            <w:pPr>
              <w:pStyle w:val="TableParagraph"/>
              <w:spacing w:line="152" w:lineRule="exact" w:before="8"/>
              <w:ind w:right="156"/>
              <w:jc w:val="right"/>
              <w:rPr>
                <w:sz w:val="14"/>
              </w:rPr>
            </w:pPr>
            <w:r>
              <w:rPr>
                <w:w w:val="95"/>
                <w:sz w:val="14"/>
              </w:rPr>
              <w:t>2,679.8</w:t>
            </w:r>
          </w:p>
        </w:tc>
        <w:tc>
          <w:tcPr>
            <w:tcW w:w="753" w:type="dxa"/>
          </w:tcPr>
          <w:p>
            <w:pPr>
              <w:pStyle w:val="TableParagraph"/>
              <w:spacing w:line="152" w:lineRule="exact" w:before="8"/>
              <w:ind w:right="109"/>
              <w:jc w:val="right"/>
              <w:rPr>
                <w:sz w:val="14"/>
              </w:rPr>
            </w:pPr>
            <w:r>
              <w:rPr>
                <w:sz w:val="14"/>
              </w:rPr>
              <w:t>208.4</w:t>
            </w:r>
          </w:p>
        </w:tc>
        <w:tc>
          <w:tcPr>
            <w:tcW w:w="726" w:type="dxa"/>
          </w:tcPr>
          <w:p>
            <w:pPr>
              <w:pStyle w:val="TableParagraph"/>
              <w:spacing w:line="152" w:lineRule="exact" w:before="8"/>
              <w:ind w:right="96"/>
              <w:jc w:val="right"/>
              <w:rPr>
                <w:sz w:val="14"/>
              </w:rPr>
            </w:pPr>
            <w:r>
              <w:rPr>
                <w:sz w:val="14"/>
              </w:rPr>
              <w:t>214.2</w:t>
            </w:r>
          </w:p>
        </w:tc>
        <w:tc>
          <w:tcPr>
            <w:tcW w:w="732" w:type="dxa"/>
          </w:tcPr>
          <w:p>
            <w:pPr>
              <w:pStyle w:val="TableParagraph"/>
              <w:spacing w:line="152" w:lineRule="exact" w:before="8"/>
              <w:ind w:right="76"/>
              <w:jc w:val="right"/>
              <w:rPr>
                <w:sz w:val="14"/>
              </w:rPr>
            </w:pPr>
            <w:r>
              <w:rPr>
                <w:w w:val="99"/>
                <w:sz w:val="14"/>
              </w:rPr>
              <w:t>-</w:t>
            </w:r>
          </w:p>
        </w:tc>
        <w:tc>
          <w:tcPr>
            <w:tcW w:w="818" w:type="dxa"/>
          </w:tcPr>
          <w:p>
            <w:pPr>
              <w:pStyle w:val="TableParagraph"/>
              <w:spacing w:line="152" w:lineRule="exact" w:before="8"/>
              <w:ind w:left="268"/>
              <w:rPr>
                <w:sz w:val="14"/>
              </w:rPr>
            </w:pPr>
            <w:r>
              <w:rPr>
                <w:sz w:val="14"/>
              </w:rPr>
              <w:t>780.4</w:t>
            </w:r>
          </w:p>
        </w:tc>
        <w:tc>
          <w:tcPr>
            <w:tcW w:w="746" w:type="dxa"/>
          </w:tcPr>
          <w:p>
            <w:pPr>
              <w:pStyle w:val="TableParagraph"/>
              <w:spacing w:line="152" w:lineRule="exact" w:before="8"/>
              <w:ind w:right="185"/>
              <w:jc w:val="right"/>
              <w:rPr>
                <w:sz w:val="14"/>
              </w:rPr>
            </w:pPr>
            <w:r>
              <w:rPr>
                <w:sz w:val="14"/>
              </w:rPr>
              <w:t>156.1</w:t>
            </w:r>
          </w:p>
        </w:tc>
        <w:tc>
          <w:tcPr>
            <w:tcW w:w="1265" w:type="dxa"/>
          </w:tcPr>
          <w:p>
            <w:pPr>
              <w:pStyle w:val="TableParagraph"/>
              <w:spacing w:line="152" w:lineRule="exact" w:before="8"/>
              <w:ind w:left="268"/>
              <w:rPr>
                <w:sz w:val="14"/>
              </w:rPr>
            </w:pPr>
            <w:r>
              <w:rPr>
                <w:sz w:val="14"/>
              </w:rPr>
              <w:t>5,186.5</w:t>
            </w:r>
          </w:p>
        </w:tc>
      </w:tr>
      <w:tr>
        <w:trPr>
          <w:trHeight w:val="180" w:hRule="atLeast"/>
        </w:trPr>
        <w:tc>
          <w:tcPr>
            <w:tcW w:w="194" w:type="dxa"/>
          </w:tcPr>
          <w:p>
            <w:pPr>
              <w:pStyle w:val="TableParagraph"/>
              <w:rPr>
                <w:rFonts w:ascii="Times New Roman"/>
                <w:sz w:val="12"/>
              </w:rPr>
            </w:pPr>
          </w:p>
        </w:tc>
        <w:tc>
          <w:tcPr>
            <w:tcW w:w="2328" w:type="dxa"/>
          </w:tcPr>
          <w:p>
            <w:pPr>
              <w:pStyle w:val="TableParagraph"/>
              <w:spacing w:line="154" w:lineRule="exact" w:before="5"/>
              <w:ind w:left="32"/>
              <w:rPr>
                <w:b/>
                <w:sz w:val="14"/>
              </w:rPr>
            </w:pPr>
            <w:r>
              <w:rPr>
                <w:b/>
                <w:sz w:val="14"/>
              </w:rPr>
              <w:t>Exercise</w:t>
            </w:r>
          </w:p>
        </w:tc>
        <w:tc>
          <w:tcPr>
            <w:tcW w:w="957" w:type="dxa"/>
          </w:tcPr>
          <w:p>
            <w:pPr>
              <w:pStyle w:val="TableParagraph"/>
              <w:rPr>
                <w:rFonts w:ascii="Times New Roman"/>
                <w:sz w:val="12"/>
              </w:rPr>
            </w:pPr>
          </w:p>
        </w:tc>
        <w:tc>
          <w:tcPr>
            <w:tcW w:w="1789" w:type="dxa"/>
          </w:tcPr>
          <w:p>
            <w:pPr>
              <w:pStyle w:val="TableParagraph"/>
              <w:rPr>
                <w:rFonts w:ascii="Times New Roman"/>
                <w:sz w:val="12"/>
              </w:rPr>
            </w:pPr>
          </w:p>
        </w:tc>
        <w:tc>
          <w:tcPr>
            <w:tcW w:w="616" w:type="dxa"/>
          </w:tcPr>
          <w:p>
            <w:pPr>
              <w:pStyle w:val="TableParagraph"/>
              <w:rPr>
                <w:rFonts w:ascii="Times New Roman"/>
                <w:sz w:val="12"/>
              </w:rPr>
            </w:pPr>
          </w:p>
        </w:tc>
        <w:tc>
          <w:tcPr>
            <w:tcW w:w="758" w:type="dxa"/>
          </w:tcPr>
          <w:p>
            <w:pPr>
              <w:pStyle w:val="TableParagraph"/>
              <w:rPr>
                <w:rFonts w:ascii="Times New Roman"/>
                <w:sz w:val="12"/>
              </w:rPr>
            </w:pPr>
          </w:p>
        </w:tc>
        <w:tc>
          <w:tcPr>
            <w:tcW w:w="645" w:type="dxa"/>
          </w:tcPr>
          <w:p>
            <w:pPr>
              <w:pStyle w:val="TableParagraph"/>
              <w:rPr>
                <w:rFonts w:ascii="Times New Roman"/>
                <w:sz w:val="12"/>
              </w:rPr>
            </w:pPr>
          </w:p>
        </w:tc>
        <w:tc>
          <w:tcPr>
            <w:tcW w:w="793" w:type="dxa"/>
          </w:tcPr>
          <w:p>
            <w:pPr>
              <w:pStyle w:val="TableParagraph"/>
              <w:rPr>
                <w:rFonts w:ascii="Times New Roman"/>
                <w:sz w:val="12"/>
              </w:rPr>
            </w:pPr>
          </w:p>
        </w:tc>
        <w:tc>
          <w:tcPr>
            <w:tcW w:w="859" w:type="dxa"/>
          </w:tcPr>
          <w:p>
            <w:pPr>
              <w:pStyle w:val="TableParagraph"/>
              <w:rPr>
                <w:rFonts w:ascii="Times New Roman"/>
                <w:sz w:val="12"/>
              </w:rPr>
            </w:pPr>
          </w:p>
        </w:tc>
        <w:tc>
          <w:tcPr>
            <w:tcW w:w="828" w:type="dxa"/>
          </w:tcPr>
          <w:p>
            <w:pPr>
              <w:pStyle w:val="TableParagraph"/>
              <w:rPr>
                <w:rFonts w:ascii="Times New Roman"/>
                <w:sz w:val="12"/>
              </w:rPr>
            </w:pPr>
          </w:p>
        </w:tc>
        <w:tc>
          <w:tcPr>
            <w:tcW w:w="753" w:type="dxa"/>
          </w:tcPr>
          <w:p>
            <w:pPr>
              <w:pStyle w:val="TableParagraph"/>
              <w:rPr>
                <w:rFonts w:ascii="Times New Roman"/>
                <w:sz w:val="12"/>
              </w:rPr>
            </w:pPr>
          </w:p>
        </w:tc>
        <w:tc>
          <w:tcPr>
            <w:tcW w:w="726" w:type="dxa"/>
          </w:tcPr>
          <w:p>
            <w:pPr>
              <w:pStyle w:val="TableParagraph"/>
              <w:rPr>
                <w:rFonts w:ascii="Times New Roman"/>
                <w:sz w:val="12"/>
              </w:rPr>
            </w:pPr>
          </w:p>
        </w:tc>
        <w:tc>
          <w:tcPr>
            <w:tcW w:w="732" w:type="dxa"/>
          </w:tcPr>
          <w:p>
            <w:pPr>
              <w:pStyle w:val="TableParagraph"/>
              <w:rPr>
                <w:rFonts w:ascii="Times New Roman"/>
                <w:sz w:val="12"/>
              </w:rPr>
            </w:pPr>
          </w:p>
        </w:tc>
        <w:tc>
          <w:tcPr>
            <w:tcW w:w="818" w:type="dxa"/>
          </w:tcPr>
          <w:p>
            <w:pPr>
              <w:pStyle w:val="TableParagraph"/>
              <w:rPr>
                <w:rFonts w:ascii="Times New Roman"/>
                <w:sz w:val="12"/>
              </w:rPr>
            </w:pPr>
          </w:p>
        </w:tc>
        <w:tc>
          <w:tcPr>
            <w:tcW w:w="746" w:type="dxa"/>
          </w:tcPr>
          <w:p>
            <w:pPr>
              <w:pStyle w:val="TableParagraph"/>
              <w:rPr>
                <w:rFonts w:ascii="Times New Roman"/>
                <w:sz w:val="12"/>
              </w:rPr>
            </w:pPr>
          </w:p>
        </w:tc>
        <w:tc>
          <w:tcPr>
            <w:tcW w:w="1265" w:type="dxa"/>
          </w:tcPr>
          <w:p>
            <w:pPr>
              <w:pStyle w:val="TableParagraph"/>
              <w:rPr>
                <w:rFonts w:ascii="Times New Roman"/>
                <w:sz w:val="12"/>
              </w:rPr>
            </w:pPr>
          </w:p>
        </w:tc>
      </w:tr>
      <w:tr>
        <w:trPr>
          <w:trHeight w:val="360" w:hRule="atLeast"/>
        </w:trPr>
        <w:tc>
          <w:tcPr>
            <w:tcW w:w="5268" w:type="dxa"/>
            <w:gridSpan w:val="4"/>
          </w:tcPr>
          <w:p>
            <w:pPr>
              <w:pStyle w:val="TableParagraph"/>
              <w:spacing w:before="8"/>
              <w:ind w:right="587"/>
              <w:jc w:val="right"/>
              <w:rPr>
                <w:sz w:val="14"/>
              </w:rPr>
            </w:pPr>
            <w:r>
              <w:rPr>
                <w:sz w:val="14"/>
              </w:rPr>
              <w:t>Western Area</w:t>
            </w:r>
          </w:p>
          <w:p>
            <w:pPr>
              <w:pStyle w:val="TableParagraph"/>
              <w:spacing w:line="154" w:lineRule="exact" w:before="16"/>
              <w:ind w:right="1007"/>
              <w:jc w:val="right"/>
              <w:rPr>
                <w:sz w:val="14"/>
              </w:rPr>
            </w:pPr>
            <w:r>
              <w:rPr>
                <w:w w:val="95"/>
                <w:sz w:val="14"/>
              </w:rPr>
              <w:t>District</w:t>
            </w:r>
          </w:p>
        </w:tc>
        <w:tc>
          <w:tcPr>
            <w:tcW w:w="616" w:type="dxa"/>
          </w:tcPr>
          <w:p>
            <w:pPr>
              <w:pStyle w:val="TableParagraph"/>
              <w:spacing w:before="8"/>
              <w:ind w:left="-11" w:right="127"/>
              <w:jc w:val="right"/>
              <w:rPr>
                <w:sz w:val="14"/>
              </w:rPr>
            </w:pPr>
            <w:r>
              <w:rPr>
                <w:sz w:val="14"/>
              </w:rPr>
              <w:t>430.5</w:t>
            </w:r>
          </w:p>
        </w:tc>
        <w:tc>
          <w:tcPr>
            <w:tcW w:w="758" w:type="dxa"/>
          </w:tcPr>
          <w:p>
            <w:pPr>
              <w:pStyle w:val="TableParagraph"/>
              <w:spacing w:before="8"/>
              <w:ind w:left="231"/>
              <w:rPr>
                <w:sz w:val="14"/>
              </w:rPr>
            </w:pPr>
            <w:r>
              <w:rPr>
                <w:sz w:val="14"/>
              </w:rPr>
              <w:t>119.4</w:t>
            </w:r>
          </w:p>
        </w:tc>
        <w:tc>
          <w:tcPr>
            <w:tcW w:w="645" w:type="dxa"/>
          </w:tcPr>
          <w:p>
            <w:pPr>
              <w:pStyle w:val="TableParagraph"/>
              <w:spacing w:before="8"/>
              <w:ind w:right="109"/>
              <w:jc w:val="right"/>
              <w:rPr>
                <w:sz w:val="14"/>
              </w:rPr>
            </w:pPr>
            <w:r>
              <w:rPr>
                <w:sz w:val="14"/>
              </w:rPr>
              <w:t>404.7</w:t>
            </w:r>
          </w:p>
        </w:tc>
        <w:tc>
          <w:tcPr>
            <w:tcW w:w="793" w:type="dxa"/>
          </w:tcPr>
          <w:p>
            <w:pPr>
              <w:pStyle w:val="TableParagraph"/>
              <w:spacing w:before="8"/>
              <w:ind w:right="110"/>
              <w:jc w:val="right"/>
              <w:rPr>
                <w:sz w:val="14"/>
              </w:rPr>
            </w:pPr>
            <w:r>
              <w:rPr>
                <w:sz w:val="14"/>
              </w:rPr>
              <w:t>816.9</w:t>
            </w:r>
          </w:p>
        </w:tc>
        <w:tc>
          <w:tcPr>
            <w:tcW w:w="1687" w:type="dxa"/>
            <w:gridSpan w:val="2"/>
          </w:tcPr>
          <w:p>
            <w:pPr>
              <w:pStyle w:val="TableParagraph"/>
              <w:tabs>
                <w:tab w:pos="1167" w:val="left" w:leader="none"/>
              </w:tabs>
              <w:spacing w:before="8"/>
              <w:ind w:left="652"/>
              <w:rPr>
                <w:sz w:val="14"/>
              </w:rPr>
            </w:pPr>
            <w:r>
              <w:rPr>
                <w:sz w:val="14"/>
              </w:rPr>
              <w:t>-</w:t>
              <w:tab/>
            </w:r>
            <w:r>
              <w:rPr>
                <w:spacing w:val="3"/>
                <w:sz w:val="14"/>
              </w:rPr>
              <w:t>816.9</w:t>
            </w:r>
          </w:p>
        </w:tc>
        <w:tc>
          <w:tcPr>
            <w:tcW w:w="753" w:type="dxa"/>
          </w:tcPr>
          <w:p>
            <w:pPr>
              <w:pStyle w:val="TableParagraph"/>
              <w:spacing w:before="8"/>
              <w:ind w:right="104"/>
              <w:jc w:val="right"/>
              <w:rPr>
                <w:sz w:val="14"/>
              </w:rPr>
            </w:pPr>
            <w:r>
              <w:rPr>
                <w:sz w:val="14"/>
              </w:rPr>
              <w:t>51.9</w:t>
            </w:r>
          </w:p>
        </w:tc>
        <w:tc>
          <w:tcPr>
            <w:tcW w:w="726" w:type="dxa"/>
          </w:tcPr>
          <w:p>
            <w:pPr>
              <w:pStyle w:val="TableParagraph"/>
              <w:spacing w:before="8"/>
              <w:ind w:right="96"/>
              <w:jc w:val="right"/>
              <w:rPr>
                <w:sz w:val="14"/>
              </w:rPr>
            </w:pPr>
            <w:r>
              <w:rPr>
                <w:sz w:val="14"/>
              </w:rPr>
              <w:t>172.0</w:t>
            </w:r>
          </w:p>
        </w:tc>
        <w:tc>
          <w:tcPr>
            <w:tcW w:w="732" w:type="dxa"/>
          </w:tcPr>
          <w:p>
            <w:pPr>
              <w:pStyle w:val="TableParagraph"/>
              <w:spacing w:before="8"/>
              <w:ind w:right="88"/>
              <w:jc w:val="right"/>
              <w:rPr>
                <w:sz w:val="14"/>
              </w:rPr>
            </w:pPr>
            <w:r>
              <w:rPr>
                <w:sz w:val="14"/>
              </w:rPr>
              <w:t>53.9</w:t>
            </w:r>
          </w:p>
        </w:tc>
        <w:tc>
          <w:tcPr>
            <w:tcW w:w="818" w:type="dxa"/>
          </w:tcPr>
          <w:p>
            <w:pPr>
              <w:pStyle w:val="TableParagraph"/>
              <w:spacing w:before="8"/>
              <w:ind w:left="268"/>
              <w:rPr>
                <w:sz w:val="14"/>
              </w:rPr>
            </w:pPr>
            <w:r>
              <w:rPr>
                <w:sz w:val="14"/>
              </w:rPr>
              <w:t>844.3</w:t>
            </w:r>
          </w:p>
        </w:tc>
        <w:tc>
          <w:tcPr>
            <w:tcW w:w="746" w:type="dxa"/>
          </w:tcPr>
          <w:p>
            <w:pPr>
              <w:pStyle w:val="TableParagraph"/>
              <w:spacing w:before="8"/>
              <w:ind w:right="187"/>
              <w:jc w:val="right"/>
              <w:rPr>
                <w:sz w:val="14"/>
              </w:rPr>
            </w:pPr>
            <w:r>
              <w:rPr>
                <w:sz w:val="14"/>
              </w:rPr>
              <w:t>145.3</w:t>
            </w:r>
          </w:p>
        </w:tc>
        <w:tc>
          <w:tcPr>
            <w:tcW w:w="1265" w:type="dxa"/>
          </w:tcPr>
          <w:p>
            <w:pPr>
              <w:pStyle w:val="TableParagraph"/>
              <w:spacing w:before="8"/>
              <w:ind w:left="244"/>
              <w:rPr>
                <w:sz w:val="14"/>
              </w:rPr>
            </w:pPr>
            <w:r>
              <w:rPr>
                <w:sz w:val="14"/>
              </w:rPr>
              <w:t>3,039 .0</w:t>
            </w:r>
          </w:p>
        </w:tc>
      </w:tr>
      <w:tr>
        <w:trPr>
          <w:trHeight w:val="360" w:hRule="atLeast"/>
        </w:trPr>
        <w:tc>
          <w:tcPr>
            <w:tcW w:w="5268" w:type="dxa"/>
            <w:gridSpan w:val="4"/>
          </w:tcPr>
          <w:p>
            <w:pPr>
              <w:pStyle w:val="TableParagraph"/>
              <w:spacing w:before="8"/>
              <w:ind w:right="539"/>
              <w:jc w:val="right"/>
              <w:rPr>
                <w:sz w:val="14"/>
              </w:rPr>
            </w:pPr>
            <w:r>
              <w:rPr>
                <w:sz w:val="14"/>
              </w:rPr>
              <w:t>Port Loko City</w:t>
            </w:r>
          </w:p>
          <w:p>
            <w:pPr>
              <w:pStyle w:val="TableParagraph"/>
              <w:spacing w:line="154" w:lineRule="exact" w:before="16"/>
              <w:ind w:right="962"/>
              <w:jc w:val="right"/>
              <w:rPr>
                <w:sz w:val="14"/>
              </w:rPr>
            </w:pPr>
            <w:r>
              <w:rPr>
                <w:sz w:val="14"/>
              </w:rPr>
              <w:t>Council</w:t>
            </w:r>
          </w:p>
        </w:tc>
        <w:tc>
          <w:tcPr>
            <w:tcW w:w="616" w:type="dxa"/>
          </w:tcPr>
          <w:p>
            <w:pPr>
              <w:pStyle w:val="TableParagraph"/>
              <w:spacing w:before="8"/>
              <w:ind w:left="-11" w:right="127"/>
              <w:jc w:val="right"/>
              <w:rPr>
                <w:sz w:val="14"/>
              </w:rPr>
            </w:pPr>
            <w:r>
              <w:rPr>
                <w:sz w:val="14"/>
              </w:rPr>
              <w:t>228.0</w:t>
            </w:r>
          </w:p>
        </w:tc>
        <w:tc>
          <w:tcPr>
            <w:tcW w:w="758" w:type="dxa"/>
          </w:tcPr>
          <w:p>
            <w:pPr>
              <w:pStyle w:val="TableParagraph"/>
              <w:spacing w:before="8"/>
              <w:ind w:left="323"/>
              <w:rPr>
                <w:sz w:val="14"/>
              </w:rPr>
            </w:pPr>
            <w:r>
              <w:rPr>
                <w:sz w:val="14"/>
              </w:rPr>
              <w:t>73.7</w:t>
            </w:r>
          </w:p>
        </w:tc>
        <w:tc>
          <w:tcPr>
            <w:tcW w:w="645" w:type="dxa"/>
          </w:tcPr>
          <w:p>
            <w:pPr>
              <w:pStyle w:val="TableParagraph"/>
              <w:spacing w:before="8"/>
              <w:ind w:right="114"/>
              <w:jc w:val="right"/>
              <w:rPr>
                <w:sz w:val="14"/>
              </w:rPr>
            </w:pPr>
            <w:r>
              <w:rPr>
                <w:sz w:val="14"/>
              </w:rPr>
              <w:t>128.0</w:t>
            </w:r>
          </w:p>
        </w:tc>
        <w:tc>
          <w:tcPr>
            <w:tcW w:w="793" w:type="dxa"/>
          </w:tcPr>
          <w:p>
            <w:pPr>
              <w:pStyle w:val="TableParagraph"/>
              <w:spacing w:before="8"/>
              <w:ind w:right="110"/>
              <w:jc w:val="right"/>
              <w:rPr>
                <w:sz w:val="14"/>
              </w:rPr>
            </w:pPr>
            <w:r>
              <w:rPr>
                <w:sz w:val="14"/>
              </w:rPr>
              <w:t>373.2</w:t>
            </w:r>
          </w:p>
        </w:tc>
        <w:tc>
          <w:tcPr>
            <w:tcW w:w="1687" w:type="dxa"/>
            <w:gridSpan w:val="2"/>
          </w:tcPr>
          <w:p>
            <w:pPr>
              <w:pStyle w:val="TableParagraph"/>
              <w:tabs>
                <w:tab w:pos="1167" w:val="left" w:leader="none"/>
              </w:tabs>
              <w:spacing w:before="8"/>
              <w:ind w:left="647"/>
              <w:rPr>
                <w:sz w:val="14"/>
              </w:rPr>
            </w:pPr>
            <w:r>
              <w:rPr>
                <w:sz w:val="14"/>
              </w:rPr>
              <w:t>-</w:t>
              <w:tab/>
            </w:r>
            <w:r>
              <w:rPr>
                <w:spacing w:val="3"/>
                <w:sz w:val="14"/>
              </w:rPr>
              <w:t>373.2</w:t>
            </w:r>
          </w:p>
        </w:tc>
        <w:tc>
          <w:tcPr>
            <w:tcW w:w="753" w:type="dxa"/>
          </w:tcPr>
          <w:p>
            <w:pPr>
              <w:pStyle w:val="TableParagraph"/>
              <w:spacing w:before="8"/>
              <w:ind w:right="97"/>
              <w:jc w:val="right"/>
              <w:rPr>
                <w:sz w:val="14"/>
              </w:rPr>
            </w:pPr>
            <w:r>
              <w:rPr>
                <w:w w:val="99"/>
                <w:sz w:val="14"/>
              </w:rPr>
              <w:t>-</w:t>
            </w:r>
          </w:p>
        </w:tc>
        <w:tc>
          <w:tcPr>
            <w:tcW w:w="726" w:type="dxa"/>
          </w:tcPr>
          <w:p>
            <w:pPr>
              <w:pStyle w:val="TableParagraph"/>
              <w:spacing w:before="8"/>
              <w:ind w:right="91"/>
              <w:jc w:val="right"/>
              <w:rPr>
                <w:sz w:val="14"/>
              </w:rPr>
            </w:pPr>
            <w:r>
              <w:rPr>
                <w:sz w:val="14"/>
              </w:rPr>
              <w:t>56.4</w:t>
            </w:r>
          </w:p>
        </w:tc>
        <w:tc>
          <w:tcPr>
            <w:tcW w:w="732" w:type="dxa"/>
          </w:tcPr>
          <w:p>
            <w:pPr>
              <w:pStyle w:val="TableParagraph"/>
              <w:spacing w:before="8"/>
              <w:ind w:right="76"/>
              <w:jc w:val="right"/>
              <w:rPr>
                <w:sz w:val="14"/>
              </w:rPr>
            </w:pPr>
            <w:r>
              <w:rPr>
                <w:w w:val="99"/>
                <w:sz w:val="14"/>
              </w:rPr>
              <w:t>-</w:t>
            </w:r>
          </w:p>
        </w:tc>
        <w:tc>
          <w:tcPr>
            <w:tcW w:w="818" w:type="dxa"/>
          </w:tcPr>
          <w:p>
            <w:pPr>
              <w:pStyle w:val="TableParagraph"/>
              <w:spacing w:before="8"/>
              <w:ind w:left="268"/>
              <w:rPr>
                <w:sz w:val="14"/>
              </w:rPr>
            </w:pPr>
            <w:r>
              <w:rPr>
                <w:sz w:val="14"/>
              </w:rPr>
              <w:t>212.4</w:t>
            </w:r>
          </w:p>
        </w:tc>
        <w:tc>
          <w:tcPr>
            <w:tcW w:w="746" w:type="dxa"/>
          </w:tcPr>
          <w:p>
            <w:pPr>
              <w:pStyle w:val="TableParagraph"/>
              <w:spacing w:before="8"/>
              <w:ind w:right="177"/>
              <w:jc w:val="right"/>
              <w:rPr>
                <w:sz w:val="14"/>
              </w:rPr>
            </w:pPr>
            <w:r>
              <w:rPr>
                <w:w w:val="95"/>
                <w:sz w:val="14"/>
              </w:rPr>
              <w:t>16.1</w:t>
            </w:r>
          </w:p>
        </w:tc>
        <w:tc>
          <w:tcPr>
            <w:tcW w:w="1265" w:type="dxa"/>
          </w:tcPr>
          <w:p>
            <w:pPr>
              <w:pStyle w:val="TableParagraph"/>
              <w:spacing w:before="8"/>
              <w:ind w:left="244"/>
              <w:rPr>
                <w:sz w:val="14"/>
              </w:rPr>
            </w:pPr>
            <w:r>
              <w:rPr>
                <w:sz w:val="14"/>
              </w:rPr>
              <w:t>1,087 .9</w:t>
            </w:r>
          </w:p>
        </w:tc>
      </w:tr>
      <w:tr>
        <w:trPr>
          <w:trHeight w:val="180" w:hRule="atLeast"/>
        </w:trPr>
        <w:tc>
          <w:tcPr>
            <w:tcW w:w="5268" w:type="dxa"/>
            <w:gridSpan w:val="4"/>
          </w:tcPr>
          <w:p>
            <w:pPr>
              <w:pStyle w:val="TableParagraph"/>
              <w:spacing w:line="152" w:lineRule="exact" w:before="8"/>
              <w:ind w:right="498"/>
              <w:jc w:val="right"/>
              <w:rPr>
                <w:sz w:val="14"/>
              </w:rPr>
            </w:pPr>
            <w:r>
              <w:rPr>
                <w:sz w:val="14"/>
              </w:rPr>
              <w:t>Karene District</w:t>
            </w:r>
          </w:p>
        </w:tc>
        <w:tc>
          <w:tcPr>
            <w:tcW w:w="616" w:type="dxa"/>
          </w:tcPr>
          <w:p>
            <w:pPr>
              <w:pStyle w:val="TableParagraph"/>
              <w:spacing w:line="152" w:lineRule="exact" w:before="8"/>
              <w:ind w:left="-11" w:right="127"/>
              <w:jc w:val="right"/>
              <w:rPr>
                <w:sz w:val="14"/>
              </w:rPr>
            </w:pPr>
            <w:r>
              <w:rPr>
                <w:sz w:val="14"/>
              </w:rPr>
              <w:t>323.0</w:t>
            </w:r>
          </w:p>
        </w:tc>
        <w:tc>
          <w:tcPr>
            <w:tcW w:w="758" w:type="dxa"/>
          </w:tcPr>
          <w:p>
            <w:pPr>
              <w:pStyle w:val="TableParagraph"/>
              <w:spacing w:line="152" w:lineRule="exact" w:before="8"/>
              <w:ind w:right="126"/>
              <w:jc w:val="right"/>
              <w:rPr>
                <w:sz w:val="14"/>
              </w:rPr>
            </w:pPr>
            <w:r>
              <w:rPr>
                <w:w w:val="99"/>
                <w:sz w:val="14"/>
              </w:rPr>
              <w:t>-</w:t>
            </w:r>
          </w:p>
        </w:tc>
        <w:tc>
          <w:tcPr>
            <w:tcW w:w="645" w:type="dxa"/>
          </w:tcPr>
          <w:p>
            <w:pPr>
              <w:pStyle w:val="TableParagraph"/>
              <w:spacing w:line="152" w:lineRule="exact" w:before="8"/>
              <w:ind w:right="113"/>
              <w:jc w:val="right"/>
              <w:rPr>
                <w:sz w:val="14"/>
              </w:rPr>
            </w:pPr>
            <w:r>
              <w:rPr>
                <w:sz w:val="14"/>
              </w:rPr>
              <w:t>423.8</w:t>
            </w:r>
          </w:p>
        </w:tc>
        <w:tc>
          <w:tcPr>
            <w:tcW w:w="793" w:type="dxa"/>
          </w:tcPr>
          <w:p>
            <w:pPr>
              <w:pStyle w:val="TableParagraph"/>
              <w:spacing w:line="152" w:lineRule="exact" w:before="8"/>
              <w:ind w:right="110"/>
              <w:jc w:val="right"/>
              <w:rPr>
                <w:sz w:val="14"/>
              </w:rPr>
            </w:pPr>
            <w:r>
              <w:rPr>
                <w:sz w:val="14"/>
              </w:rPr>
              <w:t>799.3</w:t>
            </w:r>
          </w:p>
        </w:tc>
        <w:tc>
          <w:tcPr>
            <w:tcW w:w="1687" w:type="dxa"/>
            <w:gridSpan w:val="2"/>
          </w:tcPr>
          <w:p>
            <w:pPr>
              <w:pStyle w:val="TableParagraph"/>
              <w:tabs>
                <w:tab w:pos="1167" w:val="left" w:leader="none"/>
              </w:tabs>
              <w:spacing w:line="152" w:lineRule="exact" w:before="8"/>
              <w:ind w:left="647"/>
              <w:rPr>
                <w:sz w:val="14"/>
              </w:rPr>
            </w:pPr>
            <w:r>
              <w:rPr>
                <w:sz w:val="14"/>
              </w:rPr>
              <w:t>-</w:t>
              <w:tab/>
            </w:r>
            <w:r>
              <w:rPr>
                <w:spacing w:val="3"/>
                <w:sz w:val="14"/>
              </w:rPr>
              <w:t>799.3</w:t>
            </w:r>
          </w:p>
        </w:tc>
        <w:tc>
          <w:tcPr>
            <w:tcW w:w="753" w:type="dxa"/>
          </w:tcPr>
          <w:p>
            <w:pPr>
              <w:pStyle w:val="TableParagraph"/>
              <w:spacing w:line="152" w:lineRule="exact" w:before="8"/>
              <w:ind w:right="112"/>
              <w:jc w:val="right"/>
              <w:rPr>
                <w:sz w:val="14"/>
              </w:rPr>
            </w:pPr>
            <w:r>
              <w:rPr>
                <w:sz w:val="14"/>
              </w:rPr>
              <w:t>161.0</w:t>
            </w:r>
          </w:p>
        </w:tc>
        <w:tc>
          <w:tcPr>
            <w:tcW w:w="726" w:type="dxa"/>
          </w:tcPr>
          <w:p>
            <w:pPr>
              <w:pStyle w:val="TableParagraph"/>
              <w:spacing w:line="152" w:lineRule="exact" w:before="8"/>
              <w:ind w:right="96"/>
              <w:jc w:val="right"/>
              <w:rPr>
                <w:sz w:val="14"/>
              </w:rPr>
            </w:pPr>
            <w:r>
              <w:rPr>
                <w:sz w:val="14"/>
              </w:rPr>
              <w:t>137.7</w:t>
            </w:r>
          </w:p>
        </w:tc>
        <w:tc>
          <w:tcPr>
            <w:tcW w:w="732" w:type="dxa"/>
          </w:tcPr>
          <w:p>
            <w:pPr>
              <w:pStyle w:val="TableParagraph"/>
              <w:spacing w:line="152" w:lineRule="exact" w:before="8"/>
              <w:ind w:right="76"/>
              <w:jc w:val="right"/>
              <w:rPr>
                <w:sz w:val="14"/>
              </w:rPr>
            </w:pPr>
            <w:r>
              <w:rPr>
                <w:w w:val="99"/>
                <w:sz w:val="14"/>
              </w:rPr>
              <w:t>-</w:t>
            </w:r>
          </w:p>
        </w:tc>
        <w:tc>
          <w:tcPr>
            <w:tcW w:w="818" w:type="dxa"/>
          </w:tcPr>
          <w:p>
            <w:pPr>
              <w:pStyle w:val="TableParagraph"/>
              <w:spacing w:line="152" w:lineRule="exact" w:before="8"/>
              <w:ind w:left="267"/>
              <w:rPr>
                <w:sz w:val="14"/>
              </w:rPr>
            </w:pPr>
            <w:r>
              <w:rPr>
                <w:sz w:val="14"/>
              </w:rPr>
              <w:t>506.8</w:t>
            </w:r>
          </w:p>
        </w:tc>
        <w:tc>
          <w:tcPr>
            <w:tcW w:w="746" w:type="dxa"/>
          </w:tcPr>
          <w:p>
            <w:pPr>
              <w:pStyle w:val="TableParagraph"/>
              <w:spacing w:line="152" w:lineRule="exact" w:before="8"/>
              <w:ind w:right="187"/>
              <w:jc w:val="right"/>
              <w:rPr>
                <w:sz w:val="14"/>
              </w:rPr>
            </w:pPr>
            <w:r>
              <w:rPr>
                <w:sz w:val="14"/>
              </w:rPr>
              <w:t>113.0</w:t>
            </w:r>
          </w:p>
        </w:tc>
        <w:tc>
          <w:tcPr>
            <w:tcW w:w="1265" w:type="dxa"/>
          </w:tcPr>
          <w:p>
            <w:pPr>
              <w:pStyle w:val="TableParagraph"/>
              <w:spacing w:line="152" w:lineRule="exact" w:before="8"/>
              <w:ind w:left="244"/>
              <w:rPr>
                <w:sz w:val="14"/>
              </w:rPr>
            </w:pPr>
            <w:r>
              <w:rPr>
                <w:sz w:val="14"/>
              </w:rPr>
              <w:t>2,464 .6</w:t>
            </w:r>
          </w:p>
        </w:tc>
      </w:tr>
      <w:tr>
        <w:trPr>
          <w:trHeight w:val="180" w:hRule="atLeast"/>
        </w:trPr>
        <w:tc>
          <w:tcPr>
            <w:tcW w:w="5268" w:type="dxa"/>
            <w:gridSpan w:val="4"/>
          </w:tcPr>
          <w:p>
            <w:pPr>
              <w:pStyle w:val="TableParagraph"/>
              <w:spacing w:line="154" w:lineRule="exact" w:before="5"/>
              <w:ind w:right="509"/>
              <w:jc w:val="right"/>
              <w:rPr>
                <w:sz w:val="14"/>
              </w:rPr>
            </w:pPr>
            <w:r>
              <w:rPr>
                <w:sz w:val="14"/>
              </w:rPr>
              <w:t>Falaba District</w:t>
            </w:r>
          </w:p>
        </w:tc>
        <w:tc>
          <w:tcPr>
            <w:tcW w:w="616" w:type="dxa"/>
          </w:tcPr>
          <w:p>
            <w:pPr>
              <w:pStyle w:val="TableParagraph"/>
              <w:spacing w:line="154" w:lineRule="exact" w:before="5"/>
              <w:ind w:left="-11" w:right="127"/>
              <w:jc w:val="right"/>
              <w:rPr>
                <w:sz w:val="14"/>
              </w:rPr>
            </w:pPr>
            <w:r>
              <w:rPr>
                <w:sz w:val="14"/>
              </w:rPr>
              <w:t>255.3</w:t>
            </w:r>
          </w:p>
        </w:tc>
        <w:tc>
          <w:tcPr>
            <w:tcW w:w="758" w:type="dxa"/>
          </w:tcPr>
          <w:p>
            <w:pPr>
              <w:pStyle w:val="TableParagraph"/>
              <w:spacing w:line="154" w:lineRule="exact" w:before="5"/>
              <w:ind w:right="126"/>
              <w:jc w:val="right"/>
              <w:rPr>
                <w:sz w:val="14"/>
              </w:rPr>
            </w:pPr>
            <w:r>
              <w:rPr>
                <w:w w:val="99"/>
                <w:sz w:val="14"/>
              </w:rPr>
              <w:t>-</w:t>
            </w:r>
          </w:p>
        </w:tc>
        <w:tc>
          <w:tcPr>
            <w:tcW w:w="645" w:type="dxa"/>
          </w:tcPr>
          <w:p>
            <w:pPr>
              <w:pStyle w:val="TableParagraph"/>
              <w:spacing w:line="154" w:lineRule="exact" w:before="5"/>
              <w:ind w:right="109"/>
              <w:jc w:val="right"/>
              <w:rPr>
                <w:sz w:val="14"/>
              </w:rPr>
            </w:pPr>
            <w:r>
              <w:rPr>
                <w:sz w:val="14"/>
              </w:rPr>
              <w:t>276.2</w:t>
            </w:r>
          </w:p>
        </w:tc>
        <w:tc>
          <w:tcPr>
            <w:tcW w:w="793" w:type="dxa"/>
          </w:tcPr>
          <w:p>
            <w:pPr>
              <w:pStyle w:val="TableParagraph"/>
              <w:spacing w:line="154" w:lineRule="exact" w:before="5"/>
              <w:ind w:right="109"/>
              <w:jc w:val="right"/>
              <w:rPr>
                <w:sz w:val="14"/>
              </w:rPr>
            </w:pPr>
            <w:r>
              <w:rPr>
                <w:sz w:val="14"/>
              </w:rPr>
              <w:t>666.3</w:t>
            </w:r>
          </w:p>
        </w:tc>
        <w:tc>
          <w:tcPr>
            <w:tcW w:w="1687" w:type="dxa"/>
            <w:gridSpan w:val="2"/>
          </w:tcPr>
          <w:p>
            <w:pPr>
              <w:pStyle w:val="TableParagraph"/>
              <w:tabs>
                <w:tab w:pos="1167" w:val="left" w:leader="none"/>
              </w:tabs>
              <w:spacing w:line="154" w:lineRule="exact" w:before="5"/>
              <w:ind w:left="647"/>
              <w:rPr>
                <w:sz w:val="14"/>
              </w:rPr>
            </w:pPr>
            <w:r>
              <w:rPr>
                <w:sz w:val="14"/>
              </w:rPr>
              <w:t>-</w:t>
              <w:tab/>
            </w:r>
            <w:r>
              <w:rPr>
                <w:spacing w:val="3"/>
                <w:sz w:val="14"/>
              </w:rPr>
              <w:t>666.3</w:t>
            </w:r>
          </w:p>
        </w:tc>
        <w:tc>
          <w:tcPr>
            <w:tcW w:w="753" w:type="dxa"/>
          </w:tcPr>
          <w:p>
            <w:pPr>
              <w:pStyle w:val="TableParagraph"/>
              <w:spacing w:line="154" w:lineRule="exact" w:before="5"/>
              <w:ind w:right="109"/>
              <w:jc w:val="right"/>
              <w:rPr>
                <w:sz w:val="14"/>
              </w:rPr>
            </w:pPr>
            <w:r>
              <w:rPr>
                <w:sz w:val="14"/>
              </w:rPr>
              <w:t>130.1</w:t>
            </w:r>
          </w:p>
        </w:tc>
        <w:tc>
          <w:tcPr>
            <w:tcW w:w="726" w:type="dxa"/>
          </w:tcPr>
          <w:p>
            <w:pPr>
              <w:pStyle w:val="TableParagraph"/>
              <w:spacing w:line="154" w:lineRule="exact" w:before="5"/>
              <w:ind w:right="96"/>
              <w:jc w:val="right"/>
              <w:rPr>
                <w:sz w:val="14"/>
              </w:rPr>
            </w:pPr>
            <w:r>
              <w:rPr>
                <w:sz w:val="14"/>
              </w:rPr>
              <w:t>100.3</w:t>
            </w:r>
          </w:p>
        </w:tc>
        <w:tc>
          <w:tcPr>
            <w:tcW w:w="732" w:type="dxa"/>
          </w:tcPr>
          <w:p>
            <w:pPr>
              <w:pStyle w:val="TableParagraph"/>
              <w:spacing w:line="154" w:lineRule="exact" w:before="5"/>
              <w:ind w:right="76"/>
              <w:jc w:val="right"/>
              <w:rPr>
                <w:sz w:val="14"/>
              </w:rPr>
            </w:pPr>
            <w:r>
              <w:rPr>
                <w:w w:val="99"/>
                <w:sz w:val="14"/>
              </w:rPr>
              <w:t>-</w:t>
            </w:r>
          </w:p>
        </w:tc>
        <w:tc>
          <w:tcPr>
            <w:tcW w:w="818" w:type="dxa"/>
          </w:tcPr>
          <w:p>
            <w:pPr>
              <w:pStyle w:val="TableParagraph"/>
              <w:spacing w:line="154" w:lineRule="exact" w:before="5"/>
              <w:ind w:left="268"/>
              <w:rPr>
                <w:sz w:val="14"/>
              </w:rPr>
            </w:pPr>
            <w:r>
              <w:rPr>
                <w:sz w:val="14"/>
              </w:rPr>
              <w:t>399.8</w:t>
            </w:r>
          </w:p>
        </w:tc>
        <w:tc>
          <w:tcPr>
            <w:tcW w:w="746" w:type="dxa"/>
          </w:tcPr>
          <w:p>
            <w:pPr>
              <w:pStyle w:val="TableParagraph"/>
              <w:spacing w:line="154" w:lineRule="exact" w:before="5"/>
              <w:ind w:right="116"/>
              <w:jc w:val="right"/>
              <w:rPr>
                <w:sz w:val="14"/>
              </w:rPr>
            </w:pPr>
            <w:r>
              <w:rPr>
                <w:sz w:val="14"/>
              </w:rPr>
              <w:t>96.9</w:t>
            </w:r>
          </w:p>
        </w:tc>
        <w:tc>
          <w:tcPr>
            <w:tcW w:w="1265" w:type="dxa"/>
          </w:tcPr>
          <w:p>
            <w:pPr>
              <w:pStyle w:val="TableParagraph"/>
              <w:spacing w:line="154" w:lineRule="exact" w:before="5"/>
              <w:ind w:left="244"/>
              <w:rPr>
                <w:sz w:val="14"/>
              </w:rPr>
            </w:pPr>
            <w:r>
              <w:rPr>
                <w:sz w:val="14"/>
              </w:rPr>
              <w:t>1,924 .8</w:t>
            </w:r>
          </w:p>
        </w:tc>
      </w:tr>
      <w:tr>
        <w:trPr>
          <w:trHeight w:val="360" w:hRule="atLeast"/>
        </w:trPr>
        <w:tc>
          <w:tcPr>
            <w:tcW w:w="5268" w:type="dxa"/>
            <w:gridSpan w:val="4"/>
          </w:tcPr>
          <w:p>
            <w:pPr>
              <w:pStyle w:val="TableParagraph"/>
              <w:spacing w:before="8"/>
              <w:ind w:right="502"/>
              <w:jc w:val="right"/>
              <w:rPr>
                <w:b/>
                <w:sz w:val="14"/>
              </w:rPr>
            </w:pPr>
            <w:r>
              <w:rPr>
                <w:b/>
                <w:sz w:val="14"/>
              </w:rPr>
              <w:t>Others- Direct</w:t>
            </w:r>
          </w:p>
          <w:p>
            <w:pPr>
              <w:pStyle w:val="TableParagraph"/>
              <w:spacing w:line="154" w:lineRule="exact" w:before="16"/>
              <w:ind w:right="898"/>
              <w:jc w:val="right"/>
              <w:rPr>
                <w:b/>
                <w:sz w:val="14"/>
              </w:rPr>
            </w:pPr>
            <w:r>
              <w:rPr>
                <w:b/>
                <w:sz w:val="14"/>
              </w:rPr>
              <w:t>Transfer</w:t>
            </w:r>
          </w:p>
        </w:tc>
        <w:tc>
          <w:tcPr>
            <w:tcW w:w="616" w:type="dxa"/>
          </w:tcPr>
          <w:p>
            <w:pPr>
              <w:pStyle w:val="TableParagraph"/>
              <w:rPr>
                <w:rFonts w:ascii="Times New Roman"/>
                <w:sz w:val="14"/>
              </w:rPr>
            </w:pPr>
          </w:p>
        </w:tc>
        <w:tc>
          <w:tcPr>
            <w:tcW w:w="758" w:type="dxa"/>
          </w:tcPr>
          <w:p>
            <w:pPr>
              <w:pStyle w:val="TableParagraph"/>
              <w:rPr>
                <w:rFonts w:ascii="Times New Roman"/>
                <w:sz w:val="14"/>
              </w:rPr>
            </w:pPr>
          </w:p>
        </w:tc>
        <w:tc>
          <w:tcPr>
            <w:tcW w:w="645" w:type="dxa"/>
          </w:tcPr>
          <w:p>
            <w:pPr>
              <w:pStyle w:val="TableParagraph"/>
              <w:rPr>
                <w:rFonts w:ascii="Times New Roman"/>
                <w:sz w:val="14"/>
              </w:rPr>
            </w:pPr>
          </w:p>
        </w:tc>
        <w:tc>
          <w:tcPr>
            <w:tcW w:w="793" w:type="dxa"/>
          </w:tcPr>
          <w:p>
            <w:pPr>
              <w:pStyle w:val="TableParagraph"/>
              <w:rPr>
                <w:rFonts w:ascii="Times New Roman"/>
                <w:sz w:val="14"/>
              </w:rPr>
            </w:pPr>
          </w:p>
        </w:tc>
        <w:tc>
          <w:tcPr>
            <w:tcW w:w="1687" w:type="dxa"/>
            <w:gridSpan w:val="2"/>
          </w:tcPr>
          <w:p>
            <w:pPr>
              <w:pStyle w:val="TableParagraph"/>
              <w:rPr>
                <w:rFonts w:ascii="Times New Roman"/>
                <w:sz w:val="14"/>
              </w:rPr>
            </w:pPr>
          </w:p>
        </w:tc>
        <w:tc>
          <w:tcPr>
            <w:tcW w:w="753" w:type="dxa"/>
          </w:tcPr>
          <w:p>
            <w:pPr>
              <w:pStyle w:val="TableParagraph"/>
              <w:rPr>
                <w:rFonts w:ascii="Times New Roman"/>
                <w:sz w:val="14"/>
              </w:rPr>
            </w:pPr>
          </w:p>
        </w:tc>
        <w:tc>
          <w:tcPr>
            <w:tcW w:w="726" w:type="dxa"/>
          </w:tcPr>
          <w:p>
            <w:pPr>
              <w:pStyle w:val="TableParagraph"/>
              <w:rPr>
                <w:rFonts w:ascii="Times New Roman"/>
                <w:sz w:val="14"/>
              </w:rPr>
            </w:pPr>
          </w:p>
        </w:tc>
        <w:tc>
          <w:tcPr>
            <w:tcW w:w="732" w:type="dxa"/>
          </w:tcPr>
          <w:p>
            <w:pPr>
              <w:pStyle w:val="TableParagraph"/>
              <w:rPr>
                <w:rFonts w:ascii="Times New Roman"/>
                <w:sz w:val="14"/>
              </w:rPr>
            </w:pPr>
          </w:p>
        </w:tc>
        <w:tc>
          <w:tcPr>
            <w:tcW w:w="818" w:type="dxa"/>
          </w:tcPr>
          <w:p>
            <w:pPr>
              <w:pStyle w:val="TableParagraph"/>
              <w:rPr>
                <w:rFonts w:ascii="Times New Roman"/>
                <w:sz w:val="14"/>
              </w:rPr>
            </w:pPr>
          </w:p>
        </w:tc>
        <w:tc>
          <w:tcPr>
            <w:tcW w:w="746" w:type="dxa"/>
          </w:tcPr>
          <w:p>
            <w:pPr>
              <w:pStyle w:val="TableParagraph"/>
              <w:rPr>
                <w:rFonts w:ascii="Times New Roman"/>
                <w:sz w:val="14"/>
              </w:rPr>
            </w:pPr>
          </w:p>
        </w:tc>
        <w:tc>
          <w:tcPr>
            <w:tcW w:w="1265" w:type="dxa"/>
          </w:tcPr>
          <w:p>
            <w:pPr>
              <w:pStyle w:val="TableParagraph"/>
              <w:spacing w:before="8"/>
              <w:ind w:left="187"/>
              <w:rPr>
                <w:b/>
                <w:sz w:val="14"/>
              </w:rPr>
            </w:pPr>
            <w:r>
              <w:rPr>
                <w:b/>
                <w:sz w:val="14"/>
              </w:rPr>
              <w:t>38,800.0</w:t>
            </w:r>
          </w:p>
        </w:tc>
      </w:tr>
      <w:tr>
        <w:trPr>
          <w:trHeight w:val="203" w:hRule="atLeast"/>
        </w:trPr>
        <w:tc>
          <w:tcPr>
            <w:tcW w:w="5268" w:type="dxa"/>
            <w:gridSpan w:val="4"/>
          </w:tcPr>
          <w:p>
            <w:pPr>
              <w:pStyle w:val="TableParagraph"/>
              <w:spacing w:before="8"/>
              <w:ind w:right="-15"/>
              <w:jc w:val="right"/>
              <w:rPr>
                <w:sz w:val="14"/>
              </w:rPr>
            </w:pPr>
            <w:r>
              <w:rPr>
                <w:sz w:val="14"/>
              </w:rPr>
              <w:t>National Cleaning Exercise</w:t>
            </w:r>
          </w:p>
        </w:tc>
        <w:tc>
          <w:tcPr>
            <w:tcW w:w="616" w:type="dxa"/>
          </w:tcPr>
          <w:p>
            <w:pPr>
              <w:pStyle w:val="TableParagraph"/>
              <w:rPr>
                <w:rFonts w:ascii="Times New Roman"/>
                <w:sz w:val="14"/>
              </w:rPr>
            </w:pPr>
          </w:p>
        </w:tc>
        <w:tc>
          <w:tcPr>
            <w:tcW w:w="758" w:type="dxa"/>
          </w:tcPr>
          <w:p>
            <w:pPr>
              <w:pStyle w:val="TableParagraph"/>
              <w:rPr>
                <w:rFonts w:ascii="Times New Roman"/>
                <w:sz w:val="14"/>
              </w:rPr>
            </w:pPr>
          </w:p>
        </w:tc>
        <w:tc>
          <w:tcPr>
            <w:tcW w:w="645" w:type="dxa"/>
          </w:tcPr>
          <w:p>
            <w:pPr>
              <w:pStyle w:val="TableParagraph"/>
              <w:rPr>
                <w:rFonts w:ascii="Times New Roman"/>
                <w:sz w:val="14"/>
              </w:rPr>
            </w:pPr>
          </w:p>
        </w:tc>
        <w:tc>
          <w:tcPr>
            <w:tcW w:w="793" w:type="dxa"/>
          </w:tcPr>
          <w:p>
            <w:pPr>
              <w:pStyle w:val="TableParagraph"/>
              <w:rPr>
                <w:rFonts w:ascii="Times New Roman"/>
                <w:sz w:val="14"/>
              </w:rPr>
            </w:pPr>
          </w:p>
        </w:tc>
        <w:tc>
          <w:tcPr>
            <w:tcW w:w="1687" w:type="dxa"/>
            <w:gridSpan w:val="2"/>
          </w:tcPr>
          <w:p>
            <w:pPr>
              <w:pStyle w:val="TableParagraph"/>
              <w:rPr>
                <w:rFonts w:ascii="Times New Roman"/>
                <w:sz w:val="14"/>
              </w:rPr>
            </w:pPr>
          </w:p>
        </w:tc>
        <w:tc>
          <w:tcPr>
            <w:tcW w:w="753" w:type="dxa"/>
          </w:tcPr>
          <w:p>
            <w:pPr>
              <w:pStyle w:val="TableParagraph"/>
              <w:rPr>
                <w:rFonts w:ascii="Times New Roman"/>
                <w:sz w:val="14"/>
              </w:rPr>
            </w:pPr>
          </w:p>
        </w:tc>
        <w:tc>
          <w:tcPr>
            <w:tcW w:w="726" w:type="dxa"/>
          </w:tcPr>
          <w:p>
            <w:pPr>
              <w:pStyle w:val="TableParagraph"/>
              <w:rPr>
                <w:rFonts w:ascii="Times New Roman"/>
                <w:sz w:val="14"/>
              </w:rPr>
            </w:pPr>
          </w:p>
        </w:tc>
        <w:tc>
          <w:tcPr>
            <w:tcW w:w="732" w:type="dxa"/>
          </w:tcPr>
          <w:p>
            <w:pPr>
              <w:pStyle w:val="TableParagraph"/>
              <w:rPr>
                <w:rFonts w:ascii="Times New Roman"/>
                <w:sz w:val="14"/>
              </w:rPr>
            </w:pPr>
          </w:p>
        </w:tc>
        <w:tc>
          <w:tcPr>
            <w:tcW w:w="818" w:type="dxa"/>
          </w:tcPr>
          <w:p>
            <w:pPr>
              <w:pStyle w:val="TableParagraph"/>
              <w:rPr>
                <w:rFonts w:ascii="Times New Roman"/>
                <w:sz w:val="14"/>
              </w:rPr>
            </w:pPr>
          </w:p>
        </w:tc>
        <w:tc>
          <w:tcPr>
            <w:tcW w:w="746" w:type="dxa"/>
          </w:tcPr>
          <w:p>
            <w:pPr>
              <w:pStyle w:val="TableParagraph"/>
              <w:rPr>
                <w:rFonts w:ascii="Times New Roman"/>
                <w:sz w:val="14"/>
              </w:rPr>
            </w:pPr>
          </w:p>
        </w:tc>
        <w:tc>
          <w:tcPr>
            <w:tcW w:w="1265" w:type="dxa"/>
          </w:tcPr>
          <w:p>
            <w:pPr>
              <w:pStyle w:val="TableParagraph"/>
              <w:spacing w:before="8"/>
              <w:ind w:left="242"/>
              <w:rPr>
                <w:sz w:val="14"/>
              </w:rPr>
            </w:pPr>
            <w:r>
              <w:rPr>
                <w:sz w:val="14"/>
              </w:rPr>
              <w:t>38,800.0</w:t>
            </w:r>
          </w:p>
        </w:tc>
      </w:tr>
    </w:tbl>
    <w:p>
      <w:pPr>
        <w:spacing w:after="0"/>
        <w:rPr>
          <w:sz w:val="14"/>
        </w:rPr>
        <w:sectPr>
          <w:headerReference w:type="default" r:id="rId23"/>
          <w:pgSz w:w="16840" w:h="11900" w:orient="landscape"/>
          <w:pgMar w:header="1038" w:footer="0" w:top="1220" w:bottom="280" w:left="880" w:right="920"/>
        </w:sectPr>
      </w:pPr>
    </w:p>
    <w:p>
      <w:pPr>
        <w:spacing w:before="172"/>
        <w:ind w:left="3401" w:right="0" w:firstLine="0"/>
        <w:jc w:val="left"/>
        <w:rPr>
          <w:rFonts w:ascii="Arial"/>
          <w:b/>
          <w:sz w:val="17"/>
        </w:rPr>
      </w:pPr>
      <w:r>
        <w:rPr/>
        <w:pict>
          <v:shape style="position:absolute;margin-left:27.140491pt;margin-top:292.358917pt;width:14.35pt;height:7.4pt;mso-position-horizontal-relative:page;mso-position-vertical-relative:page;z-index:2968" type="#_x0000_t202" filled="false" stroked="false">
            <v:textbox inset="0,0,0,0" style="layout-flow:vertical">
              <w:txbxContent>
                <w:p>
                  <w:pPr>
                    <w:spacing w:before="13"/>
                    <w:ind w:left="20" w:right="0" w:firstLine="0"/>
                    <w:jc w:val="left"/>
                    <w:rPr>
                      <w:rFonts w:ascii="Arial"/>
                      <w:sz w:val="22"/>
                    </w:rPr>
                  </w:pPr>
                  <w:r>
                    <w:rPr>
                      <w:rFonts w:ascii="Arial"/>
                      <w:sz w:val="22"/>
                    </w:rPr>
                    <w:t>li</w:t>
                  </w:r>
                </w:p>
              </w:txbxContent>
            </v:textbox>
            <w10:wrap type="none"/>
          </v:shape>
        </w:pict>
      </w:r>
      <w:r>
        <w:rPr>
          <w:rFonts w:ascii="Arial"/>
          <w:b/>
          <w:w w:val="105"/>
          <w:sz w:val="17"/>
        </w:rPr>
        <w:t>ANNEX 13B: PROJECTED OWN SOURCE REVENUE OF LOCAL COUNCILS FOR FY 2020</w:t>
      </w:r>
    </w:p>
    <w:p>
      <w:pPr>
        <w:pStyle w:val="BodyText"/>
        <w:spacing w:before="9"/>
        <w:rPr>
          <w:rFonts w:ascii="Arial"/>
          <w:b/>
          <w:sz w:val="11"/>
        </w:rPr>
      </w:pPr>
    </w:p>
    <w:p>
      <w:pPr>
        <w:spacing w:before="101"/>
        <w:ind w:left="138" w:right="0" w:firstLine="0"/>
        <w:jc w:val="left"/>
        <w:rPr>
          <w:rFonts w:ascii="Arial" w:hAnsi="Arial"/>
          <w:b/>
          <w:sz w:val="17"/>
        </w:rPr>
      </w:pPr>
      <w:r>
        <w:rPr/>
        <w:pict>
          <v:line style="position:absolute;mso-position-horizontal-relative:page;mso-position-vertical-relative:paragraph;z-index:896;mso-wrap-distance-left:0;mso-wrap-distance-right:0" from="50.880001pt,21.182913pt" to="790.560001pt,21.182913pt" stroked="true" strokeweight=".48pt" strokecolor="#000000">
            <v:stroke dashstyle="solid"/>
            <w10:wrap type="topAndBottom"/>
          </v:line>
        </w:pict>
      </w:r>
      <w:r>
        <w:rPr>
          <w:rFonts w:ascii="Arial" w:hAnsi="Arial"/>
          <w:b/>
          <w:w w:val="105"/>
          <w:sz w:val="17"/>
        </w:rPr>
        <w:t>In Millions of Leones (Le’m)</w:t>
      </w:r>
    </w:p>
    <w:p>
      <w:pPr>
        <w:tabs>
          <w:tab w:pos="8552" w:val="left" w:leader="none"/>
        </w:tabs>
        <w:spacing w:before="79"/>
        <w:ind w:left="2860" w:right="0" w:firstLine="0"/>
        <w:jc w:val="left"/>
        <w:rPr>
          <w:rFonts w:ascii="Arial"/>
          <w:b/>
          <w:sz w:val="14"/>
        </w:rPr>
      </w:pPr>
      <w:r>
        <w:rPr>
          <w:rFonts w:ascii="Arial"/>
          <w:b/>
          <w:spacing w:val="3"/>
          <w:sz w:val="14"/>
        </w:rPr>
        <w:t>Taxation</w:t>
      </w:r>
      <w:r>
        <w:rPr>
          <w:rFonts w:ascii="Arial"/>
          <w:b/>
          <w:spacing w:val="10"/>
          <w:sz w:val="14"/>
        </w:rPr>
        <w:t> </w:t>
      </w:r>
      <w:r>
        <w:rPr>
          <w:rFonts w:ascii="Arial"/>
          <w:b/>
          <w:spacing w:val="2"/>
          <w:sz w:val="14"/>
        </w:rPr>
        <w:t>Revenue</w:t>
        <w:tab/>
      </w:r>
      <w:r>
        <w:rPr>
          <w:rFonts w:ascii="Arial"/>
          <w:b/>
          <w:sz w:val="14"/>
        </w:rPr>
        <w:t>Non </w:t>
      </w:r>
      <w:r>
        <w:rPr>
          <w:rFonts w:ascii="Arial"/>
          <w:b/>
          <w:spacing w:val="2"/>
          <w:sz w:val="14"/>
        </w:rPr>
        <w:t>Tax</w:t>
      </w:r>
      <w:r>
        <w:rPr>
          <w:rFonts w:ascii="Arial"/>
          <w:b/>
          <w:spacing w:val="26"/>
          <w:sz w:val="14"/>
        </w:rPr>
        <w:t> </w:t>
      </w:r>
      <w:r>
        <w:rPr>
          <w:rFonts w:ascii="Arial"/>
          <w:b/>
          <w:spacing w:val="2"/>
          <w:sz w:val="14"/>
        </w:rPr>
        <w:t>Revenue</w:t>
      </w: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
        <w:gridCol w:w="1989"/>
        <w:gridCol w:w="1185"/>
        <w:gridCol w:w="1532"/>
        <w:gridCol w:w="1412"/>
        <w:gridCol w:w="1320"/>
        <w:gridCol w:w="1426"/>
        <w:gridCol w:w="1514"/>
        <w:gridCol w:w="1305"/>
        <w:gridCol w:w="1289"/>
        <w:gridCol w:w="1552"/>
      </w:tblGrid>
      <w:tr>
        <w:trPr>
          <w:trHeight w:val="472" w:hRule="atLeast"/>
        </w:trPr>
        <w:tc>
          <w:tcPr>
            <w:tcW w:w="268" w:type="dxa"/>
            <w:tcBorders>
              <w:bottom w:val="single" w:sz="4" w:space="0" w:color="000000"/>
            </w:tcBorders>
          </w:tcPr>
          <w:p>
            <w:pPr>
              <w:pStyle w:val="TableParagraph"/>
              <w:spacing w:before="4"/>
              <w:rPr>
                <w:b/>
                <w:sz w:val="17"/>
              </w:rPr>
            </w:pPr>
          </w:p>
          <w:p>
            <w:pPr>
              <w:pStyle w:val="TableParagraph"/>
              <w:ind w:right="65"/>
              <w:jc w:val="right"/>
              <w:rPr>
                <w:b/>
                <w:sz w:val="14"/>
              </w:rPr>
            </w:pPr>
            <w:r>
              <w:rPr>
                <w:b/>
                <w:spacing w:val="-9"/>
                <w:sz w:val="14"/>
              </w:rPr>
              <w:t>No.</w:t>
            </w:r>
          </w:p>
        </w:tc>
        <w:tc>
          <w:tcPr>
            <w:tcW w:w="1989" w:type="dxa"/>
            <w:tcBorders>
              <w:bottom w:val="single" w:sz="4" w:space="0" w:color="000000"/>
            </w:tcBorders>
          </w:tcPr>
          <w:p>
            <w:pPr>
              <w:pStyle w:val="TableParagraph"/>
              <w:spacing w:before="4"/>
              <w:rPr>
                <w:b/>
                <w:sz w:val="17"/>
              </w:rPr>
            </w:pPr>
          </w:p>
          <w:p>
            <w:pPr>
              <w:pStyle w:val="TableParagraph"/>
              <w:ind w:left="207"/>
              <w:rPr>
                <w:b/>
                <w:sz w:val="14"/>
              </w:rPr>
            </w:pPr>
            <w:r>
              <w:rPr>
                <w:b/>
                <w:sz w:val="14"/>
              </w:rPr>
              <w:t>Local Council</w:t>
            </w:r>
          </w:p>
        </w:tc>
        <w:tc>
          <w:tcPr>
            <w:tcW w:w="1185" w:type="dxa"/>
            <w:tcBorders>
              <w:bottom w:val="single" w:sz="4" w:space="0" w:color="000000"/>
            </w:tcBorders>
          </w:tcPr>
          <w:p>
            <w:pPr>
              <w:pStyle w:val="TableParagraph"/>
              <w:spacing w:before="4"/>
              <w:rPr>
                <w:b/>
                <w:sz w:val="17"/>
              </w:rPr>
            </w:pPr>
          </w:p>
          <w:p>
            <w:pPr>
              <w:pStyle w:val="TableParagraph"/>
              <w:ind w:left="181"/>
              <w:rPr>
                <w:b/>
                <w:sz w:val="14"/>
              </w:rPr>
            </w:pPr>
            <w:r>
              <w:rPr>
                <w:b/>
                <w:sz w:val="14"/>
              </w:rPr>
              <w:t>Local Tax</w:t>
            </w:r>
          </w:p>
        </w:tc>
        <w:tc>
          <w:tcPr>
            <w:tcW w:w="1532" w:type="dxa"/>
            <w:tcBorders>
              <w:bottom w:val="single" w:sz="4" w:space="0" w:color="000000"/>
            </w:tcBorders>
          </w:tcPr>
          <w:p>
            <w:pPr>
              <w:pStyle w:val="TableParagraph"/>
              <w:spacing w:before="4"/>
              <w:rPr>
                <w:b/>
                <w:sz w:val="17"/>
              </w:rPr>
            </w:pPr>
          </w:p>
          <w:p>
            <w:pPr>
              <w:pStyle w:val="TableParagraph"/>
              <w:ind w:left="364"/>
              <w:rPr>
                <w:b/>
                <w:sz w:val="14"/>
              </w:rPr>
            </w:pPr>
            <w:r>
              <w:rPr>
                <w:b/>
                <w:sz w:val="14"/>
              </w:rPr>
              <w:t>Property Tax</w:t>
            </w:r>
          </w:p>
        </w:tc>
        <w:tc>
          <w:tcPr>
            <w:tcW w:w="1412" w:type="dxa"/>
            <w:tcBorders>
              <w:bottom w:val="single" w:sz="4" w:space="0" w:color="000000"/>
            </w:tcBorders>
          </w:tcPr>
          <w:p>
            <w:pPr>
              <w:pStyle w:val="TableParagraph"/>
              <w:spacing w:before="4"/>
              <w:rPr>
                <w:b/>
                <w:sz w:val="17"/>
              </w:rPr>
            </w:pPr>
          </w:p>
          <w:p>
            <w:pPr>
              <w:pStyle w:val="TableParagraph"/>
              <w:ind w:right="216"/>
              <w:jc w:val="right"/>
              <w:rPr>
                <w:b/>
                <w:sz w:val="14"/>
              </w:rPr>
            </w:pPr>
            <w:r>
              <w:rPr>
                <w:b/>
                <w:sz w:val="14"/>
              </w:rPr>
              <w:t>Market Dues</w:t>
            </w:r>
          </w:p>
        </w:tc>
        <w:tc>
          <w:tcPr>
            <w:tcW w:w="1320" w:type="dxa"/>
            <w:tcBorders>
              <w:bottom w:val="single" w:sz="4" w:space="0" w:color="000000"/>
            </w:tcBorders>
          </w:tcPr>
          <w:p>
            <w:pPr>
              <w:pStyle w:val="TableParagraph"/>
              <w:spacing w:line="271" w:lineRule="auto" w:before="17"/>
              <w:ind w:left="257" w:right="226" w:firstLine="124"/>
              <w:rPr>
                <w:b/>
                <w:sz w:val="14"/>
              </w:rPr>
            </w:pPr>
            <w:r>
              <w:rPr>
                <w:b/>
                <w:sz w:val="14"/>
              </w:rPr>
              <w:t>Business Registration</w:t>
            </w:r>
          </w:p>
        </w:tc>
        <w:tc>
          <w:tcPr>
            <w:tcW w:w="1426" w:type="dxa"/>
            <w:tcBorders>
              <w:bottom w:val="single" w:sz="4" w:space="0" w:color="000000"/>
            </w:tcBorders>
          </w:tcPr>
          <w:p>
            <w:pPr>
              <w:pStyle w:val="TableParagraph"/>
              <w:spacing w:before="4"/>
              <w:rPr>
                <w:b/>
                <w:sz w:val="17"/>
              </w:rPr>
            </w:pPr>
          </w:p>
          <w:p>
            <w:pPr>
              <w:pStyle w:val="TableParagraph"/>
              <w:ind w:left="468"/>
              <w:rPr>
                <w:b/>
                <w:sz w:val="14"/>
              </w:rPr>
            </w:pPr>
            <w:r>
              <w:rPr>
                <w:b/>
                <w:sz w:val="14"/>
              </w:rPr>
              <w:t>License</w:t>
            </w:r>
          </w:p>
        </w:tc>
        <w:tc>
          <w:tcPr>
            <w:tcW w:w="1514" w:type="dxa"/>
            <w:tcBorders>
              <w:bottom w:val="single" w:sz="4" w:space="0" w:color="000000"/>
            </w:tcBorders>
          </w:tcPr>
          <w:p>
            <w:pPr>
              <w:pStyle w:val="TableParagraph"/>
              <w:spacing w:before="4"/>
              <w:rPr>
                <w:b/>
                <w:sz w:val="17"/>
              </w:rPr>
            </w:pPr>
          </w:p>
          <w:p>
            <w:pPr>
              <w:pStyle w:val="TableParagraph"/>
              <w:ind w:left="363"/>
              <w:rPr>
                <w:b/>
                <w:sz w:val="14"/>
              </w:rPr>
            </w:pPr>
            <w:r>
              <w:rPr>
                <w:b/>
                <w:sz w:val="14"/>
              </w:rPr>
              <w:t>Fees &amp; Charges</w:t>
            </w:r>
          </w:p>
        </w:tc>
        <w:tc>
          <w:tcPr>
            <w:tcW w:w="1305" w:type="dxa"/>
            <w:tcBorders>
              <w:bottom w:val="single" w:sz="4" w:space="0" w:color="000000"/>
            </w:tcBorders>
          </w:tcPr>
          <w:p>
            <w:pPr>
              <w:pStyle w:val="TableParagraph"/>
              <w:spacing w:line="271" w:lineRule="auto" w:before="17"/>
              <w:ind w:left="240" w:right="143" w:firstLine="86"/>
              <w:rPr>
                <w:b/>
                <w:sz w:val="14"/>
              </w:rPr>
            </w:pPr>
            <w:r>
              <w:rPr>
                <w:b/>
                <w:sz w:val="14"/>
              </w:rPr>
              <w:t>Mining </w:t>
            </w:r>
            <w:r>
              <w:rPr>
                <w:b/>
                <w:w w:val="95"/>
                <w:sz w:val="14"/>
              </w:rPr>
              <w:t>Revenues</w:t>
            </w:r>
          </w:p>
        </w:tc>
        <w:tc>
          <w:tcPr>
            <w:tcW w:w="1289" w:type="dxa"/>
            <w:tcBorders>
              <w:bottom w:val="single" w:sz="4" w:space="0" w:color="000000"/>
            </w:tcBorders>
          </w:tcPr>
          <w:p>
            <w:pPr>
              <w:pStyle w:val="TableParagraph"/>
              <w:spacing w:line="271" w:lineRule="auto" w:before="17"/>
              <w:ind w:left="69" w:right="336" w:firstLine="76"/>
              <w:rPr>
                <w:b/>
                <w:sz w:val="14"/>
              </w:rPr>
            </w:pPr>
            <w:r>
              <w:rPr>
                <w:b/>
                <w:sz w:val="14"/>
              </w:rPr>
              <w:t>Other Non- Tax Revenue</w:t>
            </w:r>
          </w:p>
        </w:tc>
        <w:tc>
          <w:tcPr>
            <w:tcW w:w="1552" w:type="dxa"/>
            <w:tcBorders>
              <w:bottom w:val="single" w:sz="4" w:space="0" w:color="000000"/>
            </w:tcBorders>
          </w:tcPr>
          <w:p>
            <w:pPr>
              <w:pStyle w:val="TableParagraph"/>
              <w:spacing w:line="271" w:lineRule="auto" w:before="17"/>
              <w:ind w:left="517" w:hanging="312"/>
              <w:rPr>
                <w:b/>
                <w:sz w:val="14"/>
              </w:rPr>
            </w:pPr>
            <w:r>
              <w:rPr>
                <w:b/>
                <w:sz w:val="14"/>
              </w:rPr>
              <w:t>Total Own Source Revenue</w:t>
            </w:r>
          </w:p>
        </w:tc>
      </w:tr>
      <w:tr>
        <w:trPr>
          <w:trHeight w:val="371" w:hRule="atLeast"/>
        </w:trPr>
        <w:tc>
          <w:tcPr>
            <w:tcW w:w="268" w:type="dxa"/>
            <w:tcBorders>
              <w:top w:val="single" w:sz="4" w:space="0" w:color="000000"/>
            </w:tcBorders>
          </w:tcPr>
          <w:p>
            <w:pPr>
              <w:pStyle w:val="TableParagraph"/>
              <w:spacing w:before="115"/>
              <w:ind w:right="111"/>
              <w:jc w:val="right"/>
              <w:rPr>
                <w:sz w:val="14"/>
              </w:rPr>
            </w:pPr>
            <w:r>
              <w:rPr>
                <w:w w:val="99"/>
                <w:sz w:val="14"/>
              </w:rPr>
              <w:t>1</w:t>
            </w:r>
          </w:p>
        </w:tc>
        <w:tc>
          <w:tcPr>
            <w:tcW w:w="1989" w:type="dxa"/>
            <w:tcBorders>
              <w:top w:val="single" w:sz="4" w:space="0" w:color="000000"/>
            </w:tcBorders>
          </w:tcPr>
          <w:p>
            <w:pPr>
              <w:pStyle w:val="TableParagraph"/>
              <w:spacing w:before="115"/>
              <w:ind w:left="68"/>
              <w:rPr>
                <w:sz w:val="14"/>
              </w:rPr>
            </w:pPr>
            <w:r>
              <w:rPr>
                <w:sz w:val="14"/>
              </w:rPr>
              <w:t>Bo District</w:t>
            </w:r>
          </w:p>
        </w:tc>
        <w:tc>
          <w:tcPr>
            <w:tcW w:w="1185" w:type="dxa"/>
            <w:tcBorders>
              <w:top w:val="single" w:sz="4" w:space="0" w:color="000000"/>
            </w:tcBorders>
          </w:tcPr>
          <w:p>
            <w:pPr>
              <w:pStyle w:val="TableParagraph"/>
              <w:spacing w:before="115"/>
              <w:ind w:left="-13" w:right="194"/>
              <w:jc w:val="right"/>
              <w:rPr>
                <w:sz w:val="14"/>
              </w:rPr>
            </w:pPr>
            <w:r>
              <w:rPr>
                <w:w w:val="95"/>
                <w:sz w:val="14"/>
              </w:rPr>
              <w:t>103,803,131</w:t>
            </w:r>
          </w:p>
        </w:tc>
        <w:tc>
          <w:tcPr>
            <w:tcW w:w="1532" w:type="dxa"/>
            <w:tcBorders>
              <w:top w:val="single" w:sz="4" w:space="0" w:color="000000"/>
            </w:tcBorders>
          </w:tcPr>
          <w:p>
            <w:pPr>
              <w:pStyle w:val="TableParagraph"/>
              <w:spacing w:before="115"/>
              <w:ind w:left="434"/>
              <w:rPr>
                <w:sz w:val="14"/>
              </w:rPr>
            </w:pPr>
            <w:r>
              <w:rPr>
                <w:sz w:val="14"/>
              </w:rPr>
              <w:t>393,119,990</w:t>
            </w:r>
          </w:p>
        </w:tc>
        <w:tc>
          <w:tcPr>
            <w:tcW w:w="1412" w:type="dxa"/>
            <w:tcBorders>
              <w:top w:val="single" w:sz="4" w:space="0" w:color="000000"/>
            </w:tcBorders>
          </w:tcPr>
          <w:p>
            <w:pPr>
              <w:pStyle w:val="TableParagraph"/>
              <w:spacing w:before="115"/>
              <w:ind w:right="185"/>
              <w:jc w:val="right"/>
              <w:rPr>
                <w:sz w:val="14"/>
              </w:rPr>
            </w:pPr>
            <w:r>
              <w:rPr>
                <w:sz w:val="14"/>
              </w:rPr>
              <w:t>18,604,687</w:t>
            </w:r>
          </w:p>
        </w:tc>
        <w:tc>
          <w:tcPr>
            <w:tcW w:w="1320" w:type="dxa"/>
            <w:tcBorders>
              <w:top w:val="single" w:sz="4" w:space="0" w:color="000000"/>
            </w:tcBorders>
          </w:tcPr>
          <w:p>
            <w:pPr>
              <w:pStyle w:val="TableParagraph"/>
              <w:spacing w:before="115"/>
              <w:ind w:right="147"/>
              <w:jc w:val="right"/>
              <w:rPr>
                <w:sz w:val="14"/>
              </w:rPr>
            </w:pPr>
            <w:r>
              <w:rPr>
                <w:sz w:val="14"/>
              </w:rPr>
              <w:t>57,826,125</w:t>
            </w:r>
          </w:p>
        </w:tc>
        <w:tc>
          <w:tcPr>
            <w:tcW w:w="1426" w:type="dxa"/>
            <w:tcBorders>
              <w:top w:val="single" w:sz="4" w:space="0" w:color="000000"/>
            </w:tcBorders>
          </w:tcPr>
          <w:p>
            <w:pPr>
              <w:pStyle w:val="TableParagraph"/>
              <w:spacing w:before="115"/>
              <w:ind w:right="220"/>
              <w:jc w:val="right"/>
              <w:rPr>
                <w:sz w:val="14"/>
              </w:rPr>
            </w:pPr>
            <w:r>
              <w:rPr>
                <w:w w:val="95"/>
                <w:sz w:val="14"/>
              </w:rPr>
              <w:t>103,965,750</w:t>
            </w:r>
          </w:p>
        </w:tc>
        <w:tc>
          <w:tcPr>
            <w:tcW w:w="1514" w:type="dxa"/>
            <w:tcBorders>
              <w:top w:val="single" w:sz="4" w:space="0" w:color="000000"/>
            </w:tcBorders>
          </w:tcPr>
          <w:p>
            <w:pPr>
              <w:pStyle w:val="TableParagraph"/>
              <w:spacing w:before="115"/>
              <w:ind w:left="471"/>
              <w:rPr>
                <w:sz w:val="14"/>
              </w:rPr>
            </w:pPr>
            <w:r>
              <w:rPr>
                <w:sz w:val="14"/>
              </w:rPr>
              <w:t>473,659,964</w:t>
            </w:r>
          </w:p>
        </w:tc>
        <w:tc>
          <w:tcPr>
            <w:tcW w:w="1305" w:type="dxa"/>
            <w:tcBorders>
              <w:top w:val="single" w:sz="4" w:space="0" w:color="000000"/>
            </w:tcBorders>
          </w:tcPr>
          <w:p>
            <w:pPr>
              <w:pStyle w:val="TableParagraph"/>
              <w:spacing w:before="115"/>
              <w:ind w:left="262"/>
              <w:rPr>
                <w:sz w:val="14"/>
              </w:rPr>
            </w:pPr>
            <w:r>
              <w:rPr>
                <w:sz w:val="14"/>
              </w:rPr>
              <w:t>309,156,749</w:t>
            </w:r>
          </w:p>
        </w:tc>
        <w:tc>
          <w:tcPr>
            <w:tcW w:w="1289" w:type="dxa"/>
            <w:tcBorders>
              <w:top w:val="single" w:sz="4" w:space="0" w:color="000000"/>
            </w:tcBorders>
          </w:tcPr>
          <w:p>
            <w:pPr>
              <w:pStyle w:val="TableParagraph"/>
              <w:rPr>
                <w:rFonts w:ascii="Times New Roman"/>
                <w:sz w:val="14"/>
              </w:rPr>
            </w:pPr>
          </w:p>
        </w:tc>
        <w:tc>
          <w:tcPr>
            <w:tcW w:w="1552" w:type="dxa"/>
            <w:tcBorders>
              <w:top w:val="single" w:sz="4" w:space="0" w:color="000000"/>
            </w:tcBorders>
          </w:tcPr>
          <w:p>
            <w:pPr>
              <w:pStyle w:val="TableParagraph"/>
              <w:spacing w:before="115"/>
              <w:ind w:right="134"/>
              <w:jc w:val="right"/>
              <w:rPr>
                <w:sz w:val="14"/>
              </w:rPr>
            </w:pPr>
            <w:r>
              <w:rPr>
                <w:sz w:val="14"/>
              </w:rPr>
              <w:t>1,460,136,396</w:t>
            </w:r>
          </w:p>
        </w:tc>
      </w:tr>
      <w:tr>
        <w:trPr>
          <w:trHeight w:val="319" w:hRule="atLeast"/>
        </w:trPr>
        <w:tc>
          <w:tcPr>
            <w:tcW w:w="268" w:type="dxa"/>
          </w:tcPr>
          <w:p>
            <w:pPr>
              <w:pStyle w:val="TableParagraph"/>
              <w:spacing w:before="65"/>
              <w:ind w:right="111"/>
              <w:jc w:val="right"/>
              <w:rPr>
                <w:sz w:val="14"/>
              </w:rPr>
            </w:pPr>
            <w:r>
              <w:rPr>
                <w:w w:val="99"/>
                <w:sz w:val="14"/>
              </w:rPr>
              <w:t>2</w:t>
            </w:r>
          </w:p>
        </w:tc>
        <w:tc>
          <w:tcPr>
            <w:tcW w:w="1989" w:type="dxa"/>
          </w:tcPr>
          <w:p>
            <w:pPr>
              <w:pStyle w:val="TableParagraph"/>
              <w:spacing w:before="65"/>
              <w:ind w:left="68"/>
              <w:rPr>
                <w:sz w:val="14"/>
              </w:rPr>
            </w:pPr>
            <w:r>
              <w:rPr>
                <w:sz w:val="14"/>
              </w:rPr>
              <w:t>Bo City</w:t>
            </w:r>
          </w:p>
        </w:tc>
        <w:tc>
          <w:tcPr>
            <w:tcW w:w="1185" w:type="dxa"/>
          </w:tcPr>
          <w:p>
            <w:pPr>
              <w:pStyle w:val="TableParagraph"/>
              <w:spacing w:before="65"/>
              <w:ind w:left="-13" w:right="189"/>
              <w:jc w:val="right"/>
              <w:rPr>
                <w:sz w:val="14"/>
              </w:rPr>
            </w:pPr>
            <w:r>
              <w:rPr>
                <w:sz w:val="14"/>
              </w:rPr>
              <w:t>15,000,000</w:t>
            </w:r>
          </w:p>
        </w:tc>
        <w:tc>
          <w:tcPr>
            <w:tcW w:w="1532" w:type="dxa"/>
          </w:tcPr>
          <w:p>
            <w:pPr>
              <w:pStyle w:val="TableParagraph"/>
              <w:spacing w:before="65"/>
              <w:ind w:left="299"/>
              <w:rPr>
                <w:sz w:val="14"/>
              </w:rPr>
            </w:pPr>
            <w:r>
              <w:rPr>
                <w:sz w:val="14"/>
              </w:rPr>
              <w:t>1,537,500,000</w:t>
            </w:r>
          </w:p>
        </w:tc>
        <w:tc>
          <w:tcPr>
            <w:tcW w:w="1412" w:type="dxa"/>
          </w:tcPr>
          <w:p>
            <w:pPr>
              <w:pStyle w:val="TableParagraph"/>
              <w:spacing w:before="65"/>
              <w:ind w:right="191"/>
              <w:jc w:val="right"/>
              <w:rPr>
                <w:sz w:val="14"/>
              </w:rPr>
            </w:pPr>
            <w:r>
              <w:rPr>
                <w:w w:val="95"/>
                <w:sz w:val="14"/>
              </w:rPr>
              <w:t>580,000,000</w:t>
            </w:r>
          </w:p>
        </w:tc>
        <w:tc>
          <w:tcPr>
            <w:tcW w:w="1320" w:type="dxa"/>
          </w:tcPr>
          <w:p>
            <w:pPr>
              <w:pStyle w:val="TableParagraph"/>
              <w:spacing w:before="65"/>
              <w:ind w:right="153"/>
              <w:jc w:val="right"/>
              <w:rPr>
                <w:sz w:val="14"/>
              </w:rPr>
            </w:pPr>
            <w:r>
              <w:rPr>
                <w:w w:val="95"/>
                <w:sz w:val="14"/>
              </w:rPr>
              <w:t>113,450,000</w:t>
            </w:r>
          </w:p>
        </w:tc>
        <w:tc>
          <w:tcPr>
            <w:tcW w:w="1426" w:type="dxa"/>
          </w:tcPr>
          <w:p>
            <w:pPr>
              <w:pStyle w:val="TableParagraph"/>
              <w:spacing w:before="65"/>
              <w:ind w:right="220"/>
              <w:jc w:val="right"/>
              <w:rPr>
                <w:sz w:val="14"/>
              </w:rPr>
            </w:pPr>
            <w:r>
              <w:rPr>
                <w:w w:val="95"/>
                <w:sz w:val="14"/>
              </w:rPr>
              <w:t>781,200,000</w:t>
            </w:r>
          </w:p>
        </w:tc>
        <w:tc>
          <w:tcPr>
            <w:tcW w:w="1514" w:type="dxa"/>
          </w:tcPr>
          <w:p>
            <w:pPr>
              <w:pStyle w:val="TableParagraph"/>
              <w:spacing w:before="65"/>
              <w:ind w:left="336"/>
              <w:rPr>
                <w:sz w:val="14"/>
              </w:rPr>
            </w:pPr>
            <w:r>
              <w:rPr>
                <w:sz w:val="14"/>
              </w:rPr>
              <w:t>1,385,086,000</w:t>
            </w:r>
          </w:p>
        </w:tc>
        <w:tc>
          <w:tcPr>
            <w:tcW w:w="1305" w:type="dxa"/>
          </w:tcPr>
          <w:p>
            <w:pPr>
              <w:pStyle w:val="TableParagraph"/>
              <w:spacing w:before="65"/>
              <w:ind w:right="170"/>
              <w:jc w:val="right"/>
              <w:rPr>
                <w:sz w:val="14"/>
              </w:rPr>
            </w:pPr>
            <w:r>
              <w:rPr>
                <w:w w:val="99"/>
                <w:sz w:val="14"/>
              </w:rPr>
              <w:t>-</w:t>
            </w:r>
          </w:p>
        </w:tc>
        <w:tc>
          <w:tcPr>
            <w:tcW w:w="1289" w:type="dxa"/>
          </w:tcPr>
          <w:p>
            <w:pPr>
              <w:pStyle w:val="TableParagraph"/>
              <w:spacing w:before="65"/>
              <w:ind w:right="211"/>
              <w:jc w:val="right"/>
              <w:rPr>
                <w:sz w:val="14"/>
              </w:rPr>
            </w:pPr>
            <w:r>
              <w:rPr>
                <w:w w:val="99"/>
                <w:sz w:val="14"/>
              </w:rPr>
              <w:t>-</w:t>
            </w:r>
          </w:p>
        </w:tc>
        <w:tc>
          <w:tcPr>
            <w:tcW w:w="1552" w:type="dxa"/>
          </w:tcPr>
          <w:p>
            <w:pPr>
              <w:pStyle w:val="TableParagraph"/>
              <w:spacing w:before="65"/>
              <w:ind w:right="126"/>
              <w:jc w:val="right"/>
              <w:rPr>
                <w:sz w:val="14"/>
              </w:rPr>
            </w:pPr>
            <w:r>
              <w:rPr>
                <w:w w:val="95"/>
                <w:sz w:val="14"/>
              </w:rPr>
              <w:t>412,236,000</w:t>
            </w:r>
          </w:p>
        </w:tc>
      </w:tr>
      <w:tr>
        <w:trPr>
          <w:trHeight w:val="319" w:hRule="atLeast"/>
        </w:trPr>
        <w:tc>
          <w:tcPr>
            <w:tcW w:w="268" w:type="dxa"/>
          </w:tcPr>
          <w:p>
            <w:pPr>
              <w:pStyle w:val="TableParagraph"/>
              <w:spacing w:before="63"/>
              <w:ind w:right="111"/>
              <w:jc w:val="right"/>
              <w:rPr>
                <w:sz w:val="14"/>
              </w:rPr>
            </w:pPr>
            <w:r>
              <w:rPr>
                <w:w w:val="99"/>
                <w:sz w:val="14"/>
              </w:rPr>
              <w:t>3</w:t>
            </w:r>
          </w:p>
        </w:tc>
        <w:tc>
          <w:tcPr>
            <w:tcW w:w="1989" w:type="dxa"/>
          </w:tcPr>
          <w:p>
            <w:pPr>
              <w:pStyle w:val="TableParagraph"/>
              <w:spacing w:before="63"/>
              <w:ind w:left="68"/>
              <w:rPr>
                <w:sz w:val="14"/>
              </w:rPr>
            </w:pPr>
            <w:r>
              <w:rPr>
                <w:sz w:val="14"/>
              </w:rPr>
              <w:t>Bombali District</w:t>
            </w:r>
          </w:p>
        </w:tc>
        <w:tc>
          <w:tcPr>
            <w:tcW w:w="1185" w:type="dxa"/>
          </w:tcPr>
          <w:p>
            <w:pPr>
              <w:pStyle w:val="TableParagraph"/>
              <w:spacing w:before="63"/>
              <w:ind w:left="-13" w:right="189"/>
              <w:jc w:val="right"/>
              <w:rPr>
                <w:sz w:val="14"/>
              </w:rPr>
            </w:pPr>
            <w:r>
              <w:rPr>
                <w:sz w:val="14"/>
              </w:rPr>
              <w:t>30,120,000</w:t>
            </w:r>
          </w:p>
        </w:tc>
        <w:tc>
          <w:tcPr>
            <w:tcW w:w="1532" w:type="dxa"/>
          </w:tcPr>
          <w:p>
            <w:pPr>
              <w:pStyle w:val="TableParagraph"/>
              <w:spacing w:before="63"/>
              <w:ind w:left="434"/>
              <w:rPr>
                <w:sz w:val="14"/>
              </w:rPr>
            </w:pPr>
            <w:r>
              <w:rPr>
                <w:sz w:val="14"/>
              </w:rPr>
              <w:t>370,138,118</w:t>
            </w:r>
          </w:p>
        </w:tc>
        <w:tc>
          <w:tcPr>
            <w:tcW w:w="1412" w:type="dxa"/>
          </w:tcPr>
          <w:p>
            <w:pPr>
              <w:pStyle w:val="TableParagraph"/>
              <w:spacing w:before="63"/>
              <w:ind w:right="149"/>
              <w:jc w:val="right"/>
              <w:rPr>
                <w:sz w:val="14"/>
              </w:rPr>
            </w:pPr>
            <w:r>
              <w:rPr>
                <w:w w:val="99"/>
                <w:sz w:val="14"/>
              </w:rPr>
              <w:t>-</w:t>
            </w:r>
          </w:p>
        </w:tc>
        <w:tc>
          <w:tcPr>
            <w:tcW w:w="1320" w:type="dxa"/>
          </w:tcPr>
          <w:p>
            <w:pPr>
              <w:pStyle w:val="TableParagraph"/>
              <w:spacing w:before="63"/>
              <w:ind w:right="147"/>
              <w:jc w:val="right"/>
              <w:rPr>
                <w:sz w:val="14"/>
              </w:rPr>
            </w:pPr>
            <w:r>
              <w:rPr>
                <w:sz w:val="14"/>
              </w:rPr>
              <w:t>28,650,000</w:t>
            </w:r>
          </w:p>
        </w:tc>
        <w:tc>
          <w:tcPr>
            <w:tcW w:w="1426" w:type="dxa"/>
          </w:tcPr>
          <w:p>
            <w:pPr>
              <w:pStyle w:val="TableParagraph"/>
              <w:spacing w:before="63"/>
              <w:ind w:right="215"/>
              <w:jc w:val="right"/>
              <w:rPr>
                <w:sz w:val="14"/>
              </w:rPr>
            </w:pPr>
            <w:r>
              <w:rPr>
                <w:sz w:val="14"/>
              </w:rPr>
              <w:t>88,219,998</w:t>
            </w:r>
          </w:p>
        </w:tc>
        <w:tc>
          <w:tcPr>
            <w:tcW w:w="1514" w:type="dxa"/>
          </w:tcPr>
          <w:p>
            <w:pPr>
              <w:pStyle w:val="TableParagraph"/>
              <w:spacing w:before="63"/>
              <w:ind w:left="471"/>
              <w:rPr>
                <w:sz w:val="14"/>
              </w:rPr>
            </w:pPr>
            <w:r>
              <w:rPr>
                <w:sz w:val="14"/>
              </w:rPr>
              <w:t>545,120,764</w:t>
            </w:r>
          </w:p>
        </w:tc>
        <w:tc>
          <w:tcPr>
            <w:tcW w:w="1305" w:type="dxa"/>
          </w:tcPr>
          <w:p>
            <w:pPr>
              <w:pStyle w:val="TableParagraph"/>
              <w:rPr>
                <w:rFonts w:ascii="Times New Roman"/>
                <w:sz w:val="14"/>
              </w:rPr>
            </w:pPr>
          </w:p>
        </w:tc>
        <w:tc>
          <w:tcPr>
            <w:tcW w:w="1289" w:type="dxa"/>
          </w:tcPr>
          <w:p>
            <w:pPr>
              <w:pStyle w:val="TableParagraph"/>
              <w:rPr>
                <w:rFonts w:ascii="Times New Roman"/>
                <w:sz w:val="14"/>
              </w:rPr>
            </w:pPr>
          </w:p>
        </w:tc>
        <w:tc>
          <w:tcPr>
            <w:tcW w:w="1552" w:type="dxa"/>
          </w:tcPr>
          <w:p>
            <w:pPr>
              <w:pStyle w:val="TableParagraph"/>
              <w:spacing w:before="63"/>
              <w:ind w:right="148"/>
              <w:jc w:val="right"/>
              <w:rPr>
                <w:sz w:val="14"/>
              </w:rPr>
            </w:pPr>
            <w:r>
              <w:rPr>
                <w:w w:val="95"/>
                <w:sz w:val="14"/>
              </w:rPr>
              <w:t>1,062,248,880.00</w:t>
            </w:r>
          </w:p>
        </w:tc>
      </w:tr>
      <w:tr>
        <w:trPr>
          <w:trHeight w:val="321" w:hRule="atLeast"/>
        </w:trPr>
        <w:tc>
          <w:tcPr>
            <w:tcW w:w="268" w:type="dxa"/>
          </w:tcPr>
          <w:p>
            <w:pPr>
              <w:pStyle w:val="TableParagraph"/>
              <w:spacing w:before="65"/>
              <w:ind w:right="111"/>
              <w:jc w:val="right"/>
              <w:rPr>
                <w:sz w:val="14"/>
              </w:rPr>
            </w:pPr>
            <w:r>
              <w:rPr>
                <w:w w:val="99"/>
                <w:sz w:val="14"/>
              </w:rPr>
              <w:t>4</w:t>
            </w:r>
          </w:p>
        </w:tc>
        <w:tc>
          <w:tcPr>
            <w:tcW w:w="1989" w:type="dxa"/>
          </w:tcPr>
          <w:p>
            <w:pPr>
              <w:pStyle w:val="TableParagraph"/>
              <w:spacing w:before="65"/>
              <w:ind w:left="68"/>
              <w:rPr>
                <w:sz w:val="14"/>
              </w:rPr>
            </w:pPr>
            <w:r>
              <w:rPr>
                <w:sz w:val="14"/>
              </w:rPr>
              <w:t>Makeni City</w:t>
            </w:r>
          </w:p>
        </w:tc>
        <w:tc>
          <w:tcPr>
            <w:tcW w:w="1185" w:type="dxa"/>
          </w:tcPr>
          <w:p>
            <w:pPr>
              <w:pStyle w:val="TableParagraph"/>
              <w:spacing w:before="65"/>
              <w:ind w:left="-13" w:right="184"/>
              <w:jc w:val="right"/>
              <w:rPr>
                <w:sz w:val="14"/>
              </w:rPr>
            </w:pPr>
            <w:r>
              <w:rPr>
                <w:w w:val="95"/>
                <w:sz w:val="14"/>
              </w:rPr>
              <w:t>6,400,000</w:t>
            </w:r>
          </w:p>
        </w:tc>
        <w:tc>
          <w:tcPr>
            <w:tcW w:w="1532" w:type="dxa"/>
          </w:tcPr>
          <w:p>
            <w:pPr>
              <w:pStyle w:val="TableParagraph"/>
              <w:spacing w:before="65"/>
              <w:ind w:left="434"/>
              <w:rPr>
                <w:sz w:val="14"/>
              </w:rPr>
            </w:pPr>
            <w:r>
              <w:rPr>
                <w:sz w:val="14"/>
              </w:rPr>
              <w:t>822,533,099</w:t>
            </w:r>
          </w:p>
        </w:tc>
        <w:tc>
          <w:tcPr>
            <w:tcW w:w="1412" w:type="dxa"/>
          </w:tcPr>
          <w:p>
            <w:pPr>
              <w:pStyle w:val="TableParagraph"/>
              <w:spacing w:before="65"/>
              <w:ind w:right="191"/>
              <w:jc w:val="right"/>
              <w:rPr>
                <w:sz w:val="14"/>
              </w:rPr>
            </w:pPr>
            <w:r>
              <w:rPr>
                <w:w w:val="95"/>
                <w:sz w:val="14"/>
              </w:rPr>
              <w:t>364,800,000</w:t>
            </w:r>
          </w:p>
        </w:tc>
        <w:tc>
          <w:tcPr>
            <w:tcW w:w="1320" w:type="dxa"/>
          </w:tcPr>
          <w:p>
            <w:pPr>
              <w:pStyle w:val="TableParagraph"/>
              <w:spacing w:before="65"/>
              <w:ind w:right="147"/>
              <w:jc w:val="right"/>
              <w:rPr>
                <w:sz w:val="14"/>
              </w:rPr>
            </w:pPr>
            <w:r>
              <w:rPr>
                <w:sz w:val="14"/>
              </w:rPr>
              <w:t>11,250,000</w:t>
            </w:r>
          </w:p>
        </w:tc>
        <w:tc>
          <w:tcPr>
            <w:tcW w:w="1426" w:type="dxa"/>
          </w:tcPr>
          <w:p>
            <w:pPr>
              <w:pStyle w:val="TableParagraph"/>
              <w:spacing w:before="65"/>
              <w:ind w:right="220"/>
              <w:jc w:val="right"/>
              <w:rPr>
                <w:sz w:val="14"/>
              </w:rPr>
            </w:pPr>
            <w:r>
              <w:rPr>
                <w:w w:val="95"/>
                <w:sz w:val="14"/>
              </w:rPr>
              <w:t>355,282,005</w:t>
            </w:r>
          </w:p>
        </w:tc>
        <w:tc>
          <w:tcPr>
            <w:tcW w:w="1514" w:type="dxa"/>
          </w:tcPr>
          <w:p>
            <w:pPr>
              <w:pStyle w:val="TableParagraph"/>
              <w:spacing w:before="65"/>
              <w:ind w:left="471"/>
              <w:rPr>
                <w:sz w:val="14"/>
              </w:rPr>
            </w:pPr>
            <w:r>
              <w:rPr>
                <w:sz w:val="14"/>
              </w:rPr>
              <w:t>476,025,000</w:t>
            </w:r>
          </w:p>
        </w:tc>
        <w:tc>
          <w:tcPr>
            <w:tcW w:w="1305" w:type="dxa"/>
          </w:tcPr>
          <w:p>
            <w:pPr>
              <w:pStyle w:val="TableParagraph"/>
              <w:spacing w:before="65"/>
              <w:ind w:right="161"/>
              <w:jc w:val="right"/>
              <w:rPr>
                <w:sz w:val="14"/>
              </w:rPr>
            </w:pPr>
            <w:r>
              <w:rPr>
                <w:w w:val="99"/>
                <w:sz w:val="14"/>
              </w:rPr>
              <w:t>-</w:t>
            </w:r>
          </w:p>
        </w:tc>
        <w:tc>
          <w:tcPr>
            <w:tcW w:w="1289" w:type="dxa"/>
          </w:tcPr>
          <w:p>
            <w:pPr>
              <w:pStyle w:val="TableParagraph"/>
              <w:spacing w:before="65"/>
              <w:ind w:right="235"/>
              <w:jc w:val="right"/>
              <w:rPr>
                <w:sz w:val="14"/>
              </w:rPr>
            </w:pPr>
            <w:r>
              <w:rPr>
                <w:sz w:val="14"/>
              </w:rPr>
              <w:t>22,500,000</w:t>
            </w:r>
          </w:p>
        </w:tc>
        <w:tc>
          <w:tcPr>
            <w:tcW w:w="1552" w:type="dxa"/>
          </w:tcPr>
          <w:p>
            <w:pPr>
              <w:pStyle w:val="TableParagraph"/>
              <w:spacing w:before="65"/>
              <w:ind w:right="134"/>
              <w:jc w:val="right"/>
              <w:rPr>
                <w:sz w:val="14"/>
              </w:rPr>
            </w:pPr>
            <w:r>
              <w:rPr>
                <w:sz w:val="14"/>
              </w:rPr>
              <w:t>2,058,790,104</w:t>
            </w:r>
          </w:p>
        </w:tc>
      </w:tr>
      <w:tr>
        <w:trPr>
          <w:trHeight w:val="319" w:hRule="atLeast"/>
        </w:trPr>
        <w:tc>
          <w:tcPr>
            <w:tcW w:w="268" w:type="dxa"/>
          </w:tcPr>
          <w:p>
            <w:pPr>
              <w:pStyle w:val="TableParagraph"/>
              <w:spacing w:before="65"/>
              <w:ind w:right="111"/>
              <w:jc w:val="right"/>
              <w:rPr>
                <w:sz w:val="14"/>
              </w:rPr>
            </w:pPr>
            <w:r>
              <w:rPr>
                <w:w w:val="99"/>
                <w:sz w:val="14"/>
              </w:rPr>
              <w:t>5</w:t>
            </w:r>
          </w:p>
        </w:tc>
        <w:tc>
          <w:tcPr>
            <w:tcW w:w="1989" w:type="dxa"/>
          </w:tcPr>
          <w:p>
            <w:pPr>
              <w:pStyle w:val="TableParagraph"/>
              <w:spacing w:before="65"/>
              <w:ind w:left="68"/>
              <w:rPr>
                <w:sz w:val="14"/>
              </w:rPr>
            </w:pPr>
            <w:r>
              <w:rPr>
                <w:sz w:val="14"/>
              </w:rPr>
              <w:t>Bonthe District</w:t>
            </w:r>
          </w:p>
        </w:tc>
        <w:tc>
          <w:tcPr>
            <w:tcW w:w="1185" w:type="dxa"/>
          </w:tcPr>
          <w:p>
            <w:pPr>
              <w:pStyle w:val="TableParagraph"/>
              <w:spacing w:before="65"/>
              <w:ind w:left="-13" w:right="189"/>
              <w:jc w:val="right"/>
              <w:rPr>
                <w:sz w:val="14"/>
              </w:rPr>
            </w:pPr>
            <w:r>
              <w:rPr>
                <w:sz w:val="14"/>
              </w:rPr>
              <w:t>40,425,000</w:t>
            </w:r>
          </w:p>
        </w:tc>
        <w:tc>
          <w:tcPr>
            <w:tcW w:w="1532" w:type="dxa"/>
          </w:tcPr>
          <w:p>
            <w:pPr>
              <w:pStyle w:val="TableParagraph"/>
              <w:spacing w:before="65"/>
              <w:ind w:left="434"/>
              <w:rPr>
                <w:sz w:val="14"/>
              </w:rPr>
            </w:pPr>
            <w:r>
              <w:rPr>
                <w:sz w:val="14"/>
              </w:rPr>
              <w:t>331,800,000</w:t>
            </w:r>
          </w:p>
        </w:tc>
        <w:tc>
          <w:tcPr>
            <w:tcW w:w="1412" w:type="dxa"/>
          </w:tcPr>
          <w:p>
            <w:pPr>
              <w:pStyle w:val="TableParagraph"/>
              <w:spacing w:before="65"/>
              <w:ind w:right="180"/>
              <w:jc w:val="right"/>
              <w:rPr>
                <w:sz w:val="14"/>
              </w:rPr>
            </w:pPr>
            <w:r>
              <w:rPr>
                <w:w w:val="95"/>
                <w:sz w:val="14"/>
              </w:rPr>
              <w:t>1,858,106</w:t>
            </w:r>
          </w:p>
        </w:tc>
        <w:tc>
          <w:tcPr>
            <w:tcW w:w="1320" w:type="dxa"/>
          </w:tcPr>
          <w:p>
            <w:pPr>
              <w:pStyle w:val="TableParagraph"/>
              <w:spacing w:before="65"/>
              <w:ind w:right="112"/>
              <w:jc w:val="right"/>
              <w:rPr>
                <w:sz w:val="14"/>
              </w:rPr>
            </w:pPr>
            <w:r>
              <w:rPr>
                <w:w w:val="99"/>
                <w:sz w:val="14"/>
              </w:rPr>
              <w:t>-</w:t>
            </w:r>
          </w:p>
        </w:tc>
        <w:tc>
          <w:tcPr>
            <w:tcW w:w="1426" w:type="dxa"/>
          </w:tcPr>
          <w:p>
            <w:pPr>
              <w:pStyle w:val="TableParagraph"/>
              <w:spacing w:before="65"/>
              <w:ind w:right="220"/>
              <w:jc w:val="right"/>
              <w:rPr>
                <w:sz w:val="14"/>
              </w:rPr>
            </w:pPr>
            <w:r>
              <w:rPr>
                <w:w w:val="95"/>
                <w:sz w:val="14"/>
              </w:rPr>
              <w:t>226,564,835</w:t>
            </w:r>
          </w:p>
        </w:tc>
        <w:tc>
          <w:tcPr>
            <w:tcW w:w="1514" w:type="dxa"/>
          </w:tcPr>
          <w:p>
            <w:pPr>
              <w:pStyle w:val="TableParagraph"/>
              <w:spacing w:before="65"/>
              <w:ind w:left="558"/>
              <w:rPr>
                <w:sz w:val="14"/>
              </w:rPr>
            </w:pPr>
            <w:r>
              <w:rPr>
                <w:sz w:val="14"/>
              </w:rPr>
              <w:t>93,289,954</w:t>
            </w:r>
          </w:p>
        </w:tc>
        <w:tc>
          <w:tcPr>
            <w:tcW w:w="1305" w:type="dxa"/>
          </w:tcPr>
          <w:p>
            <w:pPr>
              <w:pStyle w:val="TableParagraph"/>
              <w:spacing w:before="65"/>
              <w:ind w:left="262"/>
              <w:rPr>
                <w:sz w:val="14"/>
              </w:rPr>
            </w:pPr>
            <w:r>
              <w:rPr>
                <w:sz w:val="14"/>
              </w:rPr>
              <w:t>493,778,837</w:t>
            </w:r>
          </w:p>
        </w:tc>
        <w:tc>
          <w:tcPr>
            <w:tcW w:w="1289" w:type="dxa"/>
          </w:tcPr>
          <w:p>
            <w:pPr>
              <w:pStyle w:val="TableParagraph"/>
              <w:spacing w:before="65"/>
              <w:ind w:right="235"/>
              <w:jc w:val="right"/>
              <w:rPr>
                <w:sz w:val="14"/>
              </w:rPr>
            </w:pPr>
            <w:r>
              <w:rPr>
                <w:sz w:val="14"/>
              </w:rPr>
              <w:t>83,564,250</w:t>
            </w:r>
          </w:p>
        </w:tc>
        <w:tc>
          <w:tcPr>
            <w:tcW w:w="1552" w:type="dxa"/>
          </w:tcPr>
          <w:p>
            <w:pPr>
              <w:pStyle w:val="TableParagraph"/>
              <w:spacing w:before="65"/>
              <w:ind w:right="134"/>
              <w:jc w:val="right"/>
              <w:rPr>
                <w:sz w:val="14"/>
              </w:rPr>
            </w:pPr>
            <w:r>
              <w:rPr>
                <w:sz w:val="14"/>
              </w:rPr>
              <w:t>1,271,280,982</w:t>
            </w:r>
          </w:p>
        </w:tc>
      </w:tr>
      <w:tr>
        <w:trPr>
          <w:trHeight w:val="319" w:hRule="atLeast"/>
        </w:trPr>
        <w:tc>
          <w:tcPr>
            <w:tcW w:w="268" w:type="dxa"/>
          </w:tcPr>
          <w:p>
            <w:pPr>
              <w:pStyle w:val="TableParagraph"/>
              <w:spacing w:before="63"/>
              <w:ind w:right="111"/>
              <w:jc w:val="right"/>
              <w:rPr>
                <w:sz w:val="14"/>
              </w:rPr>
            </w:pPr>
            <w:r>
              <w:rPr>
                <w:w w:val="99"/>
                <w:sz w:val="14"/>
              </w:rPr>
              <w:t>6</w:t>
            </w:r>
          </w:p>
        </w:tc>
        <w:tc>
          <w:tcPr>
            <w:tcW w:w="1989" w:type="dxa"/>
          </w:tcPr>
          <w:p>
            <w:pPr>
              <w:pStyle w:val="TableParagraph"/>
              <w:spacing w:before="63"/>
              <w:ind w:left="68"/>
              <w:rPr>
                <w:sz w:val="14"/>
              </w:rPr>
            </w:pPr>
            <w:r>
              <w:rPr>
                <w:sz w:val="14"/>
              </w:rPr>
              <w:t>Bonthe Municipal</w:t>
            </w:r>
          </w:p>
        </w:tc>
        <w:tc>
          <w:tcPr>
            <w:tcW w:w="1185" w:type="dxa"/>
          </w:tcPr>
          <w:p>
            <w:pPr>
              <w:pStyle w:val="TableParagraph"/>
              <w:spacing w:before="63"/>
              <w:ind w:left="-13" w:right="189"/>
              <w:jc w:val="right"/>
              <w:rPr>
                <w:sz w:val="14"/>
              </w:rPr>
            </w:pPr>
            <w:r>
              <w:rPr>
                <w:sz w:val="14"/>
              </w:rPr>
              <w:t>12,000,000</w:t>
            </w:r>
          </w:p>
        </w:tc>
        <w:tc>
          <w:tcPr>
            <w:tcW w:w="1532" w:type="dxa"/>
          </w:tcPr>
          <w:p>
            <w:pPr>
              <w:pStyle w:val="TableParagraph"/>
              <w:spacing w:before="63"/>
              <w:ind w:left="521"/>
              <w:rPr>
                <w:sz w:val="14"/>
              </w:rPr>
            </w:pPr>
            <w:r>
              <w:rPr>
                <w:sz w:val="14"/>
              </w:rPr>
              <w:t>15,000,000</w:t>
            </w:r>
          </w:p>
        </w:tc>
        <w:tc>
          <w:tcPr>
            <w:tcW w:w="1412" w:type="dxa"/>
          </w:tcPr>
          <w:p>
            <w:pPr>
              <w:pStyle w:val="TableParagraph"/>
              <w:spacing w:before="63"/>
              <w:ind w:right="180"/>
              <w:jc w:val="right"/>
              <w:rPr>
                <w:sz w:val="14"/>
              </w:rPr>
            </w:pPr>
            <w:r>
              <w:rPr>
                <w:w w:val="95"/>
                <w:sz w:val="14"/>
              </w:rPr>
              <w:t>5,000,000</w:t>
            </w:r>
          </w:p>
        </w:tc>
        <w:tc>
          <w:tcPr>
            <w:tcW w:w="1320" w:type="dxa"/>
          </w:tcPr>
          <w:p>
            <w:pPr>
              <w:pStyle w:val="TableParagraph"/>
              <w:spacing w:before="63"/>
              <w:ind w:right="142"/>
              <w:jc w:val="right"/>
              <w:rPr>
                <w:sz w:val="14"/>
              </w:rPr>
            </w:pPr>
            <w:r>
              <w:rPr>
                <w:w w:val="95"/>
                <w:sz w:val="14"/>
              </w:rPr>
              <w:t>7,000,000</w:t>
            </w:r>
          </w:p>
        </w:tc>
        <w:tc>
          <w:tcPr>
            <w:tcW w:w="1426" w:type="dxa"/>
          </w:tcPr>
          <w:p>
            <w:pPr>
              <w:pStyle w:val="TableParagraph"/>
              <w:spacing w:before="63"/>
              <w:ind w:right="215"/>
              <w:jc w:val="right"/>
              <w:rPr>
                <w:sz w:val="14"/>
              </w:rPr>
            </w:pPr>
            <w:r>
              <w:rPr>
                <w:sz w:val="14"/>
              </w:rPr>
              <w:t>35,250,000</w:t>
            </w:r>
          </w:p>
        </w:tc>
        <w:tc>
          <w:tcPr>
            <w:tcW w:w="1514" w:type="dxa"/>
          </w:tcPr>
          <w:p>
            <w:pPr>
              <w:pStyle w:val="TableParagraph"/>
              <w:spacing w:before="63"/>
              <w:ind w:left="558"/>
              <w:rPr>
                <w:sz w:val="14"/>
              </w:rPr>
            </w:pPr>
            <w:r>
              <w:rPr>
                <w:sz w:val="14"/>
              </w:rPr>
              <w:t>30,000,000</w:t>
            </w:r>
          </w:p>
        </w:tc>
        <w:tc>
          <w:tcPr>
            <w:tcW w:w="1305" w:type="dxa"/>
          </w:tcPr>
          <w:p>
            <w:pPr>
              <w:pStyle w:val="TableParagraph"/>
              <w:spacing w:before="63"/>
              <w:ind w:left="354"/>
              <w:rPr>
                <w:sz w:val="14"/>
              </w:rPr>
            </w:pPr>
            <w:r>
              <w:rPr>
                <w:sz w:val="14"/>
              </w:rPr>
              <w:t>21,150,000</w:t>
            </w:r>
          </w:p>
        </w:tc>
        <w:tc>
          <w:tcPr>
            <w:tcW w:w="1289" w:type="dxa"/>
          </w:tcPr>
          <w:p>
            <w:pPr>
              <w:pStyle w:val="TableParagraph"/>
              <w:rPr>
                <w:rFonts w:ascii="Times New Roman"/>
                <w:sz w:val="14"/>
              </w:rPr>
            </w:pPr>
          </w:p>
        </w:tc>
        <w:tc>
          <w:tcPr>
            <w:tcW w:w="1552" w:type="dxa"/>
          </w:tcPr>
          <w:p>
            <w:pPr>
              <w:pStyle w:val="TableParagraph"/>
              <w:spacing w:before="63"/>
              <w:ind w:right="126"/>
              <w:jc w:val="right"/>
              <w:rPr>
                <w:sz w:val="14"/>
              </w:rPr>
            </w:pPr>
            <w:r>
              <w:rPr>
                <w:w w:val="95"/>
                <w:sz w:val="14"/>
              </w:rPr>
              <w:t>125,400,000</w:t>
            </w:r>
          </w:p>
        </w:tc>
      </w:tr>
      <w:tr>
        <w:trPr>
          <w:trHeight w:val="321" w:hRule="atLeast"/>
        </w:trPr>
        <w:tc>
          <w:tcPr>
            <w:tcW w:w="268" w:type="dxa"/>
          </w:tcPr>
          <w:p>
            <w:pPr>
              <w:pStyle w:val="TableParagraph"/>
              <w:spacing w:before="65"/>
              <w:ind w:right="111"/>
              <w:jc w:val="right"/>
              <w:rPr>
                <w:sz w:val="14"/>
              </w:rPr>
            </w:pPr>
            <w:r>
              <w:rPr>
                <w:w w:val="99"/>
                <w:sz w:val="14"/>
              </w:rPr>
              <w:t>7</w:t>
            </w:r>
          </w:p>
        </w:tc>
        <w:tc>
          <w:tcPr>
            <w:tcW w:w="1989" w:type="dxa"/>
          </w:tcPr>
          <w:p>
            <w:pPr>
              <w:pStyle w:val="TableParagraph"/>
              <w:spacing w:before="65"/>
              <w:ind w:left="68"/>
              <w:rPr>
                <w:sz w:val="14"/>
              </w:rPr>
            </w:pPr>
            <w:r>
              <w:rPr>
                <w:sz w:val="14"/>
              </w:rPr>
              <w:t>Freetown City</w:t>
            </w:r>
          </w:p>
        </w:tc>
        <w:tc>
          <w:tcPr>
            <w:tcW w:w="1185" w:type="dxa"/>
          </w:tcPr>
          <w:p>
            <w:pPr>
              <w:pStyle w:val="TableParagraph"/>
              <w:spacing w:before="65"/>
              <w:ind w:left="-13" w:right="203"/>
              <w:jc w:val="right"/>
              <w:rPr>
                <w:sz w:val="14"/>
              </w:rPr>
            </w:pPr>
            <w:r>
              <w:rPr>
                <w:w w:val="95"/>
                <w:sz w:val="14"/>
              </w:rPr>
              <w:t>1,218,000,000</w:t>
            </w:r>
          </w:p>
        </w:tc>
        <w:tc>
          <w:tcPr>
            <w:tcW w:w="1532" w:type="dxa"/>
          </w:tcPr>
          <w:p>
            <w:pPr>
              <w:pStyle w:val="TableParagraph"/>
              <w:spacing w:before="65"/>
              <w:ind w:left="207"/>
              <w:rPr>
                <w:sz w:val="14"/>
              </w:rPr>
            </w:pPr>
            <w:r>
              <w:rPr>
                <w:sz w:val="14"/>
              </w:rPr>
              <w:t>33,782,000,000</w:t>
            </w:r>
          </w:p>
        </w:tc>
        <w:tc>
          <w:tcPr>
            <w:tcW w:w="1412" w:type="dxa"/>
          </w:tcPr>
          <w:p>
            <w:pPr>
              <w:pStyle w:val="TableParagraph"/>
              <w:spacing w:before="65"/>
              <w:ind w:right="198"/>
              <w:jc w:val="right"/>
              <w:rPr>
                <w:sz w:val="14"/>
              </w:rPr>
            </w:pPr>
            <w:r>
              <w:rPr>
                <w:sz w:val="14"/>
              </w:rPr>
              <w:t>4,718,520,000</w:t>
            </w:r>
          </w:p>
        </w:tc>
        <w:tc>
          <w:tcPr>
            <w:tcW w:w="1320" w:type="dxa"/>
          </w:tcPr>
          <w:p>
            <w:pPr>
              <w:pStyle w:val="TableParagraph"/>
              <w:spacing w:before="65"/>
              <w:ind w:right="112"/>
              <w:jc w:val="right"/>
              <w:rPr>
                <w:sz w:val="14"/>
              </w:rPr>
            </w:pPr>
            <w:r>
              <w:rPr>
                <w:w w:val="99"/>
                <w:sz w:val="14"/>
              </w:rPr>
              <w:t>-</w:t>
            </w:r>
          </w:p>
        </w:tc>
        <w:tc>
          <w:tcPr>
            <w:tcW w:w="1426" w:type="dxa"/>
          </w:tcPr>
          <w:p>
            <w:pPr>
              <w:pStyle w:val="TableParagraph"/>
              <w:spacing w:before="65"/>
              <w:ind w:right="228"/>
              <w:jc w:val="right"/>
              <w:rPr>
                <w:sz w:val="14"/>
              </w:rPr>
            </w:pPr>
            <w:r>
              <w:rPr>
                <w:w w:val="95"/>
                <w:sz w:val="14"/>
              </w:rPr>
              <w:t>5,369,804,000</w:t>
            </w:r>
          </w:p>
        </w:tc>
        <w:tc>
          <w:tcPr>
            <w:tcW w:w="1514" w:type="dxa"/>
          </w:tcPr>
          <w:p>
            <w:pPr>
              <w:pStyle w:val="TableParagraph"/>
              <w:spacing w:before="65"/>
              <w:ind w:left="336"/>
              <w:rPr>
                <w:sz w:val="14"/>
              </w:rPr>
            </w:pPr>
            <w:r>
              <w:rPr>
                <w:sz w:val="14"/>
              </w:rPr>
              <w:t>4,214,600,000</w:t>
            </w:r>
          </w:p>
        </w:tc>
        <w:tc>
          <w:tcPr>
            <w:tcW w:w="1305" w:type="dxa"/>
          </w:tcPr>
          <w:p>
            <w:pPr>
              <w:pStyle w:val="TableParagraph"/>
              <w:spacing w:before="65"/>
              <w:ind w:right="161"/>
              <w:jc w:val="right"/>
              <w:rPr>
                <w:sz w:val="14"/>
              </w:rPr>
            </w:pPr>
            <w:r>
              <w:rPr>
                <w:w w:val="99"/>
                <w:sz w:val="14"/>
              </w:rPr>
              <w:t>-</w:t>
            </w:r>
          </w:p>
        </w:tc>
        <w:tc>
          <w:tcPr>
            <w:tcW w:w="1289" w:type="dxa"/>
          </w:tcPr>
          <w:p>
            <w:pPr>
              <w:pStyle w:val="TableParagraph"/>
              <w:spacing w:before="65"/>
              <w:ind w:right="198"/>
              <w:jc w:val="right"/>
              <w:rPr>
                <w:sz w:val="14"/>
              </w:rPr>
            </w:pPr>
            <w:r>
              <w:rPr>
                <w:w w:val="99"/>
                <w:sz w:val="14"/>
              </w:rPr>
              <w:t>-</w:t>
            </w:r>
          </w:p>
        </w:tc>
        <w:tc>
          <w:tcPr>
            <w:tcW w:w="1552" w:type="dxa"/>
          </w:tcPr>
          <w:p>
            <w:pPr>
              <w:pStyle w:val="TableParagraph"/>
              <w:spacing w:before="65"/>
              <w:ind w:right="140"/>
              <w:jc w:val="right"/>
              <w:rPr>
                <w:sz w:val="14"/>
              </w:rPr>
            </w:pPr>
            <w:r>
              <w:rPr>
                <w:w w:val="95"/>
                <w:sz w:val="14"/>
              </w:rPr>
              <w:t>49,302,924,000</w:t>
            </w:r>
          </w:p>
        </w:tc>
      </w:tr>
      <w:tr>
        <w:trPr>
          <w:trHeight w:val="319" w:hRule="atLeast"/>
        </w:trPr>
        <w:tc>
          <w:tcPr>
            <w:tcW w:w="268" w:type="dxa"/>
          </w:tcPr>
          <w:p>
            <w:pPr>
              <w:pStyle w:val="TableParagraph"/>
              <w:spacing w:before="65"/>
              <w:ind w:right="111"/>
              <w:jc w:val="right"/>
              <w:rPr>
                <w:sz w:val="14"/>
              </w:rPr>
            </w:pPr>
            <w:r>
              <w:rPr>
                <w:w w:val="99"/>
                <w:sz w:val="14"/>
              </w:rPr>
              <w:t>8</w:t>
            </w:r>
          </w:p>
        </w:tc>
        <w:tc>
          <w:tcPr>
            <w:tcW w:w="1989" w:type="dxa"/>
          </w:tcPr>
          <w:p>
            <w:pPr>
              <w:pStyle w:val="TableParagraph"/>
              <w:spacing w:before="65"/>
              <w:ind w:left="68"/>
              <w:rPr>
                <w:sz w:val="14"/>
              </w:rPr>
            </w:pPr>
            <w:r>
              <w:rPr>
                <w:sz w:val="14"/>
              </w:rPr>
              <w:t>Kailahun District</w:t>
            </w:r>
          </w:p>
        </w:tc>
        <w:tc>
          <w:tcPr>
            <w:tcW w:w="1185" w:type="dxa"/>
          </w:tcPr>
          <w:p>
            <w:pPr>
              <w:pStyle w:val="TableParagraph"/>
              <w:spacing w:before="65"/>
              <w:ind w:left="-13" w:right="206"/>
              <w:jc w:val="right"/>
              <w:rPr>
                <w:sz w:val="14"/>
              </w:rPr>
            </w:pPr>
            <w:r>
              <w:rPr>
                <w:w w:val="95"/>
                <w:sz w:val="14"/>
              </w:rPr>
              <w:t>63,455,140.00</w:t>
            </w:r>
          </w:p>
        </w:tc>
        <w:tc>
          <w:tcPr>
            <w:tcW w:w="1532" w:type="dxa"/>
          </w:tcPr>
          <w:p>
            <w:pPr>
              <w:pStyle w:val="TableParagraph"/>
              <w:spacing w:before="65"/>
              <w:ind w:left="218"/>
              <w:rPr>
                <w:sz w:val="14"/>
              </w:rPr>
            </w:pPr>
            <w:r>
              <w:rPr>
                <w:sz w:val="14"/>
              </w:rPr>
              <w:t>971,777,850.00</w:t>
            </w:r>
          </w:p>
        </w:tc>
        <w:tc>
          <w:tcPr>
            <w:tcW w:w="1412" w:type="dxa"/>
          </w:tcPr>
          <w:p>
            <w:pPr>
              <w:pStyle w:val="TableParagraph"/>
              <w:spacing w:before="65"/>
              <w:ind w:right="197"/>
              <w:jc w:val="right"/>
              <w:rPr>
                <w:sz w:val="14"/>
              </w:rPr>
            </w:pPr>
            <w:r>
              <w:rPr>
                <w:w w:val="95"/>
                <w:sz w:val="14"/>
              </w:rPr>
              <w:t>32,000,000.00</w:t>
            </w:r>
          </w:p>
        </w:tc>
        <w:tc>
          <w:tcPr>
            <w:tcW w:w="1320" w:type="dxa"/>
          </w:tcPr>
          <w:p>
            <w:pPr>
              <w:pStyle w:val="TableParagraph"/>
              <w:spacing w:before="65"/>
              <w:ind w:right="161"/>
              <w:jc w:val="right"/>
              <w:rPr>
                <w:sz w:val="14"/>
              </w:rPr>
            </w:pPr>
            <w:r>
              <w:rPr>
                <w:w w:val="95"/>
                <w:sz w:val="14"/>
              </w:rPr>
              <w:t>92,287,040.00</w:t>
            </w:r>
          </w:p>
        </w:tc>
        <w:tc>
          <w:tcPr>
            <w:tcW w:w="1426" w:type="dxa"/>
          </w:tcPr>
          <w:p>
            <w:pPr>
              <w:pStyle w:val="TableParagraph"/>
              <w:spacing w:before="65"/>
              <w:ind w:right="203"/>
              <w:jc w:val="right"/>
              <w:rPr>
                <w:sz w:val="14"/>
              </w:rPr>
            </w:pPr>
            <w:r>
              <w:rPr>
                <w:sz w:val="14"/>
              </w:rPr>
              <w:t>62,001,712.50</w:t>
            </w:r>
          </w:p>
        </w:tc>
        <w:tc>
          <w:tcPr>
            <w:tcW w:w="1514" w:type="dxa"/>
          </w:tcPr>
          <w:p>
            <w:pPr>
              <w:pStyle w:val="TableParagraph"/>
              <w:spacing w:before="65"/>
              <w:ind w:left="250"/>
              <w:rPr>
                <w:sz w:val="14"/>
              </w:rPr>
            </w:pPr>
            <w:r>
              <w:rPr>
                <w:sz w:val="14"/>
              </w:rPr>
              <w:t>615,674,041.80</w:t>
            </w:r>
          </w:p>
        </w:tc>
        <w:tc>
          <w:tcPr>
            <w:tcW w:w="1305" w:type="dxa"/>
          </w:tcPr>
          <w:p>
            <w:pPr>
              <w:pStyle w:val="TableParagraph"/>
              <w:spacing w:before="65"/>
              <w:ind w:left="161"/>
              <w:rPr>
                <w:sz w:val="14"/>
              </w:rPr>
            </w:pPr>
            <w:r>
              <w:rPr>
                <w:sz w:val="14"/>
              </w:rPr>
              <w:t>62,048,057.31</w:t>
            </w:r>
          </w:p>
        </w:tc>
        <w:tc>
          <w:tcPr>
            <w:tcW w:w="1289" w:type="dxa"/>
          </w:tcPr>
          <w:p>
            <w:pPr>
              <w:pStyle w:val="TableParagraph"/>
              <w:spacing w:before="65"/>
              <w:ind w:right="257"/>
              <w:jc w:val="right"/>
              <w:rPr>
                <w:sz w:val="14"/>
              </w:rPr>
            </w:pPr>
            <w:r>
              <w:rPr>
                <w:w w:val="95"/>
                <w:sz w:val="14"/>
              </w:rPr>
              <w:t>46,815,800.00</w:t>
            </w:r>
          </w:p>
        </w:tc>
        <w:tc>
          <w:tcPr>
            <w:tcW w:w="1552" w:type="dxa"/>
          </w:tcPr>
          <w:p>
            <w:pPr>
              <w:pStyle w:val="TableParagraph"/>
              <w:spacing w:before="65"/>
              <w:ind w:right="134"/>
              <w:jc w:val="right"/>
              <w:rPr>
                <w:sz w:val="14"/>
              </w:rPr>
            </w:pPr>
            <w:r>
              <w:rPr>
                <w:sz w:val="14"/>
              </w:rPr>
              <w:t>1,946,059,642</w:t>
            </w:r>
          </w:p>
        </w:tc>
      </w:tr>
      <w:tr>
        <w:trPr>
          <w:trHeight w:val="319" w:hRule="atLeast"/>
        </w:trPr>
        <w:tc>
          <w:tcPr>
            <w:tcW w:w="268" w:type="dxa"/>
          </w:tcPr>
          <w:p>
            <w:pPr>
              <w:pStyle w:val="TableParagraph"/>
              <w:spacing w:before="63"/>
              <w:ind w:right="111"/>
              <w:jc w:val="right"/>
              <w:rPr>
                <w:sz w:val="14"/>
              </w:rPr>
            </w:pPr>
            <w:r>
              <w:rPr>
                <w:w w:val="99"/>
                <w:sz w:val="14"/>
              </w:rPr>
              <w:t>9</w:t>
            </w:r>
          </w:p>
        </w:tc>
        <w:tc>
          <w:tcPr>
            <w:tcW w:w="1989" w:type="dxa"/>
          </w:tcPr>
          <w:p>
            <w:pPr>
              <w:pStyle w:val="TableParagraph"/>
              <w:spacing w:before="63"/>
              <w:ind w:left="68"/>
              <w:rPr>
                <w:sz w:val="14"/>
              </w:rPr>
            </w:pPr>
            <w:r>
              <w:rPr>
                <w:sz w:val="14"/>
              </w:rPr>
              <w:t>Kambia District</w:t>
            </w:r>
          </w:p>
        </w:tc>
        <w:tc>
          <w:tcPr>
            <w:tcW w:w="1185" w:type="dxa"/>
          </w:tcPr>
          <w:p>
            <w:pPr>
              <w:pStyle w:val="TableParagraph"/>
              <w:spacing w:before="63"/>
              <w:ind w:left="-13" w:right="189"/>
              <w:jc w:val="right"/>
              <w:rPr>
                <w:sz w:val="14"/>
              </w:rPr>
            </w:pPr>
            <w:r>
              <w:rPr>
                <w:sz w:val="14"/>
              </w:rPr>
              <w:t>53,135,620</w:t>
            </w:r>
          </w:p>
        </w:tc>
        <w:tc>
          <w:tcPr>
            <w:tcW w:w="1532" w:type="dxa"/>
          </w:tcPr>
          <w:p>
            <w:pPr>
              <w:pStyle w:val="TableParagraph"/>
              <w:spacing w:before="63"/>
              <w:ind w:left="434"/>
              <w:rPr>
                <w:sz w:val="14"/>
              </w:rPr>
            </w:pPr>
            <w:r>
              <w:rPr>
                <w:sz w:val="14"/>
              </w:rPr>
              <w:t>168,098,904</w:t>
            </w:r>
          </w:p>
        </w:tc>
        <w:tc>
          <w:tcPr>
            <w:tcW w:w="1412" w:type="dxa"/>
          </w:tcPr>
          <w:p>
            <w:pPr>
              <w:pStyle w:val="TableParagraph"/>
              <w:spacing w:before="63"/>
              <w:ind w:right="185"/>
              <w:jc w:val="right"/>
              <w:rPr>
                <w:sz w:val="14"/>
              </w:rPr>
            </w:pPr>
            <w:r>
              <w:rPr>
                <w:sz w:val="14"/>
              </w:rPr>
              <w:t>10,560,000</w:t>
            </w:r>
          </w:p>
        </w:tc>
        <w:tc>
          <w:tcPr>
            <w:tcW w:w="1320" w:type="dxa"/>
          </w:tcPr>
          <w:p>
            <w:pPr>
              <w:pStyle w:val="TableParagraph"/>
              <w:spacing w:before="63"/>
              <w:ind w:right="147"/>
              <w:jc w:val="right"/>
              <w:rPr>
                <w:sz w:val="14"/>
              </w:rPr>
            </w:pPr>
            <w:r>
              <w:rPr>
                <w:sz w:val="14"/>
              </w:rPr>
              <w:t>23,635,000</w:t>
            </w:r>
          </w:p>
        </w:tc>
        <w:tc>
          <w:tcPr>
            <w:tcW w:w="1426" w:type="dxa"/>
          </w:tcPr>
          <w:p>
            <w:pPr>
              <w:pStyle w:val="TableParagraph"/>
              <w:spacing w:before="63"/>
              <w:ind w:right="220"/>
              <w:jc w:val="right"/>
              <w:rPr>
                <w:sz w:val="14"/>
              </w:rPr>
            </w:pPr>
            <w:r>
              <w:rPr>
                <w:w w:val="95"/>
                <w:sz w:val="14"/>
              </w:rPr>
              <w:t>257,648,000</w:t>
            </w:r>
          </w:p>
        </w:tc>
        <w:tc>
          <w:tcPr>
            <w:tcW w:w="1514" w:type="dxa"/>
          </w:tcPr>
          <w:p>
            <w:pPr>
              <w:pStyle w:val="TableParagraph"/>
              <w:spacing w:before="63"/>
              <w:ind w:left="471"/>
              <w:rPr>
                <w:sz w:val="14"/>
              </w:rPr>
            </w:pPr>
            <w:r>
              <w:rPr>
                <w:sz w:val="14"/>
              </w:rPr>
              <w:t>221,210,000</w:t>
            </w:r>
          </w:p>
        </w:tc>
        <w:tc>
          <w:tcPr>
            <w:tcW w:w="1305" w:type="dxa"/>
          </w:tcPr>
          <w:p>
            <w:pPr>
              <w:pStyle w:val="TableParagraph"/>
              <w:spacing w:before="63"/>
              <w:ind w:right="161"/>
              <w:jc w:val="right"/>
              <w:rPr>
                <w:sz w:val="14"/>
              </w:rPr>
            </w:pPr>
            <w:r>
              <w:rPr>
                <w:w w:val="99"/>
                <w:sz w:val="14"/>
              </w:rPr>
              <w:t>-</w:t>
            </w:r>
          </w:p>
        </w:tc>
        <w:tc>
          <w:tcPr>
            <w:tcW w:w="1289" w:type="dxa"/>
          </w:tcPr>
          <w:p>
            <w:pPr>
              <w:pStyle w:val="TableParagraph"/>
              <w:spacing w:before="63"/>
              <w:ind w:right="198"/>
              <w:jc w:val="right"/>
              <w:rPr>
                <w:sz w:val="14"/>
              </w:rPr>
            </w:pPr>
            <w:r>
              <w:rPr>
                <w:w w:val="99"/>
                <w:sz w:val="14"/>
              </w:rPr>
              <w:t>-</w:t>
            </w:r>
          </w:p>
        </w:tc>
        <w:tc>
          <w:tcPr>
            <w:tcW w:w="1552" w:type="dxa"/>
          </w:tcPr>
          <w:p>
            <w:pPr>
              <w:pStyle w:val="TableParagraph"/>
              <w:spacing w:before="63"/>
              <w:ind w:right="126"/>
              <w:jc w:val="right"/>
              <w:rPr>
                <w:sz w:val="14"/>
              </w:rPr>
            </w:pPr>
            <w:r>
              <w:rPr>
                <w:w w:val="95"/>
                <w:sz w:val="14"/>
              </w:rPr>
              <w:t>734,287,524</w:t>
            </w:r>
          </w:p>
        </w:tc>
      </w:tr>
      <w:tr>
        <w:trPr>
          <w:trHeight w:val="321" w:hRule="atLeast"/>
        </w:trPr>
        <w:tc>
          <w:tcPr>
            <w:tcW w:w="268" w:type="dxa"/>
          </w:tcPr>
          <w:p>
            <w:pPr>
              <w:pStyle w:val="TableParagraph"/>
              <w:spacing w:before="65"/>
              <w:ind w:right="96"/>
              <w:jc w:val="right"/>
              <w:rPr>
                <w:sz w:val="14"/>
              </w:rPr>
            </w:pPr>
            <w:r>
              <w:rPr>
                <w:w w:val="95"/>
                <w:sz w:val="14"/>
              </w:rPr>
              <w:t>10</w:t>
            </w:r>
          </w:p>
        </w:tc>
        <w:tc>
          <w:tcPr>
            <w:tcW w:w="1989" w:type="dxa"/>
          </w:tcPr>
          <w:p>
            <w:pPr>
              <w:pStyle w:val="TableParagraph"/>
              <w:spacing w:before="65"/>
              <w:ind w:left="68"/>
              <w:rPr>
                <w:sz w:val="14"/>
              </w:rPr>
            </w:pPr>
            <w:r>
              <w:rPr>
                <w:sz w:val="14"/>
              </w:rPr>
              <w:t>Kenema District</w:t>
            </w:r>
          </w:p>
        </w:tc>
        <w:tc>
          <w:tcPr>
            <w:tcW w:w="1185" w:type="dxa"/>
          </w:tcPr>
          <w:p>
            <w:pPr>
              <w:pStyle w:val="TableParagraph"/>
              <w:spacing w:before="65"/>
              <w:ind w:left="-13" w:right="194"/>
              <w:jc w:val="right"/>
              <w:rPr>
                <w:sz w:val="14"/>
              </w:rPr>
            </w:pPr>
            <w:r>
              <w:rPr>
                <w:w w:val="95"/>
                <w:sz w:val="14"/>
              </w:rPr>
              <w:t>143,500,000</w:t>
            </w:r>
          </w:p>
        </w:tc>
        <w:tc>
          <w:tcPr>
            <w:tcW w:w="1532" w:type="dxa"/>
          </w:tcPr>
          <w:p>
            <w:pPr>
              <w:pStyle w:val="TableParagraph"/>
              <w:spacing w:before="65"/>
              <w:ind w:left="434"/>
              <w:rPr>
                <w:sz w:val="14"/>
              </w:rPr>
            </w:pPr>
            <w:r>
              <w:rPr>
                <w:sz w:val="14"/>
              </w:rPr>
              <w:t>375,768,000</w:t>
            </w:r>
          </w:p>
        </w:tc>
        <w:tc>
          <w:tcPr>
            <w:tcW w:w="1412" w:type="dxa"/>
          </w:tcPr>
          <w:p>
            <w:pPr>
              <w:pStyle w:val="TableParagraph"/>
              <w:spacing w:before="65"/>
              <w:ind w:right="180"/>
              <w:jc w:val="right"/>
              <w:rPr>
                <w:sz w:val="14"/>
              </w:rPr>
            </w:pPr>
            <w:r>
              <w:rPr>
                <w:w w:val="95"/>
                <w:sz w:val="14"/>
              </w:rPr>
              <w:t>4,992,000</w:t>
            </w:r>
          </w:p>
        </w:tc>
        <w:tc>
          <w:tcPr>
            <w:tcW w:w="1320" w:type="dxa"/>
          </w:tcPr>
          <w:p>
            <w:pPr>
              <w:pStyle w:val="TableParagraph"/>
              <w:spacing w:before="65"/>
              <w:ind w:right="147"/>
              <w:jc w:val="right"/>
              <w:rPr>
                <w:sz w:val="14"/>
              </w:rPr>
            </w:pPr>
            <w:r>
              <w:rPr>
                <w:sz w:val="14"/>
              </w:rPr>
              <w:t>23,600,000</w:t>
            </w:r>
          </w:p>
        </w:tc>
        <w:tc>
          <w:tcPr>
            <w:tcW w:w="1426" w:type="dxa"/>
          </w:tcPr>
          <w:p>
            <w:pPr>
              <w:pStyle w:val="TableParagraph"/>
              <w:spacing w:before="65"/>
              <w:ind w:right="215"/>
              <w:jc w:val="right"/>
              <w:rPr>
                <w:sz w:val="14"/>
              </w:rPr>
            </w:pPr>
            <w:r>
              <w:rPr>
                <w:sz w:val="14"/>
              </w:rPr>
              <w:t>28,080,000</w:t>
            </w:r>
          </w:p>
        </w:tc>
        <w:tc>
          <w:tcPr>
            <w:tcW w:w="1514" w:type="dxa"/>
          </w:tcPr>
          <w:p>
            <w:pPr>
              <w:pStyle w:val="TableParagraph"/>
              <w:spacing w:before="65"/>
              <w:ind w:left="471"/>
              <w:rPr>
                <w:sz w:val="14"/>
              </w:rPr>
            </w:pPr>
            <w:r>
              <w:rPr>
                <w:sz w:val="14"/>
              </w:rPr>
              <w:t>428,662,000</w:t>
            </w:r>
          </w:p>
        </w:tc>
        <w:tc>
          <w:tcPr>
            <w:tcW w:w="1305" w:type="dxa"/>
          </w:tcPr>
          <w:p>
            <w:pPr>
              <w:pStyle w:val="TableParagraph"/>
              <w:spacing w:before="65"/>
              <w:ind w:left="262"/>
              <w:rPr>
                <w:sz w:val="14"/>
              </w:rPr>
            </w:pPr>
            <w:r>
              <w:rPr>
                <w:sz w:val="14"/>
              </w:rPr>
              <w:t>366,237,734</w:t>
            </w:r>
          </w:p>
        </w:tc>
        <w:tc>
          <w:tcPr>
            <w:tcW w:w="1289" w:type="dxa"/>
          </w:tcPr>
          <w:p>
            <w:pPr>
              <w:pStyle w:val="TableParagraph"/>
              <w:spacing w:before="65"/>
              <w:ind w:right="198"/>
              <w:jc w:val="right"/>
              <w:rPr>
                <w:sz w:val="14"/>
              </w:rPr>
            </w:pPr>
            <w:r>
              <w:rPr>
                <w:w w:val="99"/>
                <w:sz w:val="14"/>
              </w:rPr>
              <w:t>-</w:t>
            </w:r>
          </w:p>
        </w:tc>
        <w:tc>
          <w:tcPr>
            <w:tcW w:w="1552" w:type="dxa"/>
          </w:tcPr>
          <w:p>
            <w:pPr>
              <w:pStyle w:val="TableParagraph"/>
              <w:spacing w:before="65"/>
              <w:ind w:right="134"/>
              <w:jc w:val="right"/>
              <w:rPr>
                <w:sz w:val="14"/>
              </w:rPr>
            </w:pPr>
            <w:r>
              <w:rPr>
                <w:sz w:val="14"/>
              </w:rPr>
              <w:t>1,370,839,734</w:t>
            </w:r>
          </w:p>
        </w:tc>
      </w:tr>
      <w:tr>
        <w:trPr>
          <w:trHeight w:val="321" w:hRule="atLeast"/>
        </w:trPr>
        <w:tc>
          <w:tcPr>
            <w:tcW w:w="268" w:type="dxa"/>
          </w:tcPr>
          <w:p>
            <w:pPr>
              <w:pStyle w:val="TableParagraph"/>
              <w:spacing w:before="65"/>
              <w:ind w:right="96"/>
              <w:jc w:val="right"/>
              <w:rPr>
                <w:sz w:val="14"/>
              </w:rPr>
            </w:pPr>
            <w:r>
              <w:rPr>
                <w:w w:val="95"/>
                <w:sz w:val="14"/>
              </w:rPr>
              <w:t>11</w:t>
            </w:r>
          </w:p>
        </w:tc>
        <w:tc>
          <w:tcPr>
            <w:tcW w:w="1989" w:type="dxa"/>
          </w:tcPr>
          <w:p>
            <w:pPr>
              <w:pStyle w:val="TableParagraph"/>
              <w:spacing w:before="65"/>
              <w:ind w:left="68"/>
              <w:rPr>
                <w:sz w:val="14"/>
              </w:rPr>
            </w:pPr>
            <w:r>
              <w:rPr>
                <w:sz w:val="14"/>
              </w:rPr>
              <w:t>Kenema City</w:t>
            </w:r>
          </w:p>
        </w:tc>
        <w:tc>
          <w:tcPr>
            <w:tcW w:w="1185" w:type="dxa"/>
          </w:tcPr>
          <w:p>
            <w:pPr>
              <w:pStyle w:val="TableParagraph"/>
              <w:spacing w:before="65"/>
              <w:ind w:left="-13" w:right="184"/>
              <w:jc w:val="right"/>
              <w:rPr>
                <w:sz w:val="14"/>
              </w:rPr>
            </w:pPr>
            <w:r>
              <w:rPr>
                <w:w w:val="95"/>
                <w:sz w:val="14"/>
              </w:rPr>
              <w:t>7,200,000</w:t>
            </w:r>
          </w:p>
        </w:tc>
        <w:tc>
          <w:tcPr>
            <w:tcW w:w="1532" w:type="dxa"/>
          </w:tcPr>
          <w:p>
            <w:pPr>
              <w:pStyle w:val="TableParagraph"/>
              <w:spacing w:before="65"/>
              <w:ind w:left="299"/>
              <w:rPr>
                <w:sz w:val="14"/>
              </w:rPr>
            </w:pPr>
            <w:r>
              <w:rPr>
                <w:sz w:val="14"/>
              </w:rPr>
              <w:t>1,223,595,167</w:t>
            </w:r>
          </w:p>
        </w:tc>
        <w:tc>
          <w:tcPr>
            <w:tcW w:w="1412" w:type="dxa"/>
          </w:tcPr>
          <w:p>
            <w:pPr>
              <w:pStyle w:val="TableParagraph"/>
              <w:spacing w:before="65"/>
              <w:ind w:right="191"/>
              <w:jc w:val="right"/>
              <w:rPr>
                <w:sz w:val="14"/>
              </w:rPr>
            </w:pPr>
            <w:r>
              <w:rPr>
                <w:w w:val="95"/>
                <w:sz w:val="14"/>
              </w:rPr>
              <w:t>840,000,096</w:t>
            </w:r>
          </w:p>
        </w:tc>
        <w:tc>
          <w:tcPr>
            <w:tcW w:w="1320" w:type="dxa"/>
          </w:tcPr>
          <w:p>
            <w:pPr>
              <w:pStyle w:val="TableParagraph"/>
              <w:spacing w:before="65"/>
              <w:ind w:right="147"/>
              <w:jc w:val="right"/>
              <w:rPr>
                <w:sz w:val="14"/>
              </w:rPr>
            </w:pPr>
            <w:r>
              <w:rPr>
                <w:sz w:val="14"/>
              </w:rPr>
              <w:t>11,000,000</w:t>
            </w:r>
          </w:p>
        </w:tc>
        <w:tc>
          <w:tcPr>
            <w:tcW w:w="1426" w:type="dxa"/>
          </w:tcPr>
          <w:p>
            <w:pPr>
              <w:pStyle w:val="TableParagraph"/>
              <w:spacing w:before="65"/>
              <w:ind w:right="220"/>
              <w:jc w:val="right"/>
              <w:rPr>
                <w:sz w:val="14"/>
              </w:rPr>
            </w:pPr>
            <w:r>
              <w:rPr>
                <w:w w:val="95"/>
                <w:sz w:val="14"/>
              </w:rPr>
              <w:t>999,490,000</w:t>
            </w:r>
          </w:p>
        </w:tc>
        <w:tc>
          <w:tcPr>
            <w:tcW w:w="1514" w:type="dxa"/>
          </w:tcPr>
          <w:p>
            <w:pPr>
              <w:pStyle w:val="TableParagraph"/>
              <w:spacing w:before="65"/>
              <w:ind w:left="471"/>
              <w:rPr>
                <w:sz w:val="14"/>
              </w:rPr>
            </w:pPr>
            <w:r>
              <w:rPr>
                <w:sz w:val="14"/>
              </w:rPr>
              <w:t>217,190,000</w:t>
            </w:r>
          </w:p>
        </w:tc>
        <w:tc>
          <w:tcPr>
            <w:tcW w:w="1305" w:type="dxa"/>
          </w:tcPr>
          <w:p>
            <w:pPr>
              <w:pStyle w:val="TableParagraph"/>
              <w:spacing w:before="65"/>
              <w:ind w:right="161"/>
              <w:jc w:val="right"/>
              <w:rPr>
                <w:sz w:val="14"/>
              </w:rPr>
            </w:pPr>
            <w:r>
              <w:rPr>
                <w:w w:val="99"/>
                <w:sz w:val="14"/>
              </w:rPr>
              <w:t>-</w:t>
            </w:r>
          </w:p>
        </w:tc>
        <w:tc>
          <w:tcPr>
            <w:tcW w:w="1289" w:type="dxa"/>
          </w:tcPr>
          <w:p>
            <w:pPr>
              <w:pStyle w:val="TableParagraph"/>
              <w:spacing w:before="65"/>
              <w:ind w:right="198"/>
              <w:jc w:val="right"/>
              <w:rPr>
                <w:sz w:val="14"/>
              </w:rPr>
            </w:pPr>
            <w:r>
              <w:rPr>
                <w:w w:val="99"/>
                <w:sz w:val="14"/>
              </w:rPr>
              <w:t>-</w:t>
            </w:r>
          </w:p>
        </w:tc>
        <w:tc>
          <w:tcPr>
            <w:tcW w:w="1552" w:type="dxa"/>
          </w:tcPr>
          <w:p>
            <w:pPr>
              <w:pStyle w:val="TableParagraph"/>
              <w:spacing w:before="65"/>
              <w:ind w:right="134"/>
              <w:jc w:val="right"/>
              <w:rPr>
                <w:sz w:val="14"/>
              </w:rPr>
            </w:pPr>
            <w:r>
              <w:rPr>
                <w:sz w:val="14"/>
              </w:rPr>
              <w:t>3,298,475,263</w:t>
            </w:r>
          </w:p>
        </w:tc>
      </w:tr>
      <w:tr>
        <w:trPr>
          <w:trHeight w:val="319" w:hRule="atLeast"/>
        </w:trPr>
        <w:tc>
          <w:tcPr>
            <w:tcW w:w="268" w:type="dxa"/>
          </w:tcPr>
          <w:p>
            <w:pPr>
              <w:pStyle w:val="TableParagraph"/>
              <w:spacing w:before="65"/>
              <w:ind w:right="96"/>
              <w:jc w:val="right"/>
              <w:rPr>
                <w:sz w:val="14"/>
              </w:rPr>
            </w:pPr>
            <w:r>
              <w:rPr>
                <w:w w:val="95"/>
                <w:sz w:val="14"/>
              </w:rPr>
              <w:t>12</w:t>
            </w:r>
          </w:p>
        </w:tc>
        <w:tc>
          <w:tcPr>
            <w:tcW w:w="1989" w:type="dxa"/>
          </w:tcPr>
          <w:p>
            <w:pPr>
              <w:pStyle w:val="TableParagraph"/>
              <w:spacing w:before="65"/>
              <w:ind w:left="68"/>
              <w:rPr>
                <w:sz w:val="14"/>
              </w:rPr>
            </w:pPr>
            <w:r>
              <w:rPr>
                <w:sz w:val="14"/>
              </w:rPr>
              <w:t>Koinadugu District</w:t>
            </w:r>
          </w:p>
        </w:tc>
        <w:tc>
          <w:tcPr>
            <w:tcW w:w="1185" w:type="dxa"/>
          </w:tcPr>
          <w:p>
            <w:pPr>
              <w:pStyle w:val="TableParagraph"/>
              <w:spacing w:before="65"/>
              <w:ind w:left="-13" w:right="189"/>
              <w:jc w:val="right"/>
              <w:rPr>
                <w:sz w:val="14"/>
              </w:rPr>
            </w:pPr>
            <w:r>
              <w:rPr>
                <w:sz w:val="14"/>
              </w:rPr>
              <w:t>80,023,875</w:t>
            </w:r>
          </w:p>
        </w:tc>
        <w:tc>
          <w:tcPr>
            <w:tcW w:w="1532" w:type="dxa"/>
          </w:tcPr>
          <w:p>
            <w:pPr>
              <w:pStyle w:val="TableParagraph"/>
              <w:spacing w:before="65"/>
              <w:ind w:left="434"/>
              <w:rPr>
                <w:sz w:val="14"/>
              </w:rPr>
            </w:pPr>
            <w:r>
              <w:rPr>
                <w:sz w:val="14"/>
              </w:rPr>
              <w:t>300,000,000</w:t>
            </w:r>
          </w:p>
        </w:tc>
        <w:tc>
          <w:tcPr>
            <w:tcW w:w="1412" w:type="dxa"/>
          </w:tcPr>
          <w:p>
            <w:pPr>
              <w:pStyle w:val="TableParagraph"/>
              <w:spacing w:before="65"/>
              <w:ind w:right="185"/>
              <w:jc w:val="right"/>
              <w:rPr>
                <w:sz w:val="14"/>
              </w:rPr>
            </w:pPr>
            <w:r>
              <w:rPr>
                <w:sz w:val="14"/>
              </w:rPr>
              <w:t>90,000,000</w:t>
            </w:r>
          </w:p>
        </w:tc>
        <w:tc>
          <w:tcPr>
            <w:tcW w:w="1320" w:type="dxa"/>
          </w:tcPr>
          <w:p>
            <w:pPr>
              <w:pStyle w:val="TableParagraph"/>
              <w:spacing w:before="65"/>
              <w:ind w:right="147"/>
              <w:jc w:val="right"/>
              <w:rPr>
                <w:sz w:val="14"/>
              </w:rPr>
            </w:pPr>
            <w:r>
              <w:rPr>
                <w:sz w:val="14"/>
              </w:rPr>
              <w:t>87,840,000</w:t>
            </w:r>
          </w:p>
        </w:tc>
        <w:tc>
          <w:tcPr>
            <w:tcW w:w="1426" w:type="dxa"/>
          </w:tcPr>
          <w:p>
            <w:pPr>
              <w:pStyle w:val="TableParagraph"/>
              <w:spacing w:before="65"/>
              <w:ind w:right="220"/>
              <w:jc w:val="right"/>
              <w:rPr>
                <w:sz w:val="14"/>
              </w:rPr>
            </w:pPr>
            <w:r>
              <w:rPr>
                <w:w w:val="95"/>
                <w:sz w:val="14"/>
              </w:rPr>
              <w:t>310,000,000</w:t>
            </w:r>
          </w:p>
        </w:tc>
        <w:tc>
          <w:tcPr>
            <w:tcW w:w="1514" w:type="dxa"/>
          </w:tcPr>
          <w:p>
            <w:pPr>
              <w:pStyle w:val="TableParagraph"/>
              <w:spacing w:before="65"/>
              <w:ind w:left="471"/>
              <w:rPr>
                <w:sz w:val="14"/>
              </w:rPr>
            </w:pPr>
            <w:r>
              <w:rPr>
                <w:sz w:val="14"/>
              </w:rPr>
              <w:t>410,000,000</w:t>
            </w:r>
          </w:p>
        </w:tc>
        <w:tc>
          <w:tcPr>
            <w:tcW w:w="1305" w:type="dxa"/>
          </w:tcPr>
          <w:p>
            <w:pPr>
              <w:pStyle w:val="TableParagraph"/>
              <w:spacing w:before="65"/>
              <w:ind w:left="354"/>
              <w:rPr>
                <w:sz w:val="14"/>
              </w:rPr>
            </w:pPr>
            <w:r>
              <w:rPr>
                <w:sz w:val="14"/>
              </w:rPr>
              <w:t>71,131,200</w:t>
            </w:r>
          </w:p>
        </w:tc>
        <w:tc>
          <w:tcPr>
            <w:tcW w:w="1289" w:type="dxa"/>
          </w:tcPr>
          <w:p>
            <w:pPr>
              <w:pStyle w:val="TableParagraph"/>
              <w:spacing w:before="65"/>
              <w:ind w:right="235"/>
              <w:jc w:val="right"/>
              <w:rPr>
                <w:sz w:val="14"/>
              </w:rPr>
            </w:pPr>
            <w:r>
              <w:rPr>
                <w:sz w:val="14"/>
              </w:rPr>
              <w:t>65,800,000</w:t>
            </w:r>
          </w:p>
        </w:tc>
        <w:tc>
          <w:tcPr>
            <w:tcW w:w="1552" w:type="dxa"/>
          </w:tcPr>
          <w:p>
            <w:pPr>
              <w:pStyle w:val="TableParagraph"/>
              <w:spacing w:before="65"/>
              <w:ind w:right="134"/>
              <w:jc w:val="right"/>
              <w:rPr>
                <w:sz w:val="14"/>
              </w:rPr>
            </w:pPr>
            <w:r>
              <w:rPr>
                <w:sz w:val="14"/>
              </w:rPr>
              <w:t>1,414,795,075</w:t>
            </w:r>
          </w:p>
        </w:tc>
      </w:tr>
      <w:tr>
        <w:trPr>
          <w:trHeight w:val="319" w:hRule="atLeast"/>
        </w:trPr>
        <w:tc>
          <w:tcPr>
            <w:tcW w:w="268" w:type="dxa"/>
          </w:tcPr>
          <w:p>
            <w:pPr>
              <w:pStyle w:val="TableParagraph"/>
              <w:spacing w:before="63"/>
              <w:ind w:right="96"/>
              <w:jc w:val="right"/>
              <w:rPr>
                <w:sz w:val="14"/>
              </w:rPr>
            </w:pPr>
            <w:r>
              <w:rPr>
                <w:w w:val="95"/>
                <w:sz w:val="14"/>
              </w:rPr>
              <w:t>13</w:t>
            </w:r>
          </w:p>
        </w:tc>
        <w:tc>
          <w:tcPr>
            <w:tcW w:w="1989" w:type="dxa"/>
          </w:tcPr>
          <w:p>
            <w:pPr>
              <w:pStyle w:val="TableParagraph"/>
              <w:spacing w:before="63"/>
              <w:ind w:left="68"/>
              <w:rPr>
                <w:sz w:val="14"/>
              </w:rPr>
            </w:pPr>
            <w:r>
              <w:rPr>
                <w:sz w:val="14"/>
              </w:rPr>
              <w:t>Kono District</w:t>
            </w:r>
          </w:p>
        </w:tc>
        <w:tc>
          <w:tcPr>
            <w:tcW w:w="1185" w:type="dxa"/>
          </w:tcPr>
          <w:p>
            <w:pPr>
              <w:pStyle w:val="TableParagraph"/>
              <w:spacing w:before="63"/>
              <w:ind w:left="-13" w:right="189"/>
              <w:jc w:val="right"/>
              <w:rPr>
                <w:sz w:val="14"/>
              </w:rPr>
            </w:pPr>
            <w:r>
              <w:rPr>
                <w:sz w:val="14"/>
              </w:rPr>
              <w:t>80,266,400</w:t>
            </w:r>
          </w:p>
        </w:tc>
        <w:tc>
          <w:tcPr>
            <w:tcW w:w="1532" w:type="dxa"/>
          </w:tcPr>
          <w:p>
            <w:pPr>
              <w:pStyle w:val="TableParagraph"/>
              <w:spacing w:before="63"/>
              <w:ind w:left="434"/>
              <w:rPr>
                <w:sz w:val="14"/>
              </w:rPr>
            </w:pPr>
            <w:r>
              <w:rPr>
                <w:sz w:val="14"/>
              </w:rPr>
              <w:t>370,990,000</w:t>
            </w:r>
          </w:p>
        </w:tc>
        <w:tc>
          <w:tcPr>
            <w:tcW w:w="1412" w:type="dxa"/>
          </w:tcPr>
          <w:p>
            <w:pPr>
              <w:pStyle w:val="TableParagraph"/>
              <w:spacing w:before="63"/>
              <w:ind w:right="149"/>
              <w:jc w:val="right"/>
              <w:rPr>
                <w:sz w:val="14"/>
              </w:rPr>
            </w:pPr>
            <w:r>
              <w:rPr>
                <w:w w:val="99"/>
                <w:sz w:val="14"/>
              </w:rPr>
              <w:t>-</w:t>
            </w:r>
          </w:p>
        </w:tc>
        <w:tc>
          <w:tcPr>
            <w:tcW w:w="1320" w:type="dxa"/>
          </w:tcPr>
          <w:p>
            <w:pPr>
              <w:pStyle w:val="TableParagraph"/>
              <w:spacing w:before="63"/>
              <w:ind w:right="160"/>
              <w:jc w:val="right"/>
              <w:rPr>
                <w:sz w:val="14"/>
              </w:rPr>
            </w:pPr>
            <w:r>
              <w:rPr>
                <w:sz w:val="14"/>
              </w:rPr>
              <w:t>27,000,000.0</w:t>
            </w:r>
          </w:p>
        </w:tc>
        <w:tc>
          <w:tcPr>
            <w:tcW w:w="1426" w:type="dxa"/>
          </w:tcPr>
          <w:p>
            <w:pPr>
              <w:pStyle w:val="TableParagraph"/>
              <w:spacing w:before="63"/>
              <w:ind w:right="228"/>
              <w:jc w:val="right"/>
              <w:rPr>
                <w:sz w:val="14"/>
              </w:rPr>
            </w:pPr>
            <w:r>
              <w:rPr>
                <w:sz w:val="14"/>
              </w:rPr>
              <w:t>55,400,000.0</w:t>
            </w:r>
          </w:p>
        </w:tc>
        <w:tc>
          <w:tcPr>
            <w:tcW w:w="1514" w:type="dxa"/>
          </w:tcPr>
          <w:p>
            <w:pPr>
              <w:pStyle w:val="TableParagraph"/>
              <w:spacing w:before="63"/>
              <w:ind w:left="336"/>
              <w:rPr>
                <w:sz w:val="14"/>
              </w:rPr>
            </w:pPr>
            <w:r>
              <w:rPr>
                <w:sz w:val="14"/>
              </w:rPr>
              <w:t>196,110,000.0</w:t>
            </w:r>
          </w:p>
        </w:tc>
        <w:tc>
          <w:tcPr>
            <w:tcW w:w="1305" w:type="dxa"/>
          </w:tcPr>
          <w:p>
            <w:pPr>
              <w:pStyle w:val="TableParagraph"/>
              <w:spacing w:before="63"/>
              <w:ind w:left="262"/>
              <w:rPr>
                <w:sz w:val="14"/>
              </w:rPr>
            </w:pPr>
            <w:r>
              <w:rPr>
                <w:sz w:val="14"/>
              </w:rPr>
              <w:t>540,000,000</w:t>
            </w:r>
          </w:p>
        </w:tc>
        <w:tc>
          <w:tcPr>
            <w:tcW w:w="1289" w:type="dxa"/>
          </w:tcPr>
          <w:p>
            <w:pPr>
              <w:pStyle w:val="TableParagraph"/>
              <w:spacing w:before="63"/>
              <w:ind w:right="198"/>
              <w:jc w:val="right"/>
              <w:rPr>
                <w:sz w:val="14"/>
              </w:rPr>
            </w:pPr>
            <w:r>
              <w:rPr>
                <w:w w:val="99"/>
                <w:sz w:val="14"/>
              </w:rPr>
              <w:t>-</w:t>
            </w:r>
          </w:p>
        </w:tc>
        <w:tc>
          <w:tcPr>
            <w:tcW w:w="1552" w:type="dxa"/>
          </w:tcPr>
          <w:p>
            <w:pPr>
              <w:pStyle w:val="TableParagraph"/>
              <w:spacing w:before="63"/>
              <w:ind w:right="134"/>
              <w:jc w:val="right"/>
              <w:rPr>
                <w:sz w:val="14"/>
              </w:rPr>
            </w:pPr>
            <w:r>
              <w:rPr>
                <w:sz w:val="14"/>
              </w:rPr>
              <w:t>1,269,766,400</w:t>
            </w:r>
          </w:p>
        </w:tc>
      </w:tr>
      <w:tr>
        <w:trPr>
          <w:trHeight w:val="321" w:hRule="atLeast"/>
        </w:trPr>
        <w:tc>
          <w:tcPr>
            <w:tcW w:w="268" w:type="dxa"/>
          </w:tcPr>
          <w:p>
            <w:pPr>
              <w:pStyle w:val="TableParagraph"/>
              <w:spacing w:before="65"/>
              <w:ind w:right="96"/>
              <w:jc w:val="right"/>
              <w:rPr>
                <w:sz w:val="14"/>
              </w:rPr>
            </w:pPr>
            <w:r>
              <w:rPr>
                <w:w w:val="95"/>
                <w:sz w:val="14"/>
              </w:rPr>
              <w:t>14</w:t>
            </w:r>
          </w:p>
        </w:tc>
        <w:tc>
          <w:tcPr>
            <w:tcW w:w="1989" w:type="dxa"/>
          </w:tcPr>
          <w:p>
            <w:pPr>
              <w:pStyle w:val="TableParagraph"/>
              <w:spacing w:before="65"/>
              <w:ind w:left="68"/>
              <w:rPr>
                <w:sz w:val="14"/>
              </w:rPr>
            </w:pPr>
            <w:r>
              <w:rPr>
                <w:sz w:val="14"/>
              </w:rPr>
              <w:t>Koidu New Sembehun</w:t>
            </w:r>
          </w:p>
        </w:tc>
        <w:tc>
          <w:tcPr>
            <w:tcW w:w="1185" w:type="dxa"/>
          </w:tcPr>
          <w:p>
            <w:pPr>
              <w:pStyle w:val="TableParagraph"/>
              <w:spacing w:before="65"/>
              <w:ind w:left="-13" w:right="189"/>
              <w:jc w:val="right"/>
              <w:rPr>
                <w:sz w:val="14"/>
              </w:rPr>
            </w:pPr>
            <w:r>
              <w:rPr>
                <w:sz w:val="14"/>
              </w:rPr>
              <w:t>48,030,000</w:t>
            </w:r>
          </w:p>
        </w:tc>
        <w:tc>
          <w:tcPr>
            <w:tcW w:w="1532" w:type="dxa"/>
          </w:tcPr>
          <w:p>
            <w:pPr>
              <w:pStyle w:val="TableParagraph"/>
              <w:spacing w:before="65"/>
              <w:ind w:left="299"/>
              <w:rPr>
                <w:sz w:val="14"/>
              </w:rPr>
            </w:pPr>
            <w:r>
              <w:rPr>
                <w:sz w:val="14"/>
              </w:rPr>
              <w:t>1,535,000,000</w:t>
            </w:r>
          </w:p>
        </w:tc>
        <w:tc>
          <w:tcPr>
            <w:tcW w:w="1412" w:type="dxa"/>
          </w:tcPr>
          <w:p>
            <w:pPr>
              <w:pStyle w:val="TableParagraph"/>
              <w:spacing w:before="65"/>
              <w:ind w:right="191"/>
              <w:jc w:val="right"/>
              <w:rPr>
                <w:sz w:val="14"/>
              </w:rPr>
            </w:pPr>
            <w:r>
              <w:rPr>
                <w:w w:val="95"/>
                <w:sz w:val="14"/>
              </w:rPr>
              <w:t>447,957,000</w:t>
            </w:r>
          </w:p>
        </w:tc>
        <w:tc>
          <w:tcPr>
            <w:tcW w:w="1320" w:type="dxa"/>
          </w:tcPr>
          <w:p>
            <w:pPr>
              <w:pStyle w:val="TableParagraph"/>
              <w:spacing w:before="65"/>
              <w:ind w:right="153"/>
              <w:jc w:val="right"/>
              <w:rPr>
                <w:sz w:val="14"/>
              </w:rPr>
            </w:pPr>
            <w:r>
              <w:rPr>
                <w:w w:val="95"/>
                <w:sz w:val="14"/>
              </w:rPr>
              <w:t>105,000,000</w:t>
            </w:r>
          </w:p>
        </w:tc>
        <w:tc>
          <w:tcPr>
            <w:tcW w:w="1426" w:type="dxa"/>
          </w:tcPr>
          <w:p>
            <w:pPr>
              <w:pStyle w:val="TableParagraph"/>
              <w:spacing w:before="65"/>
              <w:ind w:right="220"/>
              <w:jc w:val="right"/>
              <w:rPr>
                <w:sz w:val="14"/>
              </w:rPr>
            </w:pPr>
            <w:r>
              <w:rPr>
                <w:w w:val="95"/>
                <w:sz w:val="14"/>
              </w:rPr>
              <w:t>258,175,000</w:t>
            </w:r>
          </w:p>
        </w:tc>
        <w:tc>
          <w:tcPr>
            <w:tcW w:w="1514" w:type="dxa"/>
          </w:tcPr>
          <w:p>
            <w:pPr>
              <w:pStyle w:val="TableParagraph"/>
              <w:spacing w:before="65"/>
              <w:ind w:left="558"/>
              <w:rPr>
                <w:sz w:val="14"/>
              </w:rPr>
            </w:pPr>
            <w:r>
              <w:rPr>
                <w:sz w:val="14"/>
              </w:rPr>
              <w:t>75,000,000</w:t>
            </w:r>
          </w:p>
        </w:tc>
        <w:tc>
          <w:tcPr>
            <w:tcW w:w="1305" w:type="dxa"/>
          </w:tcPr>
          <w:p>
            <w:pPr>
              <w:pStyle w:val="TableParagraph"/>
              <w:spacing w:before="65"/>
              <w:ind w:left="354"/>
              <w:rPr>
                <w:sz w:val="14"/>
              </w:rPr>
            </w:pPr>
            <w:r>
              <w:rPr>
                <w:sz w:val="14"/>
              </w:rPr>
              <w:t>98,000,000</w:t>
            </w:r>
          </w:p>
        </w:tc>
        <w:tc>
          <w:tcPr>
            <w:tcW w:w="1289" w:type="dxa"/>
          </w:tcPr>
          <w:p>
            <w:pPr>
              <w:pStyle w:val="TableParagraph"/>
              <w:rPr>
                <w:rFonts w:ascii="Times New Roman"/>
                <w:sz w:val="14"/>
              </w:rPr>
            </w:pPr>
          </w:p>
        </w:tc>
        <w:tc>
          <w:tcPr>
            <w:tcW w:w="1552" w:type="dxa"/>
          </w:tcPr>
          <w:p>
            <w:pPr>
              <w:pStyle w:val="TableParagraph"/>
              <w:spacing w:before="65"/>
              <w:ind w:right="134"/>
              <w:jc w:val="right"/>
              <w:rPr>
                <w:sz w:val="14"/>
              </w:rPr>
            </w:pPr>
            <w:r>
              <w:rPr>
                <w:sz w:val="14"/>
              </w:rPr>
              <w:t>2,567,162,000</w:t>
            </w:r>
          </w:p>
        </w:tc>
      </w:tr>
      <w:tr>
        <w:trPr>
          <w:trHeight w:val="319" w:hRule="atLeast"/>
        </w:trPr>
        <w:tc>
          <w:tcPr>
            <w:tcW w:w="268" w:type="dxa"/>
          </w:tcPr>
          <w:p>
            <w:pPr>
              <w:pStyle w:val="TableParagraph"/>
              <w:spacing w:before="65"/>
              <w:ind w:right="96"/>
              <w:jc w:val="right"/>
              <w:rPr>
                <w:sz w:val="14"/>
              </w:rPr>
            </w:pPr>
            <w:r>
              <w:rPr>
                <w:w w:val="95"/>
                <w:sz w:val="14"/>
              </w:rPr>
              <w:t>15</w:t>
            </w:r>
          </w:p>
        </w:tc>
        <w:tc>
          <w:tcPr>
            <w:tcW w:w="1989" w:type="dxa"/>
          </w:tcPr>
          <w:p>
            <w:pPr>
              <w:pStyle w:val="TableParagraph"/>
              <w:spacing w:before="65"/>
              <w:ind w:left="68"/>
              <w:rPr>
                <w:sz w:val="14"/>
              </w:rPr>
            </w:pPr>
            <w:r>
              <w:rPr>
                <w:sz w:val="14"/>
              </w:rPr>
              <w:t>Moyamba District</w:t>
            </w:r>
          </w:p>
        </w:tc>
        <w:tc>
          <w:tcPr>
            <w:tcW w:w="1185" w:type="dxa"/>
          </w:tcPr>
          <w:p>
            <w:pPr>
              <w:pStyle w:val="TableParagraph"/>
              <w:spacing w:before="65"/>
              <w:ind w:left="-13" w:right="189"/>
              <w:jc w:val="right"/>
              <w:rPr>
                <w:sz w:val="14"/>
              </w:rPr>
            </w:pPr>
            <w:r>
              <w:rPr>
                <w:sz w:val="14"/>
              </w:rPr>
              <w:t>30,000,000</w:t>
            </w:r>
          </w:p>
        </w:tc>
        <w:tc>
          <w:tcPr>
            <w:tcW w:w="1532" w:type="dxa"/>
          </w:tcPr>
          <w:p>
            <w:pPr>
              <w:pStyle w:val="TableParagraph"/>
              <w:spacing w:before="65"/>
              <w:ind w:left="434"/>
              <w:rPr>
                <w:sz w:val="14"/>
              </w:rPr>
            </w:pPr>
            <w:r>
              <w:rPr>
                <w:sz w:val="14"/>
              </w:rPr>
              <w:t>230,000,000</w:t>
            </w:r>
          </w:p>
        </w:tc>
        <w:tc>
          <w:tcPr>
            <w:tcW w:w="1412" w:type="dxa"/>
          </w:tcPr>
          <w:p>
            <w:pPr>
              <w:pStyle w:val="TableParagraph"/>
              <w:spacing w:before="65"/>
              <w:ind w:right="185"/>
              <w:jc w:val="right"/>
              <w:rPr>
                <w:sz w:val="14"/>
              </w:rPr>
            </w:pPr>
            <w:r>
              <w:rPr>
                <w:sz w:val="14"/>
              </w:rPr>
              <w:t>50,000,000</w:t>
            </w:r>
          </w:p>
        </w:tc>
        <w:tc>
          <w:tcPr>
            <w:tcW w:w="1320" w:type="dxa"/>
          </w:tcPr>
          <w:p>
            <w:pPr>
              <w:pStyle w:val="TableParagraph"/>
              <w:spacing w:before="65"/>
              <w:ind w:right="147"/>
              <w:jc w:val="right"/>
              <w:rPr>
                <w:sz w:val="14"/>
              </w:rPr>
            </w:pPr>
            <w:r>
              <w:rPr>
                <w:sz w:val="14"/>
              </w:rPr>
              <w:t>98,500,000</w:t>
            </w:r>
          </w:p>
        </w:tc>
        <w:tc>
          <w:tcPr>
            <w:tcW w:w="1426" w:type="dxa"/>
          </w:tcPr>
          <w:p>
            <w:pPr>
              <w:pStyle w:val="TableParagraph"/>
              <w:spacing w:before="65"/>
              <w:ind w:right="220"/>
              <w:jc w:val="right"/>
              <w:rPr>
                <w:sz w:val="14"/>
              </w:rPr>
            </w:pPr>
            <w:r>
              <w:rPr>
                <w:w w:val="95"/>
                <w:sz w:val="14"/>
              </w:rPr>
              <w:t>235,210,000</w:t>
            </w:r>
          </w:p>
        </w:tc>
        <w:tc>
          <w:tcPr>
            <w:tcW w:w="1514" w:type="dxa"/>
          </w:tcPr>
          <w:p>
            <w:pPr>
              <w:pStyle w:val="TableParagraph"/>
              <w:spacing w:before="65"/>
              <w:ind w:left="558"/>
              <w:rPr>
                <w:sz w:val="14"/>
              </w:rPr>
            </w:pPr>
            <w:r>
              <w:rPr>
                <w:sz w:val="14"/>
              </w:rPr>
              <w:t>76,800,000</w:t>
            </w:r>
          </w:p>
        </w:tc>
        <w:tc>
          <w:tcPr>
            <w:tcW w:w="1305" w:type="dxa"/>
          </w:tcPr>
          <w:p>
            <w:pPr>
              <w:pStyle w:val="TableParagraph"/>
              <w:spacing w:before="65"/>
              <w:ind w:left="262"/>
              <w:rPr>
                <w:sz w:val="14"/>
              </w:rPr>
            </w:pPr>
            <w:r>
              <w:rPr>
                <w:sz w:val="14"/>
              </w:rPr>
              <w:t>800,000,000</w:t>
            </w:r>
          </w:p>
        </w:tc>
        <w:tc>
          <w:tcPr>
            <w:tcW w:w="1289" w:type="dxa"/>
          </w:tcPr>
          <w:p>
            <w:pPr>
              <w:pStyle w:val="TableParagraph"/>
              <w:spacing w:before="65"/>
              <w:ind w:right="235"/>
              <w:jc w:val="right"/>
              <w:rPr>
                <w:sz w:val="14"/>
              </w:rPr>
            </w:pPr>
            <w:r>
              <w:rPr>
                <w:sz w:val="14"/>
              </w:rPr>
              <w:t>37,400,000</w:t>
            </w:r>
          </w:p>
        </w:tc>
        <w:tc>
          <w:tcPr>
            <w:tcW w:w="1552" w:type="dxa"/>
          </w:tcPr>
          <w:p>
            <w:pPr>
              <w:pStyle w:val="TableParagraph"/>
              <w:spacing w:before="65"/>
              <w:ind w:right="134"/>
              <w:jc w:val="right"/>
              <w:rPr>
                <w:sz w:val="14"/>
              </w:rPr>
            </w:pPr>
            <w:r>
              <w:rPr>
                <w:sz w:val="14"/>
              </w:rPr>
              <w:t>1,557,910,000</w:t>
            </w:r>
          </w:p>
        </w:tc>
      </w:tr>
      <w:tr>
        <w:trPr>
          <w:trHeight w:val="319" w:hRule="atLeast"/>
        </w:trPr>
        <w:tc>
          <w:tcPr>
            <w:tcW w:w="268" w:type="dxa"/>
          </w:tcPr>
          <w:p>
            <w:pPr>
              <w:pStyle w:val="TableParagraph"/>
              <w:spacing w:before="63"/>
              <w:ind w:right="96"/>
              <w:jc w:val="right"/>
              <w:rPr>
                <w:sz w:val="14"/>
              </w:rPr>
            </w:pPr>
            <w:r>
              <w:rPr>
                <w:w w:val="95"/>
                <w:sz w:val="14"/>
              </w:rPr>
              <w:t>16</w:t>
            </w:r>
          </w:p>
        </w:tc>
        <w:tc>
          <w:tcPr>
            <w:tcW w:w="1989" w:type="dxa"/>
          </w:tcPr>
          <w:p>
            <w:pPr>
              <w:pStyle w:val="TableParagraph"/>
              <w:spacing w:before="63"/>
              <w:ind w:left="68"/>
              <w:rPr>
                <w:sz w:val="14"/>
              </w:rPr>
            </w:pPr>
            <w:r>
              <w:rPr>
                <w:sz w:val="14"/>
              </w:rPr>
              <w:t>Port Loko District</w:t>
            </w:r>
          </w:p>
        </w:tc>
        <w:tc>
          <w:tcPr>
            <w:tcW w:w="1185" w:type="dxa"/>
          </w:tcPr>
          <w:p>
            <w:pPr>
              <w:pStyle w:val="TableParagraph"/>
              <w:spacing w:before="63"/>
              <w:ind w:left="-13" w:right="189"/>
              <w:jc w:val="right"/>
              <w:rPr>
                <w:sz w:val="14"/>
              </w:rPr>
            </w:pPr>
            <w:r>
              <w:rPr>
                <w:sz w:val="14"/>
              </w:rPr>
              <w:t>45,000,000</w:t>
            </w:r>
          </w:p>
        </w:tc>
        <w:tc>
          <w:tcPr>
            <w:tcW w:w="1532" w:type="dxa"/>
          </w:tcPr>
          <w:p>
            <w:pPr>
              <w:pStyle w:val="TableParagraph"/>
              <w:spacing w:before="63"/>
              <w:ind w:left="434"/>
              <w:rPr>
                <w:sz w:val="14"/>
              </w:rPr>
            </w:pPr>
            <w:r>
              <w:rPr>
                <w:sz w:val="14"/>
              </w:rPr>
              <w:t>500,000,000</w:t>
            </w:r>
          </w:p>
        </w:tc>
        <w:tc>
          <w:tcPr>
            <w:tcW w:w="1412" w:type="dxa"/>
          </w:tcPr>
          <w:p>
            <w:pPr>
              <w:pStyle w:val="TableParagraph"/>
              <w:spacing w:before="63"/>
              <w:ind w:right="180"/>
              <w:jc w:val="right"/>
              <w:rPr>
                <w:sz w:val="14"/>
              </w:rPr>
            </w:pPr>
            <w:r>
              <w:rPr>
                <w:w w:val="95"/>
                <w:sz w:val="14"/>
              </w:rPr>
              <w:t>9,425,000</w:t>
            </w:r>
          </w:p>
        </w:tc>
        <w:tc>
          <w:tcPr>
            <w:tcW w:w="1320" w:type="dxa"/>
          </w:tcPr>
          <w:p>
            <w:pPr>
              <w:pStyle w:val="TableParagraph"/>
              <w:spacing w:before="63"/>
              <w:ind w:right="147"/>
              <w:jc w:val="right"/>
              <w:rPr>
                <w:sz w:val="14"/>
              </w:rPr>
            </w:pPr>
            <w:r>
              <w:rPr>
                <w:sz w:val="14"/>
              </w:rPr>
              <w:t>41,000,000</w:t>
            </w:r>
          </w:p>
        </w:tc>
        <w:tc>
          <w:tcPr>
            <w:tcW w:w="1426" w:type="dxa"/>
          </w:tcPr>
          <w:p>
            <w:pPr>
              <w:pStyle w:val="TableParagraph"/>
              <w:spacing w:before="63"/>
              <w:ind w:right="220"/>
              <w:jc w:val="right"/>
              <w:rPr>
                <w:sz w:val="14"/>
              </w:rPr>
            </w:pPr>
            <w:r>
              <w:rPr>
                <w:w w:val="95"/>
                <w:sz w:val="14"/>
              </w:rPr>
              <w:t>248,000,000</w:t>
            </w:r>
          </w:p>
        </w:tc>
        <w:tc>
          <w:tcPr>
            <w:tcW w:w="1514" w:type="dxa"/>
          </w:tcPr>
          <w:p>
            <w:pPr>
              <w:pStyle w:val="TableParagraph"/>
              <w:spacing w:before="63"/>
              <w:ind w:left="558"/>
              <w:rPr>
                <w:sz w:val="14"/>
              </w:rPr>
            </w:pPr>
            <w:r>
              <w:rPr>
                <w:sz w:val="14"/>
              </w:rPr>
              <w:t>65,000,000</w:t>
            </w:r>
          </w:p>
        </w:tc>
        <w:tc>
          <w:tcPr>
            <w:tcW w:w="1305" w:type="dxa"/>
          </w:tcPr>
          <w:p>
            <w:pPr>
              <w:pStyle w:val="TableParagraph"/>
              <w:spacing w:before="63"/>
              <w:ind w:left="262"/>
              <w:rPr>
                <w:sz w:val="14"/>
              </w:rPr>
            </w:pPr>
            <w:r>
              <w:rPr>
                <w:sz w:val="14"/>
              </w:rPr>
              <w:t>500,000,000</w:t>
            </w:r>
          </w:p>
        </w:tc>
        <w:tc>
          <w:tcPr>
            <w:tcW w:w="1289" w:type="dxa"/>
          </w:tcPr>
          <w:p>
            <w:pPr>
              <w:pStyle w:val="TableParagraph"/>
              <w:spacing w:before="63"/>
              <w:ind w:right="245"/>
              <w:jc w:val="right"/>
              <w:rPr>
                <w:sz w:val="14"/>
              </w:rPr>
            </w:pPr>
            <w:r>
              <w:rPr>
                <w:w w:val="95"/>
                <w:sz w:val="14"/>
              </w:rPr>
              <w:t>125,000,000</w:t>
            </w:r>
          </w:p>
        </w:tc>
        <w:tc>
          <w:tcPr>
            <w:tcW w:w="1552" w:type="dxa"/>
          </w:tcPr>
          <w:p>
            <w:pPr>
              <w:pStyle w:val="TableParagraph"/>
              <w:spacing w:before="63"/>
              <w:ind w:right="134"/>
              <w:jc w:val="right"/>
              <w:rPr>
                <w:sz w:val="14"/>
              </w:rPr>
            </w:pPr>
            <w:r>
              <w:rPr>
                <w:sz w:val="14"/>
              </w:rPr>
              <w:t>1,533,425,000</w:t>
            </w:r>
          </w:p>
        </w:tc>
      </w:tr>
      <w:tr>
        <w:trPr>
          <w:trHeight w:val="321" w:hRule="atLeast"/>
        </w:trPr>
        <w:tc>
          <w:tcPr>
            <w:tcW w:w="268" w:type="dxa"/>
          </w:tcPr>
          <w:p>
            <w:pPr>
              <w:pStyle w:val="TableParagraph"/>
              <w:spacing w:before="65"/>
              <w:ind w:right="96"/>
              <w:jc w:val="right"/>
              <w:rPr>
                <w:sz w:val="14"/>
              </w:rPr>
            </w:pPr>
            <w:r>
              <w:rPr>
                <w:w w:val="95"/>
                <w:sz w:val="14"/>
              </w:rPr>
              <w:t>17</w:t>
            </w:r>
          </w:p>
        </w:tc>
        <w:tc>
          <w:tcPr>
            <w:tcW w:w="1989" w:type="dxa"/>
          </w:tcPr>
          <w:p>
            <w:pPr>
              <w:pStyle w:val="TableParagraph"/>
              <w:spacing w:before="65"/>
              <w:ind w:left="68"/>
              <w:rPr>
                <w:sz w:val="14"/>
              </w:rPr>
            </w:pPr>
            <w:r>
              <w:rPr>
                <w:sz w:val="14"/>
              </w:rPr>
              <w:t>Pujehun District</w:t>
            </w:r>
          </w:p>
        </w:tc>
        <w:tc>
          <w:tcPr>
            <w:tcW w:w="1185" w:type="dxa"/>
          </w:tcPr>
          <w:p>
            <w:pPr>
              <w:pStyle w:val="TableParagraph"/>
              <w:spacing w:before="65"/>
              <w:ind w:left="-13" w:right="189"/>
              <w:jc w:val="right"/>
              <w:rPr>
                <w:sz w:val="14"/>
              </w:rPr>
            </w:pPr>
            <w:r>
              <w:rPr>
                <w:sz w:val="14"/>
              </w:rPr>
              <w:t>30,820,000</w:t>
            </w:r>
          </w:p>
        </w:tc>
        <w:tc>
          <w:tcPr>
            <w:tcW w:w="1532" w:type="dxa"/>
          </w:tcPr>
          <w:p>
            <w:pPr>
              <w:pStyle w:val="TableParagraph"/>
              <w:spacing w:before="65"/>
              <w:ind w:left="434"/>
              <w:rPr>
                <w:sz w:val="14"/>
              </w:rPr>
            </w:pPr>
            <w:r>
              <w:rPr>
                <w:sz w:val="14"/>
              </w:rPr>
              <w:t>333,335,000</w:t>
            </w:r>
          </w:p>
        </w:tc>
        <w:tc>
          <w:tcPr>
            <w:tcW w:w="1412" w:type="dxa"/>
          </w:tcPr>
          <w:p>
            <w:pPr>
              <w:pStyle w:val="TableParagraph"/>
              <w:spacing w:before="65"/>
              <w:ind w:right="185"/>
              <w:jc w:val="right"/>
              <w:rPr>
                <w:sz w:val="14"/>
              </w:rPr>
            </w:pPr>
            <w:r>
              <w:rPr>
                <w:sz w:val="14"/>
              </w:rPr>
              <w:t>95,528,750</w:t>
            </w:r>
          </w:p>
        </w:tc>
        <w:tc>
          <w:tcPr>
            <w:tcW w:w="1320" w:type="dxa"/>
          </w:tcPr>
          <w:p>
            <w:pPr>
              <w:pStyle w:val="TableParagraph"/>
              <w:spacing w:before="65"/>
              <w:ind w:right="147"/>
              <w:jc w:val="right"/>
              <w:rPr>
                <w:sz w:val="14"/>
              </w:rPr>
            </w:pPr>
            <w:r>
              <w:rPr>
                <w:sz w:val="14"/>
              </w:rPr>
              <w:t>35,000,000</w:t>
            </w:r>
          </w:p>
        </w:tc>
        <w:tc>
          <w:tcPr>
            <w:tcW w:w="1426" w:type="dxa"/>
          </w:tcPr>
          <w:p>
            <w:pPr>
              <w:pStyle w:val="TableParagraph"/>
              <w:spacing w:before="65"/>
              <w:ind w:right="220"/>
              <w:jc w:val="right"/>
              <w:rPr>
                <w:sz w:val="14"/>
              </w:rPr>
            </w:pPr>
            <w:r>
              <w:rPr>
                <w:w w:val="95"/>
                <w:sz w:val="14"/>
              </w:rPr>
              <w:t>111,820,000</w:t>
            </w:r>
          </w:p>
        </w:tc>
        <w:tc>
          <w:tcPr>
            <w:tcW w:w="1514" w:type="dxa"/>
          </w:tcPr>
          <w:p>
            <w:pPr>
              <w:pStyle w:val="TableParagraph"/>
              <w:spacing w:before="65"/>
              <w:ind w:left="471"/>
              <w:rPr>
                <w:sz w:val="14"/>
              </w:rPr>
            </w:pPr>
            <w:r>
              <w:rPr>
                <w:sz w:val="14"/>
              </w:rPr>
              <w:t>691,465,658</w:t>
            </w:r>
          </w:p>
        </w:tc>
        <w:tc>
          <w:tcPr>
            <w:tcW w:w="1305" w:type="dxa"/>
          </w:tcPr>
          <w:p>
            <w:pPr>
              <w:pStyle w:val="TableParagraph"/>
              <w:spacing w:before="65"/>
              <w:ind w:left="354"/>
              <w:rPr>
                <w:sz w:val="14"/>
              </w:rPr>
            </w:pPr>
            <w:r>
              <w:rPr>
                <w:sz w:val="14"/>
              </w:rPr>
              <w:t>77,200,000</w:t>
            </w:r>
          </w:p>
        </w:tc>
        <w:tc>
          <w:tcPr>
            <w:tcW w:w="1289" w:type="dxa"/>
          </w:tcPr>
          <w:p>
            <w:pPr>
              <w:pStyle w:val="TableParagraph"/>
              <w:rPr>
                <w:rFonts w:ascii="Times New Roman"/>
                <w:sz w:val="14"/>
              </w:rPr>
            </w:pPr>
          </w:p>
        </w:tc>
        <w:tc>
          <w:tcPr>
            <w:tcW w:w="1552" w:type="dxa"/>
          </w:tcPr>
          <w:p>
            <w:pPr>
              <w:pStyle w:val="TableParagraph"/>
              <w:spacing w:before="65"/>
              <w:ind w:right="134"/>
              <w:jc w:val="right"/>
              <w:rPr>
                <w:sz w:val="14"/>
              </w:rPr>
            </w:pPr>
            <w:r>
              <w:rPr>
                <w:sz w:val="14"/>
              </w:rPr>
              <w:t>1,375,169,408</w:t>
            </w:r>
          </w:p>
        </w:tc>
      </w:tr>
      <w:tr>
        <w:trPr>
          <w:trHeight w:val="319" w:hRule="atLeast"/>
        </w:trPr>
        <w:tc>
          <w:tcPr>
            <w:tcW w:w="268" w:type="dxa"/>
          </w:tcPr>
          <w:p>
            <w:pPr>
              <w:pStyle w:val="TableParagraph"/>
              <w:spacing w:before="65"/>
              <w:ind w:right="96"/>
              <w:jc w:val="right"/>
              <w:rPr>
                <w:sz w:val="14"/>
              </w:rPr>
            </w:pPr>
            <w:r>
              <w:rPr>
                <w:w w:val="95"/>
                <w:sz w:val="14"/>
              </w:rPr>
              <w:t>18</w:t>
            </w:r>
          </w:p>
        </w:tc>
        <w:tc>
          <w:tcPr>
            <w:tcW w:w="1989" w:type="dxa"/>
          </w:tcPr>
          <w:p>
            <w:pPr>
              <w:pStyle w:val="TableParagraph"/>
              <w:spacing w:before="65"/>
              <w:ind w:left="68"/>
              <w:rPr>
                <w:sz w:val="14"/>
              </w:rPr>
            </w:pPr>
            <w:r>
              <w:rPr>
                <w:sz w:val="14"/>
              </w:rPr>
              <w:t>Tonkolili District</w:t>
            </w:r>
          </w:p>
        </w:tc>
        <w:tc>
          <w:tcPr>
            <w:tcW w:w="1185" w:type="dxa"/>
          </w:tcPr>
          <w:p>
            <w:pPr>
              <w:pStyle w:val="TableParagraph"/>
              <w:spacing w:before="65"/>
              <w:ind w:left="-13" w:right="194"/>
              <w:jc w:val="right"/>
              <w:rPr>
                <w:sz w:val="14"/>
              </w:rPr>
            </w:pPr>
            <w:r>
              <w:rPr>
                <w:w w:val="95"/>
                <w:sz w:val="14"/>
              </w:rPr>
              <w:t>145,000,000</w:t>
            </w:r>
          </w:p>
        </w:tc>
        <w:tc>
          <w:tcPr>
            <w:tcW w:w="1532" w:type="dxa"/>
          </w:tcPr>
          <w:p>
            <w:pPr>
              <w:pStyle w:val="TableParagraph"/>
              <w:spacing w:before="65"/>
              <w:ind w:left="434"/>
              <w:rPr>
                <w:sz w:val="14"/>
              </w:rPr>
            </w:pPr>
            <w:r>
              <w:rPr>
                <w:sz w:val="14"/>
              </w:rPr>
              <w:t>821,800,000</w:t>
            </w:r>
          </w:p>
        </w:tc>
        <w:tc>
          <w:tcPr>
            <w:tcW w:w="1412" w:type="dxa"/>
          </w:tcPr>
          <w:p>
            <w:pPr>
              <w:pStyle w:val="TableParagraph"/>
              <w:spacing w:before="65"/>
              <w:ind w:right="185"/>
              <w:jc w:val="right"/>
              <w:rPr>
                <w:sz w:val="14"/>
              </w:rPr>
            </w:pPr>
            <w:r>
              <w:rPr>
                <w:sz w:val="14"/>
              </w:rPr>
              <w:t>24,000,000</w:t>
            </w:r>
          </w:p>
        </w:tc>
        <w:tc>
          <w:tcPr>
            <w:tcW w:w="1320" w:type="dxa"/>
          </w:tcPr>
          <w:p>
            <w:pPr>
              <w:pStyle w:val="TableParagraph"/>
              <w:spacing w:before="65"/>
              <w:ind w:right="147"/>
              <w:jc w:val="right"/>
              <w:rPr>
                <w:sz w:val="14"/>
              </w:rPr>
            </w:pPr>
            <w:r>
              <w:rPr>
                <w:sz w:val="14"/>
              </w:rPr>
              <w:t>80,000,000</w:t>
            </w:r>
          </w:p>
        </w:tc>
        <w:tc>
          <w:tcPr>
            <w:tcW w:w="1426" w:type="dxa"/>
          </w:tcPr>
          <w:p>
            <w:pPr>
              <w:pStyle w:val="TableParagraph"/>
              <w:spacing w:before="65"/>
              <w:ind w:right="220"/>
              <w:jc w:val="right"/>
              <w:rPr>
                <w:sz w:val="14"/>
              </w:rPr>
            </w:pPr>
            <w:r>
              <w:rPr>
                <w:w w:val="95"/>
                <w:sz w:val="14"/>
              </w:rPr>
              <w:t>278,145,000</w:t>
            </w:r>
          </w:p>
        </w:tc>
        <w:tc>
          <w:tcPr>
            <w:tcW w:w="1514" w:type="dxa"/>
          </w:tcPr>
          <w:p>
            <w:pPr>
              <w:pStyle w:val="TableParagraph"/>
              <w:spacing w:before="65"/>
              <w:ind w:left="471"/>
              <w:rPr>
                <w:sz w:val="14"/>
              </w:rPr>
            </w:pPr>
            <w:r>
              <w:rPr>
                <w:sz w:val="14"/>
              </w:rPr>
              <w:t>239,825,000</w:t>
            </w:r>
          </w:p>
        </w:tc>
        <w:tc>
          <w:tcPr>
            <w:tcW w:w="1305" w:type="dxa"/>
          </w:tcPr>
          <w:p>
            <w:pPr>
              <w:pStyle w:val="TableParagraph"/>
              <w:spacing w:before="65"/>
              <w:ind w:left="262"/>
              <w:rPr>
                <w:sz w:val="14"/>
              </w:rPr>
            </w:pPr>
            <w:r>
              <w:rPr>
                <w:sz w:val="14"/>
              </w:rPr>
              <w:t>285,000,000</w:t>
            </w:r>
          </w:p>
        </w:tc>
        <w:tc>
          <w:tcPr>
            <w:tcW w:w="1289" w:type="dxa"/>
          </w:tcPr>
          <w:p>
            <w:pPr>
              <w:pStyle w:val="TableParagraph"/>
              <w:spacing w:before="65"/>
              <w:ind w:right="245"/>
              <w:jc w:val="right"/>
              <w:rPr>
                <w:sz w:val="14"/>
              </w:rPr>
            </w:pPr>
            <w:r>
              <w:rPr>
                <w:w w:val="95"/>
                <w:sz w:val="14"/>
              </w:rPr>
              <w:t>190,000,000</w:t>
            </w:r>
          </w:p>
        </w:tc>
        <w:tc>
          <w:tcPr>
            <w:tcW w:w="1552" w:type="dxa"/>
          </w:tcPr>
          <w:p>
            <w:pPr>
              <w:pStyle w:val="TableParagraph"/>
              <w:spacing w:before="65"/>
              <w:ind w:right="134"/>
              <w:jc w:val="right"/>
              <w:rPr>
                <w:sz w:val="14"/>
              </w:rPr>
            </w:pPr>
            <w:r>
              <w:rPr>
                <w:sz w:val="14"/>
              </w:rPr>
              <w:t>2,063,770,000</w:t>
            </w:r>
          </w:p>
        </w:tc>
      </w:tr>
      <w:tr>
        <w:trPr>
          <w:trHeight w:val="319" w:hRule="atLeast"/>
        </w:trPr>
        <w:tc>
          <w:tcPr>
            <w:tcW w:w="268" w:type="dxa"/>
          </w:tcPr>
          <w:p>
            <w:pPr>
              <w:pStyle w:val="TableParagraph"/>
              <w:spacing w:before="63"/>
              <w:ind w:right="96"/>
              <w:jc w:val="right"/>
              <w:rPr>
                <w:sz w:val="14"/>
              </w:rPr>
            </w:pPr>
            <w:r>
              <w:rPr>
                <w:w w:val="95"/>
                <w:sz w:val="14"/>
              </w:rPr>
              <w:t>19</w:t>
            </w:r>
          </w:p>
        </w:tc>
        <w:tc>
          <w:tcPr>
            <w:tcW w:w="1989" w:type="dxa"/>
          </w:tcPr>
          <w:p>
            <w:pPr>
              <w:pStyle w:val="TableParagraph"/>
              <w:spacing w:before="63"/>
              <w:ind w:left="68"/>
              <w:rPr>
                <w:sz w:val="14"/>
              </w:rPr>
            </w:pPr>
            <w:r>
              <w:rPr>
                <w:sz w:val="14"/>
              </w:rPr>
              <w:t>Western Area District</w:t>
            </w:r>
          </w:p>
        </w:tc>
        <w:tc>
          <w:tcPr>
            <w:tcW w:w="1185" w:type="dxa"/>
          </w:tcPr>
          <w:p>
            <w:pPr>
              <w:pStyle w:val="TableParagraph"/>
              <w:spacing w:before="63"/>
              <w:ind w:left="-13" w:right="194"/>
              <w:jc w:val="right"/>
              <w:rPr>
                <w:sz w:val="14"/>
              </w:rPr>
            </w:pPr>
            <w:r>
              <w:rPr>
                <w:w w:val="95"/>
                <w:sz w:val="14"/>
              </w:rPr>
              <w:t>904,860,000</w:t>
            </w:r>
          </w:p>
        </w:tc>
        <w:tc>
          <w:tcPr>
            <w:tcW w:w="1532" w:type="dxa"/>
          </w:tcPr>
          <w:p>
            <w:pPr>
              <w:pStyle w:val="TableParagraph"/>
              <w:spacing w:before="63"/>
              <w:ind w:left="299"/>
              <w:rPr>
                <w:sz w:val="14"/>
              </w:rPr>
            </w:pPr>
            <w:r>
              <w:rPr>
                <w:sz w:val="14"/>
              </w:rPr>
              <w:t>8,568,000,000</w:t>
            </w:r>
          </w:p>
        </w:tc>
        <w:tc>
          <w:tcPr>
            <w:tcW w:w="1412" w:type="dxa"/>
          </w:tcPr>
          <w:p>
            <w:pPr>
              <w:pStyle w:val="TableParagraph"/>
              <w:spacing w:before="63"/>
              <w:ind w:right="191"/>
              <w:jc w:val="right"/>
              <w:rPr>
                <w:sz w:val="14"/>
              </w:rPr>
            </w:pPr>
            <w:r>
              <w:rPr>
                <w:w w:val="95"/>
                <w:sz w:val="14"/>
              </w:rPr>
              <w:t>540,000,000</w:t>
            </w:r>
          </w:p>
        </w:tc>
        <w:tc>
          <w:tcPr>
            <w:tcW w:w="1320" w:type="dxa"/>
          </w:tcPr>
          <w:p>
            <w:pPr>
              <w:pStyle w:val="TableParagraph"/>
              <w:spacing w:before="63"/>
              <w:ind w:right="153"/>
              <w:jc w:val="right"/>
              <w:rPr>
                <w:sz w:val="14"/>
              </w:rPr>
            </w:pPr>
            <w:r>
              <w:rPr>
                <w:w w:val="95"/>
                <w:sz w:val="14"/>
              </w:rPr>
              <w:t>426,000,000</w:t>
            </w:r>
          </w:p>
        </w:tc>
        <w:tc>
          <w:tcPr>
            <w:tcW w:w="1426" w:type="dxa"/>
          </w:tcPr>
          <w:p>
            <w:pPr>
              <w:pStyle w:val="TableParagraph"/>
              <w:spacing w:before="63"/>
              <w:ind w:right="220"/>
              <w:jc w:val="right"/>
              <w:rPr>
                <w:sz w:val="14"/>
              </w:rPr>
            </w:pPr>
            <w:r>
              <w:rPr>
                <w:w w:val="95"/>
                <w:sz w:val="14"/>
              </w:rPr>
              <w:t>791,140,000</w:t>
            </w:r>
          </w:p>
        </w:tc>
        <w:tc>
          <w:tcPr>
            <w:tcW w:w="1514" w:type="dxa"/>
          </w:tcPr>
          <w:p>
            <w:pPr>
              <w:pStyle w:val="TableParagraph"/>
              <w:spacing w:before="63"/>
              <w:ind w:left="471"/>
              <w:rPr>
                <w:sz w:val="14"/>
              </w:rPr>
            </w:pPr>
            <w:r>
              <w:rPr>
                <w:sz w:val="14"/>
              </w:rPr>
              <w:t>770,000,000</w:t>
            </w:r>
          </w:p>
        </w:tc>
        <w:tc>
          <w:tcPr>
            <w:tcW w:w="1305" w:type="dxa"/>
          </w:tcPr>
          <w:p>
            <w:pPr>
              <w:pStyle w:val="TableParagraph"/>
              <w:spacing w:before="63"/>
              <w:ind w:right="161"/>
              <w:jc w:val="right"/>
              <w:rPr>
                <w:sz w:val="14"/>
              </w:rPr>
            </w:pPr>
            <w:r>
              <w:rPr>
                <w:w w:val="99"/>
                <w:sz w:val="14"/>
              </w:rPr>
              <w:t>-</w:t>
            </w:r>
          </w:p>
        </w:tc>
        <w:tc>
          <w:tcPr>
            <w:tcW w:w="1289" w:type="dxa"/>
          </w:tcPr>
          <w:p>
            <w:pPr>
              <w:pStyle w:val="TableParagraph"/>
              <w:spacing w:before="63"/>
              <w:ind w:right="198"/>
              <w:jc w:val="right"/>
              <w:rPr>
                <w:sz w:val="14"/>
              </w:rPr>
            </w:pPr>
            <w:r>
              <w:rPr>
                <w:w w:val="99"/>
                <w:sz w:val="14"/>
              </w:rPr>
              <w:t>-</w:t>
            </w:r>
          </w:p>
        </w:tc>
        <w:tc>
          <w:tcPr>
            <w:tcW w:w="1552" w:type="dxa"/>
          </w:tcPr>
          <w:p>
            <w:pPr>
              <w:pStyle w:val="TableParagraph"/>
              <w:spacing w:before="63"/>
              <w:ind w:right="140"/>
              <w:jc w:val="right"/>
              <w:rPr>
                <w:sz w:val="14"/>
              </w:rPr>
            </w:pPr>
            <w:r>
              <w:rPr>
                <w:w w:val="95"/>
                <w:sz w:val="14"/>
              </w:rPr>
              <w:t>12,000,000,000</w:t>
            </w:r>
          </w:p>
        </w:tc>
      </w:tr>
      <w:tr>
        <w:trPr>
          <w:trHeight w:val="321" w:hRule="atLeast"/>
        </w:trPr>
        <w:tc>
          <w:tcPr>
            <w:tcW w:w="268" w:type="dxa"/>
          </w:tcPr>
          <w:p>
            <w:pPr>
              <w:pStyle w:val="TableParagraph"/>
              <w:spacing w:before="65"/>
              <w:ind w:right="96"/>
              <w:jc w:val="right"/>
              <w:rPr>
                <w:sz w:val="14"/>
              </w:rPr>
            </w:pPr>
            <w:r>
              <w:rPr>
                <w:w w:val="95"/>
                <w:sz w:val="14"/>
              </w:rPr>
              <w:t>20</w:t>
            </w:r>
          </w:p>
        </w:tc>
        <w:tc>
          <w:tcPr>
            <w:tcW w:w="1989" w:type="dxa"/>
          </w:tcPr>
          <w:p>
            <w:pPr>
              <w:pStyle w:val="TableParagraph"/>
              <w:spacing w:before="65"/>
              <w:ind w:left="68"/>
              <w:rPr>
                <w:sz w:val="14"/>
              </w:rPr>
            </w:pPr>
            <w:r>
              <w:rPr>
                <w:sz w:val="14"/>
              </w:rPr>
              <w:t>Port Loko City</w:t>
            </w:r>
          </w:p>
        </w:tc>
        <w:tc>
          <w:tcPr>
            <w:tcW w:w="1185" w:type="dxa"/>
          </w:tcPr>
          <w:p>
            <w:pPr>
              <w:pStyle w:val="TableParagraph"/>
              <w:spacing w:before="65"/>
              <w:ind w:left="-13" w:right="202"/>
              <w:jc w:val="right"/>
              <w:rPr>
                <w:sz w:val="14"/>
              </w:rPr>
            </w:pPr>
            <w:r>
              <w:rPr>
                <w:w w:val="95"/>
                <w:sz w:val="14"/>
              </w:rPr>
              <w:t>50,000,000.00</w:t>
            </w:r>
          </w:p>
        </w:tc>
        <w:tc>
          <w:tcPr>
            <w:tcW w:w="1532" w:type="dxa"/>
          </w:tcPr>
          <w:p>
            <w:pPr>
              <w:pStyle w:val="TableParagraph"/>
              <w:spacing w:before="65"/>
              <w:ind w:left="207"/>
              <w:rPr>
                <w:sz w:val="14"/>
              </w:rPr>
            </w:pPr>
            <w:r>
              <w:rPr>
                <w:sz w:val="14"/>
              </w:rPr>
              <w:t>100,000,000.00</w:t>
            </w:r>
          </w:p>
        </w:tc>
        <w:tc>
          <w:tcPr>
            <w:tcW w:w="1412" w:type="dxa"/>
          </w:tcPr>
          <w:p>
            <w:pPr>
              <w:pStyle w:val="TableParagraph"/>
              <w:spacing w:before="65"/>
              <w:ind w:right="198"/>
              <w:jc w:val="right"/>
              <w:rPr>
                <w:sz w:val="14"/>
              </w:rPr>
            </w:pPr>
            <w:r>
              <w:rPr>
                <w:sz w:val="14"/>
              </w:rPr>
              <w:t>20,000,000.00</w:t>
            </w:r>
          </w:p>
        </w:tc>
        <w:tc>
          <w:tcPr>
            <w:tcW w:w="1320" w:type="dxa"/>
          </w:tcPr>
          <w:p>
            <w:pPr>
              <w:pStyle w:val="TableParagraph"/>
              <w:spacing w:before="65"/>
              <w:ind w:right="167"/>
              <w:jc w:val="right"/>
              <w:rPr>
                <w:sz w:val="14"/>
              </w:rPr>
            </w:pPr>
            <w:r>
              <w:rPr>
                <w:sz w:val="14"/>
              </w:rPr>
              <w:t>20,000,000.00</w:t>
            </w:r>
          </w:p>
        </w:tc>
        <w:tc>
          <w:tcPr>
            <w:tcW w:w="1426" w:type="dxa"/>
          </w:tcPr>
          <w:p>
            <w:pPr>
              <w:pStyle w:val="TableParagraph"/>
              <w:spacing w:before="65"/>
              <w:ind w:right="228"/>
              <w:jc w:val="right"/>
              <w:rPr>
                <w:sz w:val="14"/>
              </w:rPr>
            </w:pPr>
            <w:r>
              <w:rPr>
                <w:w w:val="95"/>
                <w:sz w:val="14"/>
              </w:rPr>
              <w:t>75,000,000.00</w:t>
            </w:r>
          </w:p>
        </w:tc>
        <w:tc>
          <w:tcPr>
            <w:tcW w:w="1514" w:type="dxa"/>
          </w:tcPr>
          <w:p>
            <w:pPr>
              <w:pStyle w:val="TableParagraph"/>
              <w:spacing w:before="65"/>
              <w:ind w:left="336"/>
              <w:rPr>
                <w:sz w:val="14"/>
              </w:rPr>
            </w:pPr>
            <w:r>
              <w:rPr>
                <w:sz w:val="14"/>
              </w:rPr>
              <w:t>60,000,000.00</w:t>
            </w:r>
          </w:p>
        </w:tc>
        <w:tc>
          <w:tcPr>
            <w:tcW w:w="1305" w:type="dxa"/>
          </w:tcPr>
          <w:p>
            <w:pPr>
              <w:pStyle w:val="TableParagraph"/>
              <w:spacing w:before="65"/>
              <w:ind w:left="126"/>
              <w:rPr>
                <w:sz w:val="14"/>
              </w:rPr>
            </w:pPr>
            <w:r>
              <w:rPr>
                <w:sz w:val="14"/>
              </w:rPr>
              <w:t>10,000,000.00</w:t>
            </w:r>
          </w:p>
        </w:tc>
        <w:tc>
          <w:tcPr>
            <w:tcW w:w="1289" w:type="dxa"/>
          </w:tcPr>
          <w:p>
            <w:pPr>
              <w:pStyle w:val="TableParagraph"/>
              <w:rPr>
                <w:rFonts w:ascii="Times New Roman"/>
                <w:sz w:val="14"/>
              </w:rPr>
            </w:pPr>
          </w:p>
        </w:tc>
        <w:tc>
          <w:tcPr>
            <w:tcW w:w="1552" w:type="dxa"/>
          </w:tcPr>
          <w:p>
            <w:pPr>
              <w:pStyle w:val="TableParagraph"/>
              <w:spacing w:before="65"/>
              <w:ind w:right="96"/>
              <w:jc w:val="right"/>
              <w:rPr>
                <w:sz w:val="14"/>
              </w:rPr>
            </w:pPr>
            <w:r>
              <w:rPr>
                <w:w w:val="95"/>
                <w:sz w:val="14"/>
              </w:rPr>
              <w:t>335,000,000.00</w:t>
            </w:r>
          </w:p>
        </w:tc>
      </w:tr>
      <w:tr>
        <w:trPr>
          <w:trHeight w:val="319" w:hRule="atLeast"/>
        </w:trPr>
        <w:tc>
          <w:tcPr>
            <w:tcW w:w="268" w:type="dxa"/>
          </w:tcPr>
          <w:p>
            <w:pPr>
              <w:pStyle w:val="TableParagraph"/>
              <w:spacing w:before="65"/>
              <w:ind w:right="96"/>
              <w:jc w:val="right"/>
              <w:rPr>
                <w:sz w:val="14"/>
              </w:rPr>
            </w:pPr>
            <w:r>
              <w:rPr>
                <w:w w:val="95"/>
                <w:sz w:val="14"/>
              </w:rPr>
              <w:t>21</w:t>
            </w:r>
          </w:p>
        </w:tc>
        <w:tc>
          <w:tcPr>
            <w:tcW w:w="1989" w:type="dxa"/>
          </w:tcPr>
          <w:p>
            <w:pPr>
              <w:pStyle w:val="TableParagraph"/>
              <w:spacing w:before="65"/>
              <w:ind w:left="68"/>
              <w:rPr>
                <w:sz w:val="14"/>
              </w:rPr>
            </w:pPr>
            <w:r>
              <w:rPr>
                <w:sz w:val="14"/>
              </w:rPr>
              <w:t>Karene District</w:t>
            </w:r>
          </w:p>
        </w:tc>
        <w:tc>
          <w:tcPr>
            <w:tcW w:w="1185" w:type="dxa"/>
          </w:tcPr>
          <w:p>
            <w:pPr>
              <w:pStyle w:val="TableParagraph"/>
              <w:spacing w:before="65"/>
              <w:ind w:left="-13" w:right="189"/>
              <w:jc w:val="right"/>
              <w:rPr>
                <w:sz w:val="14"/>
              </w:rPr>
            </w:pPr>
            <w:r>
              <w:rPr>
                <w:sz w:val="14"/>
              </w:rPr>
              <w:t>45,800,000</w:t>
            </w:r>
          </w:p>
        </w:tc>
        <w:tc>
          <w:tcPr>
            <w:tcW w:w="1532" w:type="dxa"/>
          </w:tcPr>
          <w:p>
            <w:pPr>
              <w:pStyle w:val="TableParagraph"/>
              <w:spacing w:before="65"/>
              <w:ind w:left="521"/>
              <w:rPr>
                <w:sz w:val="14"/>
              </w:rPr>
            </w:pPr>
            <w:r>
              <w:rPr>
                <w:sz w:val="14"/>
              </w:rPr>
              <w:t>54,720,000</w:t>
            </w:r>
          </w:p>
        </w:tc>
        <w:tc>
          <w:tcPr>
            <w:tcW w:w="1412" w:type="dxa"/>
          </w:tcPr>
          <w:p>
            <w:pPr>
              <w:pStyle w:val="TableParagraph"/>
              <w:spacing w:before="65"/>
              <w:ind w:right="185"/>
              <w:jc w:val="right"/>
              <w:rPr>
                <w:sz w:val="14"/>
              </w:rPr>
            </w:pPr>
            <w:r>
              <w:rPr>
                <w:sz w:val="14"/>
              </w:rPr>
              <w:t>36,720,000</w:t>
            </w:r>
          </w:p>
        </w:tc>
        <w:tc>
          <w:tcPr>
            <w:tcW w:w="1320" w:type="dxa"/>
          </w:tcPr>
          <w:p>
            <w:pPr>
              <w:pStyle w:val="TableParagraph"/>
              <w:spacing w:before="65"/>
              <w:ind w:right="156"/>
              <w:jc w:val="right"/>
              <w:rPr>
                <w:sz w:val="14"/>
              </w:rPr>
            </w:pPr>
            <w:r>
              <w:rPr>
                <w:w w:val="95"/>
                <w:sz w:val="14"/>
              </w:rPr>
              <w:t>46,600,000</w:t>
            </w:r>
          </w:p>
        </w:tc>
        <w:tc>
          <w:tcPr>
            <w:tcW w:w="1426" w:type="dxa"/>
          </w:tcPr>
          <w:p>
            <w:pPr>
              <w:pStyle w:val="TableParagraph"/>
              <w:spacing w:before="65"/>
              <w:ind w:right="215"/>
              <w:jc w:val="right"/>
              <w:rPr>
                <w:sz w:val="14"/>
              </w:rPr>
            </w:pPr>
            <w:r>
              <w:rPr>
                <w:sz w:val="14"/>
              </w:rPr>
              <w:t>36,767,500</w:t>
            </w:r>
          </w:p>
        </w:tc>
        <w:tc>
          <w:tcPr>
            <w:tcW w:w="1514" w:type="dxa"/>
          </w:tcPr>
          <w:p>
            <w:pPr>
              <w:pStyle w:val="TableParagraph"/>
              <w:spacing w:before="65"/>
              <w:ind w:left="471"/>
              <w:rPr>
                <w:sz w:val="14"/>
              </w:rPr>
            </w:pPr>
            <w:r>
              <w:rPr>
                <w:sz w:val="14"/>
              </w:rPr>
              <w:t>225,970,000</w:t>
            </w:r>
          </w:p>
        </w:tc>
        <w:tc>
          <w:tcPr>
            <w:tcW w:w="1305" w:type="dxa"/>
          </w:tcPr>
          <w:p>
            <w:pPr>
              <w:pStyle w:val="TableParagraph"/>
              <w:spacing w:before="65"/>
              <w:ind w:right="161"/>
              <w:jc w:val="right"/>
              <w:rPr>
                <w:sz w:val="14"/>
              </w:rPr>
            </w:pPr>
            <w:r>
              <w:rPr>
                <w:w w:val="99"/>
                <w:sz w:val="14"/>
              </w:rPr>
              <w:t>-</w:t>
            </w:r>
          </w:p>
        </w:tc>
        <w:tc>
          <w:tcPr>
            <w:tcW w:w="1289" w:type="dxa"/>
          </w:tcPr>
          <w:p>
            <w:pPr>
              <w:pStyle w:val="TableParagraph"/>
              <w:spacing w:before="65"/>
              <w:ind w:right="198"/>
              <w:jc w:val="right"/>
              <w:rPr>
                <w:sz w:val="14"/>
              </w:rPr>
            </w:pPr>
            <w:r>
              <w:rPr>
                <w:w w:val="99"/>
                <w:sz w:val="14"/>
              </w:rPr>
              <w:t>-</w:t>
            </w:r>
          </w:p>
        </w:tc>
        <w:tc>
          <w:tcPr>
            <w:tcW w:w="1552" w:type="dxa"/>
          </w:tcPr>
          <w:p>
            <w:pPr>
              <w:pStyle w:val="TableParagraph"/>
              <w:spacing w:before="65"/>
              <w:ind w:right="82"/>
              <w:jc w:val="right"/>
              <w:rPr>
                <w:sz w:val="14"/>
              </w:rPr>
            </w:pPr>
            <w:r>
              <w:rPr>
                <w:w w:val="95"/>
                <w:sz w:val="14"/>
              </w:rPr>
              <w:t>446,577,500</w:t>
            </w:r>
          </w:p>
        </w:tc>
      </w:tr>
      <w:tr>
        <w:trPr>
          <w:trHeight w:val="302" w:hRule="atLeast"/>
        </w:trPr>
        <w:tc>
          <w:tcPr>
            <w:tcW w:w="268" w:type="dxa"/>
          </w:tcPr>
          <w:p>
            <w:pPr>
              <w:pStyle w:val="TableParagraph"/>
              <w:spacing w:before="63"/>
              <w:ind w:right="96"/>
              <w:jc w:val="right"/>
              <w:rPr>
                <w:sz w:val="14"/>
              </w:rPr>
            </w:pPr>
            <w:r>
              <w:rPr>
                <w:w w:val="95"/>
                <w:sz w:val="14"/>
              </w:rPr>
              <w:t>22</w:t>
            </w:r>
          </w:p>
        </w:tc>
        <w:tc>
          <w:tcPr>
            <w:tcW w:w="1989" w:type="dxa"/>
          </w:tcPr>
          <w:p>
            <w:pPr>
              <w:pStyle w:val="TableParagraph"/>
              <w:spacing w:before="63"/>
              <w:ind w:left="68"/>
              <w:rPr>
                <w:sz w:val="14"/>
              </w:rPr>
            </w:pPr>
            <w:r>
              <w:rPr>
                <w:sz w:val="14"/>
              </w:rPr>
              <w:t>Falaba District</w:t>
            </w:r>
          </w:p>
        </w:tc>
        <w:tc>
          <w:tcPr>
            <w:tcW w:w="1185" w:type="dxa"/>
            <w:tcBorders>
              <w:bottom w:val="single" w:sz="4" w:space="0" w:color="000000"/>
            </w:tcBorders>
          </w:tcPr>
          <w:p>
            <w:pPr>
              <w:pStyle w:val="TableParagraph"/>
              <w:spacing w:before="63"/>
              <w:ind w:left="-13" w:right="187"/>
              <w:jc w:val="right"/>
              <w:rPr>
                <w:sz w:val="14"/>
              </w:rPr>
            </w:pPr>
            <w:r>
              <w:rPr>
                <w:sz w:val="14"/>
              </w:rPr>
              <w:t>65,131,650</w:t>
            </w:r>
          </w:p>
        </w:tc>
        <w:tc>
          <w:tcPr>
            <w:tcW w:w="1532" w:type="dxa"/>
            <w:tcBorders>
              <w:bottom w:val="single" w:sz="4" w:space="0" w:color="000000"/>
            </w:tcBorders>
          </w:tcPr>
          <w:p>
            <w:pPr>
              <w:pStyle w:val="TableParagraph"/>
              <w:spacing w:before="63"/>
              <w:ind w:left="499"/>
              <w:rPr>
                <w:sz w:val="14"/>
              </w:rPr>
            </w:pPr>
            <w:r>
              <w:rPr>
                <w:sz w:val="14"/>
              </w:rPr>
              <w:t>166,560,000</w:t>
            </w:r>
          </w:p>
        </w:tc>
        <w:tc>
          <w:tcPr>
            <w:tcW w:w="1412" w:type="dxa"/>
            <w:tcBorders>
              <w:bottom w:val="single" w:sz="4" w:space="0" w:color="000000"/>
            </w:tcBorders>
          </w:tcPr>
          <w:p>
            <w:pPr>
              <w:pStyle w:val="TableParagraph"/>
              <w:spacing w:before="63"/>
              <w:ind w:right="194"/>
              <w:jc w:val="right"/>
              <w:rPr>
                <w:sz w:val="14"/>
              </w:rPr>
            </w:pPr>
            <w:r>
              <w:rPr>
                <w:w w:val="95"/>
                <w:sz w:val="14"/>
              </w:rPr>
              <w:t>39,200,000</w:t>
            </w:r>
          </w:p>
        </w:tc>
        <w:tc>
          <w:tcPr>
            <w:tcW w:w="1320" w:type="dxa"/>
            <w:tcBorders>
              <w:bottom w:val="single" w:sz="4" w:space="0" w:color="000000"/>
            </w:tcBorders>
          </w:tcPr>
          <w:p>
            <w:pPr>
              <w:pStyle w:val="TableParagraph"/>
              <w:spacing w:before="63"/>
              <w:ind w:right="154"/>
              <w:jc w:val="right"/>
              <w:rPr>
                <w:sz w:val="14"/>
              </w:rPr>
            </w:pPr>
            <w:r>
              <w:rPr>
                <w:w w:val="95"/>
                <w:sz w:val="14"/>
              </w:rPr>
              <w:t>313,440,000</w:t>
            </w:r>
          </w:p>
        </w:tc>
        <w:tc>
          <w:tcPr>
            <w:tcW w:w="1426" w:type="dxa"/>
            <w:tcBorders>
              <w:bottom w:val="single" w:sz="4" w:space="0" w:color="000000"/>
            </w:tcBorders>
          </w:tcPr>
          <w:p>
            <w:pPr>
              <w:pStyle w:val="TableParagraph"/>
              <w:rPr>
                <w:rFonts w:ascii="Times New Roman"/>
                <w:sz w:val="14"/>
              </w:rPr>
            </w:pPr>
          </w:p>
        </w:tc>
        <w:tc>
          <w:tcPr>
            <w:tcW w:w="1514" w:type="dxa"/>
            <w:tcBorders>
              <w:bottom w:val="single" w:sz="4" w:space="0" w:color="000000"/>
            </w:tcBorders>
          </w:tcPr>
          <w:p>
            <w:pPr>
              <w:pStyle w:val="TableParagraph"/>
              <w:spacing w:before="63"/>
              <w:ind w:left="471"/>
              <w:rPr>
                <w:sz w:val="14"/>
              </w:rPr>
            </w:pPr>
            <w:r>
              <w:rPr>
                <w:sz w:val="14"/>
              </w:rPr>
              <w:t>166,680,000</w:t>
            </w:r>
          </w:p>
        </w:tc>
        <w:tc>
          <w:tcPr>
            <w:tcW w:w="1305" w:type="dxa"/>
            <w:tcBorders>
              <w:bottom w:val="single" w:sz="4" w:space="0" w:color="000000"/>
            </w:tcBorders>
          </w:tcPr>
          <w:p>
            <w:pPr>
              <w:pStyle w:val="TableParagraph"/>
              <w:spacing w:before="63"/>
              <w:ind w:right="56"/>
              <w:jc w:val="right"/>
              <w:rPr>
                <w:sz w:val="14"/>
              </w:rPr>
            </w:pPr>
            <w:r>
              <w:rPr>
                <w:sz w:val="14"/>
              </w:rPr>
              <w:t>10,000,000</w:t>
            </w:r>
          </w:p>
        </w:tc>
        <w:tc>
          <w:tcPr>
            <w:tcW w:w="1289" w:type="dxa"/>
            <w:tcBorders>
              <w:bottom w:val="single" w:sz="4" w:space="0" w:color="000000"/>
            </w:tcBorders>
          </w:tcPr>
          <w:p>
            <w:pPr>
              <w:pStyle w:val="TableParagraph"/>
              <w:spacing w:before="63"/>
              <w:ind w:right="235"/>
              <w:jc w:val="right"/>
              <w:rPr>
                <w:sz w:val="14"/>
              </w:rPr>
            </w:pPr>
            <w:r>
              <w:rPr>
                <w:sz w:val="14"/>
              </w:rPr>
              <w:t>55,200,000</w:t>
            </w:r>
          </w:p>
        </w:tc>
        <w:tc>
          <w:tcPr>
            <w:tcW w:w="1552" w:type="dxa"/>
            <w:tcBorders>
              <w:bottom w:val="single" w:sz="4" w:space="0" w:color="000000"/>
            </w:tcBorders>
          </w:tcPr>
          <w:p>
            <w:pPr>
              <w:pStyle w:val="TableParagraph"/>
              <w:spacing w:before="63"/>
              <w:ind w:right="82"/>
              <w:jc w:val="right"/>
              <w:rPr>
                <w:sz w:val="14"/>
              </w:rPr>
            </w:pPr>
            <w:r>
              <w:rPr>
                <w:w w:val="95"/>
                <w:sz w:val="14"/>
              </w:rPr>
              <w:t>816,211,650</w:t>
            </w:r>
          </w:p>
        </w:tc>
      </w:tr>
      <w:tr>
        <w:trPr>
          <w:trHeight w:val="330" w:hRule="atLeast"/>
        </w:trPr>
        <w:tc>
          <w:tcPr>
            <w:tcW w:w="268" w:type="dxa"/>
          </w:tcPr>
          <w:p>
            <w:pPr>
              <w:pStyle w:val="TableParagraph"/>
              <w:rPr>
                <w:rFonts w:ascii="Times New Roman"/>
                <w:sz w:val="14"/>
              </w:rPr>
            </w:pPr>
          </w:p>
        </w:tc>
        <w:tc>
          <w:tcPr>
            <w:tcW w:w="1989" w:type="dxa"/>
          </w:tcPr>
          <w:p>
            <w:pPr>
              <w:pStyle w:val="TableParagraph"/>
              <w:spacing w:before="72"/>
              <w:ind w:left="68"/>
              <w:rPr>
                <w:b/>
                <w:sz w:val="14"/>
              </w:rPr>
            </w:pPr>
            <w:r>
              <w:rPr>
                <w:b/>
                <w:sz w:val="14"/>
              </w:rPr>
              <w:t>Total</w:t>
            </w:r>
          </w:p>
        </w:tc>
        <w:tc>
          <w:tcPr>
            <w:tcW w:w="1185" w:type="dxa"/>
            <w:tcBorders>
              <w:top w:val="single" w:sz="4" w:space="0" w:color="000000"/>
              <w:bottom w:val="single" w:sz="4" w:space="0" w:color="000000"/>
            </w:tcBorders>
          </w:tcPr>
          <w:p>
            <w:pPr>
              <w:pStyle w:val="TableParagraph"/>
              <w:spacing w:before="72"/>
              <w:ind w:left="-13" w:right="240"/>
              <w:jc w:val="right"/>
              <w:rPr>
                <w:b/>
                <w:sz w:val="14"/>
              </w:rPr>
            </w:pPr>
            <w:r>
              <w:rPr>
                <w:b/>
                <w:spacing w:val="4"/>
                <w:sz w:val="14"/>
              </w:rPr>
              <w:t>3,217,970,816</w:t>
            </w:r>
          </w:p>
        </w:tc>
        <w:tc>
          <w:tcPr>
            <w:tcW w:w="1532" w:type="dxa"/>
            <w:tcBorders>
              <w:top w:val="single" w:sz="4" w:space="0" w:color="000000"/>
              <w:bottom w:val="single" w:sz="4" w:space="0" w:color="000000"/>
            </w:tcBorders>
          </w:tcPr>
          <w:p>
            <w:pPr>
              <w:pStyle w:val="TableParagraph"/>
              <w:spacing w:before="72"/>
              <w:ind w:left="189"/>
              <w:rPr>
                <w:b/>
                <w:sz w:val="14"/>
              </w:rPr>
            </w:pPr>
            <w:r>
              <w:rPr>
                <w:b/>
                <w:sz w:val="14"/>
              </w:rPr>
              <w:t>52,971,736,128</w:t>
            </w:r>
          </w:p>
        </w:tc>
        <w:tc>
          <w:tcPr>
            <w:tcW w:w="1412" w:type="dxa"/>
            <w:tcBorders>
              <w:top w:val="single" w:sz="4" w:space="0" w:color="000000"/>
              <w:bottom w:val="single" w:sz="4" w:space="0" w:color="000000"/>
            </w:tcBorders>
          </w:tcPr>
          <w:p>
            <w:pPr>
              <w:pStyle w:val="TableParagraph"/>
              <w:spacing w:before="72"/>
              <w:ind w:right="240"/>
              <w:jc w:val="right"/>
              <w:rPr>
                <w:b/>
                <w:sz w:val="14"/>
              </w:rPr>
            </w:pPr>
            <w:r>
              <w:rPr>
                <w:b/>
                <w:sz w:val="14"/>
              </w:rPr>
              <w:t>7,929,165,639</w:t>
            </w:r>
          </w:p>
        </w:tc>
        <w:tc>
          <w:tcPr>
            <w:tcW w:w="1320" w:type="dxa"/>
            <w:tcBorders>
              <w:top w:val="single" w:sz="4" w:space="0" w:color="000000"/>
              <w:bottom w:val="single" w:sz="4" w:space="0" w:color="000000"/>
            </w:tcBorders>
          </w:tcPr>
          <w:p>
            <w:pPr>
              <w:pStyle w:val="TableParagraph"/>
              <w:spacing w:before="72"/>
              <w:ind w:right="193"/>
              <w:jc w:val="right"/>
              <w:rPr>
                <w:b/>
                <w:sz w:val="14"/>
              </w:rPr>
            </w:pPr>
            <w:r>
              <w:rPr>
                <w:b/>
                <w:sz w:val="14"/>
              </w:rPr>
              <w:t>1,649,078,165</w:t>
            </w:r>
          </w:p>
        </w:tc>
        <w:tc>
          <w:tcPr>
            <w:tcW w:w="1426" w:type="dxa"/>
            <w:tcBorders>
              <w:top w:val="single" w:sz="4" w:space="0" w:color="000000"/>
              <w:bottom w:val="single" w:sz="4" w:space="0" w:color="000000"/>
            </w:tcBorders>
          </w:tcPr>
          <w:p>
            <w:pPr>
              <w:pStyle w:val="TableParagraph"/>
              <w:spacing w:before="72"/>
              <w:ind w:left="120"/>
              <w:rPr>
                <w:b/>
                <w:sz w:val="14"/>
              </w:rPr>
            </w:pPr>
            <w:r>
              <w:rPr>
                <w:b/>
                <w:sz w:val="14"/>
              </w:rPr>
              <w:t>10,707,163,801</w:t>
            </w:r>
          </w:p>
        </w:tc>
        <w:tc>
          <w:tcPr>
            <w:tcW w:w="1514" w:type="dxa"/>
            <w:tcBorders>
              <w:top w:val="single" w:sz="4" w:space="0" w:color="000000"/>
              <w:bottom w:val="single" w:sz="4" w:space="0" w:color="000000"/>
            </w:tcBorders>
          </w:tcPr>
          <w:p>
            <w:pPr>
              <w:pStyle w:val="TableParagraph"/>
              <w:spacing w:before="72"/>
              <w:ind w:left="212"/>
              <w:rPr>
                <w:b/>
                <w:sz w:val="14"/>
              </w:rPr>
            </w:pPr>
            <w:r>
              <w:rPr>
                <w:b/>
                <w:sz w:val="14"/>
              </w:rPr>
              <w:t>11,677,368,382</w:t>
            </w:r>
          </w:p>
        </w:tc>
        <w:tc>
          <w:tcPr>
            <w:tcW w:w="1305" w:type="dxa"/>
            <w:tcBorders>
              <w:top w:val="single" w:sz="4" w:space="0" w:color="000000"/>
              <w:bottom w:val="single" w:sz="4" w:space="0" w:color="000000"/>
            </w:tcBorders>
          </w:tcPr>
          <w:p>
            <w:pPr>
              <w:pStyle w:val="TableParagraph"/>
              <w:spacing w:before="72"/>
              <w:ind w:left="104"/>
              <w:rPr>
                <w:b/>
                <w:sz w:val="14"/>
              </w:rPr>
            </w:pPr>
            <w:r>
              <w:rPr>
                <w:b/>
                <w:sz w:val="14"/>
              </w:rPr>
              <w:t>3,643,702,577</w:t>
            </w:r>
          </w:p>
        </w:tc>
        <w:tc>
          <w:tcPr>
            <w:tcW w:w="1289" w:type="dxa"/>
            <w:tcBorders>
              <w:top w:val="single" w:sz="4" w:space="0" w:color="000000"/>
              <w:bottom w:val="single" w:sz="4" w:space="0" w:color="000000"/>
            </w:tcBorders>
          </w:tcPr>
          <w:p>
            <w:pPr>
              <w:pStyle w:val="TableParagraph"/>
              <w:spacing w:before="72"/>
              <w:ind w:right="277"/>
              <w:jc w:val="right"/>
              <w:rPr>
                <w:b/>
                <w:sz w:val="14"/>
              </w:rPr>
            </w:pPr>
            <w:r>
              <w:rPr>
                <w:b/>
                <w:w w:val="95"/>
                <w:sz w:val="14"/>
              </w:rPr>
              <w:t>626,280,050</w:t>
            </w:r>
          </w:p>
        </w:tc>
        <w:tc>
          <w:tcPr>
            <w:tcW w:w="1552" w:type="dxa"/>
            <w:tcBorders>
              <w:top w:val="single" w:sz="4" w:space="0" w:color="000000"/>
              <w:bottom w:val="single" w:sz="4" w:space="0" w:color="000000"/>
            </w:tcBorders>
          </w:tcPr>
          <w:p>
            <w:pPr>
              <w:pStyle w:val="TableParagraph"/>
              <w:spacing w:before="72"/>
              <w:ind w:right="133"/>
              <w:jc w:val="right"/>
              <w:rPr>
                <w:b/>
                <w:sz w:val="14"/>
              </w:rPr>
            </w:pPr>
            <w:r>
              <w:rPr>
                <w:b/>
                <w:w w:val="95"/>
                <w:sz w:val="14"/>
              </w:rPr>
              <w:t>92,422,465,558</w:t>
            </w:r>
          </w:p>
        </w:tc>
      </w:tr>
    </w:tbl>
    <w:p>
      <w:pPr>
        <w:spacing w:after="0"/>
        <w:jc w:val="right"/>
        <w:rPr>
          <w:sz w:val="14"/>
        </w:rPr>
        <w:sectPr>
          <w:pgSz w:w="16840" w:h="11900" w:orient="landscape"/>
          <w:pgMar w:header="1038" w:footer="0" w:top="1260" w:bottom="280" w:left="880" w:right="920"/>
        </w:sectPr>
      </w:pPr>
    </w:p>
    <w:p>
      <w:pPr>
        <w:spacing w:before="78"/>
        <w:ind w:left="4279" w:right="0" w:firstLine="0"/>
        <w:jc w:val="left"/>
        <w:rPr>
          <w:rFonts w:ascii="Times New Roman"/>
          <w:b/>
          <w:sz w:val="16"/>
        </w:rPr>
      </w:pPr>
      <w:r>
        <w:rPr/>
        <w:pict>
          <v:shape style="position:absolute;margin-left:27.140491pt;margin-top:290.678925pt;width:14.35pt;height:10.35pt;mso-position-horizontal-relative:page;mso-position-vertical-relative:page;z-index:3040" type="#_x0000_t202" filled="false" stroked="false">
            <v:textbox inset="0,0,0,0" style="layout-flow:vertical">
              <w:txbxContent>
                <w:p>
                  <w:pPr>
                    <w:spacing w:before="13"/>
                    <w:ind w:left="20" w:right="0" w:firstLine="0"/>
                    <w:jc w:val="left"/>
                    <w:rPr>
                      <w:rFonts w:ascii="Arial"/>
                      <w:sz w:val="22"/>
                    </w:rPr>
                  </w:pPr>
                  <w:r>
                    <w:rPr>
                      <w:rFonts w:ascii="Arial"/>
                      <w:sz w:val="22"/>
                    </w:rPr>
                    <w:t>lii</w:t>
                  </w:r>
                </w:p>
              </w:txbxContent>
            </v:textbox>
            <w10:wrap type="none"/>
          </v:shape>
        </w:pict>
      </w:r>
      <w:r>
        <w:rPr>
          <w:rFonts w:ascii="Times New Roman"/>
          <w:b/>
          <w:sz w:val="16"/>
        </w:rPr>
        <w:t>ANNEX 14A: PROJECTED EXTERNAL DEBT SERVICE PAYMENTS, 2019-2023</w:t>
      </w:r>
    </w:p>
    <w:p>
      <w:pPr>
        <w:spacing w:before="16"/>
        <w:ind w:left="137" w:right="0" w:firstLine="0"/>
        <w:jc w:val="left"/>
        <w:rPr>
          <w:rFonts w:ascii="Arial"/>
          <w:b/>
          <w:sz w:val="14"/>
        </w:rPr>
      </w:pPr>
      <w:r>
        <w:rPr>
          <w:rFonts w:ascii="Arial"/>
          <w:b/>
          <w:sz w:val="14"/>
        </w:rPr>
        <w:t>(In Thousand of USD)</w:t>
      </w:r>
    </w:p>
    <w:p>
      <w:pPr>
        <w:spacing w:before="74"/>
        <w:ind w:left="137" w:right="0" w:firstLine="0"/>
        <w:jc w:val="left"/>
        <w:rPr>
          <w:rFonts w:ascii="Arial"/>
          <w:b/>
          <w:sz w:val="14"/>
        </w:rPr>
      </w:pPr>
      <w:r>
        <w:rPr/>
        <w:pict>
          <v:line style="position:absolute;mso-position-horizontal-relative:page;mso-position-vertical-relative:paragraph;z-index:944;mso-wrap-distance-left:0;mso-wrap-distance-right:0" from="50.880001pt,18.905928pt" to="790.560001pt,18.905928pt" stroked="true" strokeweight="1.92pt" strokecolor="#000000">
            <v:stroke dashstyle="solid"/>
            <w10:wrap type="topAndBottom"/>
          </v:line>
        </w:pict>
      </w:r>
      <w:r>
        <w:rPr>
          <w:rFonts w:ascii="Arial"/>
          <w:b/>
          <w:sz w:val="14"/>
        </w:rPr>
        <w:t>Creditor/ International Financial Institution</w:t>
      </w:r>
    </w:p>
    <w:p>
      <w:pPr>
        <w:tabs>
          <w:tab w:pos="5754" w:val="left" w:leader="none"/>
          <w:tab w:pos="8312" w:val="left" w:leader="none"/>
          <w:tab w:pos="10746" w:val="left" w:leader="none"/>
          <w:tab w:pos="13189" w:val="left" w:leader="none"/>
        </w:tabs>
        <w:spacing w:before="36"/>
        <w:ind w:left="3560" w:right="0" w:firstLine="0"/>
        <w:jc w:val="left"/>
        <w:rPr>
          <w:rFonts w:ascii="Arial"/>
          <w:b/>
          <w:sz w:val="16"/>
        </w:rPr>
      </w:pPr>
      <w:r>
        <w:rPr>
          <w:rFonts w:ascii="Arial"/>
          <w:b/>
          <w:spacing w:val="3"/>
          <w:sz w:val="16"/>
        </w:rPr>
        <w:t>FY</w:t>
      </w:r>
      <w:r>
        <w:rPr>
          <w:rFonts w:ascii="Arial"/>
          <w:b/>
          <w:spacing w:val="48"/>
          <w:sz w:val="16"/>
        </w:rPr>
        <w:t> </w:t>
      </w:r>
      <w:r>
        <w:rPr>
          <w:rFonts w:ascii="Arial"/>
          <w:b/>
          <w:spacing w:val="9"/>
          <w:sz w:val="16"/>
        </w:rPr>
        <w:t>2019</w:t>
        <w:tab/>
      </w:r>
      <w:r>
        <w:rPr>
          <w:rFonts w:ascii="Arial"/>
          <w:b/>
          <w:spacing w:val="6"/>
          <w:sz w:val="16"/>
        </w:rPr>
        <w:t>FY </w:t>
      </w:r>
      <w:r>
        <w:rPr>
          <w:rFonts w:ascii="Arial"/>
          <w:b/>
          <w:spacing w:val="7"/>
          <w:sz w:val="16"/>
        </w:rPr>
        <w:t> </w:t>
      </w:r>
      <w:r>
        <w:rPr>
          <w:rFonts w:ascii="Arial"/>
          <w:b/>
          <w:sz w:val="16"/>
        </w:rPr>
        <w:t>2</w:t>
      </w:r>
      <w:r>
        <w:rPr>
          <w:rFonts w:ascii="Arial"/>
          <w:b/>
          <w:spacing w:val="-22"/>
          <w:sz w:val="16"/>
        </w:rPr>
        <w:t> </w:t>
      </w:r>
      <w:r>
        <w:rPr>
          <w:rFonts w:ascii="Arial"/>
          <w:b/>
          <w:spacing w:val="12"/>
          <w:sz w:val="16"/>
        </w:rPr>
        <w:t>020</w:t>
        <w:tab/>
      </w:r>
      <w:r>
        <w:rPr>
          <w:rFonts w:ascii="Arial"/>
          <w:b/>
          <w:spacing w:val="3"/>
          <w:sz w:val="16"/>
        </w:rPr>
        <w:t>FY </w:t>
      </w:r>
      <w:r>
        <w:rPr>
          <w:rFonts w:ascii="Arial"/>
          <w:b/>
          <w:spacing w:val="5"/>
          <w:sz w:val="16"/>
        </w:rPr>
        <w:t> </w:t>
      </w:r>
      <w:r>
        <w:rPr>
          <w:rFonts w:ascii="Arial"/>
          <w:b/>
          <w:spacing w:val="12"/>
          <w:sz w:val="16"/>
        </w:rPr>
        <w:t>2021</w:t>
        <w:tab/>
      </w:r>
      <w:r>
        <w:rPr>
          <w:rFonts w:ascii="Arial"/>
          <w:b/>
          <w:spacing w:val="6"/>
          <w:sz w:val="16"/>
        </w:rPr>
        <w:t>FY </w:t>
      </w:r>
      <w:r>
        <w:rPr>
          <w:rFonts w:ascii="Arial"/>
          <w:b/>
          <w:spacing w:val="7"/>
          <w:sz w:val="16"/>
        </w:rPr>
        <w:t> </w:t>
      </w:r>
      <w:r>
        <w:rPr>
          <w:rFonts w:ascii="Arial"/>
          <w:b/>
          <w:sz w:val="16"/>
        </w:rPr>
        <w:t>2</w:t>
      </w:r>
      <w:r>
        <w:rPr>
          <w:rFonts w:ascii="Arial"/>
          <w:b/>
          <w:spacing w:val="-22"/>
          <w:sz w:val="16"/>
        </w:rPr>
        <w:t> </w:t>
      </w:r>
      <w:r>
        <w:rPr>
          <w:rFonts w:ascii="Arial"/>
          <w:b/>
          <w:spacing w:val="12"/>
          <w:sz w:val="16"/>
        </w:rPr>
        <w:t>022</w:t>
        <w:tab/>
      </w:r>
      <w:r>
        <w:rPr>
          <w:rFonts w:ascii="Arial"/>
          <w:b/>
          <w:spacing w:val="3"/>
          <w:sz w:val="16"/>
        </w:rPr>
        <w:t>FY</w:t>
      </w:r>
      <w:r>
        <w:rPr>
          <w:rFonts w:ascii="Arial"/>
          <w:b/>
          <w:spacing w:val="7"/>
          <w:sz w:val="16"/>
        </w:rPr>
        <w:t> </w:t>
      </w:r>
      <w:r>
        <w:rPr>
          <w:rFonts w:ascii="Arial"/>
          <w:b/>
          <w:spacing w:val="12"/>
          <w:sz w:val="16"/>
        </w:rPr>
        <w:t>2023</w:t>
      </w:r>
    </w:p>
    <w:p>
      <w:pPr>
        <w:pStyle w:val="BodyText"/>
        <w:spacing w:before="5"/>
        <w:rPr>
          <w:rFonts w:ascii="Arial"/>
          <w:b/>
          <w:sz w:val="17"/>
        </w:rPr>
      </w:pPr>
    </w:p>
    <w:p>
      <w:pPr>
        <w:tabs>
          <w:tab w:pos="4366" w:val="left" w:leader="none"/>
          <w:tab w:pos="5465" w:val="left" w:leader="none"/>
          <w:tab w:pos="6689" w:val="left" w:leader="none"/>
          <w:tab w:pos="7961" w:val="left" w:leader="none"/>
          <w:tab w:pos="9185" w:val="left" w:leader="none"/>
          <w:tab w:pos="10452" w:val="left" w:leader="none"/>
          <w:tab w:pos="11681" w:val="left" w:leader="none"/>
          <w:tab w:pos="13059" w:val="left" w:leader="none"/>
          <w:tab w:pos="14172" w:val="left" w:leader="none"/>
        </w:tabs>
        <w:spacing w:before="0"/>
        <w:ind w:left="3310" w:right="0" w:firstLine="0"/>
        <w:jc w:val="left"/>
        <w:rPr>
          <w:rFonts w:ascii="Times New Roman"/>
          <w:b/>
          <w:sz w:val="16"/>
        </w:rPr>
      </w:pPr>
      <w:r>
        <w:rPr/>
        <w:pict>
          <v:line style="position:absolute;mso-position-horizontal-relative:page;mso-position-vertical-relative:paragraph;z-index:968;mso-wrap-distance-left:0;mso-wrap-distance-right:0" from="50.880001pt,13.348754pt" to="790.560001pt,13.348754pt" stroked="true" strokeweight="2.16pt" strokecolor="#000000">
            <v:stroke dashstyle="solid"/>
            <w10:wrap type="topAndBottom"/>
          </v:line>
        </w:pict>
      </w:r>
      <w:r>
        <w:rPr>
          <w:rFonts w:ascii="Times New Roman"/>
          <w:b/>
          <w:spacing w:val="6"/>
          <w:sz w:val="16"/>
        </w:rPr>
        <w:t>PR</w:t>
        <w:tab/>
      </w:r>
      <w:r>
        <w:rPr>
          <w:rFonts w:ascii="Times New Roman"/>
          <w:b/>
          <w:spacing w:val="-5"/>
          <w:sz w:val="16"/>
        </w:rPr>
        <w:t>INT</w:t>
        <w:tab/>
      </w:r>
      <w:r>
        <w:rPr>
          <w:rFonts w:ascii="Times New Roman"/>
          <w:b/>
          <w:spacing w:val="6"/>
          <w:sz w:val="16"/>
        </w:rPr>
        <w:t>PR</w:t>
        <w:tab/>
      </w:r>
      <w:r>
        <w:rPr>
          <w:rFonts w:ascii="Times New Roman"/>
          <w:b/>
          <w:spacing w:val="-5"/>
          <w:sz w:val="16"/>
        </w:rPr>
        <w:t>INT</w:t>
        <w:tab/>
      </w:r>
      <w:r>
        <w:rPr>
          <w:rFonts w:ascii="Times New Roman"/>
          <w:b/>
          <w:spacing w:val="6"/>
          <w:sz w:val="16"/>
        </w:rPr>
        <w:t>PR</w:t>
        <w:tab/>
      </w:r>
      <w:r>
        <w:rPr>
          <w:rFonts w:ascii="Times New Roman"/>
          <w:b/>
          <w:spacing w:val="-5"/>
          <w:sz w:val="16"/>
        </w:rPr>
        <w:t>INT</w:t>
        <w:tab/>
      </w:r>
      <w:r>
        <w:rPr>
          <w:rFonts w:ascii="Times New Roman"/>
          <w:b/>
          <w:spacing w:val="6"/>
          <w:sz w:val="16"/>
        </w:rPr>
        <w:t>PR</w:t>
        <w:tab/>
      </w:r>
      <w:r>
        <w:rPr>
          <w:rFonts w:ascii="Times New Roman"/>
          <w:b/>
          <w:spacing w:val="-5"/>
          <w:sz w:val="16"/>
        </w:rPr>
        <w:t>INT</w:t>
        <w:tab/>
      </w:r>
      <w:r>
        <w:rPr>
          <w:rFonts w:ascii="Times New Roman"/>
          <w:b/>
          <w:spacing w:val="6"/>
          <w:sz w:val="16"/>
        </w:rPr>
        <w:t>PR</w:t>
        <w:tab/>
      </w:r>
      <w:r>
        <w:rPr>
          <w:rFonts w:ascii="Times New Roman"/>
          <w:b/>
          <w:spacing w:val="-5"/>
          <w:sz w:val="16"/>
        </w:rPr>
        <w:t>INT</w:t>
      </w:r>
    </w:p>
    <w:p>
      <w:pPr>
        <w:pStyle w:val="BodyText"/>
        <w:spacing w:before="8" w:after="1"/>
        <w:rPr>
          <w:rFonts w:ascii="Times New Roman"/>
          <w:b/>
          <w:sz w:val="19"/>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1"/>
        <w:gridCol w:w="1185"/>
        <w:gridCol w:w="1109"/>
        <w:gridCol w:w="1186"/>
        <w:gridCol w:w="1253"/>
        <w:gridCol w:w="1243"/>
        <w:gridCol w:w="1252"/>
        <w:gridCol w:w="1243"/>
        <w:gridCol w:w="1233"/>
        <w:gridCol w:w="1286"/>
        <w:gridCol w:w="1261"/>
      </w:tblGrid>
      <w:tr>
        <w:trPr>
          <w:trHeight w:val="196" w:hRule="atLeast"/>
        </w:trPr>
        <w:tc>
          <w:tcPr>
            <w:tcW w:w="2541" w:type="dxa"/>
          </w:tcPr>
          <w:p>
            <w:pPr>
              <w:pStyle w:val="TableParagraph"/>
              <w:spacing w:line="147" w:lineRule="exact" w:before="29"/>
              <w:ind w:left="279"/>
              <w:rPr>
                <w:sz w:val="14"/>
              </w:rPr>
            </w:pPr>
            <w:r>
              <w:rPr>
                <w:sz w:val="14"/>
              </w:rPr>
              <w:t>IDA</w:t>
            </w:r>
          </w:p>
        </w:tc>
        <w:tc>
          <w:tcPr>
            <w:tcW w:w="1185" w:type="dxa"/>
          </w:tcPr>
          <w:p>
            <w:pPr>
              <w:pStyle w:val="TableParagraph"/>
              <w:spacing w:line="147" w:lineRule="exact" w:before="29"/>
              <w:ind w:left="-13" w:right="183"/>
              <w:jc w:val="right"/>
              <w:rPr>
                <w:sz w:val="14"/>
              </w:rPr>
            </w:pPr>
            <w:r>
              <w:rPr>
                <w:sz w:val="14"/>
              </w:rPr>
              <w:t>2,277.39</w:t>
            </w:r>
          </w:p>
        </w:tc>
        <w:tc>
          <w:tcPr>
            <w:tcW w:w="1109" w:type="dxa"/>
          </w:tcPr>
          <w:p>
            <w:pPr>
              <w:pStyle w:val="TableParagraph"/>
              <w:spacing w:line="147" w:lineRule="exact" w:before="29"/>
              <w:ind w:left="258"/>
              <w:rPr>
                <w:sz w:val="14"/>
              </w:rPr>
            </w:pPr>
            <w:r>
              <w:rPr>
                <w:sz w:val="14"/>
              </w:rPr>
              <w:t>2,268.07</w:t>
            </w:r>
          </w:p>
        </w:tc>
        <w:tc>
          <w:tcPr>
            <w:tcW w:w="1186" w:type="dxa"/>
          </w:tcPr>
          <w:p>
            <w:pPr>
              <w:pStyle w:val="TableParagraph"/>
              <w:spacing w:line="147" w:lineRule="exact" w:before="29"/>
              <w:ind w:right="265"/>
              <w:jc w:val="right"/>
              <w:rPr>
                <w:sz w:val="14"/>
              </w:rPr>
            </w:pPr>
            <w:r>
              <w:rPr>
                <w:sz w:val="14"/>
              </w:rPr>
              <w:t>3,034.80</w:t>
            </w:r>
          </w:p>
        </w:tc>
        <w:tc>
          <w:tcPr>
            <w:tcW w:w="1253" w:type="dxa"/>
          </w:tcPr>
          <w:p>
            <w:pPr>
              <w:pStyle w:val="TableParagraph"/>
              <w:spacing w:line="147" w:lineRule="exact" w:before="29"/>
              <w:ind w:right="328"/>
              <w:jc w:val="right"/>
              <w:rPr>
                <w:sz w:val="14"/>
              </w:rPr>
            </w:pPr>
            <w:r>
              <w:rPr>
                <w:sz w:val="14"/>
              </w:rPr>
              <w:t>2,061.20</w:t>
            </w:r>
          </w:p>
        </w:tc>
        <w:tc>
          <w:tcPr>
            <w:tcW w:w="1243" w:type="dxa"/>
          </w:tcPr>
          <w:p>
            <w:pPr>
              <w:pStyle w:val="TableParagraph"/>
              <w:spacing w:line="147" w:lineRule="exact" w:before="29"/>
              <w:ind w:left="392"/>
              <w:rPr>
                <w:sz w:val="14"/>
              </w:rPr>
            </w:pPr>
            <w:r>
              <w:rPr>
                <w:sz w:val="14"/>
              </w:rPr>
              <w:t>3,878.90</w:t>
            </w:r>
          </w:p>
        </w:tc>
        <w:tc>
          <w:tcPr>
            <w:tcW w:w="1252" w:type="dxa"/>
          </w:tcPr>
          <w:p>
            <w:pPr>
              <w:pStyle w:val="TableParagraph"/>
              <w:spacing w:line="147" w:lineRule="exact" w:before="29"/>
              <w:ind w:left="339"/>
              <w:rPr>
                <w:sz w:val="14"/>
              </w:rPr>
            </w:pPr>
            <w:r>
              <w:rPr>
                <w:sz w:val="14"/>
              </w:rPr>
              <w:t>2,259.10</w:t>
            </w:r>
          </w:p>
        </w:tc>
        <w:tc>
          <w:tcPr>
            <w:tcW w:w="1243" w:type="dxa"/>
          </w:tcPr>
          <w:p>
            <w:pPr>
              <w:pStyle w:val="TableParagraph"/>
              <w:spacing w:line="147" w:lineRule="exact" w:before="29"/>
              <w:ind w:right="269"/>
              <w:jc w:val="right"/>
              <w:rPr>
                <w:sz w:val="14"/>
              </w:rPr>
            </w:pPr>
            <w:r>
              <w:rPr>
                <w:sz w:val="14"/>
              </w:rPr>
              <w:t>6,359.60</w:t>
            </w:r>
          </w:p>
        </w:tc>
        <w:tc>
          <w:tcPr>
            <w:tcW w:w="1233" w:type="dxa"/>
          </w:tcPr>
          <w:p>
            <w:pPr>
              <w:pStyle w:val="TableParagraph"/>
              <w:spacing w:line="147" w:lineRule="exact" w:before="29"/>
              <w:ind w:right="311"/>
              <w:jc w:val="right"/>
              <w:rPr>
                <w:sz w:val="14"/>
              </w:rPr>
            </w:pPr>
            <w:r>
              <w:rPr>
                <w:sz w:val="14"/>
              </w:rPr>
              <w:t>2,382.10</w:t>
            </w:r>
          </w:p>
        </w:tc>
        <w:tc>
          <w:tcPr>
            <w:tcW w:w="1286" w:type="dxa"/>
          </w:tcPr>
          <w:p>
            <w:pPr>
              <w:pStyle w:val="TableParagraph"/>
              <w:spacing w:line="147" w:lineRule="exact" w:before="29"/>
              <w:ind w:left="471"/>
              <w:rPr>
                <w:sz w:val="14"/>
              </w:rPr>
            </w:pPr>
            <w:r>
              <w:rPr>
                <w:sz w:val="14"/>
              </w:rPr>
              <w:t>7,819.40</w:t>
            </w:r>
          </w:p>
        </w:tc>
        <w:tc>
          <w:tcPr>
            <w:tcW w:w="1261" w:type="dxa"/>
          </w:tcPr>
          <w:p>
            <w:pPr>
              <w:pStyle w:val="TableParagraph"/>
              <w:spacing w:line="147" w:lineRule="exact" w:before="29"/>
              <w:ind w:right="362"/>
              <w:jc w:val="right"/>
              <w:rPr>
                <w:sz w:val="14"/>
              </w:rPr>
            </w:pPr>
            <w:r>
              <w:rPr>
                <w:sz w:val="14"/>
              </w:rPr>
              <w:t>2,403.10</w:t>
            </w:r>
          </w:p>
        </w:tc>
      </w:tr>
      <w:tr>
        <w:trPr>
          <w:trHeight w:val="168" w:hRule="atLeast"/>
        </w:trPr>
        <w:tc>
          <w:tcPr>
            <w:tcW w:w="2541" w:type="dxa"/>
          </w:tcPr>
          <w:p>
            <w:pPr>
              <w:pStyle w:val="TableParagraph"/>
              <w:spacing w:line="147" w:lineRule="exact" w:before="1"/>
              <w:ind w:left="279"/>
              <w:rPr>
                <w:sz w:val="14"/>
              </w:rPr>
            </w:pPr>
            <w:r>
              <w:rPr>
                <w:sz w:val="14"/>
              </w:rPr>
              <w:t>IMF 1/</w:t>
            </w:r>
          </w:p>
        </w:tc>
        <w:tc>
          <w:tcPr>
            <w:tcW w:w="1185" w:type="dxa"/>
          </w:tcPr>
          <w:p>
            <w:pPr>
              <w:pStyle w:val="TableParagraph"/>
              <w:spacing w:line="147" w:lineRule="exact" w:before="1"/>
              <w:ind w:right="163"/>
              <w:jc w:val="right"/>
              <w:rPr>
                <w:sz w:val="14"/>
              </w:rPr>
            </w:pPr>
            <w:r>
              <w:rPr>
                <w:w w:val="99"/>
                <w:sz w:val="14"/>
              </w:rPr>
              <w:t>-</w:t>
            </w:r>
          </w:p>
        </w:tc>
        <w:tc>
          <w:tcPr>
            <w:tcW w:w="1109" w:type="dxa"/>
          </w:tcPr>
          <w:p>
            <w:pPr>
              <w:pStyle w:val="TableParagraph"/>
              <w:spacing w:line="147" w:lineRule="exact" w:before="1"/>
              <w:ind w:right="254"/>
              <w:jc w:val="right"/>
              <w:rPr>
                <w:sz w:val="14"/>
              </w:rPr>
            </w:pPr>
            <w:r>
              <w:rPr>
                <w:w w:val="99"/>
                <w:sz w:val="14"/>
              </w:rPr>
              <w:t>-</w:t>
            </w:r>
          </w:p>
        </w:tc>
        <w:tc>
          <w:tcPr>
            <w:tcW w:w="1186" w:type="dxa"/>
          </w:tcPr>
          <w:p>
            <w:pPr>
              <w:pStyle w:val="TableParagraph"/>
              <w:spacing w:line="147" w:lineRule="exact" w:before="1"/>
              <w:ind w:right="274"/>
              <w:jc w:val="right"/>
              <w:rPr>
                <w:sz w:val="14"/>
              </w:rPr>
            </w:pPr>
            <w:r>
              <w:rPr>
                <w:sz w:val="14"/>
              </w:rPr>
              <w:t>10,826.28</w:t>
            </w:r>
          </w:p>
        </w:tc>
        <w:tc>
          <w:tcPr>
            <w:tcW w:w="1253" w:type="dxa"/>
          </w:tcPr>
          <w:p>
            <w:pPr>
              <w:pStyle w:val="TableParagraph"/>
              <w:spacing w:line="147" w:lineRule="exact" w:before="1"/>
              <w:ind w:right="312"/>
              <w:jc w:val="right"/>
              <w:rPr>
                <w:sz w:val="14"/>
              </w:rPr>
            </w:pPr>
            <w:r>
              <w:rPr>
                <w:w w:val="99"/>
                <w:sz w:val="14"/>
              </w:rPr>
              <w:t>-</w:t>
            </w:r>
          </w:p>
        </w:tc>
        <w:tc>
          <w:tcPr>
            <w:tcW w:w="1243" w:type="dxa"/>
          </w:tcPr>
          <w:p>
            <w:pPr>
              <w:pStyle w:val="TableParagraph"/>
              <w:spacing w:line="147" w:lineRule="exact" w:before="1"/>
              <w:ind w:left="306"/>
              <w:rPr>
                <w:sz w:val="14"/>
              </w:rPr>
            </w:pPr>
            <w:r>
              <w:rPr>
                <w:sz w:val="14"/>
              </w:rPr>
              <w:t>18,765.55</w:t>
            </w:r>
          </w:p>
        </w:tc>
        <w:tc>
          <w:tcPr>
            <w:tcW w:w="1252" w:type="dxa"/>
          </w:tcPr>
          <w:p>
            <w:pPr>
              <w:pStyle w:val="TableParagraph"/>
              <w:spacing w:line="147" w:lineRule="exact" w:before="1"/>
              <w:ind w:right="311"/>
              <w:jc w:val="right"/>
              <w:rPr>
                <w:sz w:val="14"/>
              </w:rPr>
            </w:pPr>
            <w:r>
              <w:rPr>
                <w:w w:val="99"/>
                <w:sz w:val="14"/>
              </w:rPr>
              <w:t>-</w:t>
            </w:r>
          </w:p>
        </w:tc>
        <w:tc>
          <w:tcPr>
            <w:tcW w:w="1243" w:type="dxa"/>
          </w:tcPr>
          <w:p>
            <w:pPr>
              <w:pStyle w:val="TableParagraph"/>
              <w:spacing w:line="147" w:lineRule="exact" w:before="1"/>
              <w:ind w:right="278"/>
              <w:jc w:val="right"/>
              <w:rPr>
                <w:sz w:val="14"/>
              </w:rPr>
            </w:pPr>
            <w:r>
              <w:rPr>
                <w:sz w:val="14"/>
              </w:rPr>
              <w:t>30,558.58</w:t>
            </w:r>
          </w:p>
        </w:tc>
        <w:tc>
          <w:tcPr>
            <w:tcW w:w="1233" w:type="dxa"/>
          </w:tcPr>
          <w:p>
            <w:pPr>
              <w:pStyle w:val="TableParagraph"/>
              <w:spacing w:line="147" w:lineRule="exact" w:before="1"/>
              <w:ind w:right="291"/>
              <w:jc w:val="right"/>
              <w:rPr>
                <w:sz w:val="14"/>
              </w:rPr>
            </w:pPr>
            <w:r>
              <w:rPr>
                <w:w w:val="99"/>
                <w:sz w:val="14"/>
              </w:rPr>
              <w:t>-</w:t>
            </w:r>
          </w:p>
        </w:tc>
        <w:tc>
          <w:tcPr>
            <w:tcW w:w="1286" w:type="dxa"/>
          </w:tcPr>
          <w:p>
            <w:pPr>
              <w:pStyle w:val="TableParagraph"/>
              <w:spacing w:line="147" w:lineRule="exact" w:before="1"/>
              <w:ind w:left="379"/>
              <w:rPr>
                <w:sz w:val="14"/>
              </w:rPr>
            </w:pPr>
            <w:r>
              <w:rPr>
                <w:sz w:val="14"/>
              </w:rPr>
              <w:t>33,690.58</w:t>
            </w:r>
          </w:p>
        </w:tc>
        <w:tc>
          <w:tcPr>
            <w:tcW w:w="1261" w:type="dxa"/>
          </w:tcPr>
          <w:p>
            <w:pPr>
              <w:pStyle w:val="TableParagraph"/>
              <w:spacing w:line="147" w:lineRule="exact" w:before="1"/>
              <w:ind w:right="342"/>
              <w:jc w:val="right"/>
              <w:rPr>
                <w:sz w:val="14"/>
              </w:rPr>
            </w:pPr>
            <w:r>
              <w:rPr>
                <w:w w:val="99"/>
                <w:sz w:val="14"/>
              </w:rPr>
              <w:t>-</w:t>
            </w:r>
          </w:p>
        </w:tc>
      </w:tr>
      <w:tr>
        <w:trPr>
          <w:trHeight w:val="167" w:hRule="atLeast"/>
        </w:trPr>
        <w:tc>
          <w:tcPr>
            <w:tcW w:w="2541" w:type="dxa"/>
          </w:tcPr>
          <w:p>
            <w:pPr>
              <w:pStyle w:val="TableParagraph"/>
              <w:spacing w:line="147" w:lineRule="exact" w:before="1"/>
              <w:ind w:left="278"/>
              <w:rPr>
                <w:sz w:val="14"/>
              </w:rPr>
            </w:pPr>
            <w:r>
              <w:rPr>
                <w:sz w:val="14"/>
              </w:rPr>
              <w:t>ADB</w:t>
            </w:r>
          </w:p>
        </w:tc>
        <w:tc>
          <w:tcPr>
            <w:tcW w:w="1185" w:type="dxa"/>
          </w:tcPr>
          <w:p>
            <w:pPr>
              <w:pStyle w:val="TableParagraph"/>
              <w:spacing w:line="147" w:lineRule="exact" w:before="1"/>
              <w:ind w:left="-13" w:right="181"/>
              <w:jc w:val="right"/>
              <w:rPr>
                <w:sz w:val="14"/>
              </w:rPr>
            </w:pPr>
            <w:r>
              <w:rPr>
                <w:w w:val="95"/>
                <w:sz w:val="14"/>
              </w:rPr>
              <w:t>945.22</w:t>
            </w:r>
          </w:p>
        </w:tc>
        <w:tc>
          <w:tcPr>
            <w:tcW w:w="1109" w:type="dxa"/>
          </w:tcPr>
          <w:p>
            <w:pPr>
              <w:pStyle w:val="TableParagraph"/>
              <w:spacing w:line="147" w:lineRule="exact" w:before="1"/>
              <w:ind w:left="258"/>
              <w:rPr>
                <w:sz w:val="14"/>
              </w:rPr>
            </w:pPr>
            <w:r>
              <w:rPr>
                <w:sz w:val="14"/>
              </w:rPr>
              <w:t>1,276.18</w:t>
            </w:r>
          </w:p>
        </w:tc>
        <w:tc>
          <w:tcPr>
            <w:tcW w:w="1186" w:type="dxa"/>
          </w:tcPr>
          <w:p>
            <w:pPr>
              <w:pStyle w:val="TableParagraph"/>
              <w:spacing w:line="147" w:lineRule="exact" w:before="1"/>
              <w:ind w:right="265"/>
              <w:jc w:val="right"/>
              <w:rPr>
                <w:sz w:val="14"/>
              </w:rPr>
            </w:pPr>
            <w:r>
              <w:rPr>
                <w:sz w:val="14"/>
              </w:rPr>
              <w:t>1,679.70</w:t>
            </w:r>
          </w:p>
        </w:tc>
        <w:tc>
          <w:tcPr>
            <w:tcW w:w="1253" w:type="dxa"/>
          </w:tcPr>
          <w:p>
            <w:pPr>
              <w:pStyle w:val="TableParagraph"/>
              <w:spacing w:line="147" w:lineRule="exact" w:before="1"/>
              <w:ind w:right="328"/>
              <w:jc w:val="right"/>
              <w:rPr>
                <w:sz w:val="14"/>
              </w:rPr>
            </w:pPr>
            <w:r>
              <w:rPr>
                <w:sz w:val="14"/>
              </w:rPr>
              <w:t>1,079.70</w:t>
            </w:r>
          </w:p>
        </w:tc>
        <w:tc>
          <w:tcPr>
            <w:tcW w:w="1243" w:type="dxa"/>
          </w:tcPr>
          <w:p>
            <w:pPr>
              <w:pStyle w:val="TableParagraph"/>
              <w:spacing w:line="147" w:lineRule="exact" w:before="1"/>
              <w:ind w:left="392"/>
              <w:rPr>
                <w:sz w:val="14"/>
              </w:rPr>
            </w:pPr>
            <w:r>
              <w:rPr>
                <w:sz w:val="14"/>
              </w:rPr>
              <w:t>1,679.70</w:t>
            </w:r>
          </w:p>
        </w:tc>
        <w:tc>
          <w:tcPr>
            <w:tcW w:w="1252" w:type="dxa"/>
          </w:tcPr>
          <w:p>
            <w:pPr>
              <w:pStyle w:val="TableParagraph"/>
              <w:spacing w:line="147" w:lineRule="exact" w:before="1"/>
              <w:ind w:left="339"/>
              <w:rPr>
                <w:sz w:val="14"/>
              </w:rPr>
            </w:pPr>
            <w:r>
              <w:rPr>
                <w:sz w:val="14"/>
              </w:rPr>
              <w:t>1,148.80</w:t>
            </w:r>
          </w:p>
        </w:tc>
        <w:tc>
          <w:tcPr>
            <w:tcW w:w="1243" w:type="dxa"/>
          </w:tcPr>
          <w:p>
            <w:pPr>
              <w:pStyle w:val="TableParagraph"/>
              <w:spacing w:line="147" w:lineRule="exact" w:before="1"/>
              <w:ind w:right="269"/>
              <w:jc w:val="right"/>
              <w:rPr>
                <w:sz w:val="14"/>
              </w:rPr>
            </w:pPr>
            <w:r>
              <w:rPr>
                <w:sz w:val="14"/>
              </w:rPr>
              <w:t>1,849.10</w:t>
            </w:r>
          </w:p>
        </w:tc>
        <w:tc>
          <w:tcPr>
            <w:tcW w:w="1233" w:type="dxa"/>
          </w:tcPr>
          <w:p>
            <w:pPr>
              <w:pStyle w:val="TableParagraph"/>
              <w:spacing w:line="147" w:lineRule="exact" w:before="1"/>
              <w:ind w:right="311"/>
              <w:jc w:val="right"/>
              <w:rPr>
                <w:sz w:val="14"/>
              </w:rPr>
            </w:pPr>
            <w:r>
              <w:rPr>
                <w:sz w:val="14"/>
              </w:rPr>
              <w:t>1,219.50</w:t>
            </w:r>
          </w:p>
        </w:tc>
        <w:tc>
          <w:tcPr>
            <w:tcW w:w="1286" w:type="dxa"/>
          </w:tcPr>
          <w:p>
            <w:pPr>
              <w:pStyle w:val="TableParagraph"/>
              <w:spacing w:line="147" w:lineRule="exact" w:before="1"/>
              <w:ind w:left="471"/>
              <w:rPr>
                <w:sz w:val="14"/>
              </w:rPr>
            </w:pPr>
            <w:r>
              <w:rPr>
                <w:sz w:val="14"/>
              </w:rPr>
              <w:t>2,852.50</w:t>
            </w:r>
          </w:p>
        </w:tc>
        <w:tc>
          <w:tcPr>
            <w:tcW w:w="1261" w:type="dxa"/>
          </w:tcPr>
          <w:p>
            <w:pPr>
              <w:pStyle w:val="TableParagraph"/>
              <w:spacing w:line="147" w:lineRule="exact" w:before="1"/>
              <w:ind w:right="362"/>
              <w:jc w:val="right"/>
              <w:rPr>
                <w:sz w:val="14"/>
              </w:rPr>
            </w:pPr>
            <w:r>
              <w:rPr>
                <w:sz w:val="14"/>
              </w:rPr>
              <w:t>1,267.10</w:t>
            </w:r>
          </w:p>
        </w:tc>
      </w:tr>
      <w:tr>
        <w:trPr>
          <w:trHeight w:val="167" w:hRule="atLeast"/>
        </w:trPr>
        <w:tc>
          <w:tcPr>
            <w:tcW w:w="2541" w:type="dxa"/>
          </w:tcPr>
          <w:p>
            <w:pPr>
              <w:pStyle w:val="TableParagraph"/>
              <w:spacing w:line="147" w:lineRule="exact" w:before="1"/>
              <w:ind w:left="279"/>
              <w:rPr>
                <w:sz w:val="14"/>
              </w:rPr>
            </w:pPr>
            <w:r>
              <w:rPr>
                <w:sz w:val="14"/>
              </w:rPr>
              <w:t>IFAD</w:t>
            </w:r>
          </w:p>
        </w:tc>
        <w:tc>
          <w:tcPr>
            <w:tcW w:w="1185" w:type="dxa"/>
          </w:tcPr>
          <w:p>
            <w:pPr>
              <w:pStyle w:val="TableParagraph"/>
              <w:spacing w:line="147" w:lineRule="exact" w:before="1"/>
              <w:ind w:left="-13" w:right="181"/>
              <w:jc w:val="right"/>
              <w:rPr>
                <w:sz w:val="14"/>
              </w:rPr>
            </w:pPr>
            <w:r>
              <w:rPr>
                <w:w w:val="95"/>
                <w:sz w:val="14"/>
              </w:rPr>
              <w:t>856.84</w:t>
            </w:r>
          </w:p>
        </w:tc>
        <w:tc>
          <w:tcPr>
            <w:tcW w:w="1109" w:type="dxa"/>
          </w:tcPr>
          <w:p>
            <w:pPr>
              <w:pStyle w:val="TableParagraph"/>
              <w:spacing w:line="147" w:lineRule="exact" w:before="1"/>
              <w:ind w:left="393"/>
              <w:rPr>
                <w:sz w:val="14"/>
              </w:rPr>
            </w:pPr>
            <w:r>
              <w:rPr>
                <w:sz w:val="14"/>
              </w:rPr>
              <w:t>328.38</w:t>
            </w:r>
          </w:p>
        </w:tc>
        <w:tc>
          <w:tcPr>
            <w:tcW w:w="1186" w:type="dxa"/>
          </w:tcPr>
          <w:p>
            <w:pPr>
              <w:pStyle w:val="TableParagraph"/>
              <w:spacing w:line="147" w:lineRule="exact" w:before="1"/>
              <w:ind w:right="265"/>
              <w:jc w:val="right"/>
              <w:rPr>
                <w:sz w:val="14"/>
              </w:rPr>
            </w:pPr>
            <w:r>
              <w:rPr>
                <w:sz w:val="14"/>
              </w:rPr>
              <w:t>1,095.20</w:t>
            </w:r>
          </w:p>
        </w:tc>
        <w:tc>
          <w:tcPr>
            <w:tcW w:w="1253" w:type="dxa"/>
          </w:tcPr>
          <w:p>
            <w:pPr>
              <w:pStyle w:val="TableParagraph"/>
              <w:spacing w:line="147" w:lineRule="exact" w:before="1"/>
              <w:ind w:right="321"/>
              <w:jc w:val="right"/>
              <w:rPr>
                <w:sz w:val="14"/>
              </w:rPr>
            </w:pPr>
            <w:r>
              <w:rPr>
                <w:sz w:val="14"/>
              </w:rPr>
              <w:t>340.70</w:t>
            </w:r>
          </w:p>
        </w:tc>
        <w:tc>
          <w:tcPr>
            <w:tcW w:w="1243" w:type="dxa"/>
          </w:tcPr>
          <w:p>
            <w:pPr>
              <w:pStyle w:val="TableParagraph"/>
              <w:spacing w:line="147" w:lineRule="exact" w:before="1"/>
              <w:ind w:left="392"/>
              <w:rPr>
                <w:sz w:val="14"/>
              </w:rPr>
            </w:pPr>
            <w:r>
              <w:rPr>
                <w:sz w:val="14"/>
              </w:rPr>
              <w:t>1,418.80</w:t>
            </w:r>
          </w:p>
        </w:tc>
        <w:tc>
          <w:tcPr>
            <w:tcW w:w="1252" w:type="dxa"/>
          </w:tcPr>
          <w:p>
            <w:pPr>
              <w:pStyle w:val="TableParagraph"/>
              <w:spacing w:line="147" w:lineRule="exact" w:before="1"/>
              <w:ind w:left="479"/>
              <w:rPr>
                <w:sz w:val="14"/>
              </w:rPr>
            </w:pPr>
            <w:r>
              <w:rPr>
                <w:sz w:val="14"/>
              </w:rPr>
              <w:t>333.30</w:t>
            </w:r>
          </w:p>
        </w:tc>
        <w:tc>
          <w:tcPr>
            <w:tcW w:w="1243" w:type="dxa"/>
          </w:tcPr>
          <w:p>
            <w:pPr>
              <w:pStyle w:val="TableParagraph"/>
              <w:spacing w:line="147" w:lineRule="exact" w:before="1"/>
              <w:ind w:right="269"/>
              <w:jc w:val="right"/>
              <w:rPr>
                <w:sz w:val="14"/>
              </w:rPr>
            </w:pPr>
            <w:r>
              <w:rPr>
                <w:sz w:val="14"/>
              </w:rPr>
              <w:t>1,434.80</w:t>
            </w:r>
          </w:p>
        </w:tc>
        <w:tc>
          <w:tcPr>
            <w:tcW w:w="1233" w:type="dxa"/>
          </w:tcPr>
          <w:p>
            <w:pPr>
              <w:pStyle w:val="TableParagraph"/>
              <w:spacing w:line="147" w:lineRule="exact" w:before="1"/>
              <w:ind w:right="305"/>
              <w:jc w:val="right"/>
              <w:rPr>
                <w:sz w:val="14"/>
              </w:rPr>
            </w:pPr>
            <w:r>
              <w:rPr>
                <w:sz w:val="14"/>
              </w:rPr>
              <w:t>324.10</w:t>
            </w:r>
          </w:p>
        </w:tc>
        <w:tc>
          <w:tcPr>
            <w:tcW w:w="1286" w:type="dxa"/>
          </w:tcPr>
          <w:p>
            <w:pPr>
              <w:pStyle w:val="TableParagraph"/>
              <w:spacing w:line="147" w:lineRule="exact" w:before="1"/>
              <w:ind w:left="471"/>
              <w:rPr>
                <w:sz w:val="14"/>
              </w:rPr>
            </w:pPr>
            <w:r>
              <w:rPr>
                <w:sz w:val="14"/>
              </w:rPr>
              <w:t>1,982.70</w:t>
            </w:r>
          </w:p>
        </w:tc>
        <w:tc>
          <w:tcPr>
            <w:tcW w:w="1261" w:type="dxa"/>
          </w:tcPr>
          <w:p>
            <w:pPr>
              <w:pStyle w:val="TableParagraph"/>
              <w:spacing w:line="147" w:lineRule="exact" w:before="1"/>
              <w:ind w:right="356"/>
              <w:jc w:val="right"/>
              <w:rPr>
                <w:sz w:val="14"/>
              </w:rPr>
            </w:pPr>
            <w:r>
              <w:rPr>
                <w:sz w:val="14"/>
              </w:rPr>
              <w:t>311.30</w:t>
            </w:r>
          </w:p>
        </w:tc>
      </w:tr>
      <w:tr>
        <w:trPr>
          <w:trHeight w:val="167" w:hRule="atLeast"/>
        </w:trPr>
        <w:tc>
          <w:tcPr>
            <w:tcW w:w="2541" w:type="dxa"/>
          </w:tcPr>
          <w:p>
            <w:pPr>
              <w:pStyle w:val="TableParagraph"/>
              <w:spacing w:line="147" w:lineRule="exact" w:before="1"/>
              <w:ind w:left="279"/>
              <w:rPr>
                <w:sz w:val="14"/>
              </w:rPr>
            </w:pPr>
            <w:r>
              <w:rPr>
                <w:sz w:val="14"/>
              </w:rPr>
              <w:t>IDB</w:t>
            </w:r>
          </w:p>
        </w:tc>
        <w:tc>
          <w:tcPr>
            <w:tcW w:w="1185" w:type="dxa"/>
          </w:tcPr>
          <w:p>
            <w:pPr>
              <w:pStyle w:val="TableParagraph"/>
              <w:spacing w:line="147" w:lineRule="exact" w:before="1"/>
              <w:ind w:left="-13" w:right="192"/>
              <w:jc w:val="right"/>
              <w:rPr>
                <w:sz w:val="14"/>
              </w:rPr>
            </w:pPr>
            <w:r>
              <w:rPr>
                <w:w w:val="95"/>
                <w:sz w:val="14"/>
              </w:rPr>
              <w:t>16,587.12</w:t>
            </w:r>
          </w:p>
        </w:tc>
        <w:tc>
          <w:tcPr>
            <w:tcW w:w="1109" w:type="dxa"/>
          </w:tcPr>
          <w:p>
            <w:pPr>
              <w:pStyle w:val="TableParagraph"/>
              <w:spacing w:line="147" w:lineRule="exact" w:before="1"/>
              <w:ind w:left="393"/>
              <w:rPr>
                <w:sz w:val="14"/>
              </w:rPr>
            </w:pPr>
            <w:r>
              <w:rPr>
                <w:sz w:val="14"/>
              </w:rPr>
              <w:t>936.96</w:t>
            </w:r>
          </w:p>
        </w:tc>
        <w:tc>
          <w:tcPr>
            <w:tcW w:w="1186" w:type="dxa"/>
          </w:tcPr>
          <w:p>
            <w:pPr>
              <w:pStyle w:val="TableParagraph"/>
              <w:spacing w:line="147" w:lineRule="exact" w:before="1"/>
              <w:ind w:right="274"/>
              <w:jc w:val="right"/>
              <w:rPr>
                <w:sz w:val="14"/>
              </w:rPr>
            </w:pPr>
            <w:r>
              <w:rPr>
                <w:sz w:val="14"/>
              </w:rPr>
              <w:t>13,191.80</w:t>
            </w:r>
          </w:p>
        </w:tc>
        <w:tc>
          <w:tcPr>
            <w:tcW w:w="1253" w:type="dxa"/>
          </w:tcPr>
          <w:p>
            <w:pPr>
              <w:pStyle w:val="TableParagraph"/>
              <w:spacing w:line="147" w:lineRule="exact" w:before="1"/>
              <w:ind w:right="328"/>
              <w:jc w:val="right"/>
              <w:rPr>
                <w:sz w:val="14"/>
              </w:rPr>
            </w:pPr>
            <w:r>
              <w:rPr>
                <w:sz w:val="14"/>
              </w:rPr>
              <w:t>1,614.10</w:t>
            </w:r>
          </w:p>
        </w:tc>
        <w:tc>
          <w:tcPr>
            <w:tcW w:w="1243" w:type="dxa"/>
          </w:tcPr>
          <w:p>
            <w:pPr>
              <w:pStyle w:val="TableParagraph"/>
              <w:spacing w:line="147" w:lineRule="exact" w:before="1"/>
              <w:ind w:left="306"/>
              <w:rPr>
                <w:sz w:val="14"/>
              </w:rPr>
            </w:pPr>
            <w:r>
              <w:rPr>
                <w:sz w:val="14"/>
              </w:rPr>
              <w:t>13,191.80</w:t>
            </w:r>
          </w:p>
        </w:tc>
        <w:tc>
          <w:tcPr>
            <w:tcW w:w="1252" w:type="dxa"/>
          </w:tcPr>
          <w:p>
            <w:pPr>
              <w:pStyle w:val="TableParagraph"/>
              <w:spacing w:line="147" w:lineRule="exact" w:before="1"/>
              <w:ind w:left="339"/>
              <w:rPr>
                <w:sz w:val="14"/>
              </w:rPr>
            </w:pPr>
            <w:r>
              <w:rPr>
                <w:sz w:val="14"/>
              </w:rPr>
              <w:t>1,482.80</w:t>
            </w:r>
          </w:p>
        </w:tc>
        <w:tc>
          <w:tcPr>
            <w:tcW w:w="1243" w:type="dxa"/>
          </w:tcPr>
          <w:p>
            <w:pPr>
              <w:pStyle w:val="TableParagraph"/>
              <w:spacing w:line="147" w:lineRule="exact" w:before="1"/>
              <w:ind w:right="278"/>
              <w:jc w:val="right"/>
              <w:rPr>
                <w:sz w:val="14"/>
              </w:rPr>
            </w:pPr>
            <w:r>
              <w:rPr>
                <w:sz w:val="14"/>
              </w:rPr>
              <w:t>13,191.80</w:t>
            </w:r>
          </w:p>
        </w:tc>
        <w:tc>
          <w:tcPr>
            <w:tcW w:w="1233" w:type="dxa"/>
          </w:tcPr>
          <w:p>
            <w:pPr>
              <w:pStyle w:val="TableParagraph"/>
              <w:spacing w:line="147" w:lineRule="exact" w:before="1"/>
              <w:ind w:right="305"/>
              <w:jc w:val="right"/>
              <w:rPr>
                <w:sz w:val="14"/>
              </w:rPr>
            </w:pPr>
            <w:r>
              <w:rPr>
                <w:sz w:val="14"/>
              </w:rPr>
              <w:t>854.80</w:t>
            </w:r>
          </w:p>
        </w:tc>
        <w:tc>
          <w:tcPr>
            <w:tcW w:w="1286" w:type="dxa"/>
          </w:tcPr>
          <w:p>
            <w:pPr>
              <w:pStyle w:val="TableParagraph"/>
              <w:spacing w:line="147" w:lineRule="exact" w:before="1"/>
              <w:ind w:left="379"/>
              <w:rPr>
                <w:sz w:val="14"/>
              </w:rPr>
            </w:pPr>
            <w:r>
              <w:rPr>
                <w:sz w:val="14"/>
              </w:rPr>
              <w:t>12,924.00</w:t>
            </w:r>
          </w:p>
        </w:tc>
        <w:tc>
          <w:tcPr>
            <w:tcW w:w="1261" w:type="dxa"/>
          </w:tcPr>
          <w:p>
            <w:pPr>
              <w:pStyle w:val="TableParagraph"/>
              <w:spacing w:line="147" w:lineRule="exact" w:before="1"/>
              <w:ind w:right="356"/>
              <w:jc w:val="right"/>
              <w:rPr>
                <w:sz w:val="14"/>
              </w:rPr>
            </w:pPr>
            <w:r>
              <w:rPr>
                <w:sz w:val="14"/>
              </w:rPr>
              <w:t>854.80</w:t>
            </w:r>
          </w:p>
        </w:tc>
      </w:tr>
      <w:tr>
        <w:trPr>
          <w:trHeight w:val="168" w:hRule="atLeast"/>
        </w:trPr>
        <w:tc>
          <w:tcPr>
            <w:tcW w:w="2541" w:type="dxa"/>
          </w:tcPr>
          <w:p>
            <w:pPr>
              <w:pStyle w:val="TableParagraph"/>
              <w:spacing w:line="147" w:lineRule="exact" w:before="1"/>
              <w:ind w:left="278"/>
              <w:rPr>
                <w:sz w:val="14"/>
              </w:rPr>
            </w:pPr>
            <w:r>
              <w:rPr>
                <w:sz w:val="14"/>
              </w:rPr>
              <w:t>EIB/EEC</w:t>
            </w:r>
          </w:p>
        </w:tc>
        <w:tc>
          <w:tcPr>
            <w:tcW w:w="1185" w:type="dxa"/>
          </w:tcPr>
          <w:p>
            <w:pPr>
              <w:pStyle w:val="TableParagraph"/>
              <w:spacing w:line="147" w:lineRule="exact" w:before="1"/>
              <w:ind w:left="-13" w:right="176"/>
              <w:jc w:val="right"/>
              <w:rPr>
                <w:sz w:val="14"/>
              </w:rPr>
            </w:pPr>
            <w:r>
              <w:rPr>
                <w:sz w:val="14"/>
              </w:rPr>
              <w:t>623.41</w:t>
            </w:r>
          </w:p>
        </w:tc>
        <w:tc>
          <w:tcPr>
            <w:tcW w:w="1109" w:type="dxa"/>
          </w:tcPr>
          <w:p>
            <w:pPr>
              <w:pStyle w:val="TableParagraph"/>
              <w:spacing w:line="147" w:lineRule="exact" w:before="1"/>
              <w:ind w:left="258"/>
              <w:rPr>
                <w:sz w:val="14"/>
              </w:rPr>
            </w:pPr>
            <w:r>
              <w:rPr>
                <w:sz w:val="14"/>
              </w:rPr>
              <w:t>1,512.21</w:t>
            </w:r>
          </w:p>
        </w:tc>
        <w:tc>
          <w:tcPr>
            <w:tcW w:w="1186" w:type="dxa"/>
          </w:tcPr>
          <w:p>
            <w:pPr>
              <w:pStyle w:val="TableParagraph"/>
              <w:spacing w:line="147" w:lineRule="exact" w:before="1"/>
              <w:ind w:right="265"/>
              <w:jc w:val="right"/>
              <w:rPr>
                <w:sz w:val="14"/>
              </w:rPr>
            </w:pPr>
            <w:r>
              <w:rPr>
                <w:sz w:val="14"/>
              </w:rPr>
              <w:t>5,013.50</w:t>
            </w:r>
          </w:p>
        </w:tc>
        <w:tc>
          <w:tcPr>
            <w:tcW w:w="1253" w:type="dxa"/>
          </w:tcPr>
          <w:p>
            <w:pPr>
              <w:pStyle w:val="TableParagraph"/>
              <w:spacing w:line="147" w:lineRule="exact" w:before="1"/>
              <w:ind w:right="328"/>
              <w:jc w:val="right"/>
              <w:rPr>
                <w:sz w:val="14"/>
              </w:rPr>
            </w:pPr>
            <w:r>
              <w:rPr>
                <w:sz w:val="14"/>
              </w:rPr>
              <w:t>4,395.60</w:t>
            </w:r>
          </w:p>
        </w:tc>
        <w:tc>
          <w:tcPr>
            <w:tcW w:w="1243" w:type="dxa"/>
          </w:tcPr>
          <w:p>
            <w:pPr>
              <w:pStyle w:val="TableParagraph"/>
              <w:spacing w:line="147" w:lineRule="exact" w:before="1"/>
              <w:ind w:left="392"/>
              <w:rPr>
                <w:sz w:val="14"/>
              </w:rPr>
            </w:pPr>
            <w:r>
              <w:rPr>
                <w:sz w:val="14"/>
              </w:rPr>
              <w:t>5,018.40</w:t>
            </w:r>
          </w:p>
        </w:tc>
        <w:tc>
          <w:tcPr>
            <w:tcW w:w="1252" w:type="dxa"/>
          </w:tcPr>
          <w:p>
            <w:pPr>
              <w:pStyle w:val="TableParagraph"/>
              <w:spacing w:line="147" w:lineRule="exact" w:before="1"/>
              <w:ind w:left="339"/>
              <w:rPr>
                <w:sz w:val="14"/>
              </w:rPr>
            </w:pPr>
            <w:r>
              <w:rPr>
                <w:sz w:val="14"/>
              </w:rPr>
              <w:t>4,392.60</w:t>
            </w:r>
          </w:p>
        </w:tc>
        <w:tc>
          <w:tcPr>
            <w:tcW w:w="1243" w:type="dxa"/>
          </w:tcPr>
          <w:p>
            <w:pPr>
              <w:pStyle w:val="TableParagraph"/>
              <w:spacing w:line="147" w:lineRule="exact" w:before="1"/>
              <w:ind w:right="269"/>
              <w:jc w:val="right"/>
              <w:rPr>
                <w:sz w:val="14"/>
              </w:rPr>
            </w:pPr>
            <w:r>
              <w:rPr>
                <w:sz w:val="14"/>
              </w:rPr>
              <w:t>5,021.80</w:t>
            </w:r>
          </w:p>
        </w:tc>
        <w:tc>
          <w:tcPr>
            <w:tcW w:w="1233" w:type="dxa"/>
          </w:tcPr>
          <w:p>
            <w:pPr>
              <w:pStyle w:val="TableParagraph"/>
              <w:spacing w:line="147" w:lineRule="exact" w:before="1"/>
              <w:ind w:right="311"/>
              <w:jc w:val="right"/>
              <w:rPr>
                <w:sz w:val="14"/>
              </w:rPr>
            </w:pPr>
            <w:r>
              <w:rPr>
                <w:sz w:val="14"/>
              </w:rPr>
              <w:t>4,389.60</w:t>
            </w:r>
          </w:p>
        </w:tc>
        <w:tc>
          <w:tcPr>
            <w:tcW w:w="1286" w:type="dxa"/>
          </w:tcPr>
          <w:p>
            <w:pPr>
              <w:pStyle w:val="TableParagraph"/>
              <w:spacing w:line="147" w:lineRule="exact" w:before="1"/>
              <w:ind w:left="471"/>
              <w:rPr>
                <w:sz w:val="14"/>
              </w:rPr>
            </w:pPr>
            <w:r>
              <w:rPr>
                <w:sz w:val="14"/>
              </w:rPr>
              <w:t>4,968.50</w:t>
            </w:r>
          </w:p>
        </w:tc>
        <w:tc>
          <w:tcPr>
            <w:tcW w:w="1261" w:type="dxa"/>
          </w:tcPr>
          <w:p>
            <w:pPr>
              <w:pStyle w:val="TableParagraph"/>
              <w:spacing w:line="147" w:lineRule="exact" w:before="1"/>
              <w:ind w:right="362"/>
              <w:jc w:val="right"/>
              <w:rPr>
                <w:sz w:val="14"/>
              </w:rPr>
            </w:pPr>
            <w:r>
              <w:rPr>
                <w:sz w:val="14"/>
              </w:rPr>
              <w:t>4,386.50</w:t>
            </w:r>
          </w:p>
        </w:tc>
      </w:tr>
      <w:tr>
        <w:trPr>
          <w:trHeight w:val="168" w:hRule="atLeast"/>
        </w:trPr>
        <w:tc>
          <w:tcPr>
            <w:tcW w:w="2541" w:type="dxa"/>
          </w:tcPr>
          <w:p>
            <w:pPr>
              <w:pStyle w:val="TableParagraph"/>
              <w:spacing w:line="147" w:lineRule="exact" w:before="1"/>
              <w:ind w:left="279"/>
              <w:rPr>
                <w:sz w:val="14"/>
              </w:rPr>
            </w:pPr>
            <w:r>
              <w:rPr>
                <w:sz w:val="14"/>
              </w:rPr>
              <w:t>BADEA</w:t>
            </w:r>
          </w:p>
        </w:tc>
        <w:tc>
          <w:tcPr>
            <w:tcW w:w="1185" w:type="dxa"/>
          </w:tcPr>
          <w:p>
            <w:pPr>
              <w:pStyle w:val="TableParagraph"/>
              <w:spacing w:line="147" w:lineRule="exact" w:before="1"/>
              <w:ind w:left="-13" w:right="181"/>
              <w:jc w:val="right"/>
              <w:rPr>
                <w:sz w:val="14"/>
              </w:rPr>
            </w:pPr>
            <w:r>
              <w:rPr>
                <w:w w:val="95"/>
                <w:sz w:val="14"/>
              </w:rPr>
              <w:t>780.48</w:t>
            </w:r>
          </w:p>
        </w:tc>
        <w:tc>
          <w:tcPr>
            <w:tcW w:w="1109" w:type="dxa"/>
          </w:tcPr>
          <w:p>
            <w:pPr>
              <w:pStyle w:val="TableParagraph"/>
              <w:spacing w:line="147" w:lineRule="exact" w:before="1"/>
              <w:ind w:left="475"/>
              <w:rPr>
                <w:sz w:val="14"/>
              </w:rPr>
            </w:pPr>
            <w:r>
              <w:rPr>
                <w:sz w:val="14"/>
              </w:rPr>
              <w:t>70.37</w:t>
            </w:r>
          </w:p>
        </w:tc>
        <w:tc>
          <w:tcPr>
            <w:tcW w:w="1186" w:type="dxa"/>
          </w:tcPr>
          <w:p>
            <w:pPr>
              <w:pStyle w:val="TableParagraph"/>
              <w:spacing w:line="147" w:lineRule="exact" w:before="1"/>
              <w:ind w:right="265"/>
              <w:jc w:val="right"/>
              <w:rPr>
                <w:sz w:val="14"/>
              </w:rPr>
            </w:pPr>
            <w:r>
              <w:rPr>
                <w:sz w:val="14"/>
              </w:rPr>
              <w:t>1,062.00</w:t>
            </w:r>
          </w:p>
        </w:tc>
        <w:tc>
          <w:tcPr>
            <w:tcW w:w="1253" w:type="dxa"/>
          </w:tcPr>
          <w:p>
            <w:pPr>
              <w:pStyle w:val="TableParagraph"/>
              <w:spacing w:line="147" w:lineRule="exact" w:before="1"/>
              <w:ind w:right="321"/>
              <w:jc w:val="right"/>
              <w:rPr>
                <w:sz w:val="14"/>
              </w:rPr>
            </w:pPr>
            <w:r>
              <w:rPr>
                <w:sz w:val="14"/>
              </w:rPr>
              <w:t>111.80</w:t>
            </w:r>
          </w:p>
        </w:tc>
        <w:tc>
          <w:tcPr>
            <w:tcW w:w="1243" w:type="dxa"/>
          </w:tcPr>
          <w:p>
            <w:pPr>
              <w:pStyle w:val="TableParagraph"/>
              <w:spacing w:line="147" w:lineRule="exact" w:before="1"/>
              <w:ind w:left="392"/>
              <w:rPr>
                <w:sz w:val="14"/>
              </w:rPr>
            </w:pPr>
            <w:r>
              <w:rPr>
                <w:sz w:val="14"/>
              </w:rPr>
              <w:t>1,301.90</w:t>
            </w:r>
          </w:p>
        </w:tc>
        <w:tc>
          <w:tcPr>
            <w:tcW w:w="1252" w:type="dxa"/>
          </w:tcPr>
          <w:p>
            <w:pPr>
              <w:pStyle w:val="TableParagraph"/>
              <w:spacing w:line="147" w:lineRule="exact" w:before="1"/>
              <w:ind w:left="479"/>
              <w:rPr>
                <w:sz w:val="14"/>
              </w:rPr>
            </w:pPr>
            <w:r>
              <w:rPr>
                <w:sz w:val="14"/>
              </w:rPr>
              <w:t>159.60</w:t>
            </w:r>
          </w:p>
        </w:tc>
        <w:tc>
          <w:tcPr>
            <w:tcW w:w="1243" w:type="dxa"/>
          </w:tcPr>
          <w:p>
            <w:pPr>
              <w:pStyle w:val="TableParagraph"/>
              <w:spacing w:line="147" w:lineRule="exact" w:before="1"/>
              <w:ind w:right="269"/>
              <w:jc w:val="right"/>
              <w:rPr>
                <w:sz w:val="14"/>
              </w:rPr>
            </w:pPr>
            <w:r>
              <w:rPr>
                <w:sz w:val="14"/>
              </w:rPr>
              <w:t>1,873.20</w:t>
            </w:r>
          </w:p>
        </w:tc>
        <w:tc>
          <w:tcPr>
            <w:tcW w:w="1233" w:type="dxa"/>
          </w:tcPr>
          <w:p>
            <w:pPr>
              <w:pStyle w:val="TableParagraph"/>
              <w:spacing w:line="147" w:lineRule="exact" w:before="1"/>
              <w:ind w:right="305"/>
              <w:jc w:val="right"/>
              <w:rPr>
                <w:sz w:val="14"/>
              </w:rPr>
            </w:pPr>
            <w:r>
              <w:rPr>
                <w:sz w:val="14"/>
              </w:rPr>
              <w:t>169.90</w:t>
            </w:r>
          </w:p>
        </w:tc>
        <w:tc>
          <w:tcPr>
            <w:tcW w:w="1286" w:type="dxa"/>
          </w:tcPr>
          <w:p>
            <w:pPr>
              <w:pStyle w:val="TableParagraph"/>
              <w:spacing w:line="147" w:lineRule="exact" w:before="1"/>
              <w:ind w:left="471"/>
              <w:rPr>
                <w:sz w:val="14"/>
              </w:rPr>
            </w:pPr>
            <w:r>
              <w:rPr>
                <w:sz w:val="14"/>
              </w:rPr>
              <w:t>2,245.20</w:t>
            </w:r>
          </w:p>
        </w:tc>
        <w:tc>
          <w:tcPr>
            <w:tcW w:w="1261" w:type="dxa"/>
          </w:tcPr>
          <w:p>
            <w:pPr>
              <w:pStyle w:val="TableParagraph"/>
              <w:spacing w:line="147" w:lineRule="exact" w:before="1"/>
              <w:ind w:right="356"/>
              <w:jc w:val="right"/>
              <w:rPr>
                <w:sz w:val="14"/>
              </w:rPr>
            </w:pPr>
            <w:r>
              <w:rPr>
                <w:sz w:val="14"/>
              </w:rPr>
              <w:t>172.60</w:t>
            </w:r>
          </w:p>
        </w:tc>
      </w:tr>
      <w:tr>
        <w:trPr>
          <w:trHeight w:val="167" w:hRule="atLeast"/>
        </w:trPr>
        <w:tc>
          <w:tcPr>
            <w:tcW w:w="2541" w:type="dxa"/>
          </w:tcPr>
          <w:p>
            <w:pPr>
              <w:pStyle w:val="TableParagraph"/>
              <w:spacing w:line="147" w:lineRule="exact" w:before="1"/>
              <w:ind w:left="278"/>
              <w:rPr>
                <w:sz w:val="14"/>
              </w:rPr>
            </w:pPr>
            <w:r>
              <w:rPr>
                <w:sz w:val="14"/>
              </w:rPr>
              <w:t>OFID</w:t>
            </w:r>
          </w:p>
        </w:tc>
        <w:tc>
          <w:tcPr>
            <w:tcW w:w="1185" w:type="dxa"/>
          </w:tcPr>
          <w:p>
            <w:pPr>
              <w:pStyle w:val="TableParagraph"/>
              <w:spacing w:line="147" w:lineRule="exact" w:before="1"/>
              <w:ind w:left="-13" w:right="183"/>
              <w:jc w:val="right"/>
              <w:rPr>
                <w:sz w:val="14"/>
              </w:rPr>
            </w:pPr>
            <w:r>
              <w:rPr>
                <w:sz w:val="14"/>
              </w:rPr>
              <w:t>4,881.63</w:t>
            </w:r>
          </w:p>
        </w:tc>
        <w:tc>
          <w:tcPr>
            <w:tcW w:w="1109" w:type="dxa"/>
          </w:tcPr>
          <w:p>
            <w:pPr>
              <w:pStyle w:val="TableParagraph"/>
              <w:spacing w:line="147" w:lineRule="exact" w:before="1"/>
              <w:ind w:left="393"/>
              <w:rPr>
                <w:sz w:val="14"/>
              </w:rPr>
            </w:pPr>
            <w:r>
              <w:rPr>
                <w:sz w:val="14"/>
              </w:rPr>
              <w:t>984.50</w:t>
            </w:r>
          </w:p>
        </w:tc>
        <w:tc>
          <w:tcPr>
            <w:tcW w:w="1186" w:type="dxa"/>
          </w:tcPr>
          <w:p>
            <w:pPr>
              <w:pStyle w:val="TableParagraph"/>
              <w:spacing w:line="147" w:lineRule="exact" w:before="1"/>
              <w:ind w:right="265"/>
              <w:jc w:val="right"/>
              <w:rPr>
                <w:sz w:val="14"/>
              </w:rPr>
            </w:pPr>
            <w:r>
              <w:rPr>
                <w:sz w:val="14"/>
              </w:rPr>
              <w:t>6,160.70</w:t>
            </w:r>
          </w:p>
        </w:tc>
        <w:tc>
          <w:tcPr>
            <w:tcW w:w="1253" w:type="dxa"/>
          </w:tcPr>
          <w:p>
            <w:pPr>
              <w:pStyle w:val="TableParagraph"/>
              <w:spacing w:line="147" w:lineRule="exact" w:before="1"/>
              <w:ind w:right="328"/>
              <w:jc w:val="right"/>
              <w:rPr>
                <w:sz w:val="14"/>
              </w:rPr>
            </w:pPr>
            <w:r>
              <w:rPr>
                <w:sz w:val="14"/>
              </w:rPr>
              <w:t>1,057.80</w:t>
            </w:r>
          </w:p>
        </w:tc>
        <w:tc>
          <w:tcPr>
            <w:tcW w:w="1243" w:type="dxa"/>
          </w:tcPr>
          <w:p>
            <w:pPr>
              <w:pStyle w:val="TableParagraph"/>
              <w:spacing w:line="147" w:lineRule="exact" w:before="1"/>
              <w:ind w:left="392"/>
              <w:rPr>
                <w:sz w:val="14"/>
              </w:rPr>
            </w:pPr>
            <w:r>
              <w:rPr>
                <w:sz w:val="14"/>
              </w:rPr>
              <w:t>6,827.30</w:t>
            </w:r>
          </w:p>
        </w:tc>
        <w:tc>
          <w:tcPr>
            <w:tcW w:w="1252" w:type="dxa"/>
          </w:tcPr>
          <w:p>
            <w:pPr>
              <w:pStyle w:val="TableParagraph"/>
              <w:spacing w:line="147" w:lineRule="exact" w:before="1"/>
              <w:ind w:left="339"/>
              <w:rPr>
                <w:sz w:val="14"/>
              </w:rPr>
            </w:pPr>
            <w:r>
              <w:rPr>
                <w:sz w:val="14"/>
              </w:rPr>
              <w:t>1,140.40</w:t>
            </w:r>
          </w:p>
        </w:tc>
        <w:tc>
          <w:tcPr>
            <w:tcW w:w="1243" w:type="dxa"/>
          </w:tcPr>
          <w:p>
            <w:pPr>
              <w:pStyle w:val="TableParagraph"/>
              <w:spacing w:line="147" w:lineRule="exact" w:before="1"/>
              <w:ind w:right="269"/>
              <w:jc w:val="right"/>
              <w:rPr>
                <w:sz w:val="14"/>
              </w:rPr>
            </w:pPr>
            <w:r>
              <w:rPr>
                <w:sz w:val="14"/>
              </w:rPr>
              <w:t>7,704.00</w:t>
            </w:r>
          </w:p>
        </w:tc>
        <w:tc>
          <w:tcPr>
            <w:tcW w:w="1233" w:type="dxa"/>
          </w:tcPr>
          <w:p>
            <w:pPr>
              <w:pStyle w:val="TableParagraph"/>
              <w:spacing w:line="147" w:lineRule="exact" w:before="1"/>
              <w:ind w:right="311"/>
              <w:jc w:val="right"/>
              <w:rPr>
                <w:sz w:val="14"/>
              </w:rPr>
            </w:pPr>
            <w:r>
              <w:rPr>
                <w:sz w:val="14"/>
              </w:rPr>
              <w:t>1,153.70</w:t>
            </w:r>
          </w:p>
        </w:tc>
        <w:tc>
          <w:tcPr>
            <w:tcW w:w="1286" w:type="dxa"/>
          </w:tcPr>
          <w:p>
            <w:pPr>
              <w:pStyle w:val="TableParagraph"/>
              <w:spacing w:line="147" w:lineRule="exact" w:before="1"/>
              <w:ind w:left="471"/>
              <w:rPr>
                <w:sz w:val="14"/>
              </w:rPr>
            </w:pPr>
            <w:r>
              <w:rPr>
                <w:sz w:val="14"/>
              </w:rPr>
              <w:t>7,387.50</w:t>
            </w:r>
          </w:p>
        </w:tc>
        <w:tc>
          <w:tcPr>
            <w:tcW w:w="1261" w:type="dxa"/>
          </w:tcPr>
          <w:p>
            <w:pPr>
              <w:pStyle w:val="TableParagraph"/>
              <w:spacing w:line="147" w:lineRule="exact" w:before="1"/>
              <w:ind w:right="362"/>
              <w:jc w:val="right"/>
              <w:rPr>
                <w:sz w:val="14"/>
              </w:rPr>
            </w:pPr>
            <w:r>
              <w:rPr>
                <w:sz w:val="14"/>
              </w:rPr>
              <w:t>1,128.00</w:t>
            </w:r>
          </w:p>
        </w:tc>
      </w:tr>
      <w:tr>
        <w:trPr>
          <w:trHeight w:val="167" w:hRule="atLeast"/>
        </w:trPr>
        <w:tc>
          <w:tcPr>
            <w:tcW w:w="2541" w:type="dxa"/>
          </w:tcPr>
          <w:p>
            <w:pPr>
              <w:pStyle w:val="TableParagraph"/>
              <w:spacing w:line="147" w:lineRule="exact" w:before="1"/>
              <w:ind w:left="278"/>
              <w:rPr>
                <w:sz w:val="14"/>
              </w:rPr>
            </w:pPr>
            <w:r>
              <w:rPr>
                <w:sz w:val="14"/>
              </w:rPr>
              <w:t>EBID</w:t>
            </w:r>
          </w:p>
        </w:tc>
        <w:tc>
          <w:tcPr>
            <w:tcW w:w="1185" w:type="dxa"/>
          </w:tcPr>
          <w:p>
            <w:pPr>
              <w:pStyle w:val="TableParagraph"/>
              <w:spacing w:line="147" w:lineRule="exact" w:before="1"/>
              <w:ind w:left="-13" w:right="193"/>
              <w:jc w:val="right"/>
              <w:rPr>
                <w:sz w:val="14"/>
              </w:rPr>
            </w:pPr>
            <w:r>
              <w:rPr>
                <w:sz w:val="14"/>
              </w:rPr>
              <w:t>3,089.39</w:t>
            </w:r>
          </w:p>
        </w:tc>
        <w:tc>
          <w:tcPr>
            <w:tcW w:w="1109" w:type="dxa"/>
          </w:tcPr>
          <w:p>
            <w:pPr>
              <w:pStyle w:val="TableParagraph"/>
              <w:spacing w:line="147" w:lineRule="exact" w:before="1"/>
              <w:ind w:left="258"/>
              <w:rPr>
                <w:sz w:val="14"/>
              </w:rPr>
            </w:pPr>
            <w:r>
              <w:rPr>
                <w:sz w:val="14"/>
              </w:rPr>
              <w:t>1,472.30</w:t>
            </w:r>
          </w:p>
        </w:tc>
        <w:tc>
          <w:tcPr>
            <w:tcW w:w="1186" w:type="dxa"/>
          </w:tcPr>
          <w:p>
            <w:pPr>
              <w:pStyle w:val="TableParagraph"/>
              <w:spacing w:line="147" w:lineRule="exact" w:before="1"/>
              <w:ind w:right="265"/>
              <w:jc w:val="right"/>
              <w:rPr>
                <w:sz w:val="14"/>
              </w:rPr>
            </w:pPr>
            <w:r>
              <w:rPr>
                <w:sz w:val="14"/>
              </w:rPr>
              <w:t>3,629.80</w:t>
            </w:r>
          </w:p>
        </w:tc>
        <w:tc>
          <w:tcPr>
            <w:tcW w:w="1253" w:type="dxa"/>
          </w:tcPr>
          <w:p>
            <w:pPr>
              <w:pStyle w:val="TableParagraph"/>
              <w:spacing w:line="147" w:lineRule="exact" w:before="1"/>
              <w:ind w:right="328"/>
              <w:jc w:val="right"/>
              <w:rPr>
                <w:sz w:val="14"/>
              </w:rPr>
            </w:pPr>
            <w:r>
              <w:rPr>
                <w:sz w:val="14"/>
              </w:rPr>
              <w:t>1,052.10</w:t>
            </w:r>
          </w:p>
        </w:tc>
        <w:tc>
          <w:tcPr>
            <w:tcW w:w="1243" w:type="dxa"/>
          </w:tcPr>
          <w:p>
            <w:pPr>
              <w:pStyle w:val="TableParagraph"/>
              <w:spacing w:line="147" w:lineRule="exact" w:before="1"/>
              <w:ind w:left="392"/>
              <w:rPr>
                <w:sz w:val="14"/>
              </w:rPr>
            </w:pPr>
            <w:r>
              <w:rPr>
                <w:sz w:val="14"/>
              </w:rPr>
              <w:t>3,629.80</w:t>
            </w:r>
          </w:p>
        </w:tc>
        <w:tc>
          <w:tcPr>
            <w:tcW w:w="1252" w:type="dxa"/>
          </w:tcPr>
          <w:p>
            <w:pPr>
              <w:pStyle w:val="TableParagraph"/>
              <w:spacing w:line="147" w:lineRule="exact" w:before="1"/>
              <w:ind w:left="479"/>
              <w:rPr>
                <w:sz w:val="14"/>
              </w:rPr>
            </w:pPr>
            <w:r>
              <w:rPr>
                <w:sz w:val="14"/>
              </w:rPr>
              <w:t>957.20</w:t>
            </w:r>
          </w:p>
        </w:tc>
        <w:tc>
          <w:tcPr>
            <w:tcW w:w="1243" w:type="dxa"/>
          </w:tcPr>
          <w:p>
            <w:pPr>
              <w:pStyle w:val="TableParagraph"/>
              <w:spacing w:line="147" w:lineRule="exact" w:before="1"/>
              <w:ind w:right="269"/>
              <w:jc w:val="right"/>
              <w:rPr>
                <w:sz w:val="14"/>
              </w:rPr>
            </w:pPr>
            <w:r>
              <w:rPr>
                <w:sz w:val="14"/>
              </w:rPr>
              <w:t>3,629.80</w:t>
            </w:r>
          </w:p>
        </w:tc>
        <w:tc>
          <w:tcPr>
            <w:tcW w:w="1233" w:type="dxa"/>
          </w:tcPr>
          <w:p>
            <w:pPr>
              <w:pStyle w:val="TableParagraph"/>
              <w:spacing w:line="147" w:lineRule="exact" w:before="1"/>
              <w:ind w:right="305"/>
              <w:jc w:val="right"/>
              <w:rPr>
                <w:sz w:val="14"/>
              </w:rPr>
            </w:pPr>
            <w:r>
              <w:rPr>
                <w:sz w:val="14"/>
              </w:rPr>
              <w:t>857.30</w:t>
            </w:r>
          </w:p>
        </w:tc>
        <w:tc>
          <w:tcPr>
            <w:tcW w:w="1286" w:type="dxa"/>
          </w:tcPr>
          <w:p>
            <w:pPr>
              <w:pStyle w:val="TableParagraph"/>
              <w:spacing w:line="147" w:lineRule="exact" w:before="1"/>
              <w:ind w:left="471"/>
              <w:rPr>
                <w:sz w:val="14"/>
              </w:rPr>
            </w:pPr>
            <w:r>
              <w:rPr>
                <w:sz w:val="14"/>
              </w:rPr>
              <w:t>3,629.80</w:t>
            </w:r>
          </w:p>
        </w:tc>
        <w:tc>
          <w:tcPr>
            <w:tcW w:w="1261" w:type="dxa"/>
          </w:tcPr>
          <w:p>
            <w:pPr>
              <w:pStyle w:val="TableParagraph"/>
              <w:spacing w:line="147" w:lineRule="exact" w:before="1"/>
              <w:ind w:right="356"/>
              <w:jc w:val="right"/>
              <w:rPr>
                <w:sz w:val="14"/>
              </w:rPr>
            </w:pPr>
            <w:r>
              <w:rPr>
                <w:sz w:val="14"/>
              </w:rPr>
              <w:t>756.20</w:t>
            </w:r>
          </w:p>
        </w:tc>
      </w:tr>
      <w:tr>
        <w:trPr>
          <w:trHeight w:val="252" w:hRule="atLeast"/>
        </w:trPr>
        <w:tc>
          <w:tcPr>
            <w:tcW w:w="2541" w:type="dxa"/>
          </w:tcPr>
          <w:p>
            <w:pPr>
              <w:pStyle w:val="TableParagraph"/>
              <w:spacing w:before="1"/>
              <w:ind w:left="279"/>
              <w:rPr>
                <w:b/>
                <w:sz w:val="14"/>
              </w:rPr>
            </w:pPr>
            <w:r>
              <w:rPr>
                <w:b/>
                <w:sz w:val="14"/>
              </w:rPr>
              <w:t>MultilaterL Total</w:t>
            </w:r>
          </w:p>
        </w:tc>
        <w:tc>
          <w:tcPr>
            <w:tcW w:w="1185" w:type="dxa"/>
          </w:tcPr>
          <w:p>
            <w:pPr>
              <w:pStyle w:val="TableParagraph"/>
              <w:spacing w:before="1"/>
              <w:ind w:left="-13" w:right="216"/>
              <w:jc w:val="right"/>
              <w:rPr>
                <w:b/>
                <w:sz w:val="14"/>
              </w:rPr>
            </w:pPr>
            <w:r>
              <w:rPr>
                <w:b/>
                <w:sz w:val="14"/>
              </w:rPr>
              <w:t>30,041.49</w:t>
            </w:r>
          </w:p>
        </w:tc>
        <w:tc>
          <w:tcPr>
            <w:tcW w:w="1109" w:type="dxa"/>
          </w:tcPr>
          <w:p>
            <w:pPr>
              <w:pStyle w:val="TableParagraph"/>
              <w:spacing w:before="1"/>
              <w:ind w:left="254"/>
              <w:rPr>
                <w:b/>
                <w:sz w:val="14"/>
              </w:rPr>
            </w:pPr>
            <w:r>
              <w:rPr>
                <w:b/>
                <w:sz w:val="14"/>
              </w:rPr>
              <w:t>8,848.96</w:t>
            </w:r>
          </w:p>
        </w:tc>
        <w:tc>
          <w:tcPr>
            <w:tcW w:w="1186" w:type="dxa"/>
          </w:tcPr>
          <w:p>
            <w:pPr>
              <w:pStyle w:val="TableParagraph"/>
              <w:spacing w:before="1"/>
              <w:ind w:right="303"/>
              <w:jc w:val="right"/>
              <w:rPr>
                <w:b/>
                <w:sz w:val="14"/>
              </w:rPr>
            </w:pPr>
            <w:r>
              <w:rPr>
                <w:b/>
                <w:sz w:val="14"/>
              </w:rPr>
              <w:t>45,693.78</w:t>
            </w:r>
          </w:p>
        </w:tc>
        <w:tc>
          <w:tcPr>
            <w:tcW w:w="1253" w:type="dxa"/>
          </w:tcPr>
          <w:p>
            <w:pPr>
              <w:pStyle w:val="TableParagraph"/>
              <w:spacing w:before="1"/>
              <w:ind w:right="365"/>
              <w:jc w:val="right"/>
              <w:rPr>
                <w:b/>
                <w:sz w:val="14"/>
              </w:rPr>
            </w:pPr>
            <w:r>
              <w:rPr>
                <w:b/>
                <w:sz w:val="14"/>
              </w:rPr>
              <w:t>11,713.00</w:t>
            </w:r>
          </w:p>
        </w:tc>
        <w:tc>
          <w:tcPr>
            <w:tcW w:w="1243" w:type="dxa"/>
          </w:tcPr>
          <w:p>
            <w:pPr>
              <w:pStyle w:val="TableParagraph"/>
              <w:spacing w:before="1"/>
              <w:ind w:left="302"/>
              <w:rPr>
                <w:b/>
                <w:sz w:val="14"/>
              </w:rPr>
            </w:pPr>
            <w:r>
              <w:rPr>
                <w:b/>
                <w:sz w:val="14"/>
              </w:rPr>
              <w:t>55,712.15</w:t>
            </w:r>
          </w:p>
        </w:tc>
        <w:tc>
          <w:tcPr>
            <w:tcW w:w="1252" w:type="dxa"/>
          </w:tcPr>
          <w:p>
            <w:pPr>
              <w:pStyle w:val="TableParagraph"/>
              <w:spacing w:before="1"/>
              <w:ind w:left="249"/>
              <w:rPr>
                <w:b/>
                <w:sz w:val="14"/>
              </w:rPr>
            </w:pPr>
            <w:r>
              <w:rPr>
                <w:b/>
                <w:sz w:val="14"/>
              </w:rPr>
              <w:t>11,873.80</w:t>
            </w:r>
          </w:p>
        </w:tc>
        <w:tc>
          <w:tcPr>
            <w:tcW w:w="1243" w:type="dxa"/>
          </w:tcPr>
          <w:p>
            <w:pPr>
              <w:pStyle w:val="TableParagraph"/>
              <w:spacing w:before="1"/>
              <w:ind w:right="302"/>
              <w:jc w:val="right"/>
              <w:rPr>
                <w:b/>
                <w:sz w:val="14"/>
              </w:rPr>
            </w:pPr>
            <w:r>
              <w:rPr>
                <w:b/>
                <w:sz w:val="14"/>
              </w:rPr>
              <w:t>71,622.68</w:t>
            </w:r>
          </w:p>
        </w:tc>
        <w:tc>
          <w:tcPr>
            <w:tcW w:w="1233" w:type="dxa"/>
          </w:tcPr>
          <w:p>
            <w:pPr>
              <w:pStyle w:val="TableParagraph"/>
              <w:spacing w:before="1"/>
              <w:ind w:left="250"/>
              <w:rPr>
                <w:b/>
                <w:sz w:val="14"/>
              </w:rPr>
            </w:pPr>
            <w:r>
              <w:rPr>
                <w:b/>
                <w:sz w:val="14"/>
              </w:rPr>
              <w:t>11,351.00</w:t>
            </w:r>
          </w:p>
        </w:tc>
        <w:tc>
          <w:tcPr>
            <w:tcW w:w="1286" w:type="dxa"/>
          </w:tcPr>
          <w:p>
            <w:pPr>
              <w:pStyle w:val="TableParagraph"/>
              <w:spacing w:before="1"/>
              <w:ind w:left="375"/>
              <w:rPr>
                <w:b/>
                <w:sz w:val="14"/>
              </w:rPr>
            </w:pPr>
            <w:r>
              <w:rPr>
                <w:b/>
                <w:sz w:val="14"/>
              </w:rPr>
              <w:t>77,500.18</w:t>
            </w:r>
          </w:p>
        </w:tc>
        <w:tc>
          <w:tcPr>
            <w:tcW w:w="1261" w:type="dxa"/>
          </w:tcPr>
          <w:p>
            <w:pPr>
              <w:pStyle w:val="TableParagraph"/>
              <w:spacing w:before="1"/>
              <w:ind w:right="400"/>
              <w:jc w:val="right"/>
              <w:rPr>
                <w:b/>
                <w:sz w:val="14"/>
              </w:rPr>
            </w:pPr>
            <w:r>
              <w:rPr>
                <w:b/>
                <w:sz w:val="14"/>
              </w:rPr>
              <w:t>11,279.60</w:t>
            </w:r>
          </w:p>
        </w:tc>
      </w:tr>
      <w:tr>
        <w:trPr>
          <w:trHeight w:val="252" w:hRule="atLeast"/>
        </w:trPr>
        <w:tc>
          <w:tcPr>
            <w:tcW w:w="2541" w:type="dxa"/>
          </w:tcPr>
          <w:p>
            <w:pPr>
              <w:pStyle w:val="TableParagraph"/>
              <w:spacing w:line="147" w:lineRule="exact" w:before="85"/>
              <w:ind w:left="278"/>
              <w:rPr>
                <w:sz w:val="14"/>
              </w:rPr>
            </w:pPr>
            <w:r>
              <w:rPr>
                <w:sz w:val="14"/>
              </w:rPr>
              <w:t>CHINA EXIM BANK</w:t>
            </w:r>
          </w:p>
        </w:tc>
        <w:tc>
          <w:tcPr>
            <w:tcW w:w="1185" w:type="dxa"/>
          </w:tcPr>
          <w:p>
            <w:pPr>
              <w:pStyle w:val="TableParagraph"/>
              <w:spacing w:line="147" w:lineRule="exact" w:before="85"/>
              <w:ind w:left="-13" w:right="183"/>
              <w:jc w:val="right"/>
              <w:rPr>
                <w:sz w:val="14"/>
              </w:rPr>
            </w:pPr>
            <w:r>
              <w:rPr>
                <w:sz w:val="14"/>
              </w:rPr>
              <w:t>2,995.56</w:t>
            </w:r>
          </w:p>
        </w:tc>
        <w:tc>
          <w:tcPr>
            <w:tcW w:w="1109" w:type="dxa"/>
          </w:tcPr>
          <w:p>
            <w:pPr>
              <w:pStyle w:val="TableParagraph"/>
              <w:spacing w:line="147" w:lineRule="exact" w:before="85"/>
              <w:ind w:left="393"/>
              <w:rPr>
                <w:sz w:val="14"/>
              </w:rPr>
            </w:pPr>
            <w:r>
              <w:rPr>
                <w:sz w:val="14"/>
              </w:rPr>
              <w:t>686.98</w:t>
            </w:r>
          </w:p>
        </w:tc>
        <w:tc>
          <w:tcPr>
            <w:tcW w:w="1186" w:type="dxa"/>
          </w:tcPr>
          <w:p>
            <w:pPr>
              <w:pStyle w:val="TableParagraph"/>
              <w:spacing w:line="147" w:lineRule="exact" w:before="85"/>
              <w:ind w:right="265"/>
              <w:jc w:val="right"/>
              <w:rPr>
                <w:sz w:val="14"/>
              </w:rPr>
            </w:pPr>
            <w:r>
              <w:rPr>
                <w:sz w:val="14"/>
              </w:rPr>
              <w:t>3,032.10</w:t>
            </w:r>
          </w:p>
        </w:tc>
        <w:tc>
          <w:tcPr>
            <w:tcW w:w="1253" w:type="dxa"/>
          </w:tcPr>
          <w:p>
            <w:pPr>
              <w:pStyle w:val="TableParagraph"/>
              <w:spacing w:line="147" w:lineRule="exact" w:before="85"/>
              <w:ind w:right="321"/>
              <w:jc w:val="right"/>
              <w:rPr>
                <w:sz w:val="14"/>
              </w:rPr>
            </w:pPr>
            <w:r>
              <w:rPr>
                <w:sz w:val="14"/>
              </w:rPr>
              <w:t>612.70</w:t>
            </w:r>
          </w:p>
        </w:tc>
        <w:tc>
          <w:tcPr>
            <w:tcW w:w="1243" w:type="dxa"/>
          </w:tcPr>
          <w:p>
            <w:pPr>
              <w:pStyle w:val="TableParagraph"/>
              <w:spacing w:line="147" w:lineRule="exact" w:before="85"/>
              <w:ind w:left="392"/>
              <w:rPr>
                <w:sz w:val="14"/>
              </w:rPr>
            </w:pPr>
            <w:r>
              <w:rPr>
                <w:sz w:val="14"/>
              </w:rPr>
              <w:t>3,032.10</w:t>
            </w:r>
          </w:p>
        </w:tc>
        <w:tc>
          <w:tcPr>
            <w:tcW w:w="1252" w:type="dxa"/>
          </w:tcPr>
          <w:p>
            <w:pPr>
              <w:pStyle w:val="TableParagraph"/>
              <w:spacing w:line="147" w:lineRule="exact" w:before="85"/>
              <w:ind w:left="479"/>
              <w:rPr>
                <w:sz w:val="14"/>
              </w:rPr>
            </w:pPr>
            <w:r>
              <w:rPr>
                <w:sz w:val="14"/>
              </w:rPr>
              <w:t>554.60</w:t>
            </w:r>
          </w:p>
        </w:tc>
        <w:tc>
          <w:tcPr>
            <w:tcW w:w="1243" w:type="dxa"/>
          </w:tcPr>
          <w:p>
            <w:pPr>
              <w:pStyle w:val="TableParagraph"/>
              <w:spacing w:line="147" w:lineRule="exact" w:before="85"/>
              <w:ind w:right="269"/>
              <w:jc w:val="right"/>
              <w:rPr>
                <w:sz w:val="14"/>
              </w:rPr>
            </w:pPr>
            <w:r>
              <w:rPr>
                <w:sz w:val="14"/>
              </w:rPr>
              <w:t>3,032.10</w:t>
            </w:r>
          </w:p>
        </w:tc>
        <w:tc>
          <w:tcPr>
            <w:tcW w:w="1233" w:type="dxa"/>
          </w:tcPr>
          <w:p>
            <w:pPr>
              <w:pStyle w:val="TableParagraph"/>
              <w:spacing w:line="147" w:lineRule="exact" w:before="85"/>
              <w:ind w:right="305"/>
              <w:jc w:val="right"/>
              <w:rPr>
                <w:sz w:val="14"/>
              </w:rPr>
            </w:pPr>
            <w:r>
              <w:rPr>
                <w:sz w:val="14"/>
              </w:rPr>
              <w:t>496.50</w:t>
            </w:r>
          </w:p>
        </w:tc>
        <w:tc>
          <w:tcPr>
            <w:tcW w:w="1286" w:type="dxa"/>
          </w:tcPr>
          <w:p>
            <w:pPr>
              <w:pStyle w:val="TableParagraph"/>
              <w:spacing w:line="147" w:lineRule="exact" w:before="85"/>
              <w:ind w:left="471"/>
              <w:rPr>
                <w:sz w:val="14"/>
              </w:rPr>
            </w:pPr>
            <w:r>
              <w:rPr>
                <w:sz w:val="14"/>
              </w:rPr>
              <w:t>3,032.10</w:t>
            </w:r>
          </w:p>
        </w:tc>
        <w:tc>
          <w:tcPr>
            <w:tcW w:w="1261" w:type="dxa"/>
          </w:tcPr>
          <w:p>
            <w:pPr>
              <w:pStyle w:val="TableParagraph"/>
              <w:spacing w:line="147" w:lineRule="exact" w:before="85"/>
              <w:ind w:right="356"/>
              <w:jc w:val="right"/>
              <w:rPr>
                <w:sz w:val="14"/>
              </w:rPr>
            </w:pPr>
            <w:r>
              <w:rPr>
                <w:sz w:val="14"/>
              </w:rPr>
              <w:t>435.00</w:t>
            </w:r>
          </w:p>
        </w:tc>
      </w:tr>
      <w:tr>
        <w:trPr>
          <w:trHeight w:val="167" w:hRule="atLeast"/>
        </w:trPr>
        <w:tc>
          <w:tcPr>
            <w:tcW w:w="2541" w:type="dxa"/>
          </w:tcPr>
          <w:p>
            <w:pPr>
              <w:pStyle w:val="TableParagraph"/>
              <w:spacing w:line="147" w:lineRule="exact" w:before="1"/>
              <w:ind w:left="278"/>
              <w:rPr>
                <w:sz w:val="14"/>
              </w:rPr>
            </w:pPr>
            <w:r>
              <w:rPr>
                <w:sz w:val="14"/>
              </w:rPr>
              <w:t>GOVT. OF CHINA</w:t>
            </w:r>
          </w:p>
        </w:tc>
        <w:tc>
          <w:tcPr>
            <w:tcW w:w="1185" w:type="dxa"/>
          </w:tcPr>
          <w:p>
            <w:pPr>
              <w:pStyle w:val="TableParagraph"/>
              <w:spacing w:line="147" w:lineRule="exact" w:before="1"/>
              <w:ind w:left="-13" w:right="176"/>
              <w:jc w:val="right"/>
              <w:rPr>
                <w:sz w:val="14"/>
              </w:rPr>
            </w:pPr>
            <w:r>
              <w:rPr>
                <w:sz w:val="14"/>
              </w:rPr>
              <w:t>904.50</w:t>
            </w:r>
          </w:p>
        </w:tc>
        <w:tc>
          <w:tcPr>
            <w:tcW w:w="1109" w:type="dxa"/>
          </w:tcPr>
          <w:p>
            <w:pPr>
              <w:pStyle w:val="TableParagraph"/>
              <w:spacing w:line="147" w:lineRule="exact" w:before="1"/>
              <w:ind w:right="254"/>
              <w:jc w:val="right"/>
              <w:rPr>
                <w:sz w:val="14"/>
              </w:rPr>
            </w:pPr>
            <w:r>
              <w:rPr>
                <w:w w:val="99"/>
                <w:sz w:val="14"/>
              </w:rPr>
              <w:t>-</w:t>
            </w:r>
          </w:p>
        </w:tc>
        <w:tc>
          <w:tcPr>
            <w:tcW w:w="1186" w:type="dxa"/>
          </w:tcPr>
          <w:p>
            <w:pPr>
              <w:pStyle w:val="TableParagraph"/>
              <w:spacing w:line="147" w:lineRule="exact" w:before="1"/>
              <w:ind w:right="265"/>
              <w:jc w:val="right"/>
              <w:rPr>
                <w:sz w:val="14"/>
              </w:rPr>
            </w:pPr>
            <w:r>
              <w:rPr>
                <w:sz w:val="14"/>
              </w:rPr>
              <w:t>1,214.20</w:t>
            </w:r>
          </w:p>
        </w:tc>
        <w:tc>
          <w:tcPr>
            <w:tcW w:w="1253" w:type="dxa"/>
          </w:tcPr>
          <w:p>
            <w:pPr>
              <w:pStyle w:val="TableParagraph"/>
              <w:spacing w:line="147" w:lineRule="exact" w:before="1"/>
              <w:ind w:right="312"/>
              <w:jc w:val="right"/>
              <w:rPr>
                <w:sz w:val="14"/>
              </w:rPr>
            </w:pPr>
            <w:r>
              <w:rPr>
                <w:w w:val="99"/>
                <w:sz w:val="14"/>
              </w:rPr>
              <w:t>-</w:t>
            </w:r>
          </w:p>
        </w:tc>
        <w:tc>
          <w:tcPr>
            <w:tcW w:w="1243" w:type="dxa"/>
          </w:tcPr>
          <w:p>
            <w:pPr>
              <w:pStyle w:val="TableParagraph"/>
              <w:spacing w:line="147" w:lineRule="exact" w:before="1"/>
              <w:ind w:left="392"/>
              <w:rPr>
                <w:sz w:val="14"/>
              </w:rPr>
            </w:pPr>
            <w:r>
              <w:rPr>
                <w:sz w:val="14"/>
              </w:rPr>
              <w:t>1,812.60</w:t>
            </w:r>
          </w:p>
        </w:tc>
        <w:tc>
          <w:tcPr>
            <w:tcW w:w="1252" w:type="dxa"/>
          </w:tcPr>
          <w:p>
            <w:pPr>
              <w:pStyle w:val="TableParagraph"/>
              <w:spacing w:line="147" w:lineRule="exact" w:before="1"/>
              <w:ind w:right="311"/>
              <w:jc w:val="right"/>
              <w:rPr>
                <w:sz w:val="14"/>
              </w:rPr>
            </w:pPr>
            <w:r>
              <w:rPr>
                <w:w w:val="99"/>
                <w:sz w:val="14"/>
              </w:rPr>
              <w:t>-</w:t>
            </w:r>
          </w:p>
        </w:tc>
        <w:tc>
          <w:tcPr>
            <w:tcW w:w="1243" w:type="dxa"/>
          </w:tcPr>
          <w:p>
            <w:pPr>
              <w:pStyle w:val="TableParagraph"/>
              <w:spacing w:line="147" w:lineRule="exact" w:before="1"/>
              <w:ind w:right="269"/>
              <w:jc w:val="right"/>
              <w:rPr>
                <w:sz w:val="14"/>
              </w:rPr>
            </w:pPr>
            <w:r>
              <w:rPr>
                <w:sz w:val="14"/>
              </w:rPr>
              <w:t>2,120.50</w:t>
            </w:r>
          </w:p>
        </w:tc>
        <w:tc>
          <w:tcPr>
            <w:tcW w:w="1233" w:type="dxa"/>
          </w:tcPr>
          <w:p>
            <w:pPr>
              <w:pStyle w:val="TableParagraph"/>
              <w:spacing w:line="147" w:lineRule="exact" w:before="1"/>
              <w:ind w:right="291"/>
              <w:jc w:val="right"/>
              <w:rPr>
                <w:sz w:val="14"/>
              </w:rPr>
            </w:pPr>
            <w:r>
              <w:rPr>
                <w:w w:val="99"/>
                <w:sz w:val="14"/>
              </w:rPr>
              <w:t>-</w:t>
            </w:r>
          </w:p>
        </w:tc>
        <w:tc>
          <w:tcPr>
            <w:tcW w:w="1286" w:type="dxa"/>
          </w:tcPr>
          <w:p>
            <w:pPr>
              <w:pStyle w:val="TableParagraph"/>
              <w:spacing w:line="147" w:lineRule="exact" w:before="1"/>
              <w:ind w:left="471"/>
              <w:rPr>
                <w:sz w:val="14"/>
              </w:rPr>
            </w:pPr>
            <w:r>
              <w:rPr>
                <w:sz w:val="14"/>
              </w:rPr>
              <w:t>2,428.30</w:t>
            </w:r>
          </w:p>
        </w:tc>
        <w:tc>
          <w:tcPr>
            <w:tcW w:w="1261" w:type="dxa"/>
          </w:tcPr>
          <w:p>
            <w:pPr>
              <w:pStyle w:val="TableParagraph"/>
              <w:spacing w:line="147" w:lineRule="exact" w:before="1"/>
              <w:ind w:right="342"/>
              <w:jc w:val="right"/>
              <w:rPr>
                <w:sz w:val="14"/>
              </w:rPr>
            </w:pPr>
            <w:r>
              <w:rPr>
                <w:w w:val="99"/>
                <w:sz w:val="14"/>
              </w:rPr>
              <w:t>-</w:t>
            </w:r>
          </w:p>
        </w:tc>
      </w:tr>
      <w:tr>
        <w:trPr>
          <w:trHeight w:val="167" w:hRule="atLeast"/>
        </w:trPr>
        <w:tc>
          <w:tcPr>
            <w:tcW w:w="2541" w:type="dxa"/>
          </w:tcPr>
          <w:p>
            <w:pPr>
              <w:pStyle w:val="TableParagraph"/>
              <w:spacing w:line="147" w:lineRule="exact" w:before="1"/>
              <w:ind w:left="279"/>
              <w:rPr>
                <w:sz w:val="14"/>
              </w:rPr>
            </w:pPr>
            <w:r>
              <w:rPr>
                <w:sz w:val="14"/>
              </w:rPr>
              <w:t>INDIA EXIM BANK</w:t>
            </w:r>
          </w:p>
        </w:tc>
        <w:tc>
          <w:tcPr>
            <w:tcW w:w="1185" w:type="dxa"/>
          </w:tcPr>
          <w:p>
            <w:pPr>
              <w:pStyle w:val="TableParagraph"/>
              <w:spacing w:line="147" w:lineRule="exact" w:before="1"/>
              <w:ind w:left="-13" w:right="183"/>
              <w:jc w:val="right"/>
              <w:rPr>
                <w:sz w:val="14"/>
              </w:rPr>
            </w:pPr>
            <w:r>
              <w:rPr>
                <w:sz w:val="14"/>
              </w:rPr>
              <w:t>2,935.48</w:t>
            </w:r>
          </w:p>
        </w:tc>
        <w:tc>
          <w:tcPr>
            <w:tcW w:w="1109" w:type="dxa"/>
          </w:tcPr>
          <w:p>
            <w:pPr>
              <w:pStyle w:val="TableParagraph"/>
              <w:spacing w:line="147" w:lineRule="exact" w:before="1"/>
              <w:ind w:left="393"/>
              <w:rPr>
                <w:sz w:val="14"/>
              </w:rPr>
            </w:pPr>
            <w:r>
              <w:rPr>
                <w:sz w:val="14"/>
              </w:rPr>
              <w:t>594.83</w:t>
            </w:r>
          </w:p>
        </w:tc>
        <w:tc>
          <w:tcPr>
            <w:tcW w:w="1186" w:type="dxa"/>
          </w:tcPr>
          <w:p>
            <w:pPr>
              <w:pStyle w:val="TableParagraph"/>
              <w:spacing w:line="147" w:lineRule="exact" w:before="1"/>
              <w:ind w:right="265"/>
              <w:jc w:val="right"/>
              <w:rPr>
                <w:sz w:val="14"/>
              </w:rPr>
            </w:pPr>
            <w:r>
              <w:rPr>
                <w:sz w:val="14"/>
              </w:rPr>
              <w:t>2,935.50</w:t>
            </w:r>
          </w:p>
        </w:tc>
        <w:tc>
          <w:tcPr>
            <w:tcW w:w="1253" w:type="dxa"/>
          </w:tcPr>
          <w:p>
            <w:pPr>
              <w:pStyle w:val="TableParagraph"/>
              <w:spacing w:line="147" w:lineRule="exact" w:before="1"/>
              <w:ind w:right="321"/>
              <w:jc w:val="right"/>
              <w:rPr>
                <w:sz w:val="14"/>
              </w:rPr>
            </w:pPr>
            <w:r>
              <w:rPr>
                <w:sz w:val="14"/>
              </w:rPr>
              <w:t>677.40</w:t>
            </w:r>
          </w:p>
        </w:tc>
        <w:tc>
          <w:tcPr>
            <w:tcW w:w="1243" w:type="dxa"/>
          </w:tcPr>
          <w:p>
            <w:pPr>
              <w:pStyle w:val="TableParagraph"/>
              <w:spacing w:line="147" w:lineRule="exact" w:before="1"/>
              <w:ind w:left="392"/>
              <w:rPr>
                <w:sz w:val="14"/>
              </w:rPr>
            </w:pPr>
            <w:r>
              <w:rPr>
                <w:sz w:val="14"/>
              </w:rPr>
              <w:t>2,935.50</w:t>
            </w:r>
          </w:p>
        </w:tc>
        <w:tc>
          <w:tcPr>
            <w:tcW w:w="1252" w:type="dxa"/>
          </w:tcPr>
          <w:p>
            <w:pPr>
              <w:pStyle w:val="TableParagraph"/>
              <w:spacing w:line="147" w:lineRule="exact" w:before="1"/>
              <w:ind w:left="479"/>
              <w:rPr>
                <w:sz w:val="14"/>
              </w:rPr>
            </w:pPr>
            <w:r>
              <w:rPr>
                <w:sz w:val="14"/>
              </w:rPr>
              <w:t>862.00</w:t>
            </w:r>
          </w:p>
        </w:tc>
        <w:tc>
          <w:tcPr>
            <w:tcW w:w="1243" w:type="dxa"/>
          </w:tcPr>
          <w:p>
            <w:pPr>
              <w:pStyle w:val="TableParagraph"/>
              <w:spacing w:line="147" w:lineRule="exact" w:before="1"/>
              <w:ind w:right="269"/>
              <w:jc w:val="right"/>
              <w:rPr>
                <w:sz w:val="14"/>
              </w:rPr>
            </w:pPr>
            <w:r>
              <w:rPr>
                <w:sz w:val="14"/>
              </w:rPr>
              <w:t>2,935.50</w:t>
            </w:r>
          </w:p>
        </w:tc>
        <w:tc>
          <w:tcPr>
            <w:tcW w:w="1233" w:type="dxa"/>
          </w:tcPr>
          <w:p>
            <w:pPr>
              <w:pStyle w:val="TableParagraph"/>
              <w:spacing w:line="147" w:lineRule="exact" w:before="1"/>
              <w:ind w:right="311"/>
              <w:jc w:val="right"/>
              <w:rPr>
                <w:sz w:val="14"/>
              </w:rPr>
            </w:pPr>
            <w:r>
              <w:rPr>
                <w:sz w:val="14"/>
              </w:rPr>
              <w:t>1,046.00</w:t>
            </w:r>
          </w:p>
        </w:tc>
        <w:tc>
          <w:tcPr>
            <w:tcW w:w="1286" w:type="dxa"/>
          </w:tcPr>
          <w:p>
            <w:pPr>
              <w:pStyle w:val="TableParagraph"/>
              <w:spacing w:line="147" w:lineRule="exact" w:before="1"/>
              <w:ind w:left="471"/>
              <w:rPr>
                <w:sz w:val="14"/>
              </w:rPr>
            </w:pPr>
            <w:r>
              <w:rPr>
                <w:sz w:val="14"/>
              </w:rPr>
              <w:t>6,835.50</w:t>
            </w:r>
          </w:p>
        </w:tc>
        <w:tc>
          <w:tcPr>
            <w:tcW w:w="1261" w:type="dxa"/>
          </w:tcPr>
          <w:p>
            <w:pPr>
              <w:pStyle w:val="TableParagraph"/>
              <w:spacing w:line="147" w:lineRule="exact" w:before="1"/>
              <w:ind w:right="362"/>
              <w:jc w:val="right"/>
              <w:rPr>
                <w:sz w:val="14"/>
              </w:rPr>
            </w:pPr>
            <w:r>
              <w:rPr>
                <w:sz w:val="14"/>
              </w:rPr>
              <w:t>1,215.10</w:t>
            </w:r>
          </w:p>
        </w:tc>
      </w:tr>
      <w:tr>
        <w:trPr>
          <w:trHeight w:val="167" w:hRule="atLeast"/>
        </w:trPr>
        <w:tc>
          <w:tcPr>
            <w:tcW w:w="2541" w:type="dxa"/>
          </w:tcPr>
          <w:p>
            <w:pPr>
              <w:pStyle w:val="TableParagraph"/>
              <w:spacing w:line="147" w:lineRule="exact" w:before="1"/>
              <w:ind w:left="278"/>
              <w:rPr>
                <w:sz w:val="14"/>
              </w:rPr>
            </w:pPr>
            <w:r>
              <w:rPr>
                <w:sz w:val="14"/>
              </w:rPr>
              <w:t>KOREA EXIM BANK</w:t>
            </w:r>
          </w:p>
        </w:tc>
        <w:tc>
          <w:tcPr>
            <w:tcW w:w="1185" w:type="dxa"/>
          </w:tcPr>
          <w:p>
            <w:pPr>
              <w:pStyle w:val="TableParagraph"/>
              <w:spacing w:line="147" w:lineRule="exact" w:before="1"/>
              <w:ind w:right="163"/>
              <w:jc w:val="right"/>
              <w:rPr>
                <w:sz w:val="14"/>
              </w:rPr>
            </w:pPr>
            <w:r>
              <w:rPr>
                <w:w w:val="99"/>
                <w:sz w:val="14"/>
              </w:rPr>
              <w:t>-</w:t>
            </w:r>
          </w:p>
        </w:tc>
        <w:tc>
          <w:tcPr>
            <w:tcW w:w="1109" w:type="dxa"/>
          </w:tcPr>
          <w:p>
            <w:pPr>
              <w:pStyle w:val="TableParagraph"/>
              <w:spacing w:line="147" w:lineRule="exact" w:before="1"/>
              <w:ind w:left="561"/>
              <w:rPr>
                <w:sz w:val="14"/>
              </w:rPr>
            </w:pPr>
            <w:r>
              <w:rPr>
                <w:sz w:val="14"/>
              </w:rPr>
              <w:t>3.08</w:t>
            </w:r>
          </w:p>
        </w:tc>
        <w:tc>
          <w:tcPr>
            <w:tcW w:w="1186" w:type="dxa"/>
          </w:tcPr>
          <w:p>
            <w:pPr>
              <w:pStyle w:val="TableParagraph"/>
              <w:spacing w:line="147" w:lineRule="exact" w:before="1"/>
              <w:ind w:right="250"/>
              <w:jc w:val="right"/>
              <w:rPr>
                <w:sz w:val="14"/>
              </w:rPr>
            </w:pPr>
            <w:r>
              <w:rPr>
                <w:w w:val="99"/>
                <w:sz w:val="14"/>
              </w:rPr>
              <w:t>-</w:t>
            </w:r>
          </w:p>
        </w:tc>
        <w:tc>
          <w:tcPr>
            <w:tcW w:w="1253" w:type="dxa"/>
          </w:tcPr>
          <w:p>
            <w:pPr>
              <w:pStyle w:val="TableParagraph"/>
              <w:spacing w:line="147" w:lineRule="exact" w:before="1"/>
              <w:ind w:right="317"/>
              <w:jc w:val="right"/>
              <w:rPr>
                <w:sz w:val="14"/>
              </w:rPr>
            </w:pPr>
            <w:r>
              <w:rPr>
                <w:w w:val="95"/>
                <w:sz w:val="14"/>
              </w:rPr>
              <w:t>1.70</w:t>
            </w:r>
          </w:p>
        </w:tc>
        <w:tc>
          <w:tcPr>
            <w:tcW w:w="1243" w:type="dxa"/>
          </w:tcPr>
          <w:p>
            <w:pPr>
              <w:pStyle w:val="TableParagraph"/>
              <w:spacing w:line="147" w:lineRule="exact" w:before="1"/>
              <w:ind w:right="250"/>
              <w:jc w:val="right"/>
              <w:rPr>
                <w:sz w:val="14"/>
              </w:rPr>
            </w:pPr>
            <w:r>
              <w:rPr>
                <w:w w:val="99"/>
                <w:sz w:val="14"/>
              </w:rPr>
              <w:t>-</w:t>
            </w:r>
          </w:p>
        </w:tc>
        <w:tc>
          <w:tcPr>
            <w:tcW w:w="1252" w:type="dxa"/>
          </w:tcPr>
          <w:p>
            <w:pPr>
              <w:pStyle w:val="TableParagraph"/>
              <w:spacing w:line="147" w:lineRule="exact" w:before="1"/>
              <w:ind w:left="647"/>
              <w:rPr>
                <w:sz w:val="14"/>
              </w:rPr>
            </w:pPr>
            <w:r>
              <w:rPr>
                <w:sz w:val="14"/>
              </w:rPr>
              <w:t>2.40</w:t>
            </w:r>
          </w:p>
        </w:tc>
        <w:tc>
          <w:tcPr>
            <w:tcW w:w="1243" w:type="dxa"/>
          </w:tcPr>
          <w:p>
            <w:pPr>
              <w:pStyle w:val="TableParagraph"/>
              <w:spacing w:line="147" w:lineRule="exact" w:before="1"/>
              <w:ind w:right="249"/>
              <w:jc w:val="right"/>
              <w:rPr>
                <w:sz w:val="14"/>
              </w:rPr>
            </w:pPr>
            <w:r>
              <w:rPr>
                <w:w w:val="99"/>
                <w:sz w:val="14"/>
              </w:rPr>
              <w:t>-</w:t>
            </w:r>
          </w:p>
        </w:tc>
        <w:tc>
          <w:tcPr>
            <w:tcW w:w="1233" w:type="dxa"/>
          </w:tcPr>
          <w:p>
            <w:pPr>
              <w:pStyle w:val="TableParagraph"/>
              <w:spacing w:line="147" w:lineRule="exact" w:before="1"/>
              <w:ind w:right="296"/>
              <w:jc w:val="right"/>
              <w:rPr>
                <w:sz w:val="14"/>
              </w:rPr>
            </w:pPr>
            <w:r>
              <w:rPr>
                <w:w w:val="95"/>
                <w:sz w:val="14"/>
              </w:rPr>
              <w:t>3.20</w:t>
            </w:r>
          </w:p>
        </w:tc>
        <w:tc>
          <w:tcPr>
            <w:tcW w:w="1286" w:type="dxa"/>
          </w:tcPr>
          <w:p>
            <w:pPr>
              <w:pStyle w:val="TableParagraph"/>
              <w:spacing w:line="147" w:lineRule="exact" w:before="1"/>
              <w:ind w:right="219"/>
              <w:jc w:val="right"/>
              <w:rPr>
                <w:sz w:val="14"/>
              </w:rPr>
            </w:pPr>
            <w:r>
              <w:rPr>
                <w:w w:val="99"/>
                <w:sz w:val="14"/>
              </w:rPr>
              <w:t>-</w:t>
            </w:r>
          </w:p>
        </w:tc>
        <w:tc>
          <w:tcPr>
            <w:tcW w:w="1261" w:type="dxa"/>
          </w:tcPr>
          <w:p>
            <w:pPr>
              <w:pStyle w:val="TableParagraph"/>
              <w:spacing w:line="147" w:lineRule="exact" w:before="1"/>
              <w:ind w:right="352"/>
              <w:jc w:val="right"/>
              <w:rPr>
                <w:sz w:val="14"/>
              </w:rPr>
            </w:pPr>
            <w:r>
              <w:rPr>
                <w:w w:val="95"/>
                <w:sz w:val="14"/>
              </w:rPr>
              <w:t>3.90</w:t>
            </w:r>
          </w:p>
        </w:tc>
      </w:tr>
      <w:tr>
        <w:trPr>
          <w:trHeight w:val="168" w:hRule="atLeast"/>
        </w:trPr>
        <w:tc>
          <w:tcPr>
            <w:tcW w:w="2541" w:type="dxa"/>
          </w:tcPr>
          <w:p>
            <w:pPr>
              <w:pStyle w:val="TableParagraph"/>
              <w:spacing w:line="147" w:lineRule="exact" w:before="1"/>
              <w:ind w:left="278"/>
              <w:rPr>
                <w:sz w:val="14"/>
              </w:rPr>
            </w:pPr>
            <w:r>
              <w:rPr>
                <w:sz w:val="14"/>
              </w:rPr>
              <w:t>KUWAIT FUND</w:t>
            </w:r>
          </w:p>
        </w:tc>
        <w:tc>
          <w:tcPr>
            <w:tcW w:w="1185" w:type="dxa"/>
          </w:tcPr>
          <w:p>
            <w:pPr>
              <w:pStyle w:val="TableParagraph"/>
              <w:spacing w:line="147" w:lineRule="exact" w:before="1"/>
              <w:ind w:left="-13" w:right="183"/>
              <w:jc w:val="right"/>
              <w:rPr>
                <w:sz w:val="14"/>
              </w:rPr>
            </w:pPr>
            <w:r>
              <w:rPr>
                <w:sz w:val="14"/>
              </w:rPr>
              <w:t>3,242.79</w:t>
            </w:r>
          </w:p>
        </w:tc>
        <w:tc>
          <w:tcPr>
            <w:tcW w:w="1109" w:type="dxa"/>
          </w:tcPr>
          <w:p>
            <w:pPr>
              <w:pStyle w:val="TableParagraph"/>
              <w:spacing w:line="147" w:lineRule="exact" w:before="1"/>
              <w:ind w:left="258"/>
              <w:rPr>
                <w:sz w:val="14"/>
              </w:rPr>
            </w:pPr>
            <w:r>
              <w:rPr>
                <w:sz w:val="14"/>
              </w:rPr>
              <w:t>1,425.93</w:t>
            </w:r>
          </w:p>
        </w:tc>
        <w:tc>
          <w:tcPr>
            <w:tcW w:w="1186" w:type="dxa"/>
          </w:tcPr>
          <w:p>
            <w:pPr>
              <w:pStyle w:val="TableParagraph"/>
              <w:spacing w:line="147" w:lineRule="exact" w:before="1"/>
              <w:ind w:right="265"/>
              <w:jc w:val="right"/>
              <w:rPr>
                <w:sz w:val="14"/>
              </w:rPr>
            </w:pPr>
            <w:r>
              <w:rPr>
                <w:sz w:val="14"/>
              </w:rPr>
              <w:t>2,680.80</w:t>
            </w:r>
          </w:p>
        </w:tc>
        <w:tc>
          <w:tcPr>
            <w:tcW w:w="1253" w:type="dxa"/>
          </w:tcPr>
          <w:p>
            <w:pPr>
              <w:pStyle w:val="TableParagraph"/>
              <w:spacing w:line="147" w:lineRule="exact" w:before="1"/>
              <w:ind w:right="328"/>
              <w:jc w:val="right"/>
              <w:rPr>
                <w:sz w:val="14"/>
              </w:rPr>
            </w:pPr>
            <w:r>
              <w:rPr>
                <w:sz w:val="14"/>
              </w:rPr>
              <w:t>1,134.60</w:t>
            </w:r>
          </w:p>
        </w:tc>
        <w:tc>
          <w:tcPr>
            <w:tcW w:w="1243" w:type="dxa"/>
          </w:tcPr>
          <w:p>
            <w:pPr>
              <w:pStyle w:val="TableParagraph"/>
              <w:spacing w:line="147" w:lineRule="exact" w:before="1"/>
              <w:ind w:left="392"/>
              <w:rPr>
                <w:sz w:val="14"/>
              </w:rPr>
            </w:pPr>
            <w:r>
              <w:rPr>
                <w:sz w:val="14"/>
              </w:rPr>
              <w:t>4,490.50</w:t>
            </w:r>
          </w:p>
        </w:tc>
        <w:tc>
          <w:tcPr>
            <w:tcW w:w="1252" w:type="dxa"/>
          </w:tcPr>
          <w:p>
            <w:pPr>
              <w:pStyle w:val="TableParagraph"/>
              <w:spacing w:line="147" w:lineRule="exact" w:before="1"/>
              <w:ind w:left="339"/>
              <w:rPr>
                <w:sz w:val="14"/>
              </w:rPr>
            </w:pPr>
            <w:r>
              <w:rPr>
                <w:sz w:val="14"/>
              </w:rPr>
              <w:t>1,268.90</w:t>
            </w:r>
          </w:p>
        </w:tc>
        <w:tc>
          <w:tcPr>
            <w:tcW w:w="1243" w:type="dxa"/>
          </w:tcPr>
          <w:p>
            <w:pPr>
              <w:pStyle w:val="TableParagraph"/>
              <w:spacing w:line="147" w:lineRule="exact" w:before="1"/>
              <w:ind w:right="269"/>
              <w:jc w:val="right"/>
              <w:rPr>
                <w:sz w:val="14"/>
              </w:rPr>
            </w:pPr>
            <w:r>
              <w:rPr>
                <w:sz w:val="14"/>
              </w:rPr>
              <w:t>4,490.50</w:t>
            </w:r>
          </w:p>
        </w:tc>
        <w:tc>
          <w:tcPr>
            <w:tcW w:w="1233" w:type="dxa"/>
          </w:tcPr>
          <w:p>
            <w:pPr>
              <w:pStyle w:val="TableParagraph"/>
              <w:spacing w:line="147" w:lineRule="exact" w:before="1"/>
              <w:ind w:right="311"/>
              <w:jc w:val="right"/>
              <w:rPr>
                <w:sz w:val="14"/>
              </w:rPr>
            </w:pPr>
            <w:r>
              <w:rPr>
                <w:sz w:val="14"/>
              </w:rPr>
              <w:t>1,274.30</w:t>
            </w:r>
          </w:p>
        </w:tc>
        <w:tc>
          <w:tcPr>
            <w:tcW w:w="1286" w:type="dxa"/>
          </w:tcPr>
          <w:p>
            <w:pPr>
              <w:pStyle w:val="TableParagraph"/>
              <w:spacing w:line="147" w:lineRule="exact" w:before="1"/>
              <w:ind w:left="471"/>
              <w:rPr>
                <w:sz w:val="14"/>
              </w:rPr>
            </w:pPr>
            <w:r>
              <w:rPr>
                <w:sz w:val="14"/>
              </w:rPr>
              <w:t>4,490.50</w:t>
            </w:r>
          </w:p>
        </w:tc>
        <w:tc>
          <w:tcPr>
            <w:tcW w:w="1261" w:type="dxa"/>
          </w:tcPr>
          <w:p>
            <w:pPr>
              <w:pStyle w:val="TableParagraph"/>
              <w:spacing w:line="147" w:lineRule="exact" w:before="1"/>
              <w:ind w:right="362"/>
              <w:jc w:val="right"/>
              <w:rPr>
                <w:sz w:val="14"/>
              </w:rPr>
            </w:pPr>
            <w:r>
              <w:rPr>
                <w:sz w:val="14"/>
              </w:rPr>
              <w:t>1,235.40</w:t>
            </w:r>
          </w:p>
        </w:tc>
      </w:tr>
      <w:tr>
        <w:trPr>
          <w:trHeight w:val="168" w:hRule="atLeast"/>
        </w:trPr>
        <w:tc>
          <w:tcPr>
            <w:tcW w:w="2541" w:type="dxa"/>
          </w:tcPr>
          <w:p>
            <w:pPr>
              <w:pStyle w:val="TableParagraph"/>
              <w:spacing w:line="147" w:lineRule="exact" w:before="1"/>
              <w:ind w:left="278"/>
              <w:rPr>
                <w:sz w:val="14"/>
              </w:rPr>
            </w:pPr>
            <w:r>
              <w:rPr>
                <w:sz w:val="14"/>
              </w:rPr>
              <w:t>SAUDI FUND 912.08</w:t>
            </w:r>
          </w:p>
        </w:tc>
        <w:tc>
          <w:tcPr>
            <w:tcW w:w="1185" w:type="dxa"/>
          </w:tcPr>
          <w:p>
            <w:pPr>
              <w:pStyle w:val="TableParagraph"/>
              <w:spacing w:line="147" w:lineRule="exact" w:before="1"/>
              <w:ind w:left="-13" w:right="176"/>
              <w:jc w:val="right"/>
              <w:rPr>
                <w:sz w:val="14"/>
              </w:rPr>
            </w:pPr>
            <w:r>
              <w:rPr>
                <w:sz w:val="14"/>
              </w:rPr>
              <w:t>343.41</w:t>
            </w:r>
          </w:p>
        </w:tc>
        <w:tc>
          <w:tcPr>
            <w:tcW w:w="1109" w:type="dxa"/>
          </w:tcPr>
          <w:p>
            <w:pPr>
              <w:pStyle w:val="TableParagraph"/>
              <w:spacing w:line="147" w:lineRule="exact" w:before="1"/>
              <w:ind w:left="393"/>
              <w:rPr>
                <w:sz w:val="14"/>
              </w:rPr>
            </w:pPr>
            <w:r>
              <w:rPr>
                <w:sz w:val="14"/>
              </w:rPr>
              <w:t>953.10</w:t>
            </w:r>
          </w:p>
        </w:tc>
        <w:tc>
          <w:tcPr>
            <w:tcW w:w="1186" w:type="dxa"/>
          </w:tcPr>
          <w:p>
            <w:pPr>
              <w:pStyle w:val="TableParagraph"/>
              <w:spacing w:line="147" w:lineRule="exact" w:before="1"/>
              <w:ind w:right="258"/>
              <w:jc w:val="right"/>
              <w:rPr>
                <w:sz w:val="14"/>
              </w:rPr>
            </w:pPr>
            <w:r>
              <w:rPr>
                <w:sz w:val="14"/>
              </w:rPr>
              <w:t>345.20</w:t>
            </w:r>
          </w:p>
        </w:tc>
        <w:tc>
          <w:tcPr>
            <w:tcW w:w="1253" w:type="dxa"/>
          </w:tcPr>
          <w:p>
            <w:pPr>
              <w:pStyle w:val="TableParagraph"/>
              <w:spacing w:line="147" w:lineRule="exact" w:before="1"/>
              <w:ind w:right="321"/>
              <w:jc w:val="right"/>
              <w:rPr>
                <w:sz w:val="14"/>
              </w:rPr>
            </w:pPr>
            <w:r>
              <w:rPr>
                <w:sz w:val="14"/>
              </w:rPr>
              <w:t>993.10</w:t>
            </w:r>
          </w:p>
        </w:tc>
        <w:tc>
          <w:tcPr>
            <w:tcW w:w="1243" w:type="dxa"/>
          </w:tcPr>
          <w:p>
            <w:pPr>
              <w:pStyle w:val="TableParagraph"/>
              <w:spacing w:line="147" w:lineRule="exact" w:before="1"/>
              <w:ind w:left="526"/>
              <w:rPr>
                <w:sz w:val="14"/>
              </w:rPr>
            </w:pPr>
            <w:r>
              <w:rPr>
                <w:sz w:val="14"/>
              </w:rPr>
              <w:t>356.20</w:t>
            </w:r>
          </w:p>
        </w:tc>
        <w:tc>
          <w:tcPr>
            <w:tcW w:w="1252" w:type="dxa"/>
          </w:tcPr>
          <w:p>
            <w:pPr>
              <w:pStyle w:val="TableParagraph"/>
              <w:spacing w:line="147" w:lineRule="exact" w:before="1"/>
              <w:ind w:left="479"/>
              <w:rPr>
                <w:sz w:val="14"/>
              </w:rPr>
            </w:pPr>
            <w:r>
              <w:rPr>
                <w:sz w:val="14"/>
              </w:rPr>
              <w:t>993.10</w:t>
            </w:r>
          </w:p>
        </w:tc>
        <w:tc>
          <w:tcPr>
            <w:tcW w:w="1243" w:type="dxa"/>
          </w:tcPr>
          <w:p>
            <w:pPr>
              <w:pStyle w:val="TableParagraph"/>
              <w:spacing w:line="147" w:lineRule="exact" w:before="1"/>
              <w:ind w:right="262"/>
              <w:jc w:val="right"/>
              <w:rPr>
                <w:sz w:val="14"/>
              </w:rPr>
            </w:pPr>
            <w:r>
              <w:rPr>
                <w:sz w:val="14"/>
              </w:rPr>
              <w:t>367.10</w:t>
            </w:r>
          </w:p>
        </w:tc>
        <w:tc>
          <w:tcPr>
            <w:tcW w:w="1233" w:type="dxa"/>
          </w:tcPr>
          <w:p>
            <w:pPr>
              <w:pStyle w:val="TableParagraph"/>
              <w:spacing w:line="147" w:lineRule="exact" w:before="1"/>
              <w:ind w:right="305"/>
              <w:jc w:val="right"/>
              <w:rPr>
                <w:sz w:val="14"/>
              </w:rPr>
            </w:pPr>
            <w:r>
              <w:rPr>
                <w:sz w:val="14"/>
              </w:rPr>
              <w:t>993.10</w:t>
            </w:r>
          </w:p>
        </w:tc>
        <w:tc>
          <w:tcPr>
            <w:tcW w:w="1286" w:type="dxa"/>
          </w:tcPr>
          <w:p>
            <w:pPr>
              <w:pStyle w:val="TableParagraph"/>
              <w:spacing w:line="147" w:lineRule="exact" w:before="1"/>
              <w:ind w:left="605"/>
              <w:rPr>
                <w:sz w:val="14"/>
              </w:rPr>
            </w:pPr>
            <w:r>
              <w:rPr>
                <w:sz w:val="14"/>
              </w:rPr>
              <w:t>377.40</w:t>
            </w:r>
          </w:p>
        </w:tc>
        <w:tc>
          <w:tcPr>
            <w:tcW w:w="1261" w:type="dxa"/>
          </w:tcPr>
          <w:p>
            <w:pPr>
              <w:pStyle w:val="TableParagraph"/>
              <w:rPr>
                <w:rFonts w:ascii="Times New Roman"/>
                <w:sz w:val="10"/>
              </w:rPr>
            </w:pPr>
          </w:p>
        </w:tc>
      </w:tr>
      <w:tr>
        <w:trPr>
          <w:trHeight w:val="167" w:hRule="atLeast"/>
        </w:trPr>
        <w:tc>
          <w:tcPr>
            <w:tcW w:w="2541" w:type="dxa"/>
          </w:tcPr>
          <w:p>
            <w:pPr>
              <w:pStyle w:val="TableParagraph"/>
              <w:spacing w:line="147" w:lineRule="exact" w:before="1"/>
              <w:ind w:left="278"/>
              <w:rPr>
                <w:sz w:val="14"/>
              </w:rPr>
            </w:pPr>
            <w:r>
              <w:rPr>
                <w:sz w:val="14"/>
              </w:rPr>
              <w:t>ABU DHABI FUND</w:t>
            </w:r>
          </w:p>
        </w:tc>
        <w:tc>
          <w:tcPr>
            <w:tcW w:w="1185" w:type="dxa"/>
          </w:tcPr>
          <w:p>
            <w:pPr>
              <w:pStyle w:val="TableParagraph"/>
              <w:spacing w:line="147" w:lineRule="exact" w:before="1"/>
              <w:ind w:left="-13" w:right="176"/>
              <w:jc w:val="right"/>
              <w:rPr>
                <w:sz w:val="14"/>
              </w:rPr>
            </w:pPr>
            <w:r>
              <w:rPr>
                <w:sz w:val="14"/>
              </w:rPr>
              <w:t>663.16</w:t>
            </w:r>
          </w:p>
        </w:tc>
        <w:tc>
          <w:tcPr>
            <w:tcW w:w="1109" w:type="dxa"/>
          </w:tcPr>
          <w:p>
            <w:pPr>
              <w:pStyle w:val="TableParagraph"/>
              <w:spacing w:line="147" w:lineRule="exact" w:before="1"/>
              <w:ind w:left="393"/>
              <w:rPr>
                <w:sz w:val="14"/>
              </w:rPr>
            </w:pPr>
            <w:r>
              <w:rPr>
                <w:sz w:val="14"/>
              </w:rPr>
              <w:t>192.59</w:t>
            </w:r>
          </w:p>
        </w:tc>
        <w:tc>
          <w:tcPr>
            <w:tcW w:w="1186" w:type="dxa"/>
          </w:tcPr>
          <w:p>
            <w:pPr>
              <w:pStyle w:val="TableParagraph"/>
              <w:spacing w:line="147" w:lineRule="exact" w:before="1"/>
              <w:ind w:right="258"/>
              <w:jc w:val="right"/>
              <w:rPr>
                <w:sz w:val="14"/>
              </w:rPr>
            </w:pPr>
            <w:r>
              <w:rPr>
                <w:sz w:val="14"/>
              </w:rPr>
              <w:t>963.00</w:t>
            </w:r>
          </w:p>
        </w:tc>
        <w:tc>
          <w:tcPr>
            <w:tcW w:w="1253" w:type="dxa"/>
          </w:tcPr>
          <w:p>
            <w:pPr>
              <w:pStyle w:val="TableParagraph"/>
              <w:spacing w:line="147" w:lineRule="exact" w:before="1"/>
              <w:ind w:right="321"/>
              <w:jc w:val="right"/>
              <w:rPr>
                <w:sz w:val="14"/>
              </w:rPr>
            </w:pPr>
            <w:r>
              <w:rPr>
                <w:sz w:val="14"/>
              </w:rPr>
              <w:t>125.60</w:t>
            </w:r>
          </w:p>
        </w:tc>
        <w:tc>
          <w:tcPr>
            <w:tcW w:w="1243" w:type="dxa"/>
          </w:tcPr>
          <w:p>
            <w:pPr>
              <w:pStyle w:val="TableParagraph"/>
              <w:spacing w:line="147" w:lineRule="exact" w:before="1"/>
              <w:ind w:left="526"/>
              <w:rPr>
                <w:sz w:val="14"/>
              </w:rPr>
            </w:pPr>
            <w:r>
              <w:rPr>
                <w:sz w:val="14"/>
              </w:rPr>
              <w:t>963.00</w:t>
            </w:r>
          </w:p>
        </w:tc>
        <w:tc>
          <w:tcPr>
            <w:tcW w:w="1252" w:type="dxa"/>
          </w:tcPr>
          <w:p>
            <w:pPr>
              <w:pStyle w:val="TableParagraph"/>
              <w:spacing w:line="147" w:lineRule="exact" w:before="1"/>
              <w:ind w:left="479"/>
              <w:rPr>
                <w:sz w:val="14"/>
              </w:rPr>
            </w:pPr>
            <w:r>
              <w:rPr>
                <w:sz w:val="14"/>
              </w:rPr>
              <w:t>156.30</w:t>
            </w:r>
          </w:p>
        </w:tc>
        <w:tc>
          <w:tcPr>
            <w:tcW w:w="1243" w:type="dxa"/>
          </w:tcPr>
          <w:p>
            <w:pPr>
              <w:pStyle w:val="TableParagraph"/>
              <w:spacing w:line="147" w:lineRule="exact" w:before="1"/>
              <w:ind w:right="262"/>
              <w:jc w:val="right"/>
              <w:rPr>
                <w:sz w:val="14"/>
              </w:rPr>
            </w:pPr>
            <w:r>
              <w:rPr>
                <w:sz w:val="14"/>
              </w:rPr>
              <w:t>963.00</w:t>
            </w:r>
          </w:p>
        </w:tc>
        <w:tc>
          <w:tcPr>
            <w:tcW w:w="1233" w:type="dxa"/>
          </w:tcPr>
          <w:p>
            <w:pPr>
              <w:pStyle w:val="TableParagraph"/>
              <w:spacing w:line="147" w:lineRule="exact" w:before="1"/>
              <w:ind w:right="305"/>
              <w:jc w:val="right"/>
              <w:rPr>
                <w:sz w:val="14"/>
              </w:rPr>
            </w:pPr>
            <w:r>
              <w:rPr>
                <w:sz w:val="14"/>
              </w:rPr>
              <w:t>187.30</w:t>
            </w:r>
          </w:p>
        </w:tc>
        <w:tc>
          <w:tcPr>
            <w:tcW w:w="1286" w:type="dxa"/>
          </w:tcPr>
          <w:p>
            <w:pPr>
              <w:pStyle w:val="TableParagraph"/>
              <w:spacing w:line="147" w:lineRule="exact" w:before="1"/>
              <w:ind w:left="605"/>
              <w:rPr>
                <w:sz w:val="14"/>
              </w:rPr>
            </w:pPr>
            <w:r>
              <w:rPr>
                <w:sz w:val="14"/>
              </w:rPr>
              <w:t>963.00</w:t>
            </w:r>
          </w:p>
        </w:tc>
        <w:tc>
          <w:tcPr>
            <w:tcW w:w="1261" w:type="dxa"/>
          </w:tcPr>
          <w:p>
            <w:pPr>
              <w:pStyle w:val="TableParagraph"/>
              <w:spacing w:line="147" w:lineRule="exact" w:before="1"/>
              <w:ind w:right="356"/>
              <w:jc w:val="right"/>
              <w:rPr>
                <w:sz w:val="14"/>
              </w:rPr>
            </w:pPr>
            <w:r>
              <w:rPr>
                <w:sz w:val="14"/>
              </w:rPr>
              <w:t>203.10</w:t>
            </w:r>
          </w:p>
        </w:tc>
      </w:tr>
      <w:tr>
        <w:trPr>
          <w:trHeight w:val="252" w:hRule="atLeast"/>
        </w:trPr>
        <w:tc>
          <w:tcPr>
            <w:tcW w:w="2541" w:type="dxa"/>
          </w:tcPr>
          <w:p>
            <w:pPr>
              <w:pStyle w:val="TableParagraph"/>
              <w:spacing w:before="1"/>
              <w:ind w:left="278"/>
              <w:rPr>
                <w:b/>
                <w:sz w:val="14"/>
              </w:rPr>
            </w:pPr>
            <w:r>
              <w:rPr>
                <w:b/>
                <w:sz w:val="14"/>
              </w:rPr>
              <w:t>Bilateral Total</w:t>
            </w:r>
          </w:p>
        </w:tc>
        <w:tc>
          <w:tcPr>
            <w:tcW w:w="1185" w:type="dxa"/>
          </w:tcPr>
          <w:p>
            <w:pPr>
              <w:pStyle w:val="TableParagraph"/>
              <w:spacing w:before="1"/>
              <w:ind w:left="-13" w:right="216"/>
              <w:jc w:val="right"/>
              <w:rPr>
                <w:b/>
                <w:sz w:val="14"/>
              </w:rPr>
            </w:pPr>
            <w:r>
              <w:rPr>
                <w:b/>
                <w:sz w:val="14"/>
              </w:rPr>
              <w:t>11,653.57</w:t>
            </w:r>
          </w:p>
        </w:tc>
        <w:tc>
          <w:tcPr>
            <w:tcW w:w="1109" w:type="dxa"/>
          </w:tcPr>
          <w:p>
            <w:pPr>
              <w:pStyle w:val="TableParagraph"/>
              <w:spacing w:before="1"/>
              <w:ind w:left="254"/>
              <w:rPr>
                <w:b/>
                <w:sz w:val="14"/>
              </w:rPr>
            </w:pPr>
            <w:r>
              <w:rPr>
                <w:b/>
                <w:sz w:val="14"/>
              </w:rPr>
              <w:t>3,246.81</w:t>
            </w:r>
          </w:p>
        </w:tc>
        <w:tc>
          <w:tcPr>
            <w:tcW w:w="1186" w:type="dxa"/>
          </w:tcPr>
          <w:p>
            <w:pPr>
              <w:pStyle w:val="TableParagraph"/>
              <w:spacing w:before="1"/>
              <w:ind w:right="303"/>
              <w:jc w:val="right"/>
              <w:rPr>
                <w:b/>
                <w:sz w:val="14"/>
              </w:rPr>
            </w:pPr>
            <w:r>
              <w:rPr>
                <w:b/>
                <w:sz w:val="14"/>
              </w:rPr>
              <w:t>11,778.70</w:t>
            </w:r>
          </w:p>
        </w:tc>
        <w:tc>
          <w:tcPr>
            <w:tcW w:w="1253" w:type="dxa"/>
          </w:tcPr>
          <w:p>
            <w:pPr>
              <w:pStyle w:val="TableParagraph"/>
              <w:spacing w:before="1"/>
              <w:ind w:right="358"/>
              <w:jc w:val="right"/>
              <w:rPr>
                <w:b/>
                <w:sz w:val="14"/>
              </w:rPr>
            </w:pPr>
            <w:r>
              <w:rPr>
                <w:b/>
                <w:sz w:val="14"/>
              </w:rPr>
              <w:t>2,897.20</w:t>
            </w:r>
          </w:p>
        </w:tc>
        <w:tc>
          <w:tcPr>
            <w:tcW w:w="1243" w:type="dxa"/>
          </w:tcPr>
          <w:p>
            <w:pPr>
              <w:pStyle w:val="TableParagraph"/>
              <w:spacing w:before="1"/>
              <w:ind w:left="302"/>
              <w:rPr>
                <w:b/>
                <w:sz w:val="14"/>
              </w:rPr>
            </w:pPr>
            <w:r>
              <w:rPr>
                <w:b/>
                <w:sz w:val="14"/>
              </w:rPr>
              <w:t>14,226.80</w:t>
            </w:r>
          </w:p>
        </w:tc>
        <w:tc>
          <w:tcPr>
            <w:tcW w:w="1252" w:type="dxa"/>
          </w:tcPr>
          <w:p>
            <w:pPr>
              <w:pStyle w:val="TableParagraph"/>
              <w:spacing w:before="1"/>
              <w:ind w:left="340"/>
              <w:rPr>
                <w:b/>
                <w:sz w:val="14"/>
              </w:rPr>
            </w:pPr>
            <w:r>
              <w:rPr>
                <w:b/>
                <w:sz w:val="14"/>
              </w:rPr>
              <w:t>3,200.40</w:t>
            </w:r>
          </w:p>
        </w:tc>
        <w:tc>
          <w:tcPr>
            <w:tcW w:w="1243" w:type="dxa"/>
          </w:tcPr>
          <w:p>
            <w:pPr>
              <w:pStyle w:val="TableParagraph"/>
              <w:spacing w:before="1"/>
              <w:ind w:right="302"/>
              <w:jc w:val="right"/>
              <w:rPr>
                <w:b/>
                <w:sz w:val="14"/>
              </w:rPr>
            </w:pPr>
            <w:r>
              <w:rPr>
                <w:b/>
                <w:sz w:val="14"/>
              </w:rPr>
              <w:t>14,534.70</w:t>
            </w:r>
          </w:p>
        </w:tc>
        <w:tc>
          <w:tcPr>
            <w:tcW w:w="1233" w:type="dxa"/>
          </w:tcPr>
          <w:p>
            <w:pPr>
              <w:pStyle w:val="TableParagraph"/>
              <w:spacing w:before="1"/>
              <w:ind w:left="336"/>
              <w:rPr>
                <w:b/>
                <w:sz w:val="14"/>
              </w:rPr>
            </w:pPr>
            <w:r>
              <w:rPr>
                <w:b/>
                <w:sz w:val="14"/>
              </w:rPr>
              <w:t>3,374.40</w:t>
            </w:r>
          </w:p>
        </w:tc>
        <w:tc>
          <w:tcPr>
            <w:tcW w:w="1286" w:type="dxa"/>
          </w:tcPr>
          <w:p>
            <w:pPr>
              <w:pStyle w:val="TableParagraph"/>
              <w:spacing w:before="1"/>
              <w:ind w:left="375"/>
              <w:rPr>
                <w:b/>
                <w:sz w:val="14"/>
              </w:rPr>
            </w:pPr>
            <w:r>
              <w:rPr>
                <w:b/>
                <w:sz w:val="14"/>
              </w:rPr>
              <w:t>18,742.50</w:t>
            </w:r>
          </w:p>
        </w:tc>
        <w:tc>
          <w:tcPr>
            <w:tcW w:w="1261" w:type="dxa"/>
          </w:tcPr>
          <w:p>
            <w:pPr>
              <w:pStyle w:val="TableParagraph"/>
              <w:spacing w:before="1"/>
              <w:ind w:right="393"/>
              <w:jc w:val="right"/>
              <w:rPr>
                <w:b/>
                <w:sz w:val="14"/>
              </w:rPr>
            </w:pPr>
            <w:r>
              <w:rPr>
                <w:b/>
                <w:sz w:val="14"/>
              </w:rPr>
              <w:t>3,469.90</w:t>
            </w:r>
          </w:p>
        </w:tc>
      </w:tr>
      <w:tr>
        <w:trPr>
          <w:trHeight w:val="326" w:hRule="atLeast"/>
        </w:trPr>
        <w:tc>
          <w:tcPr>
            <w:tcW w:w="2541" w:type="dxa"/>
            <w:tcBorders>
              <w:bottom w:val="single" w:sz="4" w:space="0" w:color="000000"/>
            </w:tcBorders>
          </w:tcPr>
          <w:p>
            <w:pPr>
              <w:pStyle w:val="TableParagraph"/>
              <w:spacing w:before="85"/>
              <w:ind w:left="278"/>
              <w:rPr>
                <w:b/>
                <w:sz w:val="14"/>
              </w:rPr>
            </w:pPr>
            <w:r>
              <w:rPr>
                <w:b/>
                <w:sz w:val="14"/>
              </w:rPr>
              <w:t>Commercial</w:t>
            </w:r>
          </w:p>
        </w:tc>
        <w:tc>
          <w:tcPr>
            <w:tcW w:w="1185" w:type="dxa"/>
            <w:tcBorders>
              <w:bottom w:val="single" w:sz="4" w:space="0" w:color="000000"/>
            </w:tcBorders>
          </w:tcPr>
          <w:p>
            <w:pPr>
              <w:pStyle w:val="TableParagraph"/>
              <w:spacing w:before="85"/>
              <w:ind w:left="-13" w:right="211"/>
              <w:jc w:val="right"/>
              <w:rPr>
                <w:b/>
                <w:sz w:val="14"/>
              </w:rPr>
            </w:pPr>
            <w:r>
              <w:rPr>
                <w:b/>
                <w:w w:val="95"/>
                <w:sz w:val="14"/>
              </w:rPr>
              <w:t>6,500.00</w:t>
            </w:r>
          </w:p>
        </w:tc>
        <w:tc>
          <w:tcPr>
            <w:tcW w:w="1109" w:type="dxa"/>
            <w:tcBorders>
              <w:bottom w:val="single" w:sz="4" w:space="0" w:color="000000"/>
            </w:tcBorders>
          </w:tcPr>
          <w:p>
            <w:pPr>
              <w:pStyle w:val="TableParagraph"/>
              <w:spacing w:before="85"/>
              <w:ind w:right="244"/>
              <w:jc w:val="right"/>
              <w:rPr>
                <w:b/>
                <w:sz w:val="14"/>
              </w:rPr>
            </w:pPr>
            <w:r>
              <w:rPr>
                <w:b/>
                <w:w w:val="99"/>
                <w:sz w:val="14"/>
              </w:rPr>
              <w:t>-</w:t>
            </w:r>
          </w:p>
        </w:tc>
        <w:tc>
          <w:tcPr>
            <w:tcW w:w="1186" w:type="dxa"/>
            <w:tcBorders>
              <w:bottom w:val="single" w:sz="4" w:space="0" w:color="000000"/>
            </w:tcBorders>
          </w:tcPr>
          <w:p>
            <w:pPr>
              <w:pStyle w:val="TableParagraph"/>
              <w:spacing w:before="85"/>
              <w:ind w:right="296"/>
              <w:jc w:val="right"/>
              <w:rPr>
                <w:b/>
                <w:sz w:val="14"/>
              </w:rPr>
            </w:pPr>
            <w:r>
              <w:rPr>
                <w:b/>
                <w:sz w:val="14"/>
              </w:rPr>
              <w:t>7,500.00</w:t>
            </w:r>
          </w:p>
        </w:tc>
        <w:tc>
          <w:tcPr>
            <w:tcW w:w="1253" w:type="dxa"/>
            <w:tcBorders>
              <w:bottom w:val="single" w:sz="4" w:space="0" w:color="000000"/>
            </w:tcBorders>
          </w:tcPr>
          <w:p>
            <w:pPr>
              <w:pStyle w:val="TableParagraph"/>
              <w:spacing w:before="85"/>
              <w:ind w:right="303"/>
              <w:jc w:val="right"/>
              <w:rPr>
                <w:b/>
                <w:sz w:val="14"/>
              </w:rPr>
            </w:pPr>
            <w:r>
              <w:rPr>
                <w:b/>
                <w:w w:val="99"/>
                <w:sz w:val="14"/>
              </w:rPr>
              <w:t>-</w:t>
            </w:r>
          </w:p>
        </w:tc>
        <w:tc>
          <w:tcPr>
            <w:tcW w:w="1243" w:type="dxa"/>
            <w:tcBorders>
              <w:bottom w:val="single" w:sz="4" w:space="0" w:color="000000"/>
            </w:tcBorders>
          </w:tcPr>
          <w:p>
            <w:pPr>
              <w:pStyle w:val="TableParagraph"/>
              <w:spacing w:before="85"/>
              <w:ind w:left="393"/>
              <w:rPr>
                <w:b/>
                <w:sz w:val="14"/>
              </w:rPr>
            </w:pPr>
            <w:r>
              <w:rPr>
                <w:b/>
                <w:sz w:val="14"/>
              </w:rPr>
              <w:t>7,500.00</w:t>
            </w:r>
          </w:p>
        </w:tc>
        <w:tc>
          <w:tcPr>
            <w:tcW w:w="1252" w:type="dxa"/>
            <w:tcBorders>
              <w:bottom w:val="single" w:sz="4" w:space="0" w:color="000000"/>
            </w:tcBorders>
          </w:tcPr>
          <w:p>
            <w:pPr>
              <w:pStyle w:val="TableParagraph"/>
              <w:spacing w:before="85"/>
              <w:ind w:right="302"/>
              <w:jc w:val="right"/>
              <w:rPr>
                <w:b/>
                <w:sz w:val="14"/>
              </w:rPr>
            </w:pPr>
            <w:r>
              <w:rPr>
                <w:b/>
                <w:w w:val="99"/>
                <w:sz w:val="14"/>
              </w:rPr>
              <w:t>-</w:t>
            </w:r>
          </w:p>
        </w:tc>
        <w:tc>
          <w:tcPr>
            <w:tcW w:w="1243" w:type="dxa"/>
            <w:tcBorders>
              <w:bottom w:val="single" w:sz="4" w:space="0" w:color="000000"/>
            </w:tcBorders>
          </w:tcPr>
          <w:p>
            <w:pPr>
              <w:pStyle w:val="TableParagraph"/>
              <w:spacing w:before="85"/>
              <w:ind w:right="299"/>
              <w:jc w:val="right"/>
              <w:rPr>
                <w:b/>
                <w:sz w:val="14"/>
              </w:rPr>
            </w:pPr>
            <w:r>
              <w:rPr>
                <w:b/>
                <w:sz w:val="14"/>
              </w:rPr>
              <w:t>7,500.00</w:t>
            </w:r>
          </w:p>
        </w:tc>
        <w:tc>
          <w:tcPr>
            <w:tcW w:w="1233" w:type="dxa"/>
            <w:tcBorders>
              <w:bottom w:val="single" w:sz="4" w:space="0" w:color="000000"/>
            </w:tcBorders>
          </w:tcPr>
          <w:p>
            <w:pPr>
              <w:pStyle w:val="TableParagraph"/>
              <w:spacing w:before="85"/>
              <w:ind w:right="282"/>
              <w:jc w:val="right"/>
              <w:rPr>
                <w:b/>
                <w:sz w:val="14"/>
              </w:rPr>
            </w:pPr>
            <w:r>
              <w:rPr>
                <w:b/>
                <w:w w:val="99"/>
                <w:sz w:val="14"/>
              </w:rPr>
              <w:t>-</w:t>
            </w:r>
          </w:p>
        </w:tc>
        <w:tc>
          <w:tcPr>
            <w:tcW w:w="1286" w:type="dxa"/>
            <w:tcBorders>
              <w:bottom w:val="single" w:sz="4" w:space="0" w:color="000000"/>
            </w:tcBorders>
          </w:tcPr>
          <w:p>
            <w:pPr>
              <w:pStyle w:val="TableParagraph"/>
              <w:spacing w:before="85"/>
              <w:ind w:left="467"/>
              <w:rPr>
                <w:b/>
                <w:sz w:val="14"/>
              </w:rPr>
            </w:pPr>
            <w:r>
              <w:rPr>
                <w:b/>
                <w:sz w:val="14"/>
              </w:rPr>
              <w:t>7,500.00</w:t>
            </w:r>
          </w:p>
        </w:tc>
        <w:tc>
          <w:tcPr>
            <w:tcW w:w="1261" w:type="dxa"/>
            <w:tcBorders>
              <w:bottom w:val="single" w:sz="4" w:space="0" w:color="000000"/>
            </w:tcBorders>
          </w:tcPr>
          <w:p>
            <w:pPr>
              <w:pStyle w:val="TableParagraph"/>
              <w:spacing w:before="85"/>
              <w:ind w:right="347"/>
              <w:jc w:val="right"/>
              <w:rPr>
                <w:sz w:val="14"/>
              </w:rPr>
            </w:pPr>
            <w:r>
              <w:rPr>
                <w:w w:val="99"/>
                <w:sz w:val="14"/>
              </w:rPr>
              <w:t>-</w:t>
            </w:r>
          </w:p>
        </w:tc>
      </w:tr>
      <w:tr>
        <w:trPr>
          <w:trHeight w:val="273" w:hRule="atLeast"/>
        </w:trPr>
        <w:tc>
          <w:tcPr>
            <w:tcW w:w="2541" w:type="dxa"/>
            <w:tcBorders>
              <w:top w:val="single" w:sz="4" w:space="0" w:color="000000"/>
              <w:bottom w:val="single" w:sz="4" w:space="0" w:color="000000"/>
            </w:tcBorders>
          </w:tcPr>
          <w:p>
            <w:pPr>
              <w:pStyle w:val="TableParagraph"/>
              <w:spacing w:before="84"/>
              <w:ind w:left="278"/>
              <w:rPr>
                <w:b/>
                <w:sz w:val="14"/>
              </w:rPr>
            </w:pPr>
            <w:r>
              <w:rPr>
                <w:b/>
                <w:sz w:val="14"/>
              </w:rPr>
              <w:t>Grand Total</w:t>
            </w:r>
          </w:p>
        </w:tc>
        <w:tc>
          <w:tcPr>
            <w:tcW w:w="1185" w:type="dxa"/>
            <w:tcBorders>
              <w:top w:val="single" w:sz="4" w:space="0" w:color="000000"/>
              <w:bottom w:val="single" w:sz="4" w:space="0" w:color="000000"/>
            </w:tcBorders>
          </w:tcPr>
          <w:p>
            <w:pPr>
              <w:pStyle w:val="TableParagraph"/>
              <w:spacing w:before="84"/>
              <w:ind w:left="-13" w:right="216"/>
              <w:jc w:val="right"/>
              <w:rPr>
                <w:b/>
                <w:sz w:val="14"/>
              </w:rPr>
            </w:pPr>
            <w:r>
              <w:rPr>
                <w:b/>
                <w:w w:val="95"/>
                <w:sz w:val="14"/>
              </w:rPr>
              <w:t>48,195.06</w:t>
            </w:r>
          </w:p>
        </w:tc>
        <w:tc>
          <w:tcPr>
            <w:tcW w:w="1109" w:type="dxa"/>
            <w:tcBorders>
              <w:top w:val="single" w:sz="4" w:space="0" w:color="000000"/>
              <w:bottom w:val="single" w:sz="4" w:space="0" w:color="000000"/>
            </w:tcBorders>
          </w:tcPr>
          <w:p>
            <w:pPr>
              <w:pStyle w:val="TableParagraph"/>
              <w:spacing w:before="84"/>
              <w:ind w:left="163"/>
              <w:rPr>
                <w:b/>
                <w:sz w:val="14"/>
              </w:rPr>
            </w:pPr>
            <w:r>
              <w:rPr>
                <w:b/>
                <w:sz w:val="14"/>
              </w:rPr>
              <w:t>12,095.78</w:t>
            </w:r>
          </w:p>
        </w:tc>
        <w:tc>
          <w:tcPr>
            <w:tcW w:w="1186" w:type="dxa"/>
            <w:tcBorders>
              <w:top w:val="single" w:sz="4" w:space="0" w:color="000000"/>
              <w:bottom w:val="single" w:sz="4" w:space="0" w:color="000000"/>
            </w:tcBorders>
          </w:tcPr>
          <w:p>
            <w:pPr>
              <w:pStyle w:val="TableParagraph"/>
              <w:spacing w:before="84"/>
              <w:ind w:right="303"/>
              <w:jc w:val="right"/>
              <w:rPr>
                <w:b/>
                <w:sz w:val="14"/>
              </w:rPr>
            </w:pPr>
            <w:r>
              <w:rPr>
                <w:b/>
                <w:sz w:val="14"/>
              </w:rPr>
              <w:t>64,972.48</w:t>
            </w:r>
          </w:p>
        </w:tc>
        <w:tc>
          <w:tcPr>
            <w:tcW w:w="1253" w:type="dxa"/>
            <w:tcBorders>
              <w:top w:val="single" w:sz="4" w:space="0" w:color="000000"/>
              <w:bottom w:val="single" w:sz="4" w:space="0" w:color="000000"/>
            </w:tcBorders>
          </w:tcPr>
          <w:p>
            <w:pPr>
              <w:pStyle w:val="TableParagraph"/>
              <w:spacing w:before="84"/>
              <w:ind w:right="365"/>
              <w:jc w:val="right"/>
              <w:rPr>
                <w:b/>
                <w:sz w:val="14"/>
              </w:rPr>
            </w:pPr>
            <w:r>
              <w:rPr>
                <w:b/>
                <w:sz w:val="14"/>
              </w:rPr>
              <w:t>14,610.20</w:t>
            </w:r>
          </w:p>
        </w:tc>
        <w:tc>
          <w:tcPr>
            <w:tcW w:w="1243" w:type="dxa"/>
            <w:tcBorders>
              <w:top w:val="single" w:sz="4" w:space="0" w:color="000000"/>
              <w:bottom w:val="single" w:sz="4" w:space="0" w:color="000000"/>
            </w:tcBorders>
          </w:tcPr>
          <w:p>
            <w:pPr>
              <w:pStyle w:val="TableParagraph"/>
              <w:spacing w:before="84"/>
              <w:ind w:left="302"/>
              <w:rPr>
                <w:b/>
                <w:sz w:val="14"/>
              </w:rPr>
            </w:pPr>
            <w:r>
              <w:rPr>
                <w:b/>
                <w:sz w:val="14"/>
              </w:rPr>
              <w:t>77,438.95</w:t>
            </w:r>
          </w:p>
        </w:tc>
        <w:tc>
          <w:tcPr>
            <w:tcW w:w="1252" w:type="dxa"/>
            <w:tcBorders>
              <w:top w:val="single" w:sz="4" w:space="0" w:color="000000"/>
              <w:bottom w:val="single" w:sz="4" w:space="0" w:color="000000"/>
            </w:tcBorders>
          </w:tcPr>
          <w:p>
            <w:pPr>
              <w:pStyle w:val="TableParagraph"/>
              <w:spacing w:before="84"/>
              <w:ind w:left="249"/>
              <w:rPr>
                <w:b/>
                <w:sz w:val="14"/>
              </w:rPr>
            </w:pPr>
            <w:r>
              <w:rPr>
                <w:b/>
                <w:sz w:val="14"/>
              </w:rPr>
              <w:t>15,074.20</w:t>
            </w:r>
          </w:p>
        </w:tc>
        <w:tc>
          <w:tcPr>
            <w:tcW w:w="1243" w:type="dxa"/>
            <w:tcBorders>
              <w:top w:val="single" w:sz="4" w:space="0" w:color="000000"/>
              <w:bottom w:val="single" w:sz="4" w:space="0" w:color="000000"/>
            </w:tcBorders>
          </w:tcPr>
          <w:p>
            <w:pPr>
              <w:pStyle w:val="TableParagraph"/>
              <w:spacing w:before="84"/>
              <w:ind w:right="302"/>
              <w:jc w:val="right"/>
              <w:rPr>
                <w:b/>
                <w:sz w:val="14"/>
              </w:rPr>
            </w:pPr>
            <w:r>
              <w:rPr>
                <w:b/>
                <w:sz w:val="14"/>
              </w:rPr>
              <w:t>93,657.38</w:t>
            </w:r>
          </w:p>
        </w:tc>
        <w:tc>
          <w:tcPr>
            <w:tcW w:w="1233" w:type="dxa"/>
            <w:tcBorders>
              <w:top w:val="single" w:sz="4" w:space="0" w:color="000000"/>
              <w:bottom w:val="single" w:sz="4" w:space="0" w:color="000000"/>
            </w:tcBorders>
          </w:tcPr>
          <w:p>
            <w:pPr>
              <w:pStyle w:val="TableParagraph"/>
              <w:spacing w:before="84"/>
              <w:ind w:left="250"/>
              <w:rPr>
                <w:b/>
                <w:sz w:val="14"/>
              </w:rPr>
            </w:pPr>
            <w:r>
              <w:rPr>
                <w:b/>
                <w:sz w:val="14"/>
              </w:rPr>
              <w:t>14,725.40</w:t>
            </w:r>
          </w:p>
        </w:tc>
        <w:tc>
          <w:tcPr>
            <w:tcW w:w="1286" w:type="dxa"/>
            <w:tcBorders>
              <w:top w:val="single" w:sz="4" w:space="0" w:color="000000"/>
              <w:bottom w:val="single" w:sz="4" w:space="0" w:color="000000"/>
            </w:tcBorders>
          </w:tcPr>
          <w:p>
            <w:pPr>
              <w:pStyle w:val="TableParagraph"/>
              <w:spacing w:before="84"/>
              <w:ind w:left="284"/>
              <w:rPr>
                <w:b/>
                <w:sz w:val="14"/>
              </w:rPr>
            </w:pPr>
            <w:r>
              <w:rPr>
                <w:b/>
                <w:sz w:val="14"/>
              </w:rPr>
              <w:t>103,742.68</w:t>
            </w:r>
          </w:p>
        </w:tc>
        <w:tc>
          <w:tcPr>
            <w:tcW w:w="1261" w:type="dxa"/>
            <w:tcBorders>
              <w:top w:val="single" w:sz="4" w:space="0" w:color="000000"/>
              <w:bottom w:val="single" w:sz="4" w:space="0" w:color="000000"/>
            </w:tcBorders>
          </w:tcPr>
          <w:p>
            <w:pPr>
              <w:pStyle w:val="TableParagraph"/>
              <w:spacing w:before="84"/>
              <w:ind w:right="400"/>
              <w:jc w:val="right"/>
              <w:rPr>
                <w:b/>
                <w:sz w:val="14"/>
              </w:rPr>
            </w:pPr>
            <w:r>
              <w:rPr>
                <w:b/>
                <w:sz w:val="14"/>
              </w:rPr>
              <w:t>14,749.50</w:t>
            </w:r>
          </w:p>
        </w:tc>
      </w:tr>
      <w:tr>
        <w:trPr>
          <w:trHeight w:val="330" w:hRule="atLeast"/>
        </w:trPr>
        <w:tc>
          <w:tcPr>
            <w:tcW w:w="2541" w:type="dxa"/>
            <w:tcBorders>
              <w:top w:val="single" w:sz="4" w:space="0" w:color="000000"/>
              <w:bottom w:val="single" w:sz="4" w:space="0" w:color="000000"/>
            </w:tcBorders>
          </w:tcPr>
          <w:p>
            <w:pPr>
              <w:pStyle w:val="TableParagraph"/>
              <w:spacing w:before="137"/>
              <w:ind w:left="278"/>
              <w:rPr>
                <w:b/>
                <w:sz w:val="14"/>
              </w:rPr>
            </w:pPr>
            <w:r>
              <w:rPr>
                <w:b/>
                <w:sz w:val="14"/>
              </w:rPr>
              <w:t>Grand Total (Excluding IMF Prin</w:t>
            </w:r>
          </w:p>
        </w:tc>
        <w:tc>
          <w:tcPr>
            <w:tcW w:w="1185" w:type="dxa"/>
            <w:tcBorders>
              <w:top w:val="single" w:sz="4" w:space="0" w:color="000000"/>
              <w:bottom w:val="single" w:sz="4" w:space="0" w:color="000000"/>
            </w:tcBorders>
          </w:tcPr>
          <w:p>
            <w:pPr>
              <w:pStyle w:val="TableParagraph"/>
              <w:tabs>
                <w:tab w:pos="280" w:val="left" w:leader="none"/>
              </w:tabs>
              <w:spacing w:before="137"/>
              <w:ind w:right="216"/>
              <w:jc w:val="right"/>
              <w:rPr>
                <w:b/>
                <w:sz w:val="14"/>
              </w:rPr>
            </w:pPr>
            <w:r>
              <w:rPr>
                <w:b/>
                <w:sz w:val="14"/>
              </w:rPr>
              <w:t>)</w:t>
              <w:tab/>
              <w:t>48,195.06</w:t>
            </w:r>
          </w:p>
        </w:tc>
        <w:tc>
          <w:tcPr>
            <w:tcW w:w="1109" w:type="dxa"/>
            <w:tcBorders>
              <w:top w:val="single" w:sz="4" w:space="0" w:color="000000"/>
              <w:bottom w:val="single" w:sz="4" w:space="0" w:color="000000"/>
            </w:tcBorders>
          </w:tcPr>
          <w:p>
            <w:pPr>
              <w:pStyle w:val="TableParagraph"/>
              <w:spacing w:before="137"/>
              <w:ind w:left="163"/>
              <w:rPr>
                <w:b/>
                <w:sz w:val="14"/>
              </w:rPr>
            </w:pPr>
            <w:r>
              <w:rPr>
                <w:b/>
                <w:sz w:val="14"/>
              </w:rPr>
              <w:t>12,095.78</w:t>
            </w:r>
          </w:p>
        </w:tc>
        <w:tc>
          <w:tcPr>
            <w:tcW w:w="1186" w:type="dxa"/>
            <w:tcBorders>
              <w:top w:val="single" w:sz="4" w:space="0" w:color="000000"/>
              <w:bottom w:val="single" w:sz="4" w:space="0" w:color="000000"/>
            </w:tcBorders>
          </w:tcPr>
          <w:p>
            <w:pPr>
              <w:pStyle w:val="TableParagraph"/>
              <w:spacing w:before="137"/>
              <w:ind w:right="303"/>
              <w:jc w:val="right"/>
              <w:rPr>
                <w:b/>
                <w:sz w:val="14"/>
              </w:rPr>
            </w:pPr>
            <w:r>
              <w:rPr>
                <w:b/>
                <w:sz w:val="14"/>
              </w:rPr>
              <w:t>54,146.20</w:t>
            </w:r>
          </w:p>
        </w:tc>
        <w:tc>
          <w:tcPr>
            <w:tcW w:w="1253" w:type="dxa"/>
            <w:tcBorders>
              <w:top w:val="single" w:sz="4" w:space="0" w:color="000000"/>
              <w:bottom w:val="single" w:sz="4" w:space="0" w:color="000000"/>
            </w:tcBorders>
          </w:tcPr>
          <w:p>
            <w:pPr>
              <w:pStyle w:val="TableParagraph"/>
              <w:spacing w:before="137"/>
              <w:ind w:right="365"/>
              <w:jc w:val="right"/>
              <w:rPr>
                <w:b/>
                <w:sz w:val="14"/>
              </w:rPr>
            </w:pPr>
            <w:r>
              <w:rPr>
                <w:b/>
                <w:sz w:val="14"/>
              </w:rPr>
              <w:t>14,610.20</w:t>
            </w:r>
          </w:p>
        </w:tc>
        <w:tc>
          <w:tcPr>
            <w:tcW w:w="1243" w:type="dxa"/>
            <w:tcBorders>
              <w:top w:val="single" w:sz="4" w:space="0" w:color="000000"/>
              <w:bottom w:val="single" w:sz="4" w:space="0" w:color="000000"/>
            </w:tcBorders>
          </w:tcPr>
          <w:p>
            <w:pPr>
              <w:pStyle w:val="TableParagraph"/>
              <w:spacing w:before="137"/>
              <w:ind w:left="302"/>
              <w:rPr>
                <w:b/>
                <w:sz w:val="14"/>
              </w:rPr>
            </w:pPr>
            <w:r>
              <w:rPr>
                <w:b/>
                <w:sz w:val="14"/>
              </w:rPr>
              <w:t>58,673.40</w:t>
            </w:r>
          </w:p>
        </w:tc>
        <w:tc>
          <w:tcPr>
            <w:tcW w:w="1252" w:type="dxa"/>
            <w:tcBorders>
              <w:top w:val="single" w:sz="4" w:space="0" w:color="000000"/>
              <w:bottom w:val="single" w:sz="4" w:space="0" w:color="000000"/>
            </w:tcBorders>
          </w:tcPr>
          <w:p>
            <w:pPr>
              <w:pStyle w:val="TableParagraph"/>
              <w:spacing w:before="137"/>
              <w:ind w:left="249"/>
              <w:rPr>
                <w:b/>
                <w:sz w:val="14"/>
              </w:rPr>
            </w:pPr>
            <w:r>
              <w:rPr>
                <w:b/>
                <w:sz w:val="14"/>
              </w:rPr>
              <w:t>15,074.20</w:t>
            </w:r>
          </w:p>
        </w:tc>
        <w:tc>
          <w:tcPr>
            <w:tcW w:w="1243" w:type="dxa"/>
            <w:tcBorders>
              <w:top w:val="single" w:sz="4" w:space="0" w:color="000000"/>
              <w:bottom w:val="single" w:sz="4" w:space="0" w:color="000000"/>
            </w:tcBorders>
          </w:tcPr>
          <w:p>
            <w:pPr>
              <w:pStyle w:val="TableParagraph"/>
              <w:spacing w:before="137"/>
              <w:ind w:right="302"/>
              <w:jc w:val="right"/>
              <w:rPr>
                <w:b/>
                <w:sz w:val="14"/>
              </w:rPr>
            </w:pPr>
            <w:r>
              <w:rPr>
                <w:b/>
                <w:sz w:val="14"/>
              </w:rPr>
              <w:t>63,098.80</w:t>
            </w:r>
          </w:p>
        </w:tc>
        <w:tc>
          <w:tcPr>
            <w:tcW w:w="1233" w:type="dxa"/>
            <w:tcBorders>
              <w:top w:val="single" w:sz="4" w:space="0" w:color="000000"/>
              <w:bottom w:val="single" w:sz="4" w:space="0" w:color="000000"/>
            </w:tcBorders>
          </w:tcPr>
          <w:p>
            <w:pPr>
              <w:pStyle w:val="TableParagraph"/>
              <w:spacing w:before="137"/>
              <w:ind w:left="250"/>
              <w:rPr>
                <w:b/>
                <w:sz w:val="14"/>
              </w:rPr>
            </w:pPr>
            <w:r>
              <w:rPr>
                <w:b/>
                <w:sz w:val="14"/>
              </w:rPr>
              <w:t>14,725.40</w:t>
            </w:r>
          </w:p>
        </w:tc>
        <w:tc>
          <w:tcPr>
            <w:tcW w:w="1286" w:type="dxa"/>
            <w:tcBorders>
              <w:top w:val="single" w:sz="4" w:space="0" w:color="000000"/>
              <w:bottom w:val="single" w:sz="4" w:space="0" w:color="000000"/>
            </w:tcBorders>
          </w:tcPr>
          <w:p>
            <w:pPr>
              <w:pStyle w:val="TableParagraph"/>
              <w:spacing w:before="137"/>
              <w:ind w:left="375"/>
              <w:rPr>
                <w:b/>
                <w:sz w:val="14"/>
              </w:rPr>
            </w:pPr>
            <w:r>
              <w:rPr>
                <w:b/>
                <w:sz w:val="14"/>
              </w:rPr>
              <w:t>70,052.10</w:t>
            </w:r>
          </w:p>
        </w:tc>
        <w:tc>
          <w:tcPr>
            <w:tcW w:w="1261" w:type="dxa"/>
            <w:tcBorders>
              <w:top w:val="single" w:sz="4" w:space="0" w:color="000000"/>
              <w:bottom w:val="single" w:sz="4" w:space="0" w:color="000000"/>
            </w:tcBorders>
          </w:tcPr>
          <w:p>
            <w:pPr>
              <w:pStyle w:val="TableParagraph"/>
              <w:spacing w:before="137"/>
              <w:ind w:right="400"/>
              <w:jc w:val="right"/>
              <w:rPr>
                <w:b/>
                <w:sz w:val="14"/>
              </w:rPr>
            </w:pPr>
            <w:r>
              <w:rPr>
                <w:b/>
                <w:sz w:val="14"/>
              </w:rPr>
              <w:t>14,749.50</w:t>
            </w:r>
          </w:p>
        </w:tc>
      </w:tr>
    </w:tbl>
    <w:p>
      <w:pPr>
        <w:spacing w:before="128"/>
        <w:ind w:left="137" w:right="0" w:firstLine="0"/>
        <w:jc w:val="left"/>
        <w:rPr>
          <w:rFonts w:ascii="Arial"/>
          <w:b/>
          <w:sz w:val="14"/>
        </w:rPr>
      </w:pPr>
      <w:r>
        <w:rPr>
          <w:rFonts w:ascii="Arial"/>
          <w:b/>
          <w:i/>
          <w:sz w:val="14"/>
        </w:rPr>
        <w:t>Prepared By: PDMD Oct 2019 </w:t>
      </w:r>
      <w:r>
        <w:rPr>
          <w:rFonts w:ascii="Arial"/>
          <w:b/>
          <w:sz w:val="14"/>
        </w:rPr>
        <w:t>.</w:t>
      </w:r>
    </w:p>
    <w:p>
      <w:pPr>
        <w:spacing w:after="0"/>
        <w:jc w:val="left"/>
        <w:rPr>
          <w:rFonts w:ascii="Arial"/>
          <w:sz w:val="14"/>
        </w:rPr>
        <w:sectPr>
          <w:headerReference w:type="default" r:id="rId24"/>
          <w:pgSz w:w="16840" w:h="11900" w:orient="landscape"/>
          <w:pgMar w:header="0" w:footer="0" w:top="1060" w:bottom="280" w:left="880" w:right="920"/>
        </w:sectPr>
      </w:pPr>
    </w:p>
    <w:p>
      <w:pPr>
        <w:spacing w:before="83"/>
        <w:ind w:left="656" w:right="154" w:firstLine="0"/>
        <w:jc w:val="center"/>
        <w:rPr>
          <w:rFonts w:ascii="Arial"/>
          <w:b/>
          <w:sz w:val="17"/>
        </w:rPr>
      </w:pPr>
      <w:r>
        <w:rPr/>
        <w:pict>
          <v:shape style="position:absolute;margin-left:27.140491pt;margin-top:288.998932pt;width:14.35pt;height:13.25pt;mso-position-horizontal-relative:page;mso-position-vertical-relative:page;z-index:3088" type="#_x0000_t202" filled="false" stroked="false">
            <v:textbox inset="0,0,0,0" style="layout-flow:vertical">
              <w:txbxContent>
                <w:p>
                  <w:pPr>
                    <w:spacing w:before="13"/>
                    <w:ind w:left="20" w:right="0" w:firstLine="0"/>
                    <w:jc w:val="left"/>
                    <w:rPr>
                      <w:rFonts w:ascii="Arial"/>
                      <w:sz w:val="22"/>
                    </w:rPr>
                  </w:pPr>
                  <w:r>
                    <w:rPr>
                      <w:rFonts w:ascii="Arial"/>
                      <w:sz w:val="22"/>
                    </w:rPr>
                    <w:t>liii</w:t>
                  </w:r>
                </w:p>
              </w:txbxContent>
            </v:textbox>
            <w10:wrap type="none"/>
          </v:shape>
        </w:pict>
      </w:r>
      <w:r>
        <w:rPr>
          <w:rFonts w:ascii="Arial"/>
          <w:b/>
          <w:w w:val="105"/>
          <w:sz w:val="17"/>
        </w:rPr>
        <w:t>GOVERNMENT  OF  SIERRA LEONE</w:t>
      </w:r>
    </w:p>
    <w:p>
      <w:pPr>
        <w:pStyle w:val="BodyText"/>
        <w:spacing w:before="6"/>
        <w:rPr>
          <w:rFonts w:ascii="Arial"/>
          <w:b/>
          <w:sz w:val="20"/>
        </w:rPr>
      </w:pPr>
    </w:p>
    <w:p>
      <w:pPr>
        <w:spacing w:before="0"/>
        <w:ind w:left="4136" w:right="0" w:firstLine="0"/>
        <w:jc w:val="left"/>
        <w:rPr>
          <w:rFonts w:ascii="Arial"/>
          <w:b/>
          <w:sz w:val="17"/>
        </w:rPr>
      </w:pPr>
      <w:r>
        <w:rPr>
          <w:rFonts w:ascii="Arial"/>
          <w:b/>
          <w:w w:val="105"/>
          <w:sz w:val="17"/>
        </w:rPr>
        <w:t>ANNEX 14B -PROJECTED EXTERNAL DEBT STOCK, JUN-2019 TO 2023</w:t>
      </w:r>
    </w:p>
    <w:p>
      <w:pPr>
        <w:pStyle w:val="BodyText"/>
        <w:rPr>
          <w:rFonts w:ascii="Arial"/>
          <w:b/>
          <w:sz w:val="20"/>
        </w:rPr>
      </w:pPr>
    </w:p>
    <w:p>
      <w:pPr>
        <w:pStyle w:val="BodyText"/>
        <w:spacing w:before="4"/>
        <w:rPr>
          <w:rFonts w:ascii="Arial"/>
          <w:b/>
          <w:sz w:val="19"/>
        </w:rPr>
      </w:pPr>
    </w:p>
    <w:p>
      <w:pPr>
        <w:spacing w:before="0"/>
        <w:ind w:left="138" w:right="0" w:firstLine="0"/>
        <w:jc w:val="left"/>
        <w:rPr>
          <w:rFonts w:ascii="Arial"/>
          <w:b/>
          <w:sz w:val="17"/>
        </w:rPr>
      </w:pPr>
      <w:r>
        <w:rPr>
          <w:rFonts w:ascii="Arial"/>
          <w:b/>
          <w:w w:val="105"/>
          <w:sz w:val="17"/>
        </w:rPr>
        <w:t>In Million US$</w:t>
      </w:r>
    </w:p>
    <w:p>
      <w:pPr>
        <w:pStyle w:val="BodyText"/>
        <w:rPr>
          <w:rFonts w:ascii="Arial"/>
          <w:b/>
          <w:sz w:val="20"/>
        </w:rPr>
      </w:pPr>
    </w:p>
    <w:p>
      <w:pPr>
        <w:pStyle w:val="BodyText"/>
        <w:spacing w:before="4"/>
        <w:rPr>
          <w:rFonts w:ascii="Arial"/>
          <w:b/>
          <w:sz w:val="19"/>
        </w:rPr>
      </w:pPr>
      <w:r>
        <w:rPr/>
        <w:pict>
          <v:line style="position:absolute;mso-position-horizontal-relative:page;mso-position-vertical-relative:paragraph;z-index:1016;mso-wrap-distance-left:0;mso-wrap-distance-right:0" from="51.360001pt,14.206347pt" to="790.320001pt,14.206347pt" stroked="true" strokeweight="2.16pt" strokecolor="#000000">
            <v:stroke dashstyle="solid"/>
            <w10:wrap type="topAndBottom"/>
          </v:line>
        </w:pict>
      </w:r>
    </w:p>
    <w:p>
      <w:pPr>
        <w:pStyle w:val="BodyText"/>
        <w:rPr>
          <w:rFonts w:ascii="Arial"/>
          <w:b/>
          <w:sz w:val="7"/>
        </w:rPr>
      </w:pPr>
    </w:p>
    <w:p>
      <w:pPr>
        <w:tabs>
          <w:tab w:pos="6743" w:val="left" w:leader="none"/>
          <w:tab w:pos="8403" w:val="left" w:leader="none"/>
          <w:tab w:pos="9992" w:val="left" w:leader="none"/>
          <w:tab w:pos="11293" w:val="left" w:leader="none"/>
          <w:tab w:pos="13051" w:val="right" w:leader="none"/>
        </w:tabs>
        <w:spacing w:before="94"/>
        <w:ind w:left="1558" w:right="0" w:firstLine="0"/>
        <w:jc w:val="left"/>
        <w:rPr>
          <w:rFonts w:ascii="Arial"/>
          <w:sz w:val="14"/>
        </w:rPr>
      </w:pPr>
      <w:r>
        <w:rPr>
          <w:rFonts w:ascii="Arial"/>
          <w:spacing w:val="3"/>
          <w:sz w:val="14"/>
        </w:rPr>
        <w:t>Creditor</w:t>
        <w:tab/>
      </w:r>
      <w:r>
        <w:rPr>
          <w:rFonts w:ascii="Arial"/>
          <w:spacing w:val="4"/>
          <w:sz w:val="14"/>
        </w:rPr>
        <w:t>June</w:t>
      </w:r>
      <w:r>
        <w:rPr>
          <w:rFonts w:ascii="Arial"/>
          <w:spacing w:val="6"/>
          <w:sz w:val="14"/>
        </w:rPr>
        <w:t> </w:t>
      </w:r>
      <w:r>
        <w:rPr>
          <w:rFonts w:ascii="Arial"/>
          <w:spacing w:val="3"/>
          <w:sz w:val="14"/>
        </w:rPr>
        <w:t>2019</w:t>
        <w:tab/>
      </w:r>
      <w:r>
        <w:rPr>
          <w:rFonts w:ascii="Arial"/>
          <w:spacing w:val="6"/>
          <w:sz w:val="14"/>
        </w:rPr>
        <w:t>2020</w:t>
        <w:tab/>
        <w:t>2021</w:t>
        <w:tab/>
        <w:t>2022</w:t>
        <w:tab/>
        <w:t>2023</w:t>
      </w:r>
    </w:p>
    <w:p>
      <w:pPr>
        <w:pStyle w:val="BodyText"/>
        <w:spacing w:before="9"/>
        <w:rPr>
          <w:rFonts w:ascii="Arial"/>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3"/>
        <w:gridCol w:w="3634"/>
        <w:gridCol w:w="1533"/>
        <w:gridCol w:w="1443"/>
        <w:gridCol w:w="1363"/>
        <w:gridCol w:w="1071"/>
      </w:tblGrid>
      <w:tr>
        <w:trPr>
          <w:trHeight w:val="270" w:hRule="atLeast"/>
        </w:trPr>
        <w:tc>
          <w:tcPr>
            <w:tcW w:w="4043" w:type="dxa"/>
          </w:tcPr>
          <w:p>
            <w:pPr>
              <w:pStyle w:val="TableParagraph"/>
              <w:spacing w:before="29"/>
              <w:ind w:left="34"/>
              <w:rPr>
                <w:b/>
                <w:sz w:val="14"/>
              </w:rPr>
            </w:pPr>
            <w:r>
              <w:rPr>
                <w:b/>
                <w:sz w:val="14"/>
              </w:rPr>
              <w:t>Total External Debt</w:t>
            </w:r>
          </w:p>
        </w:tc>
        <w:tc>
          <w:tcPr>
            <w:tcW w:w="3634" w:type="dxa"/>
          </w:tcPr>
          <w:p>
            <w:pPr>
              <w:pStyle w:val="TableParagraph"/>
              <w:spacing w:before="29"/>
              <w:ind w:right="439"/>
              <w:jc w:val="right"/>
              <w:rPr>
                <w:b/>
                <w:sz w:val="14"/>
              </w:rPr>
            </w:pPr>
            <w:r>
              <w:rPr>
                <w:b/>
                <w:w w:val="95"/>
                <w:sz w:val="14"/>
              </w:rPr>
              <w:t>1,614.19</w:t>
            </w:r>
          </w:p>
        </w:tc>
        <w:tc>
          <w:tcPr>
            <w:tcW w:w="1533" w:type="dxa"/>
          </w:tcPr>
          <w:p>
            <w:pPr>
              <w:pStyle w:val="TableParagraph"/>
              <w:spacing w:before="29"/>
              <w:ind w:right="556"/>
              <w:jc w:val="right"/>
              <w:rPr>
                <w:b/>
                <w:sz w:val="14"/>
              </w:rPr>
            </w:pPr>
            <w:r>
              <w:rPr>
                <w:b/>
                <w:w w:val="95"/>
                <w:sz w:val="14"/>
              </w:rPr>
              <w:t>1,679.16</w:t>
            </w:r>
          </w:p>
        </w:tc>
        <w:tc>
          <w:tcPr>
            <w:tcW w:w="1443" w:type="dxa"/>
          </w:tcPr>
          <w:p>
            <w:pPr>
              <w:pStyle w:val="TableParagraph"/>
              <w:spacing w:before="29"/>
              <w:ind w:right="353"/>
              <w:jc w:val="right"/>
              <w:rPr>
                <w:b/>
                <w:sz w:val="14"/>
              </w:rPr>
            </w:pPr>
            <w:r>
              <w:rPr>
                <w:b/>
                <w:w w:val="95"/>
                <w:sz w:val="14"/>
              </w:rPr>
              <w:t>1,706.01</w:t>
            </w:r>
          </w:p>
        </w:tc>
        <w:tc>
          <w:tcPr>
            <w:tcW w:w="1363" w:type="dxa"/>
          </w:tcPr>
          <w:p>
            <w:pPr>
              <w:pStyle w:val="TableParagraph"/>
              <w:spacing w:before="29"/>
              <w:ind w:right="472"/>
              <w:jc w:val="right"/>
              <w:rPr>
                <w:b/>
                <w:sz w:val="14"/>
              </w:rPr>
            </w:pPr>
            <w:r>
              <w:rPr>
                <w:b/>
                <w:w w:val="95"/>
                <w:sz w:val="14"/>
              </w:rPr>
              <w:t>1,709.29</w:t>
            </w:r>
          </w:p>
        </w:tc>
        <w:tc>
          <w:tcPr>
            <w:tcW w:w="1071" w:type="dxa"/>
          </w:tcPr>
          <w:p>
            <w:pPr>
              <w:pStyle w:val="TableParagraph"/>
              <w:spacing w:before="29"/>
              <w:ind w:right="65"/>
              <w:jc w:val="right"/>
              <w:rPr>
                <w:b/>
                <w:sz w:val="14"/>
              </w:rPr>
            </w:pPr>
            <w:r>
              <w:rPr>
                <w:b/>
                <w:w w:val="95"/>
                <w:sz w:val="14"/>
              </w:rPr>
              <w:t>1,712.70</w:t>
            </w:r>
          </w:p>
        </w:tc>
      </w:tr>
      <w:tr>
        <w:trPr>
          <w:trHeight w:val="240" w:hRule="atLeast"/>
        </w:trPr>
        <w:tc>
          <w:tcPr>
            <w:tcW w:w="4043" w:type="dxa"/>
          </w:tcPr>
          <w:p>
            <w:pPr>
              <w:pStyle w:val="TableParagraph"/>
              <w:spacing w:line="145" w:lineRule="exact" w:before="75"/>
              <w:ind w:left="107"/>
              <w:rPr>
                <w:b/>
                <w:sz w:val="14"/>
              </w:rPr>
            </w:pPr>
            <w:r>
              <w:rPr>
                <w:b/>
                <w:sz w:val="14"/>
              </w:rPr>
              <w:t>Multilateral</w:t>
            </w:r>
          </w:p>
        </w:tc>
        <w:tc>
          <w:tcPr>
            <w:tcW w:w="3634" w:type="dxa"/>
          </w:tcPr>
          <w:p>
            <w:pPr>
              <w:pStyle w:val="TableParagraph"/>
              <w:spacing w:line="145" w:lineRule="exact" w:before="75"/>
              <w:ind w:right="445"/>
              <w:jc w:val="right"/>
              <w:rPr>
                <w:b/>
                <w:sz w:val="14"/>
              </w:rPr>
            </w:pPr>
            <w:r>
              <w:rPr>
                <w:b/>
                <w:sz w:val="14"/>
              </w:rPr>
              <w:t>1,228.56</w:t>
            </w:r>
          </w:p>
        </w:tc>
        <w:tc>
          <w:tcPr>
            <w:tcW w:w="1533" w:type="dxa"/>
          </w:tcPr>
          <w:p>
            <w:pPr>
              <w:pStyle w:val="TableParagraph"/>
              <w:spacing w:line="145" w:lineRule="exact" w:before="75"/>
              <w:ind w:right="556"/>
              <w:jc w:val="right"/>
              <w:rPr>
                <w:b/>
                <w:sz w:val="14"/>
              </w:rPr>
            </w:pPr>
            <w:r>
              <w:rPr>
                <w:b/>
                <w:w w:val="95"/>
                <w:sz w:val="14"/>
              </w:rPr>
              <w:t>1,287.41</w:t>
            </w:r>
          </w:p>
        </w:tc>
        <w:tc>
          <w:tcPr>
            <w:tcW w:w="1443" w:type="dxa"/>
          </w:tcPr>
          <w:p>
            <w:pPr>
              <w:pStyle w:val="TableParagraph"/>
              <w:spacing w:line="145" w:lineRule="exact" w:before="75"/>
              <w:ind w:right="353"/>
              <w:jc w:val="right"/>
              <w:rPr>
                <w:b/>
                <w:sz w:val="14"/>
              </w:rPr>
            </w:pPr>
            <w:r>
              <w:rPr>
                <w:b/>
                <w:w w:val="95"/>
                <w:sz w:val="14"/>
              </w:rPr>
              <w:t>1,306.19</w:t>
            </w:r>
          </w:p>
        </w:tc>
        <w:tc>
          <w:tcPr>
            <w:tcW w:w="1363" w:type="dxa"/>
          </w:tcPr>
          <w:p>
            <w:pPr>
              <w:pStyle w:val="TableParagraph"/>
              <w:spacing w:line="145" w:lineRule="exact" w:before="75"/>
              <w:ind w:right="472"/>
              <w:jc w:val="right"/>
              <w:rPr>
                <w:b/>
                <w:sz w:val="14"/>
              </w:rPr>
            </w:pPr>
            <w:r>
              <w:rPr>
                <w:b/>
                <w:w w:val="95"/>
                <w:sz w:val="14"/>
              </w:rPr>
              <w:t>1,304.76</w:t>
            </w:r>
          </w:p>
        </w:tc>
        <w:tc>
          <w:tcPr>
            <w:tcW w:w="1071" w:type="dxa"/>
          </w:tcPr>
          <w:p>
            <w:pPr>
              <w:pStyle w:val="TableParagraph"/>
              <w:spacing w:line="145" w:lineRule="exact" w:before="75"/>
              <w:ind w:right="65"/>
              <w:jc w:val="right"/>
              <w:rPr>
                <w:b/>
                <w:sz w:val="14"/>
              </w:rPr>
            </w:pPr>
            <w:r>
              <w:rPr>
                <w:b/>
                <w:w w:val="95"/>
                <w:sz w:val="14"/>
              </w:rPr>
              <w:t>1,303.79</w:t>
            </w:r>
          </w:p>
        </w:tc>
      </w:tr>
      <w:tr>
        <w:trPr>
          <w:trHeight w:val="160" w:hRule="atLeast"/>
        </w:trPr>
        <w:tc>
          <w:tcPr>
            <w:tcW w:w="4043" w:type="dxa"/>
          </w:tcPr>
          <w:p>
            <w:pPr>
              <w:pStyle w:val="TableParagraph"/>
              <w:spacing w:line="141" w:lineRule="exact"/>
              <w:ind w:left="130"/>
              <w:rPr>
                <w:sz w:val="14"/>
              </w:rPr>
            </w:pPr>
            <w:r>
              <w:rPr>
                <w:sz w:val="14"/>
              </w:rPr>
              <w:t>World Bank</w:t>
            </w:r>
          </w:p>
        </w:tc>
        <w:tc>
          <w:tcPr>
            <w:tcW w:w="3634" w:type="dxa"/>
          </w:tcPr>
          <w:p>
            <w:pPr>
              <w:pStyle w:val="TableParagraph"/>
              <w:spacing w:line="141" w:lineRule="exact"/>
              <w:ind w:right="412"/>
              <w:jc w:val="right"/>
              <w:rPr>
                <w:sz w:val="14"/>
              </w:rPr>
            </w:pPr>
            <w:r>
              <w:rPr>
                <w:w w:val="95"/>
                <w:sz w:val="14"/>
              </w:rPr>
              <w:t>316.85</w:t>
            </w:r>
          </w:p>
        </w:tc>
        <w:tc>
          <w:tcPr>
            <w:tcW w:w="1533" w:type="dxa"/>
          </w:tcPr>
          <w:p>
            <w:pPr>
              <w:pStyle w:val="TableParagraph"/>
              <w:spacing w:line="141" w:lineRule="exact"/>
              <w:ind w:right="529"/>
              <w:jc w:val="right"/>
              <w:rPr>
                <w:sz w:val="14"/>
              </w:rPr>
            </w:pPr>
            <w:r>
              <w:rPr>
                <w:w w:val="95"/>
                <w:sz w:val="14"/>
              </w:rPr>
              <w:t>320.02</w:t>
            </w:r>
          </w:p>
        </w:tc>
        <w:tc>
          <w:tcPr>
            <w:tcW w:w="1443" w:type="dxa"/>
          </w:tcPr>
          <w:p>
            <w:pPr>
              <w:pStyle w:val="TableParagraph"/>
              <w:spacing w:line="141" w:lineRule="exact"/>
              <w:ind w:right="325"/>
              <w:jc w:val="right"/>
              <w:rPr>
                <w:sz w:val="14"/>
              </w:rPr>
            </w:pPr>
            <w:r>
              <w:rPr>
                <w:w w:val="95"/>
                <w:sz w:val="14"/>
              </w:rPr>
              <w:t>326.42</w:t>
            </w:r>
          </w:p>
        </w:tc>
        <w:tc>
          <w:tcPr>
            <w:tcW w:w="1363" w:type="dxa"/>
          </w:tcPr>
          <w:p>
            <w:pPr>
              <w:pStyle w:val="TableParagraph"/>
              <w:spacing w:line="141" w:lineRule="exact"/>
              <w:ind w:right="445"/>
              <w:jc w:val="right"/>
              <w:rPr>
                <w:sz w:val="14"/>
              </w:rPr>
            </w:pPr>
            <w:r>
              <w:rPr>
                <w:w w:val="95"/>
                <w:sz w:val="14"/>
              </w:rPr>
              <w:t>339.48</w:t>
            </w:r>
          </w:p>
        </w:tc>
        <w:tc>
          <w:tcPr>
            <w:tcW w:w="1071" w:type="dxa"/>
          </w:tcPr>
          <w:p>
            <w:pPr>
              <w:pStyle w:val="TableParagraph"/>
              <w:spacing w:line="141" w:lineRule="exact"/>
              <w:ind w:right="44"/>
              <w:jc w:val="right"/>
              <w:rPr>
                <w:sz w:val="14"/>
              </w:rPr>
            </w:pPr>
            <w:r>
              <w:rPr>
                <w:w w:val="95"/>
                <w:sz w:val="14"/>
              </w:rPr>
              <w:t>341.18</w:t>
            </w:r>
          </w:p>
        </w:tc>
      </w:tr>
      <w:tr>
        <w:trPr>
          <w:trHeight w:val="158" w:hRule="atLeast"/>
        </w:trPr>
        <w:tc>
          <w:tcPr>
            <w:tcW w:w="4043" w:type="dxa"/>
          </w:tcPr>
          <w:p>
            <w:pPr>
              <w:pStyle w:val="TableParagraph"/>
              <w:spacing w:line="138" w:lineRule="exact"/>
              <w:ind w:left="107"/>
              <w:rPr>
                <w:sz w:val="14"/>
              </w:rPr>
            </w:pPr>
            <w:r>
              <w:rPr>
                <w:sz w:val="14"/>
              </w:rPr>
              <w:t>IMF</w:t>
            </w:r>
          </w:p>
        </w:tc>
        <w:tc>
          <w:tcPr>
            <w:tcW w:w="3634" w:type="dxa"/>
          </w:tcPr>
          <w:p>
            <w:pPr>
              <w:pStyle w:val="TableParagraph"/>
              <w:spacing w:line="138" w:lineRule="exact"/>
              <w:ind w:right="412"/>
              <w:jc w:val="right"/>
              <w:rPr>
                <w:sz w:val="14"/>
              </w:rPr>
            </w:pPr>
            <w:r>
              <w:rPr>
                <w:w w:val="95"/>
                <w:sz w:val="14"/>
              </w:rPr>
              <w:t>353.81</w:t>
            </w:r>
          </w:p>
        </w:tc>
        <w:tc>
          <w:tcPr>
            <w:tcW w:w="1533" w:type="dxa"/>
          </w:tcPr>
          <w:p>
            <w:pPr>
              <w:pStyle w:val="TableParagraph"/>
              <w:spacing w:line="138" w:lineRule="exact"/>
              <w:ind w:right="529"/>
              <w:jc w:val="right"/>
              <w:rPr>
                <w:sz w:val="14"/>
              </w:rPr>
            </w:pPr>
            <w:r>
              <w:rPr>
                <w:w w:val="95"/>
                <w:sz w:val="14"/>
              </w:rPr>
              <w:t>367.53</w:t>
            </w:r>
          </w:p>
        </w:tc>
        <w:tc>
          <w:tcPr>
            <w:tcW w:w="1443" w:type="dxa"/>
          </w:tcPr>
          <w:p>
            <w:pPr>
              <w:pStyle w:val="TableParagraph"/>
              <w:spacing w:line="138" w:lineRule="exact"/>
              <w:ind w:right="325"/>
              <w:jc w:val="right"/>
              <w:rPr>
                <w:sz w:val="14"/>
              </w:rPr>
            </w:pPr>
            <w:r>
              <w:rPr>
                <w:w w:val="95"/>
                <w:sz w:val="14"/>
              </w:rPr>
              <w:t>367.38</w:t>
            </w:r>
          </w:p>
        </w:tc>
        <w:tc>
          <w:tcPr>
            <w:tcW w:w="1363" w:type="dxa"/>
          </w:tcPr>
          <w:p>
            <w:pPr>
              <w:pStyle w:val="TableParagraph"/>
              <w:spacing w:line="138" w:lineRule="exact"/>
              <w:ind w:right="445"/>
              <w:jc w:val="right"/>
              <w:rPr>
                <w:sz w:val="14"/>
              </w:rPr>
            </w:pPr>
            <w:r>
              <w:rPr>
                <w:w w:val="95"/>
                <w:sz w:val="14"/>
              </w:rPr>
              <w:t>351.81</w:t>
            </w:r>
          </w:p>
        </w:tc>
        <w:tc>
          <w:tcPr>
            <w:tcW w:w="1071" w:type="dxa"/>
          </w:tcPr>
          <w:p>
            <w:pPr>
              <w:pStyle w:val="TableParagraph"/>
              <w:spacing w:line="138" w:lineRule="exact"/>
              <w:ind w:right="44"/>
              <w:jc w:val="right"/>
              <w:rPr>
                <w:sz w:val="14"/>
              </w:rPr>
            </w:pPr>
            <w:r>
              <w:rPr>
                <w:w w:val="95"/>
                <w:sz w:val="14"/>
              </w:rPr>
              <w:t>333.26</w:t>
            </w:r>
          </w:p>
        </w:tc>
      </w:tr>
      <w:tr>
        <w:trPr>
          <w:trHeight w:val="160" w:hRule="atLeast"/>
        </w:trPr>
        <w:tc>
          <w:tcPr>
            <w:tcW w:w="4043" w:type="dxa"/>
          </w:tcPr>
          <w:p>
            <w:pPr>
              <w:pStyle w:val="TableParagraph"/>
              <w:spacing w:line="141" w:lineRule="exact"/>
              <w:ind w:left="111"/>
              <w:rPr>
                <w:sz w:val="14"/>
              </w:rPr>
            </w:pPr>
            <w:r>
              <w:rPr>
                <w:sz w:val="14"/>
              </w:rPr>
              <w:t>ADB</w:t>
            </w:r>
          </w:p>
        </w:tc>
        <w:tc>
          <w:tcPr>
            <w:tcW w:w="3634" w:type="dxa"/>
          </w:tcPr>
          <w:p>
            <w:pPr>
              <w:pStyle w:val="TableParagraph"/>
              <w:spacing w:line="141" w:lineRule="exact"/>
              <w:ind w:right="412"/>
              <w:jc w:val="right"/>
              <w:rPr>
                <w:sz w:val="14"/>
              </w:rPr>
            </w:pPr>
            <w:r>
              <w:rPr>
                <w:w w:val="95"/>
                <w:sz w:val="14"/>
              </w:rPr>
              <w:t>140.17</w:t>
            </w:r>
          </w:p>
        </w:tc>
        <w:tc>
          <w:tcPr>
            <w:tcW w:w="1533" w:type="dxa"/>
          </w:tcPr>
          <w:p>
            <w:pPr>
              <w:pStyle w:val="TableParagraph"/>
              <w:spacing w:line="141" w:lineRule="exact"/>
              <w:ind w:right="530"/>
              <w:jc w:val="right"/>
              <w:rPr>
                <w:sz w:val="14"/>
              </w:rPr>
            </w:pPr>
            <w:r>
              <w:rPr>
                <w:sz w:val="14"/>
              </w:rPr>
              <w:t>156.7</w:t>
            </w:r>
          </w:p>
        </w:tc>
        <w:tc>
          <w:tcPr>
            <w:tcW w:w="1443" w:type="dxa"/>
          </w:tcPr>
          <w:p>
            <w:pPr>
              <w:pStyle w:val="TableParagraph"/>
              <w:spacing w:line="141" w:lineRule="exact"/>
              <w:ind w:right="326"/>
              <w:jc w:val="right"/>
              <w:rPr>
                <w:sz w:val="14"/>
              </w:rPr>
            </w:pPr>
            <w:r>
              <w:rPr>
                <w:sz w:val="14"/>
              </w:rPr>
              <w:t>168.6</w:t>
            </w:r>
          </w:p>
        </w:tc>
        <w:tc>
          <w:tcPr>
            <w:tcW w:w="1363" w:type="dxa"/>
          </w:tcPr>
          <w:p>
            <w:pPr>
              <w:pStyle w:val="TableParagraph"/>
              <w:spacing w:line="141" w:lineRule="exact"/>
              <w:ind w:right="441"/>
              <w:jc w:val="right"/>
              <w:rPr>
                <w:sz w:val="14"/>
              </w:rPr>
            </w:pPr>
            <w:r>
              <w:rPr>
                <w:sz w:val="14"/>
              </w:rPr>
              <w:t>177.7</w:t>
            </w:r>
          </w:p>
        </w:tc>
        <w:tc>
          <w:tcPr>
            <w:tcW w:w="1071" w:type="dxa"/>
          </w:tcPr>
          <w:p>
            <w:pPr>
              <w:pStyle w:val="TableParagraph"/>
              <w:spacing w:line="141" w:lineRule="exact"/>
              <w:ind w:right="44"/>
              <w:jc w:val="right"/>
              <w:rPr>
                <w:sz w:val="14"/>
              </w:rPr>
            </w:pPr>
            <w:r>
              <w:rPr>
                <w:w w:val="95"/>
                <w:sz w:val="14"/>
              </w:rPr>
              <w:t>179.48</w:t>
            </w:r>
          </w:p>
        </w:tc>
      </w:tr>
      <w:tr>
        <w:trPr>
          <w:trHeight w:val="160" w:hRule="atLeast"/>
        </w:trPr>
        <w:tc>
          <w:tcPr>
            <w:tcW w:w="4043" w:type="dxa"/>
          </w:tcPr>
          <w:p>
            <w:pPr>
              <w:pStyle w:val="TableParagraph"/>
              <w:spacing w:line="141" w:lineRule="exact"/>
              <w:ind w:left="121"/>
              <w:rPr>
                <w:sz w:val="14"/>
              </w:rPr>
            </w:pPr>
            <w:r>
              <w:rPr>
                <w:sz w:val="14"/>
              </w:rPr>
              <w:t>IFAD</w:t>
            </w:r>
          </w:p>
        </w:tc>
        <w:tc>
          <w:tcPr>
            <w:tcW w:w="3634" w:type="dxa"/>
          </w:tcPr>
          <w:p>
            <w:pPr>
              <w:pStyle w:val="TableParagraph"/>
              <w:spacing w:line="141" w:lineRule="exact"/>
              <w:ind w:right="402"/>
              <w:jc w:val="right"/>
              <w:rPr>
                <w:sz w:val="14"/>
              </w:rPr>
            </w:pPr>
            <w:r>
              <w:rPr>
                <w:sz w:val="14"/>
              </w:rPr>
              <w:t>44.14</w:t>
            </w:r>
          </w:p>
        </w:tc>
        <w:tc>
          <w:tcPr>
            <w:tcW w:w="1533" w:type="dxa"/>
          </w:tcPr>
          <w:p>
            <w:pPr>
              <w:pStyle w:val="TableParagraph"/>
              <w:spacing w:line="141" w:lineRule="exact"/>
              <w:ind w:right="520"/>
              <w:jc w:val="right"/>
              <w:rPr>
                <w:sz w:val="14"/>
              </w:rPr>
            </w:pPr>
            <w:r>
              <w:rPr>
                <w:w w:val="95"/>
                <w:sz w:val="14"/>
              </w:rPr>
              <w:t>50.2</w:t>
            </w:r>
          </w:p>
        </w:tc>
        <w:tc>
          <w:tcPr>
            <w:tcW w:w="1443" w:type="dxa"/>
          </w:tcPr>
          <w:p>
            <w:pPr>
              <w:pStyle w:val="TableParagraph"/>
              <w:spacing w:line="141" w:lineRule="exact"/>
              <w:ind w:right="317"/>
              <w:jc w:val="right"/>
              <w:rPr>
                <w:sz w:val="14"/>
              </w:rPr>
            </w:pPr>
            <w:r>
              <w:rPr>
                <w:w w:val="95"/>
                <w:sz w:val="14"/>
              </w:rPr>
              <w:t>50.9</w:t>
            </w:r>
          </w:p>
        </w:tc>
        <w:tc>
          <w:tcPr>
            <w:tcW w:w="1363" w:type="dxa"/>
          </w:tcPr>
          <w:p>
            <w:pPr>
              <w:pStyle w:val="TableParagraph"/>
              <w:spacing w:line="141" w:lineRule="exact"/>
              <w:ind w:right="437"/>
              <w:jc w:val="right"/>
              <w:rPr>
                <w:sz w:val="14"/>
              </w:rPr>
            </w:pPr>
            <w:r>
              <w:rPr>
                <w:w w:val="95"/>
                <w:sz w:val="14"/>
              </w:rPr>
              <w:t>49.5</w:t>
            </w:r>
          </w:p>
        </w:tc>
        <w:tc>
          <w:tcPr>
            <w:tcW w:w="1071" w:type="dxa"/>
          </w:tcPr>
          <w:p>
            <w:pPr>
              <w:pStyle w:val="TableParagraph"/>
              <w:spacing w:line="141" w:lineRule="exact"/>
              <w:ind w:right="33"/>
              <w:jc w:val="right"/>
              <w:rPr>
                <w:sz w:val="14"/>
              </w:rPr>
            </w:pPr>
            <w:r>
              <w:rPr>
                <w:sz w:val="14"/>
              </w:rPr>
              <w:t>51.85</w:t>
            </w:r>
          </w:p>
        </w:tc>
      </w:tr>
      <w:tr>
        <w:trPr>
          <w:trHeight w:val="158" w:hRule="atLeast"/>
        </w:trPr>
        <w:tc>
          <w:tcPr>
            <w:tcW w:w="4043" w:type="dxa"/>
          </w:tcPr>
          <w:p>
            <w:pPr>
              <w:pStyle w:val="TableParagraph"/>
              <w:spacing w:line="138" w:lineRule="exact"/>
              <w:ind w:left="117"/>
              <w:rPr>
                <w:sz w:val="14"/>
              </w:rPr>
            </w:pPr>
            <w:r>
              <w:rPr>
                <w:sz w:val="14"/>
              </w:rPr>
              <w:t>IDB</w:t>
            </w:r>
          </w:p>
        </w:tc>
        <w:tc>
          <w:tcPr>
            <w:tcW w:w="3634" w:type="dxa"/>
          </w:tcPr>
          <w:p>
            <w:pPr>
              <w:pStyle w:val="TableParagraph"/>
              <w:spacing w:line="138" w:lineRule="exact"/>
              <w:ind w:right="417"/>
              <w:jc w:val="right"/>
              <w:rPr>
                <w:sz w:val="14"/>
              </w:rPr>
            </w:pPr>
            <w:r>
              <w:rPr>
                <w:sz w:val="14"/>
              </w:rPr>
              <w:t>122.12</w:t>
            </w:r>
          </w:p>
        </w:tc>
        <w:tc>
          <w:tcPr>
            <w:tcW w:w="1533" w:type="dxa"/>
          </w:tcPr>
          <w:p>
            <w:pPr>
              <w:pStyle w:val="TableParagraph"/>
              <w:spacing w:line="138" w:lineRule="exact"/>
              <w:ind w:right="530"/>
              <w:jc w:val="right"/>
              <w:rPr>
                <w:sz w:val="14"/>
              </w:rPr>
            </w:pPr>
            <w:r>
              <w:rPr>
                <w:sz w:val="14"/>
              </w:rPr>
              <w:t>138.7</w:t>
            </w:r>
          </w:p>
        </w:tc>
        <w:tc>
          <w:tcPr>
            <w:tcW w:w="1443" w:type="dxa"/>
          </w:tcPr>
          <w:p>
            <w:pPr>
              <w:pStyle w:val="TableParagraph"/>
              <w:spacing w:line="138" w:lineRule="exact"/>
              <w:ind w:right="326"/>
              <w:jc w:val="right"/>
              <w:rPr>
                <w:sz w:val="14"/>
              </w:rPr>
            </w:pPr>
            <w:r>
              <w:rPr>
                <w:sz w:val="14"/>
              </w:rPr>
              <w:t>144.2</w:t>
            </w:r>
          </w:p>
        </w:tc>
        <w:tc>
          <w:tcPr>
            <w:tcW w:w="1363" w:type="dxa"/>
          </w:tcPr>
          <w:p>
            <w:pPr>
              <w:pStyle w:val="TableParagraph"/>
              <w:spacing w:line="138" w:lineRule="exact"/>
              <w:ind w:right="441"/>
              <w:jc w:val="right"/>
              <w:rPr>
                <w:sz w:val="14"/>
              </w:rPr>
            </w:pPr>
            <w:r>
              <w:rPr>
                <w:sz w:val="14"/>
              </w:rPr>
              <w:t>144.9</w:t>
            </w:r>
          </w:p>
        </w:tc>
        <w:tc>
          <w:tcPr>
            <w:tcW w:w="1071" w:type="dxa"/>
          </w:tcPr>
          <w:p>
            <w:pPr>
              <w:pStyle w:val="TableParagraph"/>
              <w:spacing w:line="138" w:lineRule="exact"/>
              <w:ind w:right="44"/>
              <w:jc w:val="right"/>
              <w:rPr>
                <w:sz w:val="14"/>
              </w:rPr>
            </w:pPr>
            <w:r>
              <w:rPr>
                <w:w w:val="95"/>
                <w:sz w:val="14"/>
              </w:rPr>
              <w:t>159.39</w:t>
            </w:r>
          </w:p>
        </w:tc>
      </w:tr>
      <w:tr>
        <w:trPr>
          <w:trHeight w:val="160" w:hRule="atLeast"/>
        </w:trPr>
        <w:tc>
          <w:tcPr>
            <w:tcW w:w="4043" w:type="dxa"/>
          </w:tcPr>
          <w:p>
            <w:pPr>
              <w:pStyle w:val="TableParagraph"/>
              <w:spacing w:line="141" w:lineRule="exact"/>
              <w:ind w:left="97"/>
              <w:rPr>
                <w:sz w:val="14"/>
              </w:rPr>
            </w:pPr>
            <w:r>
              <w:rPr>
                <w:sz w:val="14"/>
              </w:rPr>
              <w:t>EEC/ EIB</w:t>
            </w:r>
          </w:p>
        </w:tc>
        <w:tc>
          <w:tcPr>
            <w:tcW w:w="3634" w:type="dxa"/>
          </w:tcPr>
          <w:p>
            <w:pPr>
              <w:pStyle w:val="TableParagraph"/>
              <w:spacing w:line="141" w:lineRule="exact"/>
              <w:ind w:right="412"/>
              <w:jc w:val="right"/>
              <w:rPr>
                <w:sz w:val="14"/>
              </w:rPr>
            </w:pPr>
            <w:r>
              <w:rPr>
                <w:sz w:val="14"/>
              </w:rPr>
              <w:t>84.09</w:t>
            </w:r>
          </w:p>
        </w:tc>
        <w:tc>
          <w:tcPr>
            <w:tcW w:w="1533" w:type="dxa"/>
          </w:tcPr>
          <w:p>
            <w:pPr>
              <w:pStyle w:val="TableParagraph"/>
              <w:spacing w:line="141" w:lineRule="exact"/>
              <w:ind w:right="519"/>
              <w:jc w:val="right"/>
              <w:rPr>
                <w:sz w:val="14"/>
              </w:rPr>
            </w:pPr>
            <w:r>
              <w:rPr>
                <w:sz w:val="14"/>
              </w:rPr>
              <w:t>82.09</w:t>
            </w:r>
          </w:p>
        </w:tc>
        <w:tc>
          <w:tcPr>
            <w:tcW w:w="1443" w:type="dxa"/>
          </w:tcPr>
          <w:p>
            <w:pPr>
              <w:pStyle w:val="TableParagraph"/>
              <w:spacing w:line="141" w:lineRule="exact"/>
              <w:ind w:right="321"/>
              <w:jc w:val="right"/>
              <w:rPr>
                <w:sz w:val="14"/>
              </w:rPr>
            </w:pPr>
            <w:r>
              <w:rPr>
                <w:sz w:val="14"/>
              </w:rPr>
              <w:t>80.09</w:t>
            </w:r>
          </w:p>
        </w:tc>
        <w:tc>
          <w:tcPr>
            <w:tcW w:w="1363" w:type="dxa"/>
          </w:tcPr>
          <w:p>
            <w:pPr>
              <w:pStyle w:val="TableParagraph"/>
              <w:spacing w:line="141" w:lineRule="exact"/>
              <w:ind w:right="436"/>
              <w:jc w:val="right"/>
              <w:rPr>
                <w:sz w:val="14"/>
              </w:rPr>
            </w:pPr>
            <w:r>
              <w:rPr>
                <w:sz w:val="14"/>
              </w:rPr>
              <w:t>78.09</w:t>
            </w:r>
          </w:p>
        </w:tc>
        <w:tc>
          <w:tcPr>
            <w:tcW w:w="1071" w:type="dxa"/>
          </w:tcPr>
          <w:p>
            <w:pPr>
              <w:pStyle w:val="TableParagraph"/>
              <w:spacing w:line="141" w:lineRule="exact"/>
              <w:ind w:right="33"/>
              <w:jc w:val="right"/>
              <w:rPr>
                <w:sz w:val="14"/>
              </w:rPr>
            </w:pPr>
            <w:r>
              <w:rPr>
                <w:sz w:val="14"/>
              </w:rPr>
              <w:t>76.09</w:t>
            </w:r>
          </w:p>
        </w:tc>
      </w:tr>
      <w:tr>
        <w:trPr>
          <w:trHeight w:val="160" w:hRule="atLeast"/>
        </w:trPr>
        <w:tc>
          <w:tcPr>
            <w:tcW w:w="4043" w:type="dxa"/>
          </w:tcPr>
          <w:p>
            <w:pPr>
              <w:pStyle w:val="TableParagraph"/>
              <w:spacing w:line="141" w:lineRule="exact"/>
              <w:ind w:left="102"/>
              <w:rPr>
                <w:sz w:val="14"/>
              </w:rPr>
            </w:pPr>
            <w:r>
              <w:rPr>
                <w:sz w:val="14"/>
              </w:rPr>
              <w:t>BADEA</w:t>
            </w:r>
          </w:p>
        </w:tc>
        <w:tc>
          <w:tcPr>
            <w:tcW w:w="3634" w:type="dxa"/>
          </w:tcPr>
          <w:p>
            <w:pPr>
              <w:pStyle w:val="TableParagraph"/>
              <w:spacing w:line="141" w:lineRule="exact"/>
              <w:ind w:right="402"/>
              <w:jc w:val="right"/>
              <w:rPr>
                <w:sz w:val="14"/>
              </w:rPr>
            </w:pPr>
            <w:r>
              <w:rPr>
                <w:sz w:val="14"/>
              </w:rPr>
              <w:t>52.60</w:t>
            </w:r>
          </w:p>
        </w:tc>
        <w:tc>
          <w:tcPr>
            <w:tcW w:w="1533" w:type="dxa"/>
          </w:tcPr>
          <w:p>
            <w:pPr>
              <w:pStyle w:val="TableParagraph"/>
              <w:spacing w:line="141" w:lineRule="exact"/>
              <w:ind w:right="520"/>
              <w:jc w:val="right"/>
              <w:rPr>
                <w:sz w:val="14"/>
              </w:rPr>
            </w:pPr>
            <w:r>
              <w:rPr>
                <w:w w:val="95"/>
                <w:sz w:val="14"/>
              </w:rPr>
              <w:t>58.8</w:t>
            </w:r>
          </w:p>
        </w:tc>
        <w:tc>
          <w:tcPr>
            <w:tcW w:w="1443" w:type="dxa"/>
          </w:tcPr>
          <w:p>
            <w:pPr>
              <w:pStyle w:val="TableParagraph"/>
              <w:spacing w:line="141" w:lineRule="exact"/>
              <w:ind w:right="317"/>
              <w:jc w:val="right"/>
              <w:rPr>
                <w:sz w:val="14"/>
              </w:rPr>
            </w:pPr>
            <w:r>
              <w:rPr>
                <w:w w:val="95"/>
                <w:sz w:val="14"/>
              </w:rPr>
              <w:t>58.6</w:t>
            </w:r>
          </w:p>
        </w:tc>
        <w:tc>
          <w:tcPr>
            <w:tcW w:w="1363" w:type="dxa"/>
          </w:tcPr>
          <w:p>
            <w:pPr>
              <w:pStyle w:val="TableParagraph"/>
              <w:spacing w:line="141" w:lineRule="exact"/>
              <w:ind w:right="437"/>
              <w:jc w:val="right"/>
              <w:rPr>
                <w:sz w:val="14"/>
              </w:rPr>
            </w:pPr>
            <w:r>
              <w:rPr>
                <w:w w:val="95"/>
                <w:sz w:val="14"/>
              </w:rPr>
              <w:t>57.8</w:t>
            </w:r>
          </w:p>
        </w:tc>
        <w:tc>
          <w:tcPr>
            <w:tcW w:w="1071" w:type="dxa"/>
          </w:tcPr>
          <w:p>
            <w:pPr>
              <w:pStyle w:val="TableParagraph"/>
              <w:spacing w:line="141" w:lineRule="exact"/>
              <w:ind w:right="33"/>
              <w:jc w:val="right"/>
              <w:rPr>
                <w:sz w:val="14"/>
              </w:rPr>
            </w:pPr>
            <w:r>
              <w:rPr>
                <w:sz w:val="14"/>
              </w:rPr>
              <w:t>57.72</w:t>
            </w:r>
          </w:p>
        </w:tc>
      </w:tr>
      <w:tr>
        <w:trPr>
          <w:trHeight w:val="158" w:hRule="atLeast"/>
        </w:trPr>
        <w:tc>
          <w:tcPr>
            <w:tcW w:w="4043" w:type="dxa"/>
          </w:tcPr>
          <w:p>
            <w:pPr>
              <w:pStyle w:val="TableParagraph"/>
              <w:spacing w:line="138" w:lineRule="exact"/>
              <w:ind w:left="135"/>
              <w:rPr>
                <w:sz w:val="14"/>
              </w:rPr>
            </w:pPr>
            <w:r>
              <w:rPr>
                <w:sz w:val="14"/>
              </w:rPr>
              <w:t>OFID</w:t>
            </w:r>
          </w:p>
        </w:tc>
        <w:tc>
          <w:tcPr>
            <w:tcW w:w="3634" w:type="dxa"/>
          </w:tcPr>
          <w:p>
            <w:pPr>
              <w:pStyle w:val="TableParagraph"/>
              <w:spacing w:line="138" w:lineRule="exact"/>
              <w:ind w:right="412"/>
              <w:jc w:val="right"/>
              <w:rPr>
                <w:sz w:val="14"/>
              </w:rPr>
            </w:pPr>
            <w:r>
              <w:rPr>
                <w:sz w:val="14"/>
              </w:rPr>
              <w:t>68.49</w:t>
            </w:r>
          </w:p>
        </w:tc>
        <w:tc>
          <w:tcPr>
            <w:tcW w:w="1533" w:type="dxa"/>
          </w:tcPr>
          <w:p>
            <w:pPr>
              <w:pStyle w:val="TableParagraph"/>
              <w:spacing w:line="138" w:lineRule="exact"/>
              <w:ind w:right="520"/>
              <w:jc w:val="right"/>
              <w:rPr>
                <w:sz w:val="14"/>
              </w:rPr>
            </w:pPr>
            <w:r>
              <w:rPr>
                <w:w w:val="95"/>
                <w:sz w:val="14"/>
              </w:rPr>
              <w:t>68.0</w:t>
            </w:r>
          </w:p>
        </w:tc>
        <w:tc>
          <w:tcPr>
            <w:tcW w:w="1443" w:type="dxa"/>
          </w:tcPr>
          <w:p>
            <w:pPr>
              <w:pStyle w:val="TableParagraph"/>
              <w:spacing w:line="138" w:lineRule="exact"/>
              <w:ind w:right="317"/>
              <w:jc w:val="right"/>
              <w:rPr>
                <w:sz w:val="14"/>
              </w:rPr>
            </w:pPr>
            <w:r>
              <w:rPr>
                <w:w w:val="95"/>
                <w:sz w:val="14"/>
              </w:rPr>
              <w:t>66.0</w:t>
            </w:r>
          </w:p>
        </w:tc>
        <w:tc>
          <w:tcPr>
            <w:tcW w:w="1363" w:type="dxa"/>
          </w:tcPr>
          <w:p>
            <w:pPr>
              <w:pStyle w:val="TableParagraph"/>
              <w:spacing w:line="138" w:lineRule="exact"/>
              <w:ind w:right="437"/>
              <w:jc w:val="right"/>
              <w:rPr>
                <w:sz w:val="14"/>
              </w:rPr>
            </w:pPr>
            <w:r>
              <w:rPr>
                <w:w w:val="95"/>
                <w:sz w:val="14"/>
              </w:rPr>
              <w:t>62.8</w:t>
            </w:r>
          </w:p>
        </w:tc>
        <w:tc>
          <w:tcPr>
            <w:tcW w:w="1071" w:type="dxa"/>
          </w:tcPr>
          <w:p>
            <w:pPr>
              <w:pStyle w:val="TableParagraph"/>
              <w:spacing w:line="138" w:lineRule="exact"/>
              <w:ind w:right="33"/>
              <w:jc w:val="right"/>
              <w:rPr>
                <w:sz w:val="14"/>
              </w:rPr>
            </w:pPr>
            <w:r>
              <w:rPr>
                <w:sz w:val="14"/>
              </w:rPr>
              <w:t>63.43</w:t>
            </w:r>
          </w:p>
        </w:tc>
      </w:tr>
      <w:tr>
        <w:trPr>
          <w:trHeight w:val="240" w:hRule="atLeast"/>
        </w:trPr>
        <w:tc>
          <w:tcPr>
            <w:tcW w:w="4043" w:type="dxa"/>
          </w:tcPr>
          <w:p>
            <w:pPr>
              <w:pStyle w:val="TableParagraph"/>
              <w:spacing w:line="157" w:lineRule="exact"/>
              <w:ind w:left="96"/>
              <w:rPr>
                <w:sz w:val="14"/>
              </w:rPr>
            </w:pPr>
            <w:r>
              <w:rPr>
                <w:sz w:val="14"/>
              </w:rPr>
              <w:t>EBID</w:t>
            </w:r>
          </w:p>
        </w:tc>
        <w:tc>
          <w:tcPr>
            <w:tcW w:w="3634" w:type="dxa"/>
          </w:tcPr>
          <w:p>
            <w:pPr>
              <w:pStyle w:val="TableParagraph"/>
              <w:spacing w:line="157" w:lineRule="exact"/>
              <w:ind w:right="412"/>
              <w:jc w:val="right"/>
              <w:rPr>
                <w:sz w:val="14"/>
              </w:rPr>
            </w:pPr>
            <w:r>
              <w:rPr>
                <w:sz w:val="14"/>
              </w:rPr>
              <w:t>46.29</w:t>
            </w:r>
          </w:p>
        </w:tc>
        <w:tc>
          <w:tcPr>
            <w:tcW w:w="1533" w:type="dxa"/>
          </w:tcPr>
          <w:p>
            <w:pPr>
              <w:pStyle w:val="TableParagraph"/>
              <w:spacing w:line="157" w:lineRule="exact"/>
              <w:ind w:right="519"/>
              <w:jc w:val="right"/>
              <w:rPr>
                <w:sz w:val="14"/>
              </w:rPr>
            </w:pPr>
            <w:r>
              <w:rPr>
                <w:sz w:val="14"/>
              </w:rPr>
              <w:t>45.37</w:t>
            </w:r>
          </w:p>
        </w:tc>
        <w:tc>
          <w:tcPr>
            <w:tcW w:w="1443" w:type="dxa"/>
          </w:tcPr>
          <w:p>
            <w:pPr>
              <w:pStyle w:val="TableParagraph"/>
              <w:spacing w:line="157" w:lineRule="exact"/>
              <w:ind w:right="326"/>
              <w:jc w:val="right"/>
              <w:rPr>
                <w:sz w:val="14"/>
              </w:rPr>
            </w:pPr>
            <w:r>
              <w:rPr>
                <w:sz w:val="14"/>
              </w:rPr>
              <w:t>44.00</w:t>
            </w:r>
          </w:p>
        </w:tc>
        <w:tc>
          <w:tcPr>
            <w:tcW w:w="1363" w:type="dxa"/>
          </w:tcPr>
          <w:p>
            <w:pPr>
              <w:pStyle w:val="TableParagraph"/>
              <w:spacing w:line="157" w:lineRule="exact"/>
              <w:ind w:right="441"/>
              <w:jc w:val="right"/>
              <w:rPr>
                <w:sz w:val="14"/>
              </w:rPr>
            </w:pPr>
            <w:r>
              <w:rPr>
                <w:sz w:val="14"/>
              </w:rPr>
              <w:t>42.68</w:t>
            </w:r>
          </w:p>
        </w:tc>
        <w:tc>
          <w:tcPr>
            <w:tcW w:w="1071" w:type="dxa"/>
          </w:tcPr>
          <w:p>
            <w:pPr>
              <w:pStyle w:val="TableParagraph"/>
              <w:spacing w:line="157" w:lineRule="exact"/>
              <w:ind w:right="38"/>
              <w:jc w:val="right"/>
              <w:rPr>
                <w:sz w:val="14"/>
              </w:rPr>
            </w:pPr>
            <w:r>
              <w:rPr>
                <w:sz w:val="14"/>
              </w:rPr>
              <w:t>41.40</w:t>
            </w:r>
          </w:p>
        </w:tc>
      </w:tr>
      <w:tr>
        <w:trPr>
          <w:trHeight w:val="240" w:hRule="atLeast"/>
        </w:trPr>
        <w:tc>
          <w:tcPr>
            <w:tcW w:w="4043" w:type="dxa"/>
          </w:tcPr>
          <w:p>
            <w:pPr>
              <w:pStyle w:val="TableParagraph"/>
              <w:spacing w:line="142" w:lineRule="exact" w:before="77"/>
              <w:ind w:left="77"/>
              <w:rPr>
                <w:b/>
                <w:sz w:val="14"/>
              </w:rPr>
            </w:pPr>
            <w:r>
              <w:rPr>
                <w:b/>
                <w:sz w:val="14"/>
              </w:rPr>
              <w:t>Bilaterals</w:t>
            </w:r>
          </w:p>
        </w:tc>
        <w:tc>
          <w:tcPr>
            <w:tcW w:w="3634" w:type="dxa"/>
          </w:tcPr>
          <w:p>
            <w:pPr>
              <w:pStyle w:val="TableParagraph"/>
              <w:spacing w:line="142" w:lineRule="exact" w:before="77"/>
              <w:ind w:right="433"/>
              <w:jc w:val="right"/>
              <w:rPr>
                <w:b/>
                <w:sz w:val="14"/>
              </w:rPr>
            </w:pPr>
            <w:r>
              <w:rPr>
                <w:b/>
                <w:w w:val="95"/>
                <w:sz w:val="14"/>
              </w:rPr>
              <w:t>198.58</w:t>
            </w:r>
          </w:p>
        </w:tc>
        <w:tc>
          <w:tcPr>
            <w:tcW w:w="1533" w:type="dxa"/>
          </w:tcPr>
          <w:p>
            <w:pPr>
              <w:pStyle w:val="TableParagraph"/>
              <w:spacing w:line="142" w:lineRule="exact" w:before="77"/>
              <w:ind w:right="545"/>
              <w:jc w:val="right"/>
              <w:rPr>
                <w:b/>
                <w:sz w:val="14"/>
              </w:rPr>
            </w:pPr>
            <w:r>
              <w:rPr>
                <w:b/>
                <w:sz w:val="14"/>
              </w:rPr>
              <w:t>212.21</w:t>
            </w:r>
          </w:p>
        </w:tc>
        <w:tc>
          <w:tcPr>
            <w:tcW w:w="1443" w:type="dxa"/>
          </w:tcPr>
          <w:p>
            <w:pPr>
              <w:pStyle w:val="TableParagraph"/>
              <w:spacing w:line="142" w:lineRule="exact" w:before="77"/>
              <w:ind w:right="341"/>
              <w:jc w:val="right"/>
              <w:rPr>
                <w:b/>
                <w:sz w:val="14"/>
              </w:rPr>
            </w:pPr>
            <w:r>
              <w:rPr>
                <w:b/>
                <w:sz w:val="14"/>
              </w:rPr>
              <w:t>227.77</w:t>
            </w:r>
          </w:p>
        </w:tc>
        <w:tc>
          <w:tcPr>
            <w:tcW w:w="1363" w:type="dxa"/>
          </w:tcPr>
          <w:p>
            <w:pPr>
              <w:pStyle w:val="TableParagraph"/>
              <w:spacing w:line="142" w:lineRule="exact" w:before="77"/>
              <w:ind w:right="461"/>
              <w:jc w:val="right"/>
              <w:rPr>
                <w:b/>
                <w:sz w:val="14"/>
              </w:rPr>
            </w:pPr>
            <w:r>
              <w:rPr>
                <w:b/>
                <w:sz w:val="14"/>
              </w:rPr>
              <w:t>239.98</w:t>
            </w:r>
          </w:p>
        </w:tc>
        <w:tc>
          <w:tcPr>
            <w:tcW w:w="1071" w:type="dxa"/>
          </w:tcPr>
          <w:p>
            <w:pPr>
              <w:pStyle w:val="TableParagraph"/>
              <w:spacing w:line="142" w:lineRule="exact" w:before="77"/>
              <w:ind w:right="54"/>
              <w:jc w:val="right"/>
              <w:rPr>
                <w:b/>
                <w:sz w:val="14"/>
              </w:rPr>
            </w:pPr>
            <w:r>
              <w:rPr>
                <w:b/>
                <w:sz w:val="14"/>
              </w:rPr>
              <w:t>251.86</w:t>
            </w:r>
          </w:p>
        </w:tc>
      </w:tr>
      <w:tr>
        <w:trPr>
          <w:trHeight w:val="160" w:hRule="atLeast"/>
        </w:trPr>
        <w:tc>
          <w:tcPr>
            <w:tcW w:w="4043" w:type="dxa"/>
          </w:tcPr>
          <w:p>
            <w:pPr>
              <w:pStyle w:val="TableParagraph"/>
              <w:spacing w:line="141" w:lineRule="exact"/>
              <w:ind w:left="130"/>
              <w:rPr>
                <w:sz w:val="14"/>
              </w:rPr>
            </w:pPr>
            <w:r>
              <w:rPr>
                <w:sz w:val="14"/>
              </w:rPr>
              <w:t>China</w:t>
            </w:r>
          </w:p>
        </w:tc>
        <w:tc>
          <w:tcPr>
            <w:tcW w:w="3634" w:type="dxa"/>
          </w:tcPr>
          <w:p>
            <w:pPr>
              <w:pStyle w:val="TableParagraph"/>
              <w:spacing w:line="141" w:lineRule="exact"/>
              <w:ind w:right="412"/>
              <w:jc w:val="right"/>
              <w:rPr>
                <w:sz w:val="14"/>
              </w:rPr>
            </w:pPr>
            <w:r>
              <w:rPr>
                <w:sz w:val="14"/>
              </w:rPr>
              <w:t>13.70</w:t>
            </w:r>
          </w:p>
        </w:tc>
        <w:tc>
          <w:tcPr>
            <w:tcW w:w="1533" w:type="dxa"/>
          </w:tcPr>
          <w:p>
            <w:pPr>
              <w:pStyle w:val="TableParagraph"/>
              <w:spacing w:line="141" w:lineRule="exact"/>
              <w:ind w:right="519"/>
              <w:jc w:val="right"/>
              <w:rPr>
                <w:sz w:val="14"/>
              </w:rPr>
            </w:pPr>
            <w:r>
              <w:rPr>
                <w:sz w:val="14"/>
              </w:rPr>
              <w:t>13.81</w:t>
            </w:r>
          </w:p>
        </w:tc>
        <w:tc>
          <w:tcPr>
            <w:tcW w:w="1443" w:type="dxa"/>
          </w:tcPr>
          <w:p>
            <w:pPr>
              <w:pStyle w:val="TableParagraph"/>
              <w:spacing w:line="141" w:lineRule="exact"/>
              <w:ind w:right="321"/>
              <w:jc w:val="right"/>
              <w:rPr>
                <w:sz w:val="14"/>
              </w:rPr>
            </w:pPr>
            <w:r>
              <w:rPr>
                <w:sz w:val="14"/>
              </w:rPr>
              <w:t>13.81</w:t>
            </w:r>
          </w:p>
        </w:tc>
        <w:tc>
          <w:tcPr>
            <w:tcW w:w="1363" w:type="dxa"/>
          </w:tcPr>
          <w:p>
            <w:pPr>
              <w:pStyle w:val="TableParagraph"/>
              <w:spacing w:line="141" w:lineRule="exact"/>
              <w:ind w:right="436"/>
              <w:jc w:val="right"/>
              <w:rPr>
                <w:sz w:val="14"/>
              </w:rPr>
            </w:pPr>
            <w:r>
              <w:rPr>
                <w:sz w:val="14"/>
              </w:rPr>
              <w:t>13.81</w:t>
            </w:r>
          </w:p>
        </w:tc>
        <w:tc>
          <w:tcPr>
            <w:tcW w:w="1071" w:type="dxa"/>
          </w:tcPr>
          <w:p>
            <w:pPr>
              <w:pStyle w:val="TableParagraph"/>
              <w:spacing w:line="141" w:lineRule="exact"/>
              <w:ind w:right="33"/>
              <w:jc w:val="right"/>
              <w:rPr>
                <w:sz w:val="14"/>
              </w:rPr>
            </w:pPr>
            <w:r>
              <w:rPr>
                <w:sz w:val="14"/>
              </w:rPr>
              <w:t>13.81</w:t>
            </w:r>
          </w:p>
        </w:tc>
      </w:tr>
      <w:tr>
        <w:trPr>
          <w:trHeight w:val="160" w:hRule="atLeast"/>
        </w:trPr>
        <w:tc>
          <w:tcPr>
            <w:tcW w:w="4043" w:type="dxa"/>
          </w:tcPr>
          <w:p>
            <w:pPr>
              <w:pStyle w:val="TableParagraph"/>
              <w:spacing w:line="141" w:lineRule="exact"/>
              <w:ind w:left="117"/>
              <w:rPr>
                <w:sz w:val="14"/>
              </w:rPr>
            </w:pPr>
            <w:r>
              <w:rPr>
                <w:sz w:val="14"/>
              </w:rPr>
              <w:t>Exim Bank of China</w:t>
            </w:r>
          </w:p>
        </w:tc>
        <w:tc>
          <w:tcPr>
            <w:tcW w:w="3634" w:type="dxa"/>
          </w:tcPr>
          <w:p>
            <w:pPr>
              <w:pStyle w:val="TableParagraph"/>
              <w:spacing w:line="141" w:lineRule="exact"/>
              <w:ind w:right="402"/>
              <w:jc w:val="right"/>
              <w:rPr>
                <w:sz w:val="14"/>
              </w:rPr>
            </w:pPr>
            <w:r>
              <w:rPr>
                <w:sz w:val="14"/>
              </w:rPr>
              <w:t>32.13</w:t>
            </w:r>
          </w:p>
        </w:tc>
        <w:tc>
          <w:tcPr>
            <w:tcW w:w="1533" w:type="dxa"/>
          </w:tcPr>
          <w:p>
            <w:pPr>
              <w:pStyle w:val="TableParagraph"/>
              <w:spacing w:line="141" w:lineRule="exact"/>
              <w:ind w:right="519"/>
              <w:jc w:val="right"/>
              <w:rPr>
                <w:sz w:val="14"/>
              </w:rPr>
            </w:pPr>
            <w:r>
              <w:rPr>
                <w:sz w:val="14"/>
              </w:rPr>
              <w:t>35.23</w:t>
            </w:r>
          </w:p>
        </w:tc>
        <w:tc>
          <w:tcPr>
            <w:tcW w:w="1443" w:type="dxa"/>
          </w:tcPr>
          <w:p>
            <w:pPr>
              <w:pStyle w:val="TableParagraph"/>
              <w:spacing w:line="141" w:lineRule="exact"/>
              <w:ind w:right="321"/>
              <w:jc w:val="right"/>
              <w:rPr>
                <w:sz w:val="14"/>
              </w:rPr>
            </w:pPr>
            <w:r>
              <w:rPr>
                <w:sz w:val="14"/>
              </w:rPr>
              <w:t>36.28</w:t>
            </w:r>
          </w:p>
        </w:tc>
        <w:tc>
          <w:tcPr>
            <w:tcW w:w="1363" w:type="dxa"/>
          </w:tcPr>
          <w:p>
            <w:pPr>
              <w:pStyle w:val="TableParagraph"/>
              <w:spacing w:line="141" w:lineRule="exact"/>
              <w:ind w:right="436"/>
              <w:jc w:val="right"/>
              <w:rPr>
                <w:sz w:val="14"/>
              </w:rPr>
            </w:pPr>
            <w:r>
              <w:rPr>
                <w:sz w:val="14"/>
              </w:rPr>
              <w:t>37.37</w:t>
            </w:r>
          </w:p>
        </w:tc>
        <w:tc>
          <w:tcPr>
            <w:tcW w:w="1071" w:type="dxa"/>
          </w:tcPr>
          <w:p>
            <w:pPr>
              <w:pStyle w:val="TableParagraph"/>
              <w:spacing w:line="141" w:lineRule="exact"/>
              <w:ind w:right="33"/>
              <w:jc w:val="right"/>
              <w:rPr>
                <w:sz w:val="14"/>
              </w:rPr>
            </w:pPr>
            <w:r>
              <w:rPr>
                <w:sz w:val="14"/>
              </w:rPr>
              <w:t>38.49</w:t>
            </w:r>
          </w:p>
        </w:tc>
      </w:tr>
      <w:tr>
        <w:trPr>
          <w:trHeight w:val="158" w:hRule="atLeast"/>
        </w:trPr>
        <w:tc>
          <w:tcPr>
            <w:tcW w:w="4043" w:type="dxa"/>
          </w:tcPr>
          <w:p>
            <w:pPr>
              <w:pStyle w:val="TableParagraph"/>
              <w:spacing w:line="138" w:lineRule="exact"/>
              <w:ind w:left="97"/>
              <w:rPr>
                <w:sz w:val="14"/>
              </w:rPr>
            </w:pPr>
            <w:r>
              <w:rPr>
                <w:sz w:val="14"/>
              </w:rPr>
              <w:t>Kuwait Fund</w:t>
            </w:r>
          </w:p>
        </w:tc>
        <w:tc>
          <w:tcPr>
            <w:tcW w:w="3634" w:type="dxa"/>
          </w:tcPr>
          <w:p>
            <w:pPr>
              <w:pStyle w:val="TableParagraph"/>
              <w:spacing w:line="138" w:lineRule="exact"/>
              <w:ind w:right="402"/>
              <w:jc w:val="right"/>
              <w:rPr>
                <w:sz w:val="14"/>
              </w:rPr>
            </w:pPr>
            <w:r>
              <w:rPr>
                <w:sz w:val="14"/>
              </w:rPr>
              <w:t>59.54</w:t>
            </w:r>
          </w:p>
        </w:tc>
        <w:tc>
          <w:tcPr>
            <w:tcW w:w="1533" w:type="dxa"/>
          </w:tcPr>
          <w:p>
            <w:pPr>
              <w:pStyle w:val="TableParagraph"/>
              <w:spacing w:line="138" w:lineRule="exact"/>
              <w:ind w:right="519"/>
              <w:jc w:val="right"/>
              <w:rPr>
                <w:sz w:val="14"/>
              </w:rPr>
            </w:pPr>
            <w:r>
              <w:rPr>
                <w:sz w:val="14"/>
              </w:rPr>
              <w:t>56.16</w:t>
            </w:r>
          </w:p>
        </w:tc>
        <w:tc>
          <w:tcPr>
            <w:tcW w:w="1443" w:type="dxa"/>
          </w:tcPr>
          <w:p>
            <w:pPr>
              <w:pStyle w:val="TableParagraph"/>
              <w:spacing w:line="138" w:lineRule="exact"/>
              <w:ind w:right="321"/>
              <w:jc w:val="right"/>
              <w:rPr>
                <w:sz w:val="14"/>
              </w:rPr>
            </w:pPr>
            <w:r>
              <w:rPr>
                <w:sz w:val="14"/>
              </w:rPr>
              <w:t>57.84</w:t>
            </w:r>
          </w:p>
        </w:tc>
        <w:tc>
          <w:tcPr>
            <w:tcW w:w="1363" w:type="dxa"/>
          </w:tcPr>
          <w:p>
            <w:pPr>
              <w:pStyle w:val="TableParagraph"/>
              <w:spacing w:line="138" w:lineRule="exact"/>
              <w:ind w:right="436"/>
              <w:jc w:val="right"/>
              <w:rPr>
                <w:sz w:val="14"/>
              </w:rPr>
            </w:pPr>
            <w:r>
              <w:rPr>
                <w:sz w:val="14"/>
              </w:rPr>
              <w:t>59.58</w:t>
            </w:r>
          </w:p>
        </w:tc>
        <w:tc>
          <w:tcPr>
            <w:tcW w:w="1071" w:type="dxa"/>
          </w:tcPr>
          <w:p>
            <w:pPr>
              <w:pStyle w:val="TableParagraph"/>
              <w:spacing w:line="138" w:lineRule="exact"/>
              <w:ind w:right="33"/>
              <w:jc w:val="right"/>
              <w:rPr>
                <w:sz w:val="14"/>
              </w:rPr>
            </w:pPr>
            <w:r>
              <w:rPr>
                <w:sz w:val="14"/>
              </w:rPr>
              <w:t>61.36</w:t>
            </w:r>
          </w:p>
        </w:tc>
      </w:tr>
      <w:tr>
        <w:trPr>
          <w:trHeight w:val="160" w:hRule="atLeast"/>
        </w:trPr>
        <w:tc>
          <w:tcPr>
            <w:tcW w:w="4043" w:type="dxa"/>
          </w:tcPr>
          <w:p>
            <w:pPr>
              <w:pStyle w:val="TableParagraph"/>
              <w:spacing w:line="141" w:lineRule="exact"/>
              <w:ind w:left="121"/>
              <w:rPr>
                <w:sz w:val="14"/>
              </w:rPr>
            </w:pPr>
            <w:r>
              <w:rPr>
                <w:sz w:val="14"/>
              </w:rPr>
              <w:t>Saudi Fund</w:t>
            </w:r>
          </w:p>
        </w:tc>
        <w:tc>
          <w:tcPr>
            <w:tcW w:w="3634" w:type="dxa"/>
          </w:tcPr>
          <w:p>
            <w:pPr>
              <w:pStyle w:val="TableParagraph"/>
              <w:spacing w:line="141" w:lineRule="exact"/>
              <w:ind w:right="412"/>
              <w:jc w:val="right"/>
              <w:rPr>
                <w:sz w:val="14"/>
              </w:rPr>
            </w:pPr>
            <w:r>
              <w:rPr>
                <w:sz w:val="14"/>
              </w:rPr>
              <w:t>28.49</w:t>
            </w:r>
          </w:p>
        </w:tc>
        <w:tc>
          <w:tcPr>
            <w:tcW w:w="1533" w:type="dxa"/>
          </w:tcPr>
          <w:p>
            <w:pPr>
              <w:pStyle w:val="TableParagraph"/>
              <w:spacing w:line="141" w:lineRule="exact"/>
              <w:ind w:right="520"/>
              <w:jc w:val="right"/>
              <w:rPr>
                <w:sz w:val="14"/>
              </w:rPr>
            </w:pPr>
            <w:r>
              <w:rPr>
                <w:w w:val="95"/>
                <w:sz w:val="14"/>
              </w:rPr>
              <w:t>27.9</w:t>
            </w:r>
          </w:p>
        </w:tc>
        <w:tc>
          <w:tcPr>
            <w:tcW w:w="1443" w:type="dxa"/>
          </w:tcPr>
          <w:p>
            <w:pPr>
              <w:pStyle w:val="TableParagraph"/>
              <w:spacing w:line="141" w:lineRule="exact"/>
              <w:ind w:right="317"/>
              <w:jc w:val="right"/>
              <w:rPr>
                <w:sz w:val="14"/>
              </w:rPr>
            </w:pPr>
            <w:r>
              <w:rPr>
                <w:w w:val="95"/>
                <w:sz w:val="14"/>
              </w:rPr>
              <w:t>27.3</w:t>
            </w:r>
          </w:p>
        </w:tc>
        <w:tc>
          <w:tcPr>
            <w:tcW w:w="1363" w:type="dxa"/>
          </w:tcPr>
          <w:p>
            <w:pPr>
              <w:pStyle w:val="TableParagraph"/>
              <w:spacing w:line="141" w:lineRule="exact"/>
              <w:ind w:right="437"/>
              <w:jc w:val="right"/>
              <w:rPr>
                <w:sz w:val="14"/>
              </w:rPr>
            </w:pPr>
            <w:r>
              <w:rPr>
                <w:w w:val="95"/>
                <w:sz w:val="14"/>
              </w:rPr>
              <w:t>26.7</w:t>
            </w:r>
          </w:p>
        </w:tc>
        <w:tc>
          <w:tcPr>
            <w:tcW w:w="1071" w:type="dxa"/>
          </w:tcPr>
          <w:p>
            <w:pPr>
              <w:pStyle w:val="TableParagraph"/>
              <w:spacing w:line="141" w:lineRule="exact"/>
              <w:ind w:right="33"/>
              <w:jc w:val="right"/>
              <w:rPr>
                <w:sz w:val="14"/>
              </w:rPr>
            </w:pPr>
            <w:r>
              <w:rPr>
                <w:sz w:val="14"/>
              </w:rPr>
              <w:t>27.13</w:t>
            </w:r>
          </w:p>
        </w:tc>
      </w:tr>
      <w:tr>
        <w:trPr>
          <w:trHeight w:val="160" w:hRule="atLeast"/>
        </w:trPr>
        <w:tc>
          <w:tcPr>
            <w:tcW w:w="4043" w:type="dxa"/>
          </w:tcPr>
          <w:p>
            <w:pPr>
              <w:pStyle w:val="TableParagraph"/>
              <w:spacing w:line="141" w:lineRule="exact"/>
              <w:ind w:left="117"/>
              <w:rPr>
                <w:sz w:val="14"/>
              </w:rPr>
            </w:pPr>
            <w:r>
              <w:rPr>
                <w:sz w:val="14"/>
              </w:rPr>
              <w:t>Exim Bank of India</w:t>
            </w:r>
          </w:p>
        </w:tc>
        <w:tc>
          <w:tcPr>
            <w:tcW w:w="3634" w:type="dxa"/>
          </w:tcPr>
          <w:p>
            <w:pPr>
              <w:pStyle w:val="TableParagraph"/>
              <w:spacing w:line="141" w:lineRule="exact"/>
              <w:ind w:right="402"/>
              <w:jc w:val="right"/>
              <w:rPr>
                <w:sz w:val="14"/>
              </w:rPr>
            </w:pPr>
            <w:r>
              <w:rPr>
                <w:sz w:val="14"/>
              </w:rPr>
              <w:t>32.69</w:t>
            </w:r>
          </w:p>
        </w:tc>
        <w:tc>
          <w:tcPr>
            <w:tcW w:w="1533" w:type="dxa"/>
          </w:tcPr>
          <w:p>
            <w:pPr>
              <w:pStyle w:val="TableParagraph"/>
              <w:spacing w:line="141" w:lineRule="exact"/>
              <w:ind w:right="520"/>
              <w:jc w:val="right"/>
              <w:rPr>
                <w:sz w:val="14"/>
              </w:rPr>
            </w:pPr>
            <w:r>
              <w:rPr>
                <w:w w:val="95"/>
                <w:sz w:val="14"/>
              </w:rPr>
              <w:t>39.2</w:t>
            </w:r>
          </w:p>
        </w:tc>
        <w:tc>
          <w:tcPr>
            <w:tcW w:w="1443" w:type="dxa"/>
          </w:tcPr>
          <w:p>
            <w:pPr>
              <w:pStyle w:val="TableParagraph"/>
              <w:spacing w:line="141" w:lineRule="exact"/>
              <w:ind w:right="317"/>
              <w:jc w:val="right"/>
              <w:rPr>
                <w:sz w:val="14"/>
              </w:rPr>
            </w:pPr>
            <w:r>
              <w:rPr>
                <w:w w:val="95"/>
                <w:sz w:val="14"/>
              </w:rPr>
              <w:t>47.1</w:t>
            </w:r>
          </w:p>
        </w:tc>
        <w:tc>
          <w:tcPr>
            <w:tcW w:w="1363" w:type="dxa"/>
          </w:tcPr>
          <w:p>
            <w:pPr>
              <w:pStyle w:val="TableParagraph"/>
              <w:spacing w:line="141" w:lineRule="exact"/>
              <w:ind w:right="437"/>
              <w:jc w:val="right"/>
              <w:rPr>
                <w:sz w:val="14"/>
              </w:rPr>
            </w:pPr>
            <w:r>
              <w:rPr>
                <w:w w:val="95"/>
                <w:sz w:val="14"/>
              </w:rPr>
              <w:t>51.8</w:t>
            </w:r>
          </w:p>
        </w:tc>
        <w:tc>
          <w:tcPr>
            <w:tcW w:w="1071" w:type="dxa"/>
          </w:tcPr>
          <w:p>
            <w:pPr>
              <w:pStyle w:val="TableParagraph"/>
              <w:spacing w:line="141" w:lineRule="exact"/>
              <w:ind w:right="34"/>
              <w:jc w:val="right"/>
              <w:rPr>
                <w:sz w:val="14"/>
              </w:rPr>
            </w:pPr>
            <w:r>
              <w:rPr>
                <w:w w:val="95"/>
                <w:sz w:val="14"/>
              </w:rPr>
              <w:t>57.0</w:t>
            </w:r>
          </w:p>
        </w:tc>
      </w:tr>
      <w:tr>
        <w:trPr>
          <w:trHeight w:val="158" w:hRule="atLeast"/>
        </w:trPr>
        <w:tc>
          <w:tcPr>
            <w:tcW w:w="4043" w:type="dxa"/>
          </w:tcPr>
          <w:p>
            <w:pPr>
              <w:pStyle w:val="TableParagraph"/>
              <w:spacing w:line="138" w:lineRule="exact"/>
              <w:ind w:left="107"/>
              <w:rPr>
                <w:sz w:val="14"/>
              </w:rPr>
            </w:pPr>
            <w:r>
              <w:rPr>
                <w:sz w:val="14"/>
              </w:rPr>
              <w:t>Exim Bank of Korea</w:t>
            </w:r>
          </w:p>
        </w:tc>
        <w:tc>
          <w:tcPr>
            <w:tcW w:w="3634" w:type="dxa"/>
          </w:tcPr>
          <w:p>
            <w:pPr>
              <w:pStyle w:val="TableParagraph"/>
              <w:spacing w:line="138" w:lineRule="exact"/>
              <w:ind w:right="402"/>
              <w:jc w:val="right"/>
              <w:rPr>
                <w:sz w:val="14"/>
              </w:rPr>
            </w:pPr>
            <w:r>
              <w:rPr>
                <w:sz w:val="14"/>
              </w:rPr>
              <w:t>25.86</w:t>
            </w:r>
          </w:p>
        </w:tc>
        <w:tc>
          <w:tcPr>
            <w:tcW w:w="1533" w:type="dxa"/>
          </w:tcPr>
          <w:p>
            <w:pPr>
              <w:pStyle w:val="TableParagraph"/>
              <w:spacing w:line="138" w:lineRule="exact"/>
              <w:ind w:right="520"/>
              <w:jc w:val="right"/>
              <w:rPr>
                <w:sz w:val="14"/>
              </w:rPr>
            </w:pPr>
            <w:r>
              <w:rPr>
                <w:w w:val="95"/>
                <w:sz w:val="14"/>
              </w:rPr>
              <w:t>33.1</w:t>
            </w:r>
          </w:p>
        </w:tc>
        <w:tc>
          <w:tcPr>
            <w:tcW w:w="1443" w:type="dxa"/>
          </w:tcPr>
          <w:p>
            <w:pPr>
              <w:pStyle w:val="TableParagraph"/>
              <w:spacing w:line="138" w:lineRule="exact"/>
              <w:ind w:right="317"/>
              <w:jc w:val="right"/>
              <w:rPr>
                <w:sz w:val="14"/>
              </w:rPr>
            </w:pPr>
            <w:r>
              <w:rPr>
                <w:w w:val="95"/>
                <w:sz w:val="14"/>
              </w:rPr>
              <w:t>38.0</w:t>
            </w:r>
          </w:p>
        </w:tc>
        <w:tc>
          <w:tcPr>
            <w:tcW w:w="1363" w:type="dxa"/>
          </w:tcPr>
          <w:p>
            <w:pPr>
              <w:pStyle w:val="TableParagraph"/>
              <w:spacing w:line="138" w:lineRule="exact"/>
              <w:ind w:right="437"/>
              <w:jc w:val="right"/>
              <w:rPr>
                <w:sz w:val="14"/>
              </w:rPr>
            </w:pPr>
            <w:r>
              <w:rPr>
                <w:w w:val="95"/>
                <w:sz w:val="14"/>
              </w:rPr>
              <w:t>42.9</w:t>
            </w:r>
          </w:p>
        </w:tc>
        <w:tc>
          <w:tcPr>
            <w:tcW w:w="1071" w:type="dxa"/>
          </w:tcPr>
          <w:p>
            <w:pPr>
              <w:pStyle w:val="TableParagraph"/>
              <w:spacing w:line="138" w:lineRule="exact"/>
              <w:ind w:right="33"/>
              <w:jc w:val="right"/>
              <w:rPr>
                <w:sz w:val="14"/>
              </w:rPr>
            </w:pPr>
            <w:r>
              <w:rPr>
                <w:sz w:val="14"/>
              </w:rPr>
              <w:t>45.80</w:t>
            </w:r>
          </w:p>
        </w:tc>
      </w:tr>
      <w:tr>
        <w:trPr>
          <w:trHeight w:val="240" w:hRule="atLeast"/>
        </w:trPr>
        <w:tc>
          <w:tcPr>
            <w:tcW w:w="4043" w:type="dxa"/>
          </w:tcPr>
          <w:p>
            <w:pPr>
              <w:pStyle w:val="TableParagraph"/>
              <w:spacing w:line="157" w:lineRule="exact"/>
              <w:ind w:left="116"/>
              <w:rPr>
                <w:sz w:val="14"/>
              </w:rPr>
            </w:pPr>
            <w:r>
              <w:rPr>
                <w:sz w:val="14"/>
              </w:rPr>
              <w:t>Abu Dhabi</w:t>
            </w:r>
          </w:p>
        </w:tc>
        <w:tc>
          <w:tcPr>
            <w:tcW w:w="3634" w:type="dxa"/>
          </w:tcPr>
          <w:p>
            <w:pPr>
              <w:pStyle w:val="TableParagraph"/>
              <w:spacing w:line="157" w:lineRule="exact"/>
              <w:ind w:right="403"/>
              <w:jc w:val="right"/>
              <w:rPr>
                <w:sz w:val="14"/>
              </w:rPr>
            </w:pPr>
            <w:r>
              <w:rPr>
                <w:w w:val="95"/>
                <w:sz w:val="14"/>
              </w:rPr>
              <w:t>6.17</w:t>
            </w:r>
          </w:p>
        </w:tc>
        <w:tc>
          <w:tcPr>
            <w:tcW w:w="1533" w:type="dxa"/>
          </w:tcPr>
          <w:p>
            <w:pPr>
              <w:pStyle w:val="TableParagraph"/>
              <w:spacing w:line="157" w:lineRule="exact"/>
              <w:ind w:right="516"/>
              <w:jc w:val="right"/>
              <w:rPr>
                <w:sz w:val="14"/>
              </w:rPr>
            </w:pPr>
            <w:r>
              <w:rPr>
                <w:w w:val="95"/>
                <w:sz w:val="14"/>
              </w:rPr>
              <w:t>6.8</w:t>
            </w:r>
          </w:p>
        </w:tc>
        <w:tc>
          <w:tcPr>
            <w:tcW w:w="1443" w:type="dxa"/>
          </w:tcPr>
          <w:p>
            <w:pPr>
              <w:pStyle w:val="TableParagraph"/>
              <w:spacing w:line="157" w:lineRule="exact"/>
              <w:ind w:right="317"/>
              <w:jc w:val="right"/>
              <w:rPr>
                <w:sz w:val="14"/>
              </w:rPr>
            </w:pPr>
            <w:r>
              <w:rPr>
                <w:w w:val="95"/>
                <w:sz w:val="14"/>
              </w:rPr>
              <w:t>7.5</w:t>
            </w:r>
          </w:p>
        </w:tc>
        <w:tc>
          <w:tcPr>
            <w:tcW w:w="1363" w:type="dxa"/>
          </w:tcPr>
          <w:p>
            <w:pPr>
              <w:pStyle w:val="TableParagraph"/>
              <w:spacing w:line="157" w:lineRule="exact"/>
              <w:ind w:right="432"/>
              <w:jc w:val="right"/>
              <w:rPr>
                <w:sz w:val="14"/>
              </w:rPr>
            </w:pPr>
            <w:r>
              <w:rPr>
                <w:w w:val="95"/>
                <w:sz w:val="14"/>
              </w:rPr>
              <w:t>7.8</w:t>
            </w:r>
          </w:p>
        </w:tc>
        <w:tc>
          <w:tcPr>
            <w:tcW w:w="1071" w:type="dxa"/>
          </w:tcPr>
          <w:p>
            <w:pPr>
              <w:pStyle w:val="TableParagraph"/>
              <w:spacing w:line="157" w:lineRule="exact"/>
              <w:ind w:right="34"/>
              <w:jc w:val="right"/>
              <w:rPr>
                <w:sz w:val="14"/>
              </w:rPr>
            </w:pPr>
            <w:r>
              <w:rPr>
                <w:sz w:val="14"/>
              </w:rPr>
              <w:t>8.31</w:t>
            </w:r>
          </w:p>
        </w:tc>
      </w:tr>
      <w:tr>
        <w:trPr>
          <w:trHeight w:val="273" w:hRule="atLeast"/>
        </w:trPr>
        <w:tc>
          <w:tcPr>
            <w:tcW w:w="4043" w:type="dxa"/>
          </w:tcPr>
          <w:p>
            <w:pPr>
              <w:pStyle w:val="TableParagraph"/>
              <w:spacing w:before="77"/>
              <w:ind w:left="106"/>
              <w:rPr>
                <w:b/>
                <w:sz w:val="14"/>
              </w:rPr>
            </w:pPr>
            <w:r>
              <w:rPr>
                <w:b/>
                <w:sz w:val="14"/>
              </w:rPr>
              <w:t>Commercial</w:t>
            </w:r>
          </w:p>
        </w:tc>
        <w:tc>
          <w:tcPr>
            <w:tcW w:w="3634" w:type="dxa"/>
          </w:tcPr>
          <w:p>
            <w:pPr>
              <w:pStyle w:val="TableParagraph"/>
              <w:spacing w:before="77"/>
              <w:ind w:right="433"/>
              <w:jc w:val="right"/>
              <w:rPr>
                <w:b/>
                <w:sz w:val="14"/>
              </w:rPr>
            </w:pPr>
            <w:r>
              <w:rPr>
                <w:b/>
                <w:w w:val="95"/>
                <w:sz w:val="14"/>
              </w:rPr>
              <w:t>187.05</w:t>
            </w:r>
          </w:p>
        </w:tc>
        <w:tc>
          <w:tcPr>
            <w:tcW w:w="1533" w:type="dxa"/>
          </w:tcPr>
          <w:p>
            <w:pPr>
              <w:pStyle w:val="TableParagraph"/>
              <w:spacing w:before="77"/>
              <w:ind w:right="545"/>
              <w:jc w:val="right"/>
              <w:rPr>
                <w:b/>
                <w:sz w:val="14"/>
              </w:rPr>
            </w:pPr>
            <w:r>
              <w:rPr>
                <w:b/>
                <w:sz w:val="14"/>
              </w:rPr>
              <w:t>179.55</w:t>
            </w:r>
          </w:p>
        </w:tc>
        <w:tc>
          <w:tcPr>
            <w:tcW w:w="1443" w:type="dxa"/>
          </w:tcPr>
          <w:p>
            <w:pPr>
              <w:pStyle w:val="TableParagraph"/>
              <w:spacing w:before="77"/>
              <w:ind w:right="341"/>
              <w:jc w:val="right"/>
              <w:rPr>
                <w:b/>
                <w:sz w:val="14"/>
              </w:rPr>
            </w:pPr>
            <w:r>
              <w:rPr>
                <w:b/>
                <w:sz w:val="14"/>
              </w:rPr>
              <w:t>172.05</w:t>
            </w:r>
          </w:p>
        </w:tc>
        <w:tc>
          <w:tcPr>
            <w:tcW w:w="1363" w:type="dxa"/>
          </w:tcPr>
          <w:p>
            <w:pPr>
              <w:pStyle w:val="TableParagraph"/>
              <w:spacing w:before="77"/>
              <w:ind w:right="461"/>
              <w:jc w:val="right"/>
              <w:rPr>
                <w:b/>
                <w:sz w:val="14"/>
              </w:rPr>
            </w:pPr>
            <w:r>
              <w:rPr>
                <w:b/>
                <w:sz w:val="14"/>
              </w:rPr>
              <w:t>164.55</w:t>
            </w:r>
          </w:p>
        </w:tc>
        <w:tc>
          <w:tcPr>
            <w:tcW w:w="1071" w:type="dxa"/>
          </w:tcPr>
          <w:p>
            <w:pPr>
              <w:pStyle w:val="TableParagraph"/>
              <w:spacing w:before="77"/>
              <w:ind w:right="54"/>
              <w:jc w:val="right"/>
              <w:rPr>
                <w:b/>
                <w:sz w:val="14"/>
              </w:rPr>
            </w:pPr>
            <w:r>
              <w:rPr>
                <w:b/>
                <w:sz w:val="14"/>
              </w:rPr>
              <w:t>157.05</w:t>
            </w:r>
          </w:p>
        </w:tc>
      </w:tr>
    </w:tbl>
    <w:sectPr>
      <w:headerReference w:type="default" r:id="rId25"/>
      <w:pgSz w:w="16840" w:h="11900" w:orient="landscape"/>
      <w:pgMar w:header="0" w:footer="0" w:top="1040" w:bottom="280" w:left="88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auto"/>
    <w:pitch w:val="default"/>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9pt;margin-top:55.139297pt;width:119.8pt;height:9.8pt;mso-position-horizontal-relative:page;mso-position-vertical-relative:page;z-index:-1067272" type="#_x0000_t202" filled="false" stroked="false">
          <v:textbox inset="0,0,0,0">
            <w:txbxContent>
              <w:p>
                <w:pPr>
                  <w:spacing w:before="14"/>
                  <w:ind w:left="20" w:right="0" w:firstLine="0"/>
                  <w:jc w:val="left"/>
                  <w:rPr>
                    <w:rFonts w:ascii="Arial"/>
                    <w:b/>
                    <w:sz w:val="14"/>
                  </w:rPr>
                </w:pPr>
                <w:r>
                  <w:rPr>
                    <w:rFonts w:ascii="Arial"/>
                    <w:b/>
                    <w:sz w:val="14"/>
                  </w:rPr>
                  <w:t>GOVERNMENT OF SIERRA LEONE</w:t>
                </w:r>
              </w:p>
            </w:txbxContent>
          </v:textbox>
          <w10:wrap type="none"/>
        </v:shape>
      </w:pict>
    </w:r>
    <w:r>
      <w:rPr/>
      <w:pict>
        <v:shape style="position:absolute;margin-left:334.519989pt;margin-top:73.139297pt;width:166.25pt;height:9.8pt;mso-position-horizontal-relative:page;mso-position-vertical-relative:page;z-index:-1067248" type="#_x0000_t202" filled="false" stroked="false">
          <v:textbox inset="0,0,0,0">
            <w:txbxContent>
              <w:p>
                <w:pPr>
                  <w:spacing w:before="14"/>
                  <w:ind w:left="20" w:right="0" w:firstLine="0"/>
                  <w:jc w:val="left"/>
                  <w:rPr>
                    <w:rFonts w:ascii="Arial" w:hAnsi="Arial"/>
                    <w:b/>
                    <w:sz w:val="14"/>
                  </w:rPr>
                </w:pPr>
                <w:r>
                  <w:rPr>
                    <w:rFonts w:ascii="Arial" w:hAnsi="Arial"/>
                    <w:b/>
                    <w:sz w:val="14"/>
                  </w:rPr>
                  <w:t>ANNEX 1– BUDGET PROFILE FOR FY2018–2022</w:t>
                </w:r>
              </w:p>
            </w:txbxContent>
          </v:textbox>
          <w10:wrap type="none"/>
        </v:shape>
      </w:pict>
    </w:r>
    <w:r>
      <w:rPr/>
      <w:pict>
        <v:shape style="position:absolute;margin-left:49.941093pt;margin-top:82.2593pt;width:96.8pt;height:9.8pt;mso-position-horizontal-relative:page;mso-position-vertical-relative:page;z-index:-1067224" type="#_x0000_t202" filled="false" stroked="false">
          <v:textbox inset="0,0,0,0">
            <w:txbxContent>
              <w:p>
                <w:pPr>
                  <w:spacing w:before="14"/>
                  <w:ind w:left="20" w:right="0" w:firstLine="0"/>
                  <w:jc w:val="left"/>
                  <w:rPr>
                    <w:rFonts w:ascii="Arial" w:hAnsi="Arial"/>
                    <w:b/>
                    <w:sz w:val="14"/>
                  </w:rPr>
                </w:pPr>
                <w:r>
                  <w:rPr>
                    <w:rFonts w:ascii="Arial" w:hAnsi="Arial"/>
                    <w:b/>
                    <w:sz w:val="14"/>
                  </w:rPr>
                  <w:t>In millions of Leones (Le’m)</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6.360001pt;margin-top:53.401173pt;width:414.25pt;height:11.95pt;mso-position-horizontal-relative:page;mso-position-vertical-relative:page;z-index:-1066840" type="#_x0000_t202" filled="false" stroked="false">
          <v:textbox inset="0,0,0,0">
            <w:txbxContent>
              <w:p>
                <w:pPr>
                  <w:spacing w:before="21"/>
                  <w:ind w:left="20" w:right="0" w:firstLine="0"/>
                  <w:jc w:val="left"/>
                  <w:rPr>
                    <w:rFonts w:ascii="Arial"/>
                    <w:b/>
                    <w:sz w:val="17"/>
                  </w:rPr>
                </w:pPr>
                <w:r>
                  <w:rPr>
                    <w:rFonts w:ascii="Arial"/>
                    <w:b/>
                    <w:w w:val="105"/>
                    <w:sz w:val="17"/>
                  </w:rPr>
                  <w:t>ANNEX 7-FINANCIAL PERFORMANCE OF STATE-OWNED ENTERPRISES FY2018 TO 2022</w:t>
                </w:r>
              </w:p>
            </w:txbxContent>
          </v:textbox>
          <w10:wrap type="none"/>
        </v:shape>
      </w:pict>
    </w:r>
    <w:r>
      <w:rPr/>
      <w:pict>
        <v:shape style="position:absolute;margin-left:49.941093pt;margin-top:64.201172pt;width:104pt;height:11.95pt;mso-position-horizontal-relative:page;mso-position-vertical-relative:page;z-index:-1066816" type="#_x0000_t202" filled="false" stroked="false">
          <v:textbox inset="0,0,0,0">
            <w:txbxContent>
              <w:p>
                <w:pPr>
                  <w:spacing w:before="21"/>
                  <w:ind w:left="20" w:right="0" w:firstLine="0"/>
                  <w:jc w:val="left"/>
                  <w:rPr>
                    <w:rFonts w:ascii="Arial"/>
                    <w:b/>
                    <w:sz w:val="17"/>
                  </w:rPr>
                </w:pPr>
                <w:r>
                  <w:rPr>
                    <w:rFonts w:ascii="Arial"/>
                    <w:b/>
                    <w:w w:val="105"/>
                    <w:sz w:val="17"/>
                  </w:rPr>
                  <w:t>In Millions of Leones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880005pt;margin-top:51.001171pt;width:160.6pt;height:11.95pt;mso-position-horizontal-relative:page;mso-position-vertical-relative:page;z-index:-1066792" type="#_x0000_t202" filled="false" stroked="false">
          <v:textbox inset="0,0,0,0">
            <w:txbxContent>
              <w:p>
                <w:pPr>
                  <w:spacing w:before="21"/>
                  <w:ind w:left="20" w:right="0" w:firstLine="0"/>
                  <w:jc w:val="left"/>
                  <w:rPr>
                    <w:rFonts w:ascii="Arial"/>
                    <w:b/>
                    <w:sz w:val="17"/>
                  </w:rPr>
                </w:pPr>
                <w:r>
                  <w:rPr>
                    <w:rFonts w:ascii="Arial"/>
                    <w:b/>
                    <w:w w:val="105"/>
                    <w:sz w:val="17"/>
                  </w:rPr>
                  <w:t>GOVERNMENT OF SIERRA LEONE</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67200" from="50.880001pt,134.919998pt" to="790.560001pt,134.919998pt" stroked="true" strokeweight=".48pt" strokecolor="#000000">
          <v:stroke dashstyle="solid"/>
          <w10:wrap type="none"/>
        </v:line>
      </w:pict>
    </w:r>
    <w:r>
      <w:rPr/>
      <w:pict>
        <v:shape style="position:absolute;margin-left:337.880005pt;margin-top:52.201172pt;width:160.6pt;height:11.95pt;mso-position-horizontal-relative:page;mso-position-vertical-relative:page;z-index:-1067176" type="#_x0000_t202" filled="false" stroked="false">
          <v:textbox inset="0,0,0,0">
            <w:txbxContent>
              <w:p>
                <w:pPr>
                  <w:spacing w:before="21"/>
                  <w:ind w:left="20" w:right="0" w:firstLine="0"/>
                  <w:jc w:val="left"/>
                  <w:rPr>
                    <w:rFonts w:ascii="Arial"/>
                    <w:b/>
                    <w:sz w:val="17"/>
                  </w:rPr>
                </w:pPr>
                <w:r>
                  <w:rPr>
                    <w:rFonts w:ascii="Arial"/>
                    <w:b/>
                    <w:w w:val="105"/>
                    <w:sz w:val="17"/>
                  </w:rPr>
                  <w:t>GOVERNMENT OF SIERRA LEONE</w:t>
                </w:r>
              </w:p>
            </w:txbxContent>
          </v:textbox>
          <w10:wrap type="none"/>
        </v:shape>
      </w:pict>
    </w:r>
    <w:r>
      <w:rPr/>
      <w:pict>
        <v:shape style="position:absolute;margin-left:175.639999pt;margin-top:79.081169pt;width:475.45pt;height:11.95pt;mso-position-horizontal-relative:page;mso-position-vertical-relative:page;z-index:-1067152" type="#_x0000_t202" filled="false" stroked="false">
          <v:textbox inset="0,0,0,0">
            <w:txbxContent>
              <w:p>
                <w:pPr>
                  <w:spacing w:before="21"/>
                  <w:ind w:left="20" w:right="0" w:firstLine="0"/>
                  <w:jc w:val="left"/>
                  <w:rPr>
                    <w:rFonts w:ascii="Arial"/>
                    <w:b/>
                    <w:sz w:val="17"/>
                  </w:rPr>
                </w:pPr>
                <w:r>
                  <w:rPr>
                    <w:rFonts w:ascii="Arial"/>
                    <w:b/>
                    <w:w w:val="105"/>
                    <w:sz w:val="17"/>
                  </w:rPr>
                  <w:t>ANNEX 2A: NON SALARY, NON INTEREST RECURRENT BUDGETARY ALLOCATIONS FOR FY 2020-2022</w:t>
                </w:r>
              </w:p>
            </w:txbxContent>
          </v:textbox>
          <w10:wrap type="none"/>
        </v:shape>
      </w:pict>
    </w:r>
    <w:r>
      <w:rPr/>
      <w:pict>
        <v:shape style="position:absolute;margin-left:49.941093pt;margin-top:100.681175pt;width:135.15pt;height:11.95pt;mso-position-horizontal-relative:page;mso-position-vertical-relative:page;z-index:-1067128" type="#_x0000_t202" filled="false" stroked="false">
          <v:textbox inset="0,0,0,0">
            <w:txbxContent>
              <w:p>
                <w:pPr>
                  <w:spacing w:before="21"/>
                  <w:ind w:left="20" w:right="0" w:firstLine="0"/>
                  <w:jc w:val="left"/>
                  <w:rPr>
                    <w:rFonts w:ascii="Arial" w:hAnsi="Arial"/>
                    <w:b/>
                    <w:sz w:val="17"/>
                  </w:rPr>
                </w:pPr>
                <w:r>
                  <w:rPr>
                    <w:rFonts w:ascii="Arial" w:hAnsi="Arial"/>
                    <w:b/>
                    <w:w w:val="105"/>
                    <w:sz w:val="17"/>
                  </w:rPr>
                  <w:t>In Millions of Leones (Le’m)</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67104" from="50.880001pt,122.68pt" to="790.560001pt,122.68pt" stroked="true" strokeweight="1.92pt" strokecolor="#000000">
          <v:stroke dashstyle="solid"/>
          <w10:wrap type="none"/>
        </v:line>
      </w:pict>
    </w:r>
    <w:r>
      <w:rPr/>
      <w:pict>
        <v:shape style="position:absolute;margin-left:336.679993pt;margin-top:51.96117pt;width:160.6pt;height:11.95pt;mso-position-horizontal-relative:page;mso-position-vertical-relative:page;z-index:-1067080" type="#_x0000_t202" filled="false" stroked="false">
          <v:textbox inset="0,0,0,0">
            <w:txbxContent>
              <w:p>
                <w:pPr>
                  <w:spacing w:before="21"/>
                  <w:ind w:left="20" w:right="0" w:firstLine="0"/>
                  <w:jc w:val="left"/>
                  <w:rPr>
                    <w:rFonts w:ascii="Arial"/>
                    <w:b/>
                    <w:sz w:val="17"/>
                  </w:rPr>
                </w:pPr>
                <w:r>
                  <w:rPr>
                    <w:rFonts w:ascii="Arial"/>
                    <w:b/>
                    <w:w w:val="105"/>
                    <w:sz w:val="17"/>
                  </w:rPr>
                  <w:t>GOVERNMENT OF SIERRA LEONE</w:t>
                </w:r>
              </w:p>
            </w:txbxContent>
          </v:textbox>
          <w10:wrap type="none"/>
        </v:shape>
      </w:pict>
    </w:r>
    <w:r>
      <w:rPr/>
      <w:pict>
        <v:shape style="position:absolute;margin-left:169.639999pt;margin-top:78.841171pt;width:484.65pt;height:11.95pt;mso-position-horizontal-relative:page;mso-position-vertical-relative:page;z-index:-1067056" type="#_x0000_t202" filled="false" stroked="false">
          <v:textbox inset="0,0,0,0">
            <w:txbxContent>
              <w:p>
                <w:pPr>
                  <w:spacing w:before="21"/>
                  <w:ind w:left="20" w:right="0" w:firstLine="0"/>
                  <w:jc w:val="left"/>
                  <w:rPr>
                    <w:rFonts w:ascii="Arial"/>
                    <w:b/>
                    <w:sz w:val="17"/>
                  </w:rPr>
                </w:pPr>
                <w:r>
                  <w:rPr>
                    <w:rFonts w:ascii="Arial"/>
                    <w:b/>
                    <w:w w:val="105"/>
                    <w:sz w:val="17"/>
                  </w:rPr>
                  <w:t>ANNEX 2B: NON SALARY, NON INTEREST RECURRENT BUDGETARY ALLOCATIONS FOR FY 2020 - 2022</w:t>
                </w:r>
              </w:p>
            </w:txbxContent>
          </v:textbox>
          <w10:wrap type="none"/>
        </v:shape>
      </w:pict>
    </w:r>
    <w:r>
      <w:rPr/>
      <w:pict>
        <v:shape style="position:absolute;margin-left:49.941093pt;margin-top:100.44117pt;width:135.15pt;height:11.95pt;mso-position-horizontal-relative:page;mso-position-vertical-relative:page;z-index:-1067032" type="#_x0000_t202" filled="false" stroked="false">
          <v:textbox inset="0,0,0,0">
            <w:txbxContent>
              <w:p>
                <w:pPr>
                  <w:spacing w:before="21"/>
                  <w:ind w:left="20" w:right="0" w:firstLine="0"/>
                  <w:jc w:val="left"/>
                  <w:rPr>
                    <w:rFonts w:ascii="Arial" w:hAnsi="Arial"/>
                    <w:b/>
                    <w:sz w:val="17"/>
                  </w:rPr>
                </w:pPr>
                <w:r>
                  <w:rPr>
                    <w:rFonts w:ascii="Arial" w:hAnsi="Arial"/>
                    <w:b/>
                    <w:w w:val="105"/>
                    <w:sz w:val="17"/>
                  </w:rPr>
                  <w:t>In Millions of Leones (Le’m)</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67008" from="51.84pt,101.080002pt" to="791.76pt,101.080002pt" stroked="true" strokeweight="1.92pt" strokecolor="#000000">
          <v:stroke dashstyle="solid"/>
          <w10:wrap type="none"/>
        </v:line>
      </w:pict>
    </w:r>
    <w:r>
      <w:rPr/>
      <w:pict>
        <v:shape style="position:absolute;margin-left:238.279999pt;margin-top:54.361172pt;width:355.45pt;height:26.85pt;mso-position-horizontal-relative:page;mso-position-vertical-relative:page;z-index:-1066984" type="#_x0000_t202" filled="false" stroked="false">
          <v:textbox inset="0,0,0,0">
            <w:txbxContent>
              <w:p>
                <w:pPr>
                  <w:spacing w:before="21"/>
                  <w:ind w:left="231" w:right="97" w:firstLine="0"/>
                  <w:jc w:val="center"/>
                  <w:rPr>
                    <w:rFonts w:ascii="Arial"/>
                    <w:b/>
                    <w:sz w:val="17"/>
                  </w:rPr>
                </w:pPr>
                <w:r>
                  <w:rPr>
                    <w:rFonts w:ascii="Arial"/>
                    <w:b/>
                    <w:w w:val="105"/>
                    <w:sz w:val="17"/>
                  </w:rPr>
                  <w:t>GOVERNMENT OF SIERRA LEONE</w:t>
                </w:r>
              </w:p>
              <w:p>
                <w:pPr>
                  <w:spacing w:before="102"/>
                  <w:ind w:left="231" w:right="231" w:firstLine="0"/>
                  <w:jc w:val="center"/>
                  <w:rPr>
                    <w:rFonts w:ascii="Arial" w:hAnsi="Arial"/>
                    <w:b/>
                    <w:sz w:val="17"/>
                  </w:rPr>
                </w:pPr>
                <w:r>
                  <w:rPr>
                    <w:rFonts w:ascii="Arial" w:hAnsi="Arial"/>
                    <w:b/>
                    <w:w w:val="105"/>
                    <w:sz w:val="17"/>
                  </w:rPr>
                  <w:t>ANNEX 4– SIERRA LEONE PUBLIC INVESTMENT PROGRAMME FY 2020-2022</w:t>
                </w:r>
              </w:p>
            </w:txbxContent>
          </v:textbox>
          <w10:wrap type="none"/>
        </v:shape>
      </w:pict>
    </w:r>
    <w:r>
      <w:rPr/>
      <w:pict>
        <v:shape style="position:absolute;margin-left:50.901093pt;margin-top:85.081169pt;width:135.25pt;height:11.95pt;mso-position-horizontal-relative:page;mso-position-vertical-relative:page;z-index:-1066960" type="#_x0000_t202" filled="false" stroked="false">
          <v:textbox inset="0,0,0,0">
            <w:txbxContent>
              <w:p>
                <w:pPr>
                  <w:spacing w:before="21"/>
                  <w:ind w:left="20" w:right="0" w:firstLine="0"/>
                  <w:jc w:val="left"/>
                  <w:rPr>
                    <w:rFonts w:ascii="Arial" w:hAnsi="Arial"/>
                    <w:b/>
                    <w:sz w:val="17"/>
                  </w:rPr>
                </w:pPr>
                <w:r>
                  <w:rPr>
                    <w:rFonts w:ascii="Arial" w:hAnsi="Arial"/>
                    <w:b/>
                    <w:w w:val="105"/>
                    <w:sz w:val="17"/>
                  </w:rPr>
                  <w:t>In millions of Leones (Le’m)</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9.079987pt;margin-top:54.361172pt;width:160.6pt;height:11.95pt;mso-position-horizontal-relative:page;mso-position-vertical-relative:page;z-index:-1066936" type="#_x0000_t202" filled="false" stroked="false">
          <v:textbox inset="0,0,0,0">
            <w:txbxContent>
              <w:p>
                <w:pPr>
                  <w:spacing w:before="21"/>
                  <w:ind w:left="20" w:right="0" w:firstLine="0"/>
                  <w:jc w:val="left"/>
                  <w:rPr>
                    <w:rFonts w:ascii="Arial"/>
                    <w:b/>
                    <w:sz w:val="17"/>
                  </w:rPr>
                </w:pPr>
                <w:r>
                  <w:rPr>
                    <w:rFonts w:ascii="Arial"/>
                    <w:b/>
                    <w:w w:val="105"/>
                    <w:sz w:val="17"/>
                  </w:rPr>
                  <w:t>GOVERNMENT OF SIERRA LEONE</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66912" from="51.84pt,101.080002pt" to="791.76pt,101.080002pt" stroked="true" strokeweight="1.92pt" strokecolor="#000000">
          <v:stroke dashstyle="solid"/>
          <w10:wrap type="none"/>
        </v:line>
      </w:pict>
    </w:r>
    <w:r>
      <w:rPr/>
      <w:pict>
        <v:shape style="position:absolute;margin-left:238.279999pt;margin-top:54.361172pt;width:355.45pt;height:26.85pt;mso-position-horizontal-relative:page;mso-position-vertical-relative:page;z-index:-1066888" type="#_x0000_t202" filled="false" stroked="false">
          <v:textbox inset="0,0,0,0">
            <w:txbxContent>
              <w:p>
                <w:pPr>
                  <w:spacing w:before="21"/>
                  <w:ind w:left="231" w:right="97" w:firstLine="0"/>
                  <w:jc w:val="center"/>
                  <w:rPr>
                    <w:rFonts w:ascii="Arial"/>
                    <w:b/>
                    <w:sz w:val="17"/>
                  </w:rPr>
                </w:pPr>
                <w:r>
                  <w:rPr>
                    <w:rFonts w:ascii="Arial"/>
                    <w:b/>
                    <w:w w:val="105"/>
                    <w:sz w:val="17"/>
                  </w:rPr>
                  <w:t>GOVERNMENT OF SIERRA LEONE</w:t>
                </w:r>
              </w:p>
              <w:p>
                <w:pPr>
                  <w:spacing w:before="102"/>
                  <w:ind w:left="231" w:right="231" w:firstLine="0"/>
                  <w:jc w:val="center"/>
                  <w:rPr>
                    <w:rFonts w:ascii="Arial" w:hAnsi="Arial"/>
                    <w:b/>
                    <w:sz w:val="17"/>
                  </w:rPr>
                </w:pPr>
                <w:r>
                  <w:rPr>
                    <w:rFonts w:ascii="Arial" w:hAnsi="Arial"/>
                    <w:b/>
                    <w:w w:val="105"/>
                    <w:sz w:val="17"/>
                  </w:rPr>
                  <w:t>ANNEX 4– SIERRA LEONE PUBLIC INVESTMENT PROGRAMME FY 2020-2022</w:t>
                </w:r>
              </w:p>
            </w:txbxContent>
          </v:textbox>
          <w10:wrap type="none"/>
        </v:shape>
      </w:pict>
    </w:r>
    <w:r>
      <w:rPr/>
      <w:pict>
        <v:shape style="position:absolute;margin-left:50.901093pt;margin-top:85.081169pt;width:135.25pt;height:11.95pt;mso-position-horizontal-relative:page;mso-position-vertical-relative:page;z-index:-1066864" type="#_x0000_t202" filled="false" stroked="false">
          <v:textbox inset="0,0,0,0">
            <w:txbxContent>
              <w:p>
                <w:pPr>
                  <w:spacing w:before="21"/>
                  <w:ind w:left="20" w:right="0" w:firstLine="0"/>
                  <w:jc w:val="left"/>
                  <w:rPr>
                    <w:rFonts w:ascii="Arial" w:hAnsi="Arial"/>
                    <w:b/>
                    <w:sz w:val="17"/>
                  </w:rPr>
                </w:pPr>
                <w:r>
                  <w:rPr>
                    <w:rFonts w:ascii="Arial" w:hAnsi="Arial"/>
                    <w:b/>
                    <w:w w:val="105"/>
                    <w:sz w:val="17"/>
                  </w:rPr>
                  <w:t>In millions of Leones (Le’m)</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272" w:hanging="135"/>
        <w:jc w:val="left"/>
      </w:pPr>
      <w:rPr>
        <w:rFonts w:hint="default" w:ascii="Arial" w:hAnsi="Arial" w:eastAsia="Arial" w:cs="Arial"/>
        <w:spacing w:val="9"/>
        <w:w w:val="99"/>
        <w:sz w:val="12"/>
        <w:szCs w:val="12"/>
      </w:rPr>
    </w:lvl>
    <w:lvl w:ilvl="1">
      <w:start w:val="1"/>
      <w:numFmt w:val="decimal"/>
      <w:lvlText w:val="%2."/>
      <w:lvlJc w:val="left"/>
      <w:pPr>
        <w:ind w:left="781" w:hanging="413"/>
        <w:jc w:val="left"/>
      </w:pPr>
      <w:rPr>
        <w:rFonts w:hint="default" w:ascii="Arial" w:hAnsi="Arial" w:eastAsia="Arial" w:cs="Arial"/>
        <w:spacing w:val="0"/>
        <w:w w:val="104"/>
        <w:sz w:val="17"/>
        <w:szCs w:val="17"/>
      </w:rPr>
    </w:lvl>
    <w:lvl w:ilvl="2">
      <w:start w:val="0"/>
      <w:numFmt w:val="bullet"/>
      <w:lvlText w:val="•"/>
      <w:lvlJc w:val="left"/>
      <w:pPr>
        <w:ind w:left="2364" w:hanging="413"/>
      </w:pPr>
      <w:rPr>
        <w:rFonts w:hint="default"/>
      </w:rPr>
    </w:lvl>
    <w:lvl w:ilvl="3">
      <w:start w:val="0"/>
      <w:numFmt w:val="bullet"/>
      <w:lvlText w:val="•"/>
      <w:lvlJc w:val="left"/>
      <w:pPr>
        <w:ind w:left="3948" w:hanging="413"/>
      </w:pPr>
      <w:rPr>
        <w:rFonts w:hint="default"/>
      </w:rPr>
    </w:lvl>
    <w:lvl w:ilvl="4">
      <w:start w:val="0"/>
      <w:numFmt w:val="bullet"/>
      <w:lvlText w:val="•"/>
      <w:lvlJc w:val="left"/>
      <w:pPr>
        <w:ind w:left="5533" w:hanging="413"/>
      </w:pPr>
      <w:rPr>
        <w:rFonts w:hint="default"/>
      </w:rPr>
    </w:lvl>
    <w:lvl w:ilvl="5">
      <w:start w:val="0"/>
      <w:numFmt w:val="bullet"/>
      <w:lvlText w:val="•"/>
      <w:lvlJc w:val="left"/>
      <w:pPr>
        <w:ind w:left="7117" w:hanging="413"/>
      </w:pPr>
      <w:rPr>
        <w:rFonts w:hint="default"/>
      </w:rPr>
    </w:lvl>
    <w:lvl w:ilvl="6">
      <w:start w:val="0"/>
      <w:numFmt w:val="bullet"/>
      <w:lvlText w:val="•"/>
      <w:lvlJc w:val="left"/>
      <w:pPr>
        <w:ind w:left="8702" w:hanging="413"/>
      </w:pPr>
      <w:rPr>
        <w:rFonts w:hint="default"/>
      </w:rPr>
    </w:lvl>
    <w:lvl w:ilvl="7">
      <w:start w:val="0"/>
      <w:numFmt w:val="bullet"/>
      <w:lvlText w:val="•"/>
      <w:lvlJc w:val="left"/>
      <w:pPr>
        <w:ind w:left="10286" w:hanging="413"/>
      </w:pPr>
      <w:rPr>
        <w:rFonts w:hint="default"/>
      </w:rPr>
    </w:lvl>
    <w:lvl w:ilvl="8">
      <w:start w:val="0"/>
      <w:numFmt w:val="bullet"/>
      <w:lvlText w:val="•"/>
      <w:lvlJc w:val="left"/>
      <w:pPr>
        <w:ind w:left="11871" w:hanging="413"/>
      </w:pPr>
      <w:rPr>
        <w:rFonts w:hint="default"/>
      </w:rPr>
    </w:lvl>
  </w:abstractNum>
  <w:abstractNum w:abstractNumId="8">
    <w:multiLevelType w:val="hybridMultilevel"/>
    <w:lvl w:ilvl="0">
      <w:start w:val="1"/>
      <w:numFmt w:val="lowerRoman"/>
      <w:lvlText w:val="(%1)"/>
      <w:lvlJc w:val="left"/>
      <w:pPr>
        <w:ind w:left="1522" w:hanging="509"/>
        <w:jc w:val="right"/>
      </w:pPr>
      <w:rPr>
        <w:rFonts w:hint="default" w:ascii="Bookman Old Style" w:hAnsi="Bookman Old Style" w:eastAsia="Bookman Old Style" w:cs="Bookman Old Style"/>
        <w:color w:val="231F20"/>
        <w:spacing w:val="-11"/>
        <w:w w:val="100"/>
        <w:sz w:val="23"/>
        <w:szCs w:val="23"/>
      </w:rPr>
    </w:lvl>
    <w:lvl w:ilvl="1">
      <w:start w:val="0"/>
      <w:numFmt w:val="bullet"/>
      <w:lvlText w:val="•"/>
      <w:lvlJc w:val="left"/>
      <w:pPr>
        <w:ind w:left="2332" w:hanging="509"/>
      </w:pPr>
      <w:rPr>
        <w:rFonts w:hint="default"/>
      </w:rPr>
    </w:lvl>
    <w:lvl w:ilvl="2">
      <w:start w:val="0"/>
      <w:numFmt w:val="bullet"/>
      <w:lvlText w:val="•"/>
      <w:lvlJc w:val="left"/>
      <w:pPr>
        <w:ind w:left="3144" w:hanging="509"/>
      </w:pPr>
      <w:rPr>
        <w:rFonts w:hint="default"/>
      </w:rPr>
    </w:lvl>
    <w:lvl w:ilvl="3">
      <w:start w:val="0"/>
      <w:numFmt w:val="bullet"/>
      <w:lvlText w:val="•"/>
      <w:lvlJc w:val="left"/>
      <w:pPr>
        <w:ind w:left="3956" w:hanging="509"/>
      </w:pPr>
      <w:rPr>
        <w:rFonts w:hint="default"/>
      </w:rPr>
    </w:lvl>
    <w:lvl w:ilvl="4">
      <w:start w:val="0"/>
      <w:numFmt w:val="bullet"/>
      <w:lvlText w:val="•"/>
      <w:lvlJc w:val="left"/>
      <w:pPr>
        <w:ind w:left="4768" w:hanging="509"/>
      </w:pPr>
      <w:rPr>
        <w:rFonts w:hint="default"/>
      </w:rPr>
    </w:lvl>
    <w:lvl w:ilvl="5">
      <w:start w:val="0"/>
      <w:numFmt w:val="bullet"/>
      <w:lvlText w:val="•"/>
      <w:lvlJc w:val="left"/>
      <w:pPr>
        <w:ind w:left="5580" w:hanging="509"/>
      </w:pPr>
      <w:rPr>
        <w:rFonts w:hint="default"/>
      </w:rPr>
    </w:lvl>
    <w:lvl w:ilvl="6">
      <w:start w:val="0"/>
      <w:numFmt w:val="bullet"/>
      <w:lvlText w:val="•"/>
      <w:lvlJc w:val="left"/>
      <w:pPr>
        <w:ind w:left="6392" w:hanging="509"/>
      </w:pPr>
      <w:rPr>
        <w:rFonts w:hint="default"/>
      </w:rPr>
    </w:lvl>
    <w:lvl w:ilvl="7">
      <w:start w:val="0"/>
      <w:numFmt w:val="bullet"/>
      <w:lvlText w:val="•"/>
      <w:lvlJc w:val="left"/>
      <w:pPr>
        <w:ind w:left="7204" w:hanging="509"/>
      </w:pPr>
      <w:rPr>
        <w:rFonts w:hint="default"/>
      </w:rPr>
    </w:lvl>
    <w:lvl w:ilvl="8">
      <w:start w:val="0"/>
      <w:numFmt w:val="bullet"/>
      <w:lvlText w:val="•"/>
      <w:lvlJc w:val="left"/>
      <w:pPr>
        <w:ind w:left="8016" w:hanging="509"/>
      </w:pPr>
      <w:rPr>
        <w:rFonts w:hint="default"/>
      </w:rPr>
    </w:lvl>
  </w:abstractNum>
  <w:abstractNum w:abstractNumId="7">
    <w:multiLevelType w:val="hybridMultilevel"/>
    <w:lvl w:ilvl="0">
      <w:start w:val="7"/>
      <w:numFmt w:val="upperRoman"/>
      <w:lvlText w:val="%1."/>
      <w:lvlJc w:val="left"/>
      <w:pPr>
        <w:ind w:left="953" w:hanging="704"/>
        <w:jc w:val="right"/>
      </w:pPr>
      <w:rPr>
        <w:rFonts w:hint="default" w:ascii="Bookman Old Style" w:hAnsi="Bookman Old Style" w:eastAsia="Bookman Old Style" w:cs="Bookman Old Style"/>
        <w:b/>
        <w:bCs/>
        <w:color w:val="231F20"/>
        <w:spacing w:val="-20"/>
        <w:w w:val="100"/>
        <w:sz w:val="23"/>
        <w:szCs w:val="23"/>
      </w:rPr>
    </w:lvl>
    <w:lvl w:ilvl="1">
      <w:start w:val="0"/>
      <w:numFmt w:val="bullet"/>
      <w:lvlText w:val="•"/>
      <w:lvlJc w:val="left"/>
      <w:pPr>
        <w:ind w:left="1828" w:hanging="704"/>
      </w:pPr>
      <w:rPr>
        <w:rFonts w:hint="default"/>
      </w:rPr>
    </w:lvl>
    <w:lvl w:ilvl="2">
      <w:start w:val="0"/>
      <w:numFmt w:val="bullet"/>
      <w:lvlText w:val="•"/>
      <w:lvlJc w:val="left"/>
      <w:pPr>
        <w:ind w:left="2696" w:hanging="704"/>
      </w:pPr>
      <w:rPr>
        <w:rFonts w:hint="default"/>
      </w:rPr>
    </w:lvl>
    <w:lvl w:ilvl="3">
      <w:start w:val="0"/>
      <w:numFmt w:val="bullet"/>
      <w:lvlText w:val="•"/>
      <w:lvlJc w:val="left"/>
      <w:pPr>
        <w:ind w:left="3564" w:hanging="704"/>
      </w:pPr>
      <w:rPr>
        <w:rFonts w:hint="default"/>
      </w:rPr>
    </w:lvl>
    <w:lvl w:ilvl="4">
      <w:start w:val="0"/>
      <w:numFmt w:val="bullet"/>
      <w:lvlText w:val="•"/>
      <w:lvlJc w:val="left"/>
      <w:pPr>
        <w:ind w:left="4432" w:hanging="704"/>
      </w:pPr>
      <w:rPr>
        <w:rFonts w:hint="default"/>
      </w:rPr>
    </w:lvl>
    <w:lvl w:ilvl="5">
      <w:start w:val="0"/>
      <w:numFmt w:val="bullet"/>
      <w:lvlText w:val="•"/>
      <w:lvlJc w:val="left"/>
      <w:pPr>
        <w:ind w:left="5300" w:hanging="704"/>
      </w:pPr>
      <w:rPr>
        <w:rFonts w:hint="default"/>
      </w:rPr>
    </w:lvl>
    <w:lvl w:ilvl="6">
      <w:start w:val="0"/>
      <w:numFmt w:val="bullet"/>
      <w:lvlText w:val="•"/>
      <w:lvlJc w:val="left"/>
      <w:pPr>
        <w:ind w:left="6168" w:hanging="704"/>
      </w:pPr>
      <w:rPr>
        <w:rFonts w:hint="default"/>
      </w:rPr>
    </w:lvl>
    <w:lvl w:ilvl="7">
      <w:start w:val="0"/>
      <w:numFmt w:val="bullet"/>
      <w:lvlText w:val="•"/>
      <w:lvlJc w:val="left"/>
      <w:pPr>
        <w:ind w:left="7036" w:hanging="704"/>
      </w:pPr>
      <w:rPr>
        <w:rFonts w:hint="default"/>
      </w:rPr>
    </w:lvl>
    <w:lvl w:ilvl="8">
      <w:start w:val="0"/>
      <w:numFmt w:val="bullet"/>
      <w:lvlText w:val="•"/>
      <w:lvlJc w:val="left"/>
      <w:pPr>
        <w:ind w:left="7904" w:hanging="704"/>
      </w:pPr>
      <w:rPr>
        <w:rFonts w:hint="default"/>
      </w:rPr>
    </w:lvl>
  </w:abstractNum>
  <w:abstractNum w:abstractNumId="6">
    <w:multiLevelType w:val="hybridMultilevel"/>
    <w:lvl w:ilvl="0">
      <w:start w:val="1"/>
      <w:numFmt w:val="lowerLetter"/>
      <w:lvlText w:val="(%1)"/>
      <w:lvlJc w:val="left"/>
      <w:pPr>
        <w:ind w:left="953" w:hanging="567"/>
        <w:jc w:val="left"/>
      </w:pPr>
      <w:rPr>
        <w:rFonts w:hint="default" w:ascii="Bookman Old Style" w:hAnsi="Bookman Old Style" w:eastAsia="Bookman Old Style" w:cs="Bookman Old Style"/>
        <w:b/>
        <w:bCs/>
        <w:color w:val="231F20"/>
        <w:spacing w:val="-27"/>
        <w:w w:val="100"/>
        <w:sz w:val="23"/>
        <w:szCs w:val="23"/>
      </w:rPr>
    </w:lvl>
    <w:lvl w:ilvl="1">
      <w:start w:val="0"/>
      <w:numFmt w:val="bullet"/>
      <w:lvlText w:val="•"/>
      <w:lvlJc w:val="left"/>
      <w:pPr>
        <w:ind w:left="1828" w:hanging="567"/>
      </w:pPr>
      <w:rPr>
        <w:rFonts w:hint="default"/>
      </w:rPr>
    </w:lvl>
    <w:lvl w:ilvl="2">
      <w:start w:val="0"/>
      <w:numFmt w:val="bullet"/>
      <w:lvlText w:val="•"/>
      <w:lvlJc w:val="left"/>
      <w:pPr>
        <w:ind w:left="2696" w:hanging="567"/>
      </w:pPr>
      <w:rPr>
        <w:rFonts w:hint="default"/>
      </w:rPr>
    </w:lvl>
    <w:lvl w:ilvl="3">
      <w:start w:val="0"/>
      <w:numFmt w:val="bullet"/>
      <w:lvlText w:val="•"/>
      <w:lvlJc w:val="left"/>
      <w:pPr>
        <w:ind w:left="3564" w:hanging="567"/>
      </w:pPr>
      <w:rPr>
        <w:rFonts w:hint="default"/>
      </w:rPr>
    </w:lvl>
    <w:lvl w:ilvl="4">
      <w:start w:val="0"/>
      <w:numFmt w:val="bullet"/>
      <w:lvlText w:val="•"/>
      <w:lvlJc w:val="left"/>
      <w:pPr>
        <w:ind w:left="4432" w:hanging="567"/>
      </w:pPr>
      <w:rPr>
        <w:rFonts w:hint="default"/>
      </w:rPr>
    </w:lvl>
    <w:lvl w:ilvl="5">
      <w:start w:val="0"/>
      <w:numFmt w:val="bullet"/>
      <w:lvlText w:val="•"/>
      <w:lvlJc w:val="left"/>
      <w:pPr>
        <w:ind w:left="5300" w:hanging="567"/>
      </w:pPr>
      <w:rPr>
        <w:rFonts w:hint="default"/>
      </w:rPr>
    </w:lvl>
    <w:lvl w:ilvl="6">
      <w:start w:val="0"/>
      <w:numFmt w:val="bullet"/>
      <w:lvlText w:val="•"/>
      <w:lvlJc w:val="left"/>
      <w:pPr>
        <w:ind w:left="6168" w:hanging="567"/>
      </w:pPr>
      <w:rPr>
        <w:rFonts w:hint="default"/>
      </w:rPr>
    </w:lvl>
    <w:lvl w:ilvl="7">
      <w:start w:val="0"/>
      <w:numFmt w:val="bullet"/>
      <w:lvlText w:val="•"/>
      <w:lvlJc w:val="left"/>
      <w:pPr>
        <w:ind w:left="7036" w:hanging="567"/>
      </w:pPr>
      <w:rPr>
        <w:rFonts w:hint="default"/>
      </w:rPr>
    </w:lvl>
    <w:lvl w:ilvl="8">
      <w:start w:val="0"/>
      <w:numFmt w:val="bullet"/>
      <w:lvlText w:val="•"/>
      <w:lvlJc w:val="left"/>
      <w:pPr>
        <w:ind w:left="7904" w:hanging="567"/>
      </w:pPr>
      <w:rPr>
        <w:rFonts w:hint="default"/>
      </w:rPr>
    </w:lvl>
  </w:abstractNum>
  <w:abstractNum w:abstractNumId="5">
    <w:multiLevelType w:val="hybridMultilevel"/>
    <w:lvl w:ilvl="0">
      <w:start w:val="1"/>
      <w:numFmt w:val="lowerRoman"/>
      <w:lvlText w:val="(%1)"/>
      <w:lvlJc w:val="left"/>
      <w:pPr>
        <w:ind w:left="953" w:hanging="507"/>
        <w:jc w:val="right"/>
      </w:pPr>
      <w:rPr>
        <w:rFonts w:hint="default" w:ascii="Bookman Old Style" w:hAnsi="Bookman Old Style" w:eastAsia="Bookman Old Style" w:cs="Bookman Old Style"/>
        <w:b/>
        <w:bCs/>
        <w:color w:val="231F20"/>
        <w:spacing w:val="-27"/>
        <w:w w:val="100"/>
        <w:sz w:val="23"/>
        <w:szCs w:val="23"/>
      </w:rPr>
    </w:lvl>
    <w:lvl w:ilvl="1">
      <w:start w:val="0"/>
      <w:numFmt w:val="bullet"/>
      <w:lvlText w:val="•"/>
      <w:lvlJc w:val="left"/>
      <w:pPr>
        <w:ind w:left="1828" w:hanging="507"/>
      </w:pPr>
      <w:rPr>
        <w:rFonts w:hint="default"/>
      </w:rPr>
    </w:lvl>
    <w:lvl w:ilvl="2">
      <w:start w:val="0"/>
      <w:numFmt w:val="bullet"/>
      <w:lvlText w:val="•"/>
      <w:lvlJc w:val="left"/>
      <w:pPr>
        <w:ind w:left="2696" w:hanging="507"/>
      </w:pPr>
      <w:rPr>
        <w:rFonts w:hint="default"/>
      </w:rPr>
    </w:lvl>
    <w:lvl w:ilvl="3">
      <w:start w:val="0"/>
      <w:numFmt w:val="bullet"/>
      <w:lvlText w:val="•"/>
      <w:lvlJc w:val="left"/>
      <w:pPr>
        <w:ind w:left="3564" w:hanging="507"/>
      </w:pPr>
      <w:rPr>
        <w:rFonts w:hint="default"/>
      </w:rPr>
    </w:lvl>
    <w:lvl w:ilvl="4">
      <w:start w:val="0"/>
      <w:numFmt w:val="bullet"/>
      <w:lvlText w:val="•"/>
      <w:lvlJc w:val="left"/>
      <w:pPr>
        <w:ind w:left="4432" w:hanging="507"/>
      </w:pPr>
      <w:rPr>
        <w:rFonts w:hint="default"/>
      </w:rPr>
    </w:lvl>
    <w:lvl w:ilvl="5">
      <w:start w:val="0"/>
      <w:numFmt w:val="bullet"/>
      <w:lvlText w:val="•"/>
      <w:lvlJc w:val="left"/>
      <w:pPr>
        <w:ind w:left="5300" w:hanging="507"/>
      </w:pPr>
      <w:rPr>
        <w:rFonts w:hint="default"/>
      </w:rPr>
    </w:lvl>
    <w:lvl w:ilvl="6">
      <w:start w:val="0"/>
      <w:numFmt w:val="bullet"/>
      <w:lvlText w:val="•"/>
      <w:lvlJc w:val="left"/>
      <w:pPr>
        <w:ind w:left="6168" w:hanging="507"/>
      </w:pPr>
      <w:rPr>
        <w:rFonts w:hint="default"/>
      </w:rPr>
    </w:lvl>
    <w:lvl w:ilvl="7">
      <w:start w:val="0"/>
      <w:numFmt w:val="bullet"/>
      <w:lvlText w:val="•"/>
      <w:lvlJc w:val="left"/>
      <w:pPr>
        <w:ind w:left="7036" w:hanging="507"/>
      </w:pPr>
      <w:rPr>
        <w:rFonts w:hint="default"/>
      </w:rPr>
    </w:lvl>
    <w:lvl w:ilvl="8">
      <w:start w:val="0"/>
      <w:numFmt w:val="bullet"/>
      <w:lvlText w:val="•"/>
      <w:lvlJc w:val="left"/>
      <w:pPr>
        <w:ind w:left="7904" w:hanging="507"/>
      </w:pPr>
      <w:rPr>
        <w:rFonts w:hint="default"/>
      </w:rPr>
    </w:lvl>
  </w:abstractNum>
  <w:abstractNum w:abstractNumId="4">
    <w:multiLevelType w:val="hybridMultilevel"/>
    <w:lvl w:ilvl="0">
      <w:start w:val="1"/>
      <w:numFmt w:val="upperRoman"/>
      <w:lvlText w:val="%1."/>
      <w:lvlJc w:val="left"/>
      <w:pPr>
        <w:ind w:left="953" w:hanging="447"/>
        <w:jc w:val="right"/>
      </w:pPr>
      <w:rPr>
        <w:rFonts w:hint="default" w:ascii="Bookman Old Style" w:hAnsi="Bookman Old Style" w:eastAsia="Bookman Old Style" w:cs="Bookman Old Style"/>
        <w:b/>
        <w:bCs/>
        <w:color w:val="231F20"/>
        <w:spacing w:val="-41"/>
        <w:w w:val="100"/>
        <w:sz w:val="23"/>
        <w:szCs w:val="23"/>
      </w:rPr>
    </w:lvl>
    <w:lvl w:ilvl="1">
      <w:start w:val="0"/>
      <w:numFmt w:val="bullet"/>
      <w:lvlText w:val="•"/>
      <w:lvlJc w:val="left"/>
      <w:pPr>
        <w:ind w:left="1828" w:hanging="447"/>
      </w:pPr>
      <w:rPr>
        <w:rFonts w:hint="default"/>
      </w:rPr>
    </w:lvl>
    <w:lvl w:ilvl="2">
      <w:start w:val="0"/>
      <w:numFmt w:val="bullet"/>
      <w:lvlText w:val="•"/>
      <w:lvlJc w:val="left"/>
      <w:pPr>
        <w:ind w:left="2696" w:hanging="447"/>
      </w:pPr>
      <w:rPr>
        <w:rFonts w:hint="default"/>
      </w:rPr>
    </w:lvl>
    <w:lvl w:ilvl="3">
      <w:start w:val="0"/>
      <w:numFmt w:val="bullet"/>
      <w:lvlText w:val="•"/>
      <w:lvlJc w:val="left"/>
      <w:pPr>
        <w:ind w:left="3564" w:hanging="447"/>
      </w:pPr>
      <w:rPr>
        <w:rFonts w:hint="default"/>
      </w:rPr>
    </w:lvl>
    <w:lvl w:ilvl="4">
      <w:start w:val="0"/>
      <w:numFmt w:val="bullet"/>
      <w:lvlText w:val="•"/>
      <w:lvlJc w:val="left"/>
      <w:pPr>
        <w:ind w:left="4432" w:hanging="447"/>
      </w:pPr>
      <w:rPr>
        <w:rFonts w:hint="default"/>
      </w:rPr>
    </w:lvl>
    <w:lvl w:ilvl="5">
      <w:start w:val="0"/>
      <w:numFmt w:val="bullet"/>
      <w:lvlText w:val="•"/>
      <w:lvlJc w:val="left"/>
      <w:pPr>
        <w:ind w:left="5300" w:hanging="447"/>
      </w:pPr>
      <w:rPr>
        <w:rFonts w:hint="default"/>
      </w:rPr>
    </w:lvl>
    <w:lvl w:ilvl="6">
      <w:start w:val="0"/>
      <w:numFmt w:val="bullet"/>
      <w:lvlText w:val="•"/>
      <w:lvlJc w:val="left"/>
      <w:pPr>
        <w:ind w:left="6168" w:hanging="447"/>
      </w:pPr>
      <w:rPr>
        <w:rFonts w:hint="default"/>
      </w:rPr>
    </w:lvl>
    <w:lvl w:ilvl="7">
      <w:start w:val="0"/>
      <w:numFmt w:val="bullet"/>
      <w:lvlText w:val="•"/>
      <w:lvlJc w:val="left"/>
      <w:pPr>
        <w:ind w:left="7036" w:hanging="447"/>
      </w:pPr>
      <w:rPr>
        <w:rFonts w:hint="default"/>
      </w:rPr>
    </w:lvl>
    <w:lvl w:ilvl="8">
      <w:start w:val="0"/>
      <w:numFmt w:val="bullet"/>
      <w:lvlText w:val="•"/>
      <w:lvlJc w:val="left"/>
      <w:pPr>
        <w:ind w:left="7904" w:hanging="447"/>
      </w:pPr>
      <w:rPr>
        <w:rFonts w:hint="default"/>
      </w:rPr>
    </w:lvl>
  </w:abstractNum>
  <w:abstractNum w:abstractNumId="3">
    <w:multiLevelType w:val="hybridMultilevel"/>
    <w:lvl w:ilvl="0">
      <w:start w:val="1"/>
      <w:numFmt w:val="upperLetter"/>
      <w:lvlText w:val="(%1)"/>
      <w:lvlJc w:val="left"/>
      <w:pPr>
        <w:ind w:left="526" w:hanging="421"/>
        <w:jc w:val="left"/>
      </w:pPr>
      <w:rPr>
        <w:rFonts w:hint="default" w:ascii="Bookman Old Style" w:hAnsi="Bookman Old Style" w:eastAsia="Bookman Old Style" w:cs="Bookman Old Style"/>
        <w:b/>
        <w:bCs/>
        <w:color w:val="231F20"/>
        <w:w w:val="100"/>
        <w:sz w:val="23"/>
        <w:szCs w:val="23"/>
      </w:rPr>
    </w:lvl>
    <w:lvl w:ilvl="1">
      <w:start w:val="0"/>
      <w:numFmt w:val="bullet"/>
      <w:lvlText w:val="•"/>
      <w:lvlJc w:val="left"/>
      <w:pPr>
        <w:ind w:left="1432" w:hanging="421"/>
      </w:pPr>
      <w:rPr>
        <w:rFonts w:hint="default"/>
      </w:rPr>
    </w:lvl>
    <w:lvl w:ilvl="2">
      <w:start w:val="0"/>
      <w:numFmt w:val="bullet"/>
      <w:lvlText w:val="•"/>
      <w:lvlJc w:val="left"/>
      <w:pPr>
        <w:ind w:left="2344" w:hanging="421"/>
      </w:pPr>
      <w:rPr>
        <w:rFonts w:hint="default"/>
      </w:rPr>
    </w:lvl>
    <w:lvl w:ilvl="3">
      <w:start w:val="0"/>
      <w:numFmt w:val="bullet"/>
      <w:lvlText w:val="•"/>
      <w:lvlJc w:val="left"/>
      <w:pPr>
        <w:ind w:left="3256" w:hanging="421"/>
      </w:pPr>
      <w:rPr>
        <w:rFonts w:hint="default"/>
      </w:rPr>
    </w:lvl>
    <w:lvl w:ilvl="4">
      <w:start w:val="0"/>
      <w:numFmt w:val="bullet"/>
      <w:lvlText w:val="•"/>
      <w:lvlJc w:val="left"/>
      <w:pPr>
        <w:ind w:left="4168" w:hanging="421"/>
      </w:pPr>
      <w:rPr>
        <w:rFonts w:hint="default"/>
      </w:rPr>
    </w:lvl>
    <w:lvl w:ilvl="5">
      <w:start w:val="0"/>
      <w:numFmt w:val="bullet"/>
      <w:lvlText w:val="•"/>
      <w:lvlJc w:val="left"/>
      <w:pPr>
        <w:ind w:left="5080" w:hanging="421"/>
      </w:pPr>
      <w:rPr>
        <w:rFonts w:hint="default"/>
      </w:rPr>
    </w:lvl>
    <w:lvl w:ilvl="6">
      <w:start w:val="0"/>
      <w:numFmt w:val="bullet"/>
      <w:lvlText w:val="•"/>
      <w:lvlJc w:val="left"/>
      <w:pPr>
        <w:ind w:left="5992" w:hanging="421"/>
      </w:pPr>
      <w:rPr>
        <w:rFonts w:hint="default"/>
      </w:rPr>
    </w:lvl>
    <w:lvl w:ilvl="7">
      <w:start w:val="0"/>
      <w:numFmt w:val="bullet"/>
      <w:lvlText w:val="•"/>
      <w:lvlJc w:val="left"/>
      <w:pPr>
        <w:ind w:left="6904" w:hanging="421"/>
      </w:pPr>
      <w:rPr>
        <w:rFonts w:hint="default"/>
      </w:rPr>
    </w:lvl>
    <w:lvl w:ilvl="8">
      <w:start w:val="0"/>
      <w:numFmt w:val="bullet"/>
      <w:lvlText w:val="•"/>
      <w:lvlJc w:val="left"/>
      <w:pPr>
        <w:ind w:left="7816" w:hanging="421"/>
      </w:pPr>
      <w:rPr>
        <w:rFonts w:hint="default"/>
      </w:rPr>
    </w:lvl>
  </w:abstractNum>
  <w:abstractNum w:abstractNumId="2">
    <w:multiLevelType w:val="hybridMultilevel"/>
    <w:lvl w:ilvl="0">
      <w:start w:val="1"/>
      <w:numFmt w:val="upperRoman"/>
      <w:lvlText w:val="%1."/>
      <w:lvlJc w:val="left"/>
      <w:pPr>
        <w:ind w:left="1522" w:hanging="435"/>
        <w:jc w:val="right"/>
      </w:pPr>
      <w:rPr>
        <w:rFonts w:hint="default" w:ascii="Bookman Old Style" w:hAnsi="Bookman Old Style" w:eastAsia="Bookman Old Style" w:cs="Bookman Old Style"/>
        <w:color w:val="231F20"/>
        <w:spacing w:val="-32"/>
        <w:w w:val="100"/>
        <w:sz w:val="23"/>
        <w:szCs w:val="23"/>
      </w:rPr>
    </w:lvl>
    <w:lvl w:ilvl="1">
      <w:start w:val="0"/>
      <w:numFmt w:val="bullet"/>
      <w:lvlText w:val="•"/>
      <w:lvlJc w:val="left"/>
      <w:pPr>
        <w:ind w:left="2332" w:hanging="435"/>
      </w:pPr>
      <w:rPr>
        <w:rFonts w:hint="default"/>
      </w:rPr>
    </w:lvl>
    <w:lvl w:ilvl="2">
      <w:start w:val="0"/>
      <w:numFmt w:val="bullet"/>
      <w:lvlText w:val="•"/>
      <w:lvlJc w:val="left"/>
      <w:pPr>
        <w:ind w:left="3144" w:hanging="435"/>
      </w:pPr>
      <w:rPr>
        <w:rFonts w:hint="default"/>
      </w:rPr>
    </w:lvl>
    <w:lvl w:ilvl="3">
      <w:start w:val="0"/>
      <w:numFmt w:val="bullet"/>
      <w:lvlText w:val="•"/>
      <w:lvlJc w:val="left"/>
      <w:pPr>
        <w:ind w:left="3956" w:hanging="435"/>
      </w:pPr>
      <w:rPr>
        <w:rFonts w:hint="default"/>
      </w:rPr>
    </w:lvl>
    <w:lvl w:ilvl="4">
      <w:start w:val="0"/>
      <w:numFmt w:val="bullet"/>
      <w:lvlText w:val="•"/>
      <w:lvlJc w:val="left"/>
      <w:pPr>
        <w:ind w:left="4768" w:hanging="435"/>
      </w:pPr>
      <w:rPr>
        <w:rFonts w:hint="default"/>
      </w:rPr>
    </w:lvl>
    <w:lvl w:ilvl="5">
      <w:start w:val="0"/>
      <w:numFmt w:val="bullet"/>
      <w:lvlText w:val="•"/>
      <w:lvlJc w:val="left"/>
      <w:pPr>
        <w:ind w:left="5580" w:hanging="435"/>
      </w:pPr>
      <w:rPr>
        <w:rFonts w:hint="default"/>
      </w:rPr>
    </w:lvl>
    <w:lvl w:ilvl="6">
      <w:start w:val="0"/>
      <w:numFmt w:val="bullet"/>
      <w:lvlText w:val="•"/>
      <w:lvlJc w:val="left"/>
      <w:pPr>
        <w:ind w:left="6392" w:hanging="435"/>
      </w:pPr>
      <w:rPr>
        <w:rFonts w:hint="default"/>
      </w:rPr>
    </w:lvl>
    <w:lvl w:ilvl="7">
      <w:start w:val="0"/>
      <w:numFmt w:val="bullet"/>
      <w:lvlText w:val="•"/>
      <w:lvlJc w:val="left"/>
      <w:pPr>
        <w:ind w:left="7204" w:hanging="435"/>
      </w:pPr>
      <w:rPr>
        <w:rFonts w:hint="default"/>
      </w:rPr>
    </w:lvl>
    <w:lvl w:ilvl="8">
      <w:start w:val="0"/>
      <w:numFmt w:val="bullet"/>
      <w:lvlText w:val="•"/>
      <w:lvlJc w:val="left"/>
      <w:pPr>
        <w:ind w:left="8016" w:hanging="435"/>
      </w:pPr>
      <w:rPr>
        <w:rFonts w:hint="default"/>
      </w:rPr>
    </w:lvl>
  </w:abstractNum>
  <w:abstractNum w:abstractNumId="1">
    <w:multiLevelType w:val="hybridMultilevel"/>
    <w:lvl w:ilvl="0">
      <w:start w:val="2"/>
      <w:numFmt w:val="decimal"/>
      <w:lvlText w:val="%1."/>
      <w:lvlJc w:val="left"/>
      <w:pPr>
        <w:ind w:left="103" w:hanging="492"/>
        <w:jc w:val="right"/>
      </w:pPr>
      <w:rPr>
        <w:rFonts w:hint="default" w:ascii="Bookman Old Style" w:hAnsi="Bookman Old Style" w:eastAsia="Bookman Old Style" w:cs="Bookman Old Style"/>
        <w:color w:val="231F20"/>
        <w:spacing w:val="-34"/>
        <w:w w:val="100"/>
        <w:sz w:val="23"/>
        <w:szCs w:val="23"/>
      </w:rPr>
    </w:lvl>
    <w:lvl w:ilvl="1">
      <w:start w:val="1"/>
      <w:numFmt w:val="lowerRoman"/>
      <w:lvlText w:val="%2."/>
      <w:lvlJc w:val="left"/>
      <w:pPr>
        <w:ind w:left="1522" w:hanging="435"/>
        <w:jc w:val="right"/>
      </w:pPr>
      <w:rPr>
        <w:rFonts w:hint="default" w:ascii="Bookman Old Style" w:hAnsi="Bookman Old Style" w:eastAsia="Bookman Old Style" w:cs="Bookman Old Style"/>
        <w:color w:val="231F20"/>
        <w:spacing w:val="-13"/>
        <w:w w:val="100"/>
        <w:sz w:val="23"/>
        <w:szCs w:val="23"/>
      </w:rPr>
    </w:lvl>
    <w:lvl w:ilvl="2">
      <w:start w:val="0"/>
      <w:numFmt w:val="bullet"/>
      <w:lvlText w:val="•"/>
      <w:lvlJc w:val="left"/>
      <w:pPr>
        <w:ind w:left="2422" w:hanging="435"/>
      </w:pPr>
      <w:rPr>
        <w:rFonts w:hint="default"/>
      </w:rPr>
    </w:lvl>
    <w:lvl w:ilvl="3">
      <w:start w:val="0"/>
      <w:numFmt w:val="bullet"/>
      <w:lvlText w:val="•"/>
      <w:lvlJc w:val="left"/>
      <w:pPr>
        <w:ind w:left="3324" w:hanging="435"/>
      </w:pPr>
      <w:rPr>
        <w:rFonts w:hint="default"/>
      </w:rPr>
    </w:lvl>
    <w:lvl w:ilvl="4">
      <w:start w:val="0"/>
      <w:numFmt w:val="bullet"/>
      <w:lvlText w:val="•"/>
      <w:lvlJc w:val="left"/>
      <w:pPr>
        <w:ind w:left="4226" w:hanging="435"/>
      </w:pPr>
      <w:rPr>
        <w:rFonts w:hint="default"/>
      </w:rPr>
    </w:lvl>
    <w:lvl w:ilvl="5">
      <w:start w:val="0"/>
      <w:numFmt w:val="bullet"/>
      <w:lvlText w:val="•"/>
      <w:lvlJc w:val="left"/>
      <w:pPr>
        <w:ind w:left="5128" w:hanging="435"/>
      </w:pPr>
      <w:rPr>
        <w:rFonts w:hint="default"/>
      </w:rPr>
    </w:lvl>
    <w:lvl w:ilvl="6">
      <w:start w:val="0"/>
      <w:numFmt w:val="bullet"/>
      <w:lvlText w:val="•"/>
      <w:lvlJc w:val="left"/>
      <w:pPr>
        <w:ind w:left="6031" w:hanging="435"/>
      </w:pPr>
      <w:rPr>
        <w:rFonts w:hint="default"/>
      </w:rPr>
    </w:lvl>
    <w:lvl w:ilvl="7">
      <w:start w:val="0"/>
      <w:numFmt w:val="bullet"/>
      <w:lvlText w:val="•"/>
      <w:lvlJc w:val="left"/>
      <w:pPr>
        <w:ind w:left="6933" w:hanging="435"/>
      </w:pPr>
      <w:rPr>
        <w:rFonts w:hint="default"/>
      </w:rPr>
    </w:lvl>
    <w:lvl w:ilvl="8">
      <w:start w:val="0"/>
      <w:numFmt w:val="bullet"/>
      <w:lvlText w:val="•"/>
      <w:lvlJc w:val="left"/>
      <w:pPr>
        <w:ind w:left="7835" w:hanging="435"/>
      </w:pPr>
      <w:rPr>
        <w:rFonts w:hint="default"/>
      </w:rPr>
    </w:lvl>
  </w:abstractNum>
  <w:abstractNum w:abstractNumId="0">
    <w:multiLevelType w:val="hybridMultilevel"/>
    <w:lvl w:ilvl="0">
      <w:start w:val="1"/>
      <w:numFmt w:val="upperRoman"/>
      <w:lvlText w:val="%1."/>
      <w:lvlJc w:val="left"/>
      <w:pPr>
        <w:ind w:left="952" w:hanging="447"/>
        <w:jc w:val="right"/>
      </w:pPr>
      <w:rPr>
        <w:rFonts w:hint="default" w:ascii="Bookman Old Style" w:hAnsi="Bookman Old Style" w:eastAsia="Bookman Old Style" w:cs="Bookman Old Style"/>
        <w:b/>
        <w:bCs/>
        <w:color w:val="231F20"/>
        <w:spacing w:val="-5"/>
        <w:w w:val="100"/>
        <w:sz w:val="23"/>
        <w:szCs w:val="23"/>
      </w:rPr>
    </w:lvl>
    <w:lvl w:ilvl="1">
      <w:start w:val="0"/>
      <w:numFmt w:val="bullet"/>
      <w:lvlText w:val="•"/>
      <w:lvlJc w:val="left"/>
      <w:pPr>
        <w:ind w:left="1828" w:hanging="447"/>
      </w:pPr>
      <w:rPr>
        <w:rFonts w:hint="default"/>
      </w:rPr>
    </w:lvl>
    <w:lvl w:ilvl="2">
      <w:start w:val="0"/>
      <w:numFmt w:val="bullet"/>
      <w:lvlText w:val="•"/>
      <w:lvlJc w:val="left"/>
      <w:pPr>
        <w:ind w:left="2696" w:hanging="447"/>
      </w:pPr>
      <w:rPr>
        <w:rFonts w:hint="default"/>
      </w:rPr>
    </w:lvl>
    <w:lvl w:ilvl="3">
      <w:start w:val="0"/>
      <w:numFmt w:val="bullet"/>
      <w:lvlText w:val="•"/>
      <w:lvlJc w:val="left"/>
      <w:pPr>
        <w:ind w:left="3564" w:hanging="447"/>
      </w:pPr>
      <w:rPr>
        <w:rFonts w:hint="default"/>
      </w:rPr>
    </w:lvl>
    <w:lvl w:ilvl="4">
      <w:start w:val="0"/>
      <w:numFmt w:val="bullet"/>
      <w:lvlText w:val="•"/>
      <w:lvlJc w:val="left"/>
      <w:pPr>
        <w:ind w:left="4432" w:hanging="447"/>
      </w:pPr>
      <w:rPr>
        <w:rFonts w:hint="default"/>
      </w:rPr>
    </w:lvl>
    <w:lvl w:ilvl="5">
      <w:start w:val="0"/>
      <w:numFmt w:val="bullet"/>
      <w:lvlText w:val="•"/>
      <w:lvlJc w:val="left"/>
      <w:pPr>
        <w:ind w:left="5300" w:hanging="447"/>
      </w:pPr>
      <w:rPr>
        <w:rFonts w:hint="default"/>
      </w:rPr>
    </w:lvl>
    <w:lvl w:ilvl="6">
      <w:start w:val="0"/>
      <w:numFmt w:val="bullet"/>
      <w:lvlText w:val="•"/>
      <w:lvlJc w:val="left"/>
      <w:pPr>
        <w:ind w:left="6168" w:hanging="447"/>
      </w:pPr>
      <w:rPr>
        <w:rFonts w:hint="default"/>
      </w:rPr>
    </w:lvl>
    <w:lvl w:ilvl="7">
      <w:start w:val="0"/>
      <w:numFmt w:val="bullet"/>
      <w:lvlText w:val="•"/>
      <w:lvlJc w:val="left"/>
      <w:pPr>
        <w:ind w:left="7036" w:hanging="447"/>
      </w:pPr>
      <w:rPr>
        <w:rFonts w:hint="default"/>
      </w:rPr>
    </w:lvl>
    <w:lvl w:ilvl="8">
      <w:start w:val="0"/>
      <w:numFmt w:val="bullet"/>
      <w:lvlText w:val="•"/>
      <w:lvlJc w:val="left"/>
      <w:pPr>
        <w:ind w:left="7904" w:hanging="447"/>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rPr>
  </w:style>
  <w:style w:styleId="BodyText" w:type="paragraph">
    <w:name w:val="Body Text"/>
    <w:basedOn w:val="Normal"/>
    <w:uiPriority w:val="1"/>
    <w:qFormat/>
    <w:pPr/>
    <w:rPr>
      <w:rFonts w:ascii="Bookman Old Style" w:hAnsi="Bookman Old Style" w:eastAsia="Bookman Old Style" w:cs="Bookman Old Style"/>
      <w:sz w:val="23"/>
      <w:szCs w:val="23"/>
    </w:rPr>
  </w:style>
  <w:style w:styleId="Heading1" w:type="paragraph">
    <w:name w:val="Heading 1"/>
    <w:basedOn w:val="Normal"/>
    <w:uiPriority w:val="1"/>
    <w:qFormat/>
    <w:pPr>
      <w:spacing w:before="100"/>
      <w:ind w:left="1121" w:right="1052"/>
      <w:jc w:val="center"/>
      <w:outlineLvl w:val="1"/>
    </w:pPr>
    <w:rPr>
      <w:rFonts w:ascii="Bookman Old Style" w:hAnsi="Bookman Old Style" w:eastAsia="Bookman Old Style" w:cs="Bookman Old Style"/>
      <w:sz w:val="28"/>
      <w:szCs w:val="28"/>
    </w:rPr>
  </w:style>
  <w:style w:styleId="Heading2" w:type="paragraph">
    <w:name w:val="Heading 2"/>
    <w:basedOn w:val="Normal"/>
    <w:uiPriority w:val="1"/>
    <w:qFormat/>
    <w:pPr>
      <w:ind w:left="103"/>
      <w:outlineLvl w:val="2"/>
    </w:pPr>
    <w:rPr>
      <w:rFonts w:ascii="Bookman Old Style" w:hAnsi="Bookman Old Style" w:eastAsia="Bookman Old Style" w:cs="Bookman Old Style"/>
      <w:b/>
      <w:bCs/>
      <w:sz w:val="23"/>
      <w:szCs w:val="23"/>
    </w:rPr>
  </w:style>
  <w:style w:styleId="ListParagraph" w:type="paragraph">
    <w:name w:val="List Paragraph"/>
    <w:basedOn w:val="Normal"/>
    <w:uiPriority w:val="1"/>
    <w:qFormat/>
    <w:pPr>
      <w:ind w:left="103" w:right="119" w:firstLine="87"/>
      <w:jc w:val="both"/>
    </w:pPr>
    <w:rPr>
      <w:rFonts w:ascii="Bookman Old Style" w:hAnsi="Bookman Old Style" w:eastAsia="Bookman Old Style" w:cs="Bookman Old Style"/>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header" Target="header19.xml"/><Relationship Id="rId25" Type="http://schemas.openxmlformats.org/officeDocument/2006/relationships/header" Target="header20.xm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itle>Budget Speech 2020.pmd</dc:title>
  <dcterms:created xsi:type="dcterms:W3CDTF">2019-11-09T15:49:16Z</dcterms:created>
  <dcterms:modified xsi:type="dcterms:W3CDTF">2019-11-09T15:49:16Z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PageMaker 7.0</vt:lpwstr>
  </property>
  <property fmtid="{D5CDD505-2E9C-101B-9397-08002B2CF9AE}" pid="4" name="LastSaved">
    <vt:filetime>2019-11-09T00:00:00Z</vt:filetime>
  </property>
</Properties>
</file>